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8BCCD">
      <w:pPr>
        <w:pStyle w:val="13"/>
        <w:jc w:val="both"/>
        <w:rPr>
          <w:rFonts w:ascii="方正小标宋_GBK" w:hAnsi="方正小标宋_GBK" w:eastAsia="方正小标宋_GBK" w:cs="方正小标宋_GBK"/>
          <w:sz w:val="84"/>
          <w:szCs w:val="84"/>
        </w:rPr>
      </w:pPr>
    </w:p>
    <w:p w14:paraId="00F64AE3">
      <w:pPr>
        <w:pStyle w:val="13"/>
        <w:jc w:val="both"/>
        <w:rPr>
          <w:rFonts w:ascii="方正小标宋_GBK" w:hAnsi="方正小标宋_GBK" w:eastAsia="方正小标宋_GBK" w:cs="方正小标宋_GBK"/>
          <w:sz w:val="84"/>
          <w:szCs w:val="84"/>
        </w:rPr>
      </w:pPr>
    </w:p>
    <w:p w14:paraId="60449A9E">
      <w:pPr>
        <w:pStyle w:val="13"/>
        <w:jc w:val="both"/>
        <w:rPr>
          <w:rFonts w:ascii="方正小标宋_GBK" w:hAnsi="方正小标宋_GBK" w:eastAsia="方正小标宋_GBK" w:cs="方正小标宋_GBK"/>
          <w:sz w:val="84"/>
          <w:szCs w:val="84"/>
        </w:rPr>
      </w:pPr>
    </w:p>
    <w:p w14:paraId="52241472">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w:t>
      </w:r>
    </w:p>
    <w:p w14:paraId="2D68F9DB">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溆浦县淘金坪乡人民政府</w:t>
      </w:r>
    </w:p>
    <w:p w14:paraId="38984C9B">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w:t>
      </w:r>
    </w:p>
    <w:p w14:paraId="0DABFAC0">
      <w:pPr>
        <w:pStyle w:val="13"/>
        <w:jc w:val="center"/>
        <w:rPr>
          <w:rFonts w:ascii="方正小标宋_GBK" w:hAnsi="方正小标宋_GBK" w:eastAsia="方正小标宋_GBK" w:cs="方正小标宋_GBK"/>
          <w:sz w:val="56"/>
          <w:szCs w:val="56"/>
        </w:rPr>
      </w:pPr>
    </w:p>
    <w:p w14:paraId="40398412">
      <w:pPr>
        <w:pStyle w:val="13"/>
        <w:jc w:val="center"/>
        <w:rPr>
          <w:sz w:val="56"/>
          <w:szCs w:val="56"/>
        </w:rPr>
      </w:pPr>
    </w:p>
    <w:p w14:paraId="65E6BE37">
      <w:pPr>
        <w:pStyle w:val="13"/>
        <w:jc w:val="center"/>
        <w:rPr>
          <w:sz w:val="56"/>
          <w:szCs w:val="56"/>
        </w:rPr>
      </w:pPr>
    </w:p>
    <w:p w14:paraId="163DFD32">
      <w:pPr>
        <w:pStyle w:val="13"/>
        <w:jc w:val="center"/>
        <w:rPr>
          <w:sz w:val="56"/>
          <w:szCs w:val="56"/>
        </w:rPr>
      </w:pPr>
    </w:p>
    <w:p w14:paraId="01D827C4">
      <w:pPr>
        <w:pStyle w:val="13"/>
        <w:jc w:val="center"/>
        <w:rPr>
          <w:sz w:val="32"/>
          <w:szCs w:val="32"/>
        </w:rPr>
      </w:pPr>
    </w:p>
    <w:p w14:paraId="01AD7F1F">
      <w:pPr>
        <w:pStyle w:val="13"/>
        <w:jc w:val="center"/>
        <w:rPr>
          <w:sz w:val="32"/>
          <w:szCs w:val="32"/>
        </w:rPr>
      </w:pPr>
    </w:p>
    <w:p w14:paraId="5520F9D9">
      <w:pPr>
        <w:pStyle w:val="13"/>
        <w:jc w:val="center"/>
        <w:rPr>
          <w:sz w:val="32"/>
          <w:szCs w:val="32"/>
        </w:rPr>
      </w:pPr>
    </w:p>
    <w:p w14:paraId="6F722D74">
      <w:pPr>
        <w:pStyle w:val="13"/>
        <w:spacing w:line="500" w:lineRule="exact"/>
        <w:jc w:val="center"/>
        <w:rPr>
          <w:b/>
          <w:sz w:val="36"/>
          <w:szCs w:val="28"/>
        </w:rPr>
      </w:pPr>
      <w:r>
        <w:rPr>
          <w:rFonts w:hint="eastAsia"/>
          <w:b/>
          <w:sz w:val="36"/>
          <w:szCs w:val="28"/>
        </w:rPr>
        <w:t>目录</w:t>
      </w:r>
    </w:p>
    <w:p w14:paraId="1F60CBB5">
      <w:pPr>
        <w:pStyle w:val="13"/>
        <w:spacing w:line="500" w:lineRule="exact"/>
        <w:rPr>
          <w:rFonts w:hAnsi="黑体"/>
          <w:bCs/>
          <w:sz w:val="28"/>
          <w:szCs w:val="28"/>
        </w:rPr>
      </w:pPr>
      <w:r>
        <w:rPr>
          <w:rFonts w:hint="eastAsia" w:hAnsi="黑体"/>
          <w:bCs/>
          <w:sz w:val="28"/>
          <w:szCs w:val="28"/>
        </w:rPr>
        <w:t>第一部分溆浦县淘金坪乡人民政府概况</w:t>
      </w:r>
    </w:p>
    <w:p w14:paraId="5F51DDFC">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16BE9C66">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6C4B042E">
      <w:pPr>
        <w:pStyle w:val="13"/>
        <w:spacing w:line="500" w:lineRule="exact"/>
        <w:rPr>
          <w:rFonts w:hAnsi="黑体"/>
          <w:bCs/>
          <w:sz w:val="28"/>
          <w:szCs w:val="28"/>
        </w:rPr>
      </w:pPr>
      <w:r>
        <w:rPr>
          <w:rFonts w:hint="eastAsia" w:hAnsi="黑体"/>
          <w:bCs/>
          <w:sz w:val="28"/>
          <w:szCs w:val="28"/>
        </w:rPr>
        <w:t>第二部分部门决算表</w:t>
      </w:r>
    </w:p>
    <w:p w14:paraId="1D912585">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2E10B434">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7235DABD">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28C13C7B">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6DE2CBB">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1A3F80CA">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3FE82B4B">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47454DE">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4B33964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321799B5">
      <w:pPr>
        <w:pStyle w:val="13"/>
        <w:spacing w:line="500" w:lineRule="exact"/>
        <w:rPr>
          <w:rFonts w:hAnsi="黑体"/>
          <w:bCs/>
          <w:sz w:val="28"/>
          <w:szCs w:val="28"/>
        </w:rPr>
      </w:pPr>
      <w:r>
        <w:rPr>
          <w:rFonts w:hint="eastAsia" w:hAnsi="黑体"/>
          <w:bCs/>
          <w:sz w:val="28"/>
          <w:szCs w:val="28"/>
        </w:rPr>
        <w:t>第三部分部门决算情况说明</w:t>
      </w:r>
    </w:p>
    <w:p w14:paraId="6BA30676">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359B962B">
      <w:pPr>
        <w:spacing w:line="500" w:lineRule="exact"/>
        <w:ind w:firstLine="700" w:firstLineChars="25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49545802">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767A997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778A463E">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544FA703">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142C6164">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14990098">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6600FC4B">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九、关于机关运行经费支出说明</w:t>
      </w:r>
    </w:p>
    <w:p w14:paraId="14CED669">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十、一般性支出情况说明</w:t>
      </w:r>
    </w:p>
    <w:p w14:paraId="42B62A8D">
      <w:pPr>
        <w:autoSpaceDE w:val="0"/>
        <w:autoSpaceDN w:val="0"/>
        <w:adjustRightInd w:val="0"/>
        <w:spacing w:line="500" w:lineRule="exact"/>
        <w:ind w:firstLine="700" w:firstLineChars="250"/>
        <w:jc w:val="left"/>
        <w:rPr>
          <w:rFonts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十一、关于政府采购支出说明</w:t>
      </w:r>
    </w:p>
    <w:p w14:paraId="2018535F">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十二、关于国有资产占用情况说明</w:t>
      </w:r>
    </w:p>
    <w:p w14:paraId="2E9A6CC8">
      <w:pPr>
        <w:pStyle w:val="13"/>
        <w:spacing w:line="500" w:lineRule="exact"/>
        <w:ind w:firstLine="700" w:firstLineChars="250"/>
        <w:rPr>
          <w:rFonts w:ascii="仿宋_GB2312" w:hAnsi="仿宋_GB2312" w:eastAsia="仿宋_GB2312" w:cs="仿宋_GB2312"/>
          <w:sz w:val="28"/>
          <w:szCs w:val="28"/>
        </w:rPr>
      </w:pPr>
      <w:r>
        <w:rPr>
          <w:rFonts w:hint="eastAsia" w:ascii="仿宋_GB2312" w:hAnsi="仿宋_GB2312" w:eastAsia="仿宋_GB2312" w:cs="仿宋_GB2312"/>
          <w:sz w:val="28"/>
          <w:szCs w:val="28"/>
        </w:rPr>
        <w:t>十三、关于</w:t>
      </w:r>
      <w:r>
        <w:rPr>
          <w:rFonts w:ascii="Times New Roman" w:hAnsi="Times New Roman" w:eastAsia="仿宋_GB2312" w:cs="Times New Roman"/>
          <w:sz w:val="28"/>
          <w:szCs w:val="28"/>
        </w:rPr>
        <w:t>2023</w:t>
      </w:r>
      <w:r>
        <w:rPr>
          <w:rFonts w:hint="eastAsia" w:ascii="仿宋_GB2312" w:hAnsi="仿宋_GB2312" w:eastAsia="仿宋_GB2312" w:cs="仿宋_GB2312"/>
          <w:sz w:val="28"/>
          <w:szCs w:val="28"/>
        </w:rPr>
        <w:t>年度预算绩效情况的说明</w:t>
      </w:r>
    </w:p>
    <w:p w14:paraId="047FBA4A">
      <w:pPr>
        <w:pStyle w:val="13"/>
        <w:spacing w:line="500" w:lineRule="exact"/>
        <w:rPr>
          <w:rFonts w:hAnsi="黑体"/>
          <w:bCs/>
          <w:sz w:val="28"/>
          <w:szCs w:val="28"/>
        </w:rPr>
      </w:pPr>
      <w:r>
        <w:rPr>
          <w:rFonts w:hint="eastAsia" w:hAnsi="黑体"/>
          <w:bCs/>
          <w:sz w:val="28"/>
          <w:szCs w:val="28"/>
        </w:rPr>
        <w:t>第四部分名词解释</w:t>
      </w:r>
    </w:p>
    <w:p w14:paraId="4BCE17BF">
      <w:pPr>
        <w:pStyle w:val="13"/>
        <w:spacing w:line="500" w:lineRule="exact"/>
        <w:rPr>
          <w:rFonts w:hAnsi="黑体"/>
          <w:bCs/>
          <w:sz w:val="28"/>
          <w:szCs w:val="28"/>
        </w:rPr>
      </w:pPr>
      <w:r>
        <w:rPr>
          <w:rFonts w:hint="eastAsia" w:hAnsi="黑体"/>
          <w:bCs/>
          <w:sz w:val="28"/>
          <w:szCs w:val="28"/>
        </w:rPr>
        <w:t>第五部分附件</w:t>
      </w:r>
    </w:p>
    <w:p w14:paraId="57EED470">
      <w:pPr>
        <w:pStyle w:val="13"/>
        <w:jc w:val="center"/>
        <w:rPr>
          <w:rFonts w:ascii="方正小标宋_GBK" w:hAnsi="方正小标宋_GBK" w:eastAsia="方正小标宋_GBK" w:cs="方正小标宋_GBK"/>
          <w:sz w:val="84"/>
          <w:szCs w:val="84"/>
        </w:rPr>
      </w:pPr>
    </w:p>
    <w:p w14:paraId="41B30873">
      <w:pPr>
        <w:pStyle w:val="13"/>
        <w:jc w:val="center"/>
        <w:rPr>
          <w:rFonts w:ascii="方正小标宋_GBK" w:hAnsi="方正小标宋_GBK" w:eastAsia="方正小标宋_GBK" w:cs="方正小标宋_GBK"/>
          <w:sz w:val="84"/>
          <w:szCs w:val="84"/>
        </w:rPr>
      </w:pPr>
    </w:p>
    <w:p w14:paraId="37651E49">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第一部分</w:t>
      </w:r>
    </w:p>
    <w:p w14:paraId="57693055">
      <w:pPr>
        <w:pStyle w:val="13"/>
        <w:jc w:val="center"/>
        <w:rPr>
          <w:rFonts w:ascii="方正小标宋_GBK" w:hAnsi="方正小标宋_GBK" w:eastAsia="方正小标宋_GBK" w:cs="方正小标宋_GBK"/>
          <w:sz w:val="84"/>
          <w:szCs w:val="84"/>
        </w:rPr>
      </w:pPr>
    </w:p>
    <w:p w14:paraId="678D3260">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溆浦县淘金坪乡人民政府</w:t>
      </w:r>
    </w:p>
    <w:p w14:paraId="687C7CD1">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概况</w:t>
      </w:r>
    </w:p>
    <w:p w14:paraId="6B297BD3">
      <w:pPr>
        <w:jc w:val="center"/>
        <w:rPr>
          <w:rFonts w:ascii="方正小标宋_GBK" w:hAnsi="方正小标宋_GBK" w:eastAsia="方正小标宋_GBK" w:cs="方正小标宋_GBK"/>
          <w:sz w:val="72"/>
          <w:szCs w:val="72"/>
        </w:rPr>
      </w:pPr>
    </w:p>
    <w:p w14:paraId="242FB34E">
      <w:pPr>
        <w:jc w:val="center"/>
        <w:rPr>
          <w:rFonts w:ascii="方正小标宋_GBK" w:hAnsi="方正小标宋_GBK" w:eastAsia="方正小标宋_GBK" w:cs="方正小标宋_GBK"/>
          <w:sz w:val="72"/>
          <w:szCs w:val="72"/>
        </w:rPr>
      </w:pPr>
    </w:p>
    <w:p w14:paraId="66EBC04E">
      <w:pPr>
        <w:rPr>
          <w:sz w:val="72"/>
          <w:szCs w:val="72"/>
        </w:rPr>
      </w:pPr>
    </w:p>
    <w:p w14:paraId="16A9B383">
      <w:pPr>
        <w:rPr>
          <w:rFonts w:ascii="黑体" w:hAnsi="黑体" w:eastAsia="黑体" w:cs="黑体"/>
          <w:sz w:val="32"/>
          <w:szCs w:val="32"/>
        </w:rPr>
      </w:pPr>
      <w:r>
        <w:rPr>
          <w:rFonts w:hint="eastAsia" w:ascii="黑体" w:hAnsi="黑体" w:eastAsia="黑体" w:cs="黑体"/>
          <w:sz w:val="32"/>
          <w:szCs w:val="32"/>
        </w:rPr>
        <w:br w:type="page"/>
      </w:r>
    </w:p>
    <w:p w14:paraId="5A9DFC83">
      <w:pPr>
        <w:pStyle w:val="14"/>
        <w:numPr>
          <w:ilvl w:val="0"/>
          <w:numId w:val="1"/>
        </w:numPr>
        <w:spacing w:line="600" w:lineRule="exact"/>
        <w:ind w:firstLineChars="0"/>
        <w:jc w:val="left"/>
        <w:rPr>
          <w:rFonts w:ascii="黑体" w:hAnsi="黑体" w:eastAsia="黑体" w:cs="黑体"/>
          <w:sz w:val="32"/>
          <w:szCs w:val="32"/>
        </w:rPr>
      </w:pPr>
      <w:r>
        <w:rPr>
          <w:rFonts w:hint="eastAsia" w:ascii="黑体" w:hAnsi="黑体" w:eastAsia="黑体" w:cs="黑体"/>
          <w:sz w:val="32"/>
          <w:szCs w:val="32"/>
        </w:rPr>
        <w:t>部门职责</w:t>
      </w:r>
    </w:p>
    <w:p w14:paraId="35929F9E">
      <w:pPr>
        <w:spacing w:line="60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制定和组织实施经济、科技和社会发展计划，制定产业结构调整方案，组织指导好各产业生产，协调好本乡与外地区的经济交流与合作，抓好人才引进项目开发，不断培育市场体系，组织经济运行，促进经济发展。</w:t>
      </w:r>
    </w:p>
    <w:p w14:paraId="0C9D0B13">
      <w:pPr>
        <w:spacing w:line="60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（二）制定并组织实施乡村建设规划，部署重点工程建设，地方道路建设及公共设施，水利设施的管理，负责土地、林木、水等自然资源和生态环境的保护，做好护林防火工作。</w:t>
      </w:r>
    </w:p>
    <w:p w14:paraId="0220114E">
      <w:pPr>
        <w:spacing w:line="60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负责本行政区域内的民政、计划生育、文化教育、卫生、体育等社会公益事业的综合性工作，维护一切经济单位和个人的正当经济权益，取缔非法经济活动，调解和处理民事纠纷，打击刑事犯罪维护社会稳定。</w:t>
      </w:r>
    </w:p>
    <w:p w14:paraId="64A6E860">
      <w:pPr>
        <w:spacing w:line="60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（四）按计划组织本级财政收入的征收，完成国家财政计划，管好财政资金，增强财政实力。</w:t>
      </w:r>
    </w:p>
    <w:p w14:paraId="0E6556A9">
      <w:pPr>
        <w:spacing w:line="60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（五）抓好精神文明建设，丰富群众文化生活，提倡移风易俗，反对封建迷信，破除陈规陋习，树立社会主义新风尚。</w:t>
      </w:r>
    </w:p>
    <w:p w14:paraId="54005760">
      <w:pPr>
        <w:spacing w:line="60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（六）完成上级党委、政府交办的其它事项。</w:t>
      </w:r>
    </w:p>
    <w:p w14:paraId="053384DA">
      <w:pPr>
        <w:widowControl/>
        <w:spacing w:line="600" w:lineRule="exact"/>
        <w:rPr>
          <w:rFonts w:ascii="黑体" w:hAnsi="黑体" w:eastAsia="黑体" w:cs="黑体"/>
          <w:bCs/>
          <w:kern w:val="0"/>
          <w:sz w:val="32"/>
          <w:szCs w:val="32"/>
        </w:rPr>
      </w:pPr>
      <w:r>
        <w:rPr>
          <w:rFonts w:hint="eastAsia" w:ascii="黑体" w:hAnsi="黑体" w:eastAsia="黑体" w:cs="黑体"/>
          <w:bCs/>
          <w:kern w:val="0"/>
          <w:sz w:val="32"/>
          <w:szCs w:val="32"/>
        </w:rPr>
        <w:t>二、机构设置及决算单位构成</w:t>
      </w:r>
    </w:p>
    <w:p w14:paraId="5DDA65E1">
      <w:pPr>
        <w:spacing w:line="60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内设机构设置。溆浦县淘金坪乡人民政府内设机构包括：本单位是行政机关单位，单位核定编制53名，实有在职人员42名，其中行政人员18人，事业人员24人。下设9个内设机构，分别是党建办公室、党政办公室、经济发展办公室、社会事务办公室、社会治安和应急管理办公室、综合行政执法大队、农业综合服务中心、社会事务综合服务中心、政务服务中心；无下属及派出机构。</w:t>
      </w:r>
    </w:p>
    <w:p w14:paraId="6E3EA252">
      <w:pPr>
        <w:spacing w:line="60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（二）决算单位构成。溆浦县淘金坪乡人民政府2023年部门决算汇总公开单位构成包括：溆浦县淘金坪乡人民政府本级以及卫生和计划生育办公室、淘金坪乡财政所。</w:t>
      </w:r>
    </w:p>
    <w:p w14:paraId="3470A6AB">
      <w:pPr>
        <w:rPr>
          <w:rFonts w:ascii="方正小标宋_GBK" w:hAnsi="方正小标宋_GBK" w:eastAsia="方正小标宋_GBK" w:cs="方正小标宋_GBK"/>
          <w:sz w:val="84"/>
          <w:szCs w:val="84"/>
        </w:rPr>
      </w:pPr>
    </w:p>
    <w:p w14:paraId="3E0C5E27">
      <w:pPr>
        <w:rPr>
          <w:rFonts w:ascii="方正小标宋_GBK" w:hAnsi="方正小标宋_GBK" w:eastAsia="方正小标宋_GBK" w:cs="方正小标宋_GBK"/>
          <w:sz w:val="84"/>
          <w:szCs w:val="84"/>
        </w:rPr>
      </w:pPr>
    </w:p>
    <w:p w14:paraId="56CCC7FE">
      <w:pPr>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5D5928DA">
      <w:pPr>
        <w:pStyle w:val="13"/>
        <w:jc w:val="center"/>
        <w:rPr>
          <w:rFonts w:ascii="方正小标宋_GBK" w:hAnsi="方正小标宋_GBK" w:eastAsia="方正小标宋_GBK" w:cs="方正小标宋_GBK"/>
          <w:sz w:val="84"/>
          <w:szCs w:val="84"/>
        </w:rPr>
      </w:pPr>
    </w:p>
    <w:p w14:paraId="662DAC13">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0A16D97E">
      <w:pPr>
        <w:jc w:val="center"/>
        <w:rPr>
          <w:sz w:val="72"/>
          <w:szCs w:val="72"/>
        </w:rPr>
      </w:pPr>
    </w:p>
    <w:p w14:paraId="1B9E77C6">
      <w:pPr>
        <w:jc w:val="center"/>
        <w:rPr>
          <w:sz w:val="72"/>
          <w:szCs w:val="72"/>
        </w:rPr>
      </w:pPr>
    </w:p>
    <w:p w14:paraId="5EF7C5F5">
      <w:pPr>
        <w:jc w:val="center"/>
        <w:rPr>
          <w:sz w:val="72"/>
          <w:szCs w:val="72"/>
        </w:rPr>
      </w:pPr>
    </w:p>
    <w:p w14:paraId="37100C77">
      <w:pPr>
        <w:jc w:val="center"/>
        <w:rPr>
          <w:sz w:val="72"/>
          <w:szCs w:val="72"/>
        </w:rPr>
      </w:pPr>
    </w:p>
    <w:p w14:paraId="34BFEF46">
      <w:pPr>
        <w:jc w:val="center"/>
        <w:rPr>
          <w:sz w:val="72"/>
          <w:szCs w:val="72"/>
        </w:rPr>
      </w:pPr>
    </w:p>
    <w:p w14:paraId="65A3B7D6">
      <w:pPr>
        <w:jc w:val="center"/>
        <w:rPr>
          <w:sz w:val="72"/>
          <w:szCs w:val="72"/>
        </w:rPr>
      </w:pPr>
    </w:p>
    <w:p w14:paraId="26784455">
      <w:pPr>
        <w:tabs>
          <w:tab w:val="left" w:pos="758"/>
        </w:tabs>
        <w:jc w:val="left"/>
        <w:sectPr>
          <w:pgSz w:w="11906" w:h="16838"/>
          <w:pgMar w:top="720" w:right="720" w:bottom="720" w:left="720" w:header="851" w:footer="992" w:gutter="0"/>
          <w:cols w:space="425" w:num="1"/>
          <w:docGrid w:type="lines" w:linePitch="312" w:charSpace="0"/>
        </w:sectPr>
      </w:pPr>
    </w:p>
    <w:tbl>
      <w:tblPr>
        <w:tblStyle w:val="8"/>
        <w:tblW w:w="14070" w:type="dxa"/>
        <w:tblInd w:w="93" w:type="dxa"/>
        <w:tblLayout w:type="autofit"/>
        <w:tblCellMar>
          <w:top w:w="0" w:type="dxa"/>
          <w:left w:w="108" w:type="dxa"/>
          <w:bottom w:w="0" w:type="dxa"/>
          <w:right w:w="108" w:type="dxa"/>
        </w:tblCellMar>
      </w:tblPr>
      <w:tblGrid>
        <w:gridCol w:w="4662"/>
        <w:gridCol w:w="819"/>
        <w:gridCol w:w="1368"/>
        <w:gridCol w:w="4387"/>
        <w:gridCol w:w="819"/>
        <w:gridCol w:w="2015"/>
      </w:tblGrid>
      <w:tr w14:paraId="055A7B21">
        <w:tblPrEx>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center"/>
          </w:tcPr>
          <w:p w14:paraId="43D6674B">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收入支出决算总表</w:t>
            </w:r>
          </w:p>
        </w:tc>
      </w:tr>
      <w:tr w14:paraId="581DD265">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5D17F8D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1CFC3D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39F83F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7BB924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166810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5F015A22">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公开01表</w:t>
            </w:r>
          </w:p>
        </w:tc>
      </w:tr>
      <w:tr w14:paraId="020A16FB">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6C4B10BC">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部门：溆浦县淘金坪乡人民政府</w:t>
            </w:r>
          </w:p>
        </w:tc>
        <w:tc>
          <w:tcPr>
            <w:tcW w:w="0" w:type="auto"/>
            <w:tcBorders>
              <w:top w:val="nil"/>
              <w:left w:val="nil"/>
              <w:bottom w:val="nil"/>
              <w:right w:val="nil"/>
            </w:tcBorders>
            <w:shd w:val="clear" w:color="auto" w:fill="auto"/>
            <w:noWrap/>
            <w:vAlign w:val="center"/>
          </w:tcPr>
          <w:p w14:paraId="098C866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5F472A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1FC46B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230397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711E484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1204ECE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282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75D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支出</w:t>
            </w:r>
          </w:p>
        </w:tc>
      </w:tr>
      <w:tr w14:paraId="6968C75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292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98B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E2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F17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C69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C4EE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r>
      <w:tr w14:paraId="35C98A7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63D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F4107">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F215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384A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4F251">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16E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r>
      <w:tr w14:paraId="60B5DE4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5FE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D6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2F4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9D1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BC9E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8B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541.16</w:t>
            </w:r>
          </w:p>
        </w:tc>
      </w:tr>
      <w:tr w14:paraId="329E168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276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B06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878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8A21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691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A4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DDBB0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326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0F9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A1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11C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2F47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5AF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EB5933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036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90B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0E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1FB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B07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9D1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13.76</w:t>
            </w:r>
          </w:p>
        </w:tc>
      </w:tr>
      <w:tr w14:paraId="278C74E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CF1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FA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176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F01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CA2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E0C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C7657F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3A8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AC0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926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BC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2D5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440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16BB76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0D1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E616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B9F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EA0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266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799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22.00</w:t>
            </w:r>
          </w:p>
        </w:tc>
      </w:tr>
      <w:tr w14:paraId="09FA6DF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1C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48A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5F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696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E0C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D0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102.25</w:t>
            </w:r>
          </w:p>
        </w:tc>
      </w:tr>
      <w:tr w14:paraId="7A2DF94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9961">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9FAE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476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C7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D35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8A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25.26</w:t>
            </w:r>
          </w:p>
        </w:tc>
      </w:tr>
      <w:tr w14:paraId="1918D3C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F1736">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658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79A9A">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EA3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C9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2EC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8EA017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2AE3E">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9C18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7BFC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5D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A3C5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0B0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r>
      <w:tr w14:paraId="6BE762B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A09E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021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8EC6E">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C1F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5293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FFC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304.25</w:t>
            </w:r>
          </w:p>
        </w:tc>
      </w:tr>
      <w:tr w14:paraId="4294C00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EE7A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A0C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126E">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12F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383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741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197460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AD9D1">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8C6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69ADE">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E23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9B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AF4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8510E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0D7FD">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A3E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2434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60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E323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F0C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AABCE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7BE45">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351C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4D89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6F2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D66D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959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7D425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EB9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3B3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729E1">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C43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E1B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98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D3C59D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7EEE5">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F7E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7386E">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BE60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FF1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AE7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5B4935D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28525">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43F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BE9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7B51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8D0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053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r>
      <w:tr w14:paraId="235A201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E6C59">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CA2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6D74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FA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17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9FA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34BF3BD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93065">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7CD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769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7EA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281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97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9CF0E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4F26C">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61F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1152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D3E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5583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A32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7.82</w:t>
            </w:r>
          </w:p>
        </w:tc>
      </w:tr>
      <w:tr w14:paraId="5E7071B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5B49">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5CC7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565F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D85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CB48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71A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0D04A8B5">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E3C4F">
            <w:pPr>
              <w:jc w:val="center"/>
              <w:rPr>
                <w:rFonts w:ascii="宋体" w:hAnsi="宋体" w:eastAsia="宋体" w:cs="宋体"/>
                <w:b/>
                <w:bCs/>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74664">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96854">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A5A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4C1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DCB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5E67E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082A">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9F063">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B8063">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667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D4E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A6C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9B5984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8966C">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950D">
            <w:pPr>
              <w:widowControl/>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4181F">
            <w:pPr>
              <w:jc w:val="righ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2C5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152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6A8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B21A84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5013C">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AC9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34E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DBDF">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847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A92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1,075.10</w:t>
            </w:r>
          </w:p>
        </w:tc>
      </w:tr>
      <w:tr w14:paraId="033EBDA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CB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使用非财政拨款结余和专用结余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F54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ABF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6C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D542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FE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25D6C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C6D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E1D0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70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D5E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E98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7BB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571698">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11BA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B75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A3BC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7B6BD">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016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14E6F">
            <w:pPr>
              <w:jc w:val="left"/>
              <w:rPr>
                <w:rFonts w:ascii="宋体" w:hAnsi="宋体" w:eastAsia="宋体" w:cs="宋体"/>
                <w:color w:val="000000"/>
                <w:sz w:val="22"/>
              </w:rPr>
            </w:pPr>
          </w:p>
        </w:tc>
      </w:tr>
      <w:tr w14:paraId="2140E97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977E">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FED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B70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EE598">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369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5F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1,075.10</w:t>
            </w:r>
          </w:p>
        </w:tc>
      </w:tr>
      <w:tr w14:paraId="6EA3E82A">
        <w:tblPrEx>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49136D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注：1.本表反映部门本年度的总收支和年末结转结余情况。</w:t>
            </w:r>
          </w:p>
        </w:tc>
      </w:tr>
      <w:tr w14:paraId="562E5815">
        <w:tblPrEx>
          <w:tblCellMar>
            <w:top w:w="0" w:type="dxa"/>
            <w:left w:w="108" w:type="dxa"/>
            <w:bottom w:w="0" w:type="dxa"/>
            <w:right w:w="108" w:type="dxa"/>
          </w:tblCellMar>
        </w:tblPrEx>
        <w:trPr>
          <w:trHeight w:val="300" w:hRule="atLeast"/>
        </w:trPr>
        <w:tc>
          <w:tcPr>
            <w:tcW w:w="0" w:type="auto"/>
            <w:gridSpan w:val="6"/>
            <w:tcBorders>
              <w:top w:val="nil"/>
              <w:left w:val="nil"/>
              <w:bottom w:val="nil"/>
              <w:right w:val="nil"/>
            </w:tcBorders>
            <w:shd w:val="clear" w:color="auto" w:fill="auto"/>
            <w:noWrap/>
            <w:vAlign w:val="center"/>
          </w:tcPr>
          <w:p w14:paraId="36A787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2.本套报表金额单位转换时可能存在尾数误差。</w:t>
            </w:r>
          </w:p>
        </w:tc>
      </w:tr>
    </w:tbl>
    <w:p w14:paraId="60591B8C">
      <w:pPr>
        <w:widowControl/>
        <w:jc w:val="center"/>
        <w:rPr>
          <w:rFonts w:ascii="Times New Roman" w:hAnsi="Times New Roman" w:eastAsia="方正小标宋_GBK" w:cs="Times New Roman"/>
          <w:color w:val="000000"/>
          <w:kern w:val="0"/>
          <w:sz w:val="36"/>
          <w:szCs w:val="36"/>
        </w:rPr>
      </w:pPr>
    </w:p>
    <w:p w14:paraId="74791A5E">
      <w:pPr>
        <w:widowControl/>
        <w:jc w:val="center"/>
        <w:rPr>
          <w:rFonts w:ascii="Times New Roman" w:hAnsi="Times New Roman" w:eastAsia="方正小标宋_GBK" w:cs="Times New Roman"/>
          <w:color w:val="000000"/>
          <w:kern w:val="0"/>
          <w:sz w:val="36"/>
          <w:szCs w:val="36"/>
        </w:rPr>
      </w:pPr>
    </w:p>
    <w:p w14:paraId="6DD6A8FB">
      <w:pPr>
        <w:widowControl/>
        <w:jc w:val="center"/>
        <w:rPr>
          <w:rFonts w:ascii="Times New Roman" w:hAnsi="Times New Roman" w:eastAsia="方正小标宋_GBK" w:cs="Times New Roman"/>
          <w:color w:val="000000"/>
          <w:kern w:val="0"/>
          <w:sz w:val="36"/>
          <w:szCs w:val="36"/>
        </w:rPr>
      </w:pPr>
    </w:p>
    <w:tbl>
      <w:tblPr>
        <w:tblStyle w:val="8"/>
        <w:tblW w:w="15580" w:type="dxa"/>
        <w:tblInd w:w="93" w:type="dxa"/>
        <w:tblLayout w:type="autofit"/>
        <w:tblCellMar>
          <w:top w:w="0" w:type="dxa"/>
          <w:left w:w="108" w:type="dxa"/>
          <w:bottom w:w="0" w:type="dxa"/>
          <w:right w:w="108" w:type="dxa"/>
        </w:tblCellMar>
      </w:tblPr>
      <w:tblGrid>
        <w:gridCol w:w="3016"/>
        <w:gridCol w:w="222"/>
        <w:gridCol w:w="222"/>
        <w:gridCol w:w="4836"/>
        <w:gridCol w:w="1329"/>
        <w:gridCol w:w="1289"/>
        <w:gridCol w:w="776"/>
        <w:gridCol w:w="766"/>
        <w:gridCol w:w="758"/>
        <w:gridCol w:w="750"/>
        <w:gridCol w:w="1616"/>
      </w:tblGrid>
      <w:tr w14:paraId="0A166BCF">
        <w:tblPrEx>
          <w:tblCellMar>
            <w:top w:w="0" w:type="dxa"/>
            <w:left w:w="108" w:type="dxa"/>
            <w:bottom w:w="0" w:type="dxa"/>
            <w:right w:w="108" w:type="dxa"/>
          </w:tblCellMar>
        </w:tblPrEx>
        <w:trPr>
          <w:trHeight w:val="678" w:hRule="atLeast"/>
        </w:trPr>
        <w:tc>
          <w:tcPr>
            <w:tcW w:w="15580" w:type="dxa"/>
            <w:gridSpan w:val="11"/>
            <w:tcBorders>
              <w:top w:val="nil"/>
              <w:left w:val="nil"/>
              <w:bottom w:val="nil"/>
              <w:right w:val="nil"/>
            </w:tcBorders>
            <w:shd w:val="clear" w:color="auto" w:fill="auto"/>
            <w:noWrap/>
            <w:vAlign w:val="center"/>
          </w:tcPr>
          <w:p w14:paraId="080D473C">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收入决算表</w:t>
            </w:r>
          </w:p>
        </w:tc>
      </w:tr>
      <w:tr w14:paraId="271DF175">
        <w:tblPrEx>
          <w:tblCellMar>
            <w:top w:w="0" w:type="dxa"/>
            <w:left w:w="108" w:type="dxa"/>
            <w:bottom w:w="0" w:type="dxa"/>
            <w:right w:w="108" w:type="dxa"/>
          </w:tblCellMar>
        </w:tblPrEx>
        <w:trPr>
          <w:trHeight w:val="339" w:hRule="atLeast"/>
        </w:trPr>
        <w:tc>
          <w:tcPr>
            <w:tcW w:w="0" w:type="auto"/>
            <w:tcBorders>
              <w:top w:val="nil"/>
              <w:left w:val="nil"/>
              <w:bottom w:val="nil"/>
              <w:right w:val="nil"/>
            </w:tcBorders>
            <w:shd w:val="clear" w:color="auto" w:fill="auto"/>
            <w:noWrap/>
            <w:vAlign w:val="center"/>
          </w:tcPr>
          <w:p w14:paraId="2A94B84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C9B1F5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8B5782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A54285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89E8C0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8907746">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956040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57EC0F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5E937D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4BB044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27DEF500">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公开02表</w:t>
            </w:r>
          </w:p>
        </w:tc>
      </w:tr>
      <w:tr w14:paraId="725B939F">
        <w:tblPrEx>
          <w:tblCellMar>
            <w:top w:w="0" w:type="dxa"/>
            <w:left w:w="108" w:type="dxa"/>
            <w:bottom w:w="0" w:type="dxa"/>
            <w:right w:w="108" w:type="dxa"/>
          </w:tblCellMar>
        </w:tblPrEx>
        <w:trPr>
          <w:trHeight w:val="339" w:hRule="atLeast"/>
        </w:trPr>
        <w:tc>
          <w:tcPr>
            <w:tcW w:w="0" w:type="auto"/>
            <w:tcBorders>
              <w:top w:val="nil"/>
              <w:left w:val="nil"/>
              <w:bottom w:val="nil"/>
              <w:right w:val="nil"/>
            </w:tcBorders>
            <w:shd w:val="clear" w:color="auto" w:fill="auto"/>
            <w:noWrap/>
            <w:vAlign w:val="bottom"/>
          </w:tcPr>
          <w:p w14:paraId="5FC7AE5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部门：溆浦县淘金坪乡人民政府</w:t>
            </w:r>
          </w:p>
        </w:tc>
        <w:tc>
          <w:tcPr>
            <w:tcW w:w="0" w:type="auto"/>
            <w:tcBorders>
              <w:top w:val="nil"/>
              <w:left w:val="nil"/>
              <w:bottom w:val="nil"/>
              <w:right w:val="nil"/>
            </w:tcBorders>
            <w:shd w:val="clear" w:color="auto" w:fill="auto"/>
            <w:noWrap/>
            <w:vAlign w:val="center"/>
          </w:tcPr>
          <w:p w14:paraId="37784DA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A1D145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4AD691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72DD5B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93572F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B996CD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818DB1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C5FE30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6F3C986">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402E9FCB">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D4348E7">
        <w:tblPrEx>
          <w:tblCellMar>
            <w:top w:w="0" w:type="dxa"/>
            <w:left w:w="108" w:type="dxa"/>
            <w:bottom w:w="0" w:type="dxa"/>
            <w:right w:w="108" w:type="dxa"/>
          </w:tblCellMar>
        </w:tblPrEx>
        <w:trPr>
          <w:trHeight w:val="35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55AA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93F2C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本年收入合计</w:t>
            </w:r>
          </w:p>
        </w:tc>
        <w:tc>
          <w:tcPr>
            <w:tcW w:w="14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223A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财政拨款收入</w:t>
            </w:r>
          </w:p>
        </w:tc>
        <w:tc>
          <w:tcPr>
            <w:tcW w:w="9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0C31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上级补助收入</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BF7A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事业收入</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A846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经营收入</w:t>
            </w:r>
          </w:p>
        </w:tc>
        <w:tc>
          <w:tcPr>
            <w:tcW w:w="94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E9C8D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附属单位上缴收入</w:t>
            </w:r>
          </w:p>
        </w:tc>
        <w:tc>
          <w:tcPr>
            <w:tcW w:w="159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CE09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其他收入</w:t>
            </w:r>
          </w:p>
        </w:tc>
      </w:tr>
      <w:tr w14:paraId="360EE591">
        <w:tblPrEx>
          <w:tblCellMar>
            <w:top w:w="0" w:type="dxa"/>
            <w:left w:w="108" w:type="dxa"/>
            <w:bottom w:w="0" w:type="dxa"/>
            <w:right w:w="108" w:type="dxa"/>
          </w:tblCellMar>
        </w:tblPrEx>
        <w:trPr>
          <w:trHeight w:val="337" w:hRule="atLeast"/>
        </w:trPr>
        <w:tc>
          <w:tcPr>
            <w:tcW w:w="31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869EF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02F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E1EB4">
            <w:pPr>
              <w:jc w:val="center"/>
              <w:rPr>
                <w:rFonts w:ascii="宋体" w:hAnsi="宋体" w:eastAsia="宋体" w:cs="宋体"/>
                <w:color w:val="000000"/>
                <w:sz w:val="22"/>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7EC31">
            <w:pPr>
              <w:jc w:val="center"/>
              <w:rPr>
                <w:rFonts w:ascii="宋体" w:hAnsi="宋体" w:eastAsia="宋体" w:cs="宋体"/>
                <w:color w:val="000000"/>
                <w:sz w:val="22"/>
              </w:rPr>
            </w:pP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FA1AD0">
            <w:pPr>
              <w:jc w:val="center"/>
              <w:rPr>
                <w:rFonts w:ascii="宋体" w:hAnsi="宋体" w:eastAsia="宋体" w:cs="宋体"/>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165521">
            <w:pPr>
              <w:jc w:val="center"/>
              <w:rPr>
                <w:rFonts w:ascii="宋体" w:hAnsi="宋体" w:eastAsia="宋体" w:cs="宋体"/>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8F736">
            <w:pPr>
              <w:jc w:val="center"/>
              <w:rPr>
                <w:rFonts w:ascii="宋体" w:hAnsi="宋体" w:eastAsia="宋体" w:cs="宋体"/>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4B473">
            <w:pPr>
              <w:jc w:val="center"/>
              <w:rPr>
                <w:rFonts w:ascii="宋体" w:hAnsi="宋体" w:eastAsia="宋体" w:cs="宋体"/>
                <w:color w:val="000000"/>
                <w:sz w:val="22"/>
              </w:rPr>
            </w:pP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321C0F">
            <w:pPr>
              <w:jc w:val="center"/>
              <w:rPr>
                <w:rFonts w:ascii="宋体" w:hAnsi="宋体" w:eastAsia="宋体" w:cs="宋体"/>
                <w:color w:val="000000"/>
                <w:sz w:val="22"/>
              </w:rPr>
            </w:pPr>
          </w:p>
        </w:tc>
      </w:tr>
      <w:tr w14:paraId="3BA07810">
        <w:tblPrEx>
          <w:tblCellMar>
            <w:top w:w="0" w:type="dxa"/>
            <w:left w:w="108" w:type="dxa"/>
            <w:bottom w:w="0" w:type="dxa"/>
            <w:right w:w="108" w:type="dxa"/>
          </w:tblCellMar>
        </w:tblPrEx>
        <w:trPr>
          <w:trHeight w:val="337" w:hRule="atLeast"/>
        </w:trPr>
        <w:tc>
          <w:tcPr>
            <w:tcW w:w="31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1B91E8">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2E6CC">
            <w:pPr>
              <w:jc w:val="center"/>
              <w:rPr>
                <w:rFonts w:ascii="宋体" w:hAnsi="宋体" w:eastAsia="宋体" w:cs="宋体"/>
                <w:color w:val="000000"/>
                <w:sz w:val="22"/>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4FA34">
            <w:pPr>
              <w:jc w:val="center"/>
              <w:rPr>
                <w:rFonts w:ascii="宋体" w:hAnsi="宋体" w:eastAsia="宋体" w:cs="宋体"/>
                <w:color w:val="000000"/>
                <w:sz w:val="22"/>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13279">
            <w:pPr>
              <w:jc w:val="center"/>
              <w:rPr>
                <w:rFonts w:ascii="宋体" w:hAnsi="宋体" w:eastAsia="宋体" w:cs="宋体"/>
                <w:color w:val="000000"/>
                <w:sz w:val="22"/>
              </w:rPr>
            </w:pP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2958D">
            <w:pPr>
              <w:jc w:val="center"/>
              <w:rPr>
                <w:rFonts w:ascii="宋体" w:hAnsi="宋体" w:eastAsia="宋体" w:cs="宋体"/>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71BA4">
            <w:pPr>
              <w:jc w:val="center"/>
              <w:rPr>
                <w:rFonts w:ascii="宋体" w:hAnsi="宋体" w:eastAsia="宋体" w:cs="宋体"/>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A9200">
            <w:pPr>
              <w:jc w:val="center"/>
              <w:rPr>
                <w:rFonts w:ascii="宋体" w:hAnsi="宋体" w:eastAsia="宋体" w:cs="宋体"/>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CD00C">
            <w:pPr>
              <w:jc w:val="center"/>
              <w:rPr>
                <w:rFonts w:ascii="宋体" w:hAnsi="宋体" w:eastAsia="宋体" w:cs="宋体"/>
                <w:color w:val="000000"/>
                <w:sz w:val="22"/>
              </w:rPr>
            </w:pP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2A926">
            <w:pPr>
              <w:jc w:val="center"/>
              <w:rPr>
                <w:rFonts w:ascii="宋体" w:hAnsi="宋体" w:eastAsia="宋体" w:cs="宋体"/>
                <w:color w:val="000000"/>
                <w:sz w:val="22"/>
              </w:rPr>
            </w:pPr>
          </w:p>
        </w:tc>
      </w:tr>
      <w:tr w14:paraId="5CC33714">
        <w:tblPrEx>
          <w:tblCellMar>
            <w:top w:w="0" w:type="dxa"/>
            <w:left w:w="108" w:type="dxa"/>
            <w:bottom w:w="0" w:type="dxa"/>
            <w:right w:w="108" w:type="dxa"/>
          </w:tblCellMar>
        </w:tblPrEx>
        <w:trPr>
          <w:trHeight w:val="337" w:hRule="atLeast"/>
        </w:trPr>
        <w:tc>
          <w:tcPr>
            <w:tcW w:w="31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23035">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16166">
            <w:pPr>
              <w:jc w:val="center"/>
              <w:rPr>
                <w:rFonts w:ascii="宋体" w:hAnsi="宋体" w:eastAsia="宋体" w:cs="宋体"/>
                <w:color w:val="000000"/>
                <w:sz w:val="22"/>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0A847">
            <w:pPr>
              <w:jc w:val="center"/>
              <w:rPr>
                <w:rFonts w:ascii="宋体" w:hAnsi="宋体" w:eastAsia="宋体" w:cs="宋体"/>
                <w:color w:val="000000"/>
                <w:sz w:val="22"/>
              </w:rPr>
            </w:pPr>
          </w:p>
        </w:tc>
        <w:tc>
          <w:tcPr>
            <w:tcW w:w="14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8A64DF">
            <w:pPr>
              <w:jc w:val="center"/>
              <w:rPr>
                <w:rFonts w:ascii="宋体" w:hAnsi="宋体" w:eastAsia="宋体" w:cs="宋体"/>
                <w:color w:val="000000"/>
                <w:sz w:val="22"/>
              </w:rPr>
            </w:pPr>
          </w:p>
        </w:tc>
        <w:tc>
          <w:tcPr>
            <w:tcW w:w="9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9BCB4">
            <w:pPr>
              <w:jc w:val="center"/>
              <w:rPr>
                <w:rFonts w:ascii="宋体" w:hAnsi="宋体" w:eastAsia="宋体" w:cs="宋体"/>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5218AD">
            <w:pPr>
              <w:jc w:val="center"/>
              <w:rPr>
                <w:rFonts w:ascii="宋体" w:hAnsi="宋体" w:eastAsia="宋体" w:cs="宋体"/>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41260">
            <w:pPr>
              <w:jc w:val="center"/>
              <w:rPr>
                <w:rFonts w:ascii="宋体" w:hAnsi="宋体" w:eastAsia="宋体" w:cs="宋体"/>
                <w:color w:val="000000"/>
                <w:sz w:val="22"/>
              </w:rPr>
            </w:pPr>
          </w:p>
        </w:tc>
        <w:tc>
          <w:tcPr>
            <w:tcW w:w="94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E50861">
            <w:pPr>
              <w:jc w:val="center"/>
              <w:rPr>
                <w:rFonts w:ascii="宋体" w:hAnsi="宋体" w:eastAsia="宋体" w:cs="宋体"/>
                <w:color w:val="000000"/>
                <w:sz w:val="22"/>
              </w:rPr>
            </w:pPr>
          </w:p>
        </w:tc>
        <w:tc>
          <w:tcPr>
            <w:tcW w:w="159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60E40">
            <w:pPr>
              <w:jc w:val="center"/>
              <w:rPr>
                <w:rFonts w:ascii="宋体" w:hAnsi="宋体" w:eastAsia="宋体" w:cs="宋体"/>
                <w:color w:val="000000"/>
                <w:sz w:val="22"/>
              </w:rPr>
            </w:pPr>
          </w:p>
        </w:tc>
      </w:tr>
      <w:tr w14:paraId="080948E6">
        <w:tblPrEx>
          <w:tblCellMar>
            <w:top w:w="0" w:type="dxa"/>
            <w:left w:w="108" w:type="dxa"/>
            <w:bottom w:w="0" w:type="dxa"/>
            <w:right w:w="108" w:type="dxa"/>
          </w:tblCellMar>
        </w:tblPrEx>
        <w:trPr>
          <w:trHeight w:val="35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D7D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7A11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18B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9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82C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E861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6F5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9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B501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5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700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r>
      <w:tr w14:paraId="586864DB">
        <w:tblPrEx>
          <w:tblCellMar>
            <w:top w:w="0" w:type="dxa"/>
            <w:left w:w="108" w:type="dxa"/>
            <w:bottom w:w="0" w:type="dxa"/>
            <w:right w:w="108" w:type="dxa"/>
          </w:tblCellMar>
        </w:tblPrEx>
        <w:trPr>
          <w:trHeight w:val="35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99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A4ED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1,075.10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4826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1,075.10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1C79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03F30">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EB46D">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88AC0">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CB50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466E7A72">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C4C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E3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C0C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1B3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5CE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616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510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281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C7F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605516">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F77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C48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D86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EA7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1F6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33C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F93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AB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662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6182D0">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CA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7B9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A7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5C5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FBA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A7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03D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63C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A80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9764C9E">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5A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885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E43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C5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453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83B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12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EF0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F8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F87322">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0F5C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E4C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CB9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90B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AC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39A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570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8D6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7F7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91FE99E">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F1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F87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411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B5C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B6E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932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7D4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CDD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570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1772DAB">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B5E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0DB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68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F0E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A3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B0E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0C9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1E0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DEB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1E05EB7">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BD1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8D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410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6AC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701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650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444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65B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E1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234A0E0">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D68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43D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FA5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CE3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A11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90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3CA0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267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6D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416E37">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966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6B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607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10B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8D4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40E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BDA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60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697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CE84E03">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8B1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F13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2FC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E20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DD8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CE5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EBB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C0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938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9FC2EA">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FD7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D46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C0E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6E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A31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CA9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926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714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6F2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D24CA0">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8FD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6D6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其他党委办公厅（室）及相关机构事务支出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718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107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4C5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83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89C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81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BC9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2344574">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721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AA8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94F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457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FC1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439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DA6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422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D7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F53B239">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668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DB4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1F9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B45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AD6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C54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8C4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89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0EA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912781">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BBC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358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3A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F12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8D2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52F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5DB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8BE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E74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8A40920">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A7C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DE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645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BB16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D96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B0D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850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FC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E3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0DC60AC">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0BE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5EF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0D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21B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3EE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289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FA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562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BFB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3CB0A97">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B5B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7E5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司法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2A0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F9B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AD0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E8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E8C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23B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58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9D9578C">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77B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CB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A73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89D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7AF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E5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F17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81E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1BB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A69F4E8">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4ED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9EA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234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9CDF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C00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C1E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0E1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4CD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F315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E816DA">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CED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09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23E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68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872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EC31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3B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83B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9DA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9C370F">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852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F921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CED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929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857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7FB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D4CF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1E2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06F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9D4C6C">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86C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4D3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3E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07D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D48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24F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A60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09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07F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5B334C7">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64A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DBB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28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6D5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4B7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23A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D90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E63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27D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01A63E4">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1EDF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B37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E28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F14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800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F90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F06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BA1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F3A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EE101E">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CC4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8A5C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9D1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794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C14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C22F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BB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64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D83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1BDA94">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329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D4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08C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C022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ED7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8D7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9A0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AB3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A37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75D951D">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F24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871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46E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B3A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4AC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A35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9AD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27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CD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0F4504">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8DD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988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F4C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38E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E59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919B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2E4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90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481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C08DC1">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7A2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3B9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72E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F92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9EB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D5F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1F7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2F9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EAE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CD10C41">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10A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4D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小型水库移民扶助基金安排的支出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80C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D29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DEB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7A3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F11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833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267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2678739">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0D25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3F1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DFD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B7B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04C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8A4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C5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E13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AF3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9D89FF">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2A2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806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C8C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5C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830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A4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5AB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99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61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B047C09">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883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C2E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9AE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75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098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9DC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297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C26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85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DF8C4A3">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E01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350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AE1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F2B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F7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6F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041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15D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D9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6D58BF5">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F47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342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0F4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8FC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D3E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E21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BA6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CC4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C2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D4DAB0">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E5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8E4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EDB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ACF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FE5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B7F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A85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5AB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34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EDBFE7C">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D8D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D13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B59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98C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CEC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D1C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57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E26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A63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C614DF6">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5BE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796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CF9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7A0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54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34C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236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378C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451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A918ECE">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C61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D68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71E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428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926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A0D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CE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F67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7D5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534687">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442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93F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CB79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ED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A43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073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FD4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264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D55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190589">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AE6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132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CC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25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5F2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B7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AFE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4A3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BFA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ACF6324">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AE3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420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D2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A0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CC5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E69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0E1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86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32F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0E31CE0">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4CB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869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7DE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637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D87B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2D5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E26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11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F578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CAA44A3">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F6E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001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13C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89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38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4C8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FAF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34A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93B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1F4AB7D">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B00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238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CB4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DCA3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FD9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E82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00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7B4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E57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DD3722">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7DE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5C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8AE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BFA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D08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1B9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0C9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692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E4C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A67A3D">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D99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57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32B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DD9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81B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A39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C94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6D3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551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536C33">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202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14C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F34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53D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F34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0FE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9A0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8F3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0AC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605F06A">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933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621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2AD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560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BE7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21C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08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B0F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71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231A61C">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33E1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B2A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265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21D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031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E9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9C1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236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895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ED0A3B0">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92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89A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64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855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7B9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33F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82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CEA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295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1A51901">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DF4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70FC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6C1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446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698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7FF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BF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A8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B0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88DBBAD">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8B56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D1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巩固脱贫攻坚成果衔接乡村振兴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478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574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D9A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145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77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9D1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637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D93E11">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B0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C53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C685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1C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9D1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062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BC5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8FB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E56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39A1A97">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3BC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F8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701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67C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51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991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766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CA4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CE0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AAD3334">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AFF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3A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其他巩固脱贫攻坚成果衔接乡村振兴支出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604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E6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FAEC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DAD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55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40B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54A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462F7B">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E0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9E1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7D3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165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969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B33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498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A69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A34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DB61E6C">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39957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495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87C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D46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92C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1E6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BF8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46A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51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57833D8">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BA9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C36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CB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806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02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B00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295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02C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B50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B12B1D4">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E5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0B4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4D8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C19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C9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E56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A0E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8FA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DE3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CBCAEF">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6CA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2A5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ED7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8A7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9F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2F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AF4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5FB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CD3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5CB9F57">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F9A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1F6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00B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D1B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7F1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049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45A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F40F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560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18357C">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F39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453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A03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020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C2A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9C6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3CC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41D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854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C219A03">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F35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9C5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83E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22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4EF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DE7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CA9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B01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ABB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3D15988">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D7D53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B8B7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BAA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320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A97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9FC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95B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B9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87F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98F525">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E96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B7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545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BF1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8A7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6FA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1BB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37C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8E6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6C3015">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B8B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3F7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5E5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D53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1218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6A7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0281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2CD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1A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8F23ADE">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3892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591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2B1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1EF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8AF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8C7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570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05A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643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3BD75DC">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CE8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4FD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910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326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450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FE5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FD9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313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2CC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9623DC">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4C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D4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8A2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003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710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E1EB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539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9D0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C5E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F445A91">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495A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881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7C4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735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8CE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6B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E21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A1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DD1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17151E6">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76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653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14D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B75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CB9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51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61A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6FD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61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F083D8">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1D8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499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1B6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DC3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580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C1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0F2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09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305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4F01FD">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DCD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923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60D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04C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D00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0A7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DAE3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E0C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24B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B237B8">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017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D9A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34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FF7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301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0B7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1F2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9E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77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3749039">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A6D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C91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0D0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5F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4FE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0F9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518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A24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FA5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C4B18E">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23C9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A23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9830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C27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89B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0A9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3F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ED0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4AD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A7DFD63">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B01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509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CAB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8C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C17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26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9CC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5B0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47B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CF5793E">
        <w:tblPrEx>
          <w:tblCellMar>
            <w:top w:w="0" w:type="dxa"/>
            <w:left w:w="108" w:type="dxa"/>
            <w:bottom w:w="0" w:type="dxa"/>
            <w:right w:w="108" w:type="dxa"/>
          </w:tblCellMar>
        </w:tblPrEx>
        <w:trPr>
          <w:trHeight w:val="35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F3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EC5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3C3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BD4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5EE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F3B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59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9A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602E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1E2B3BD">
        <w:tblPrEx>
          <w:tblCellMar>
            <w:top w:w="0" w:type="dxa"/>
            <w:left w:w="108" w:type="dxa"/>
            <w:bottom w:w="0" w:type="dxa"/>
            <w:right w:w="108" w:type="dxa"/>
          </w:tblCellMar>
        </w:tblPrEx>
        <w:trPr>
          <w:trHeight w:val="350" w:hRule="atLeast"/>
        </w:trPr>
        <w:tc>
          <w:tcPr>
            <w:tcW w:w="0" w:type="auto"/>
            <w:gridSpan w:val="11"/>
            <w:tcBorders>
              <w:top w:val="nil"/>
              <w:left w:val="nil"/>
              <w:bottom w:val="nil"/>
              <w:right w:val="nil"/>
            </w:tcBorders>
            <w:shd w:val="clear" w:color="auto" w:fill="auto"/>
            <w:noWrap/>
            <w:vAlign w:val="center"/>
          </w:tcPr>
          <w:p w14:paraId="17C169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注：本表反映部门本年度取得的各项收入情况。</w:t>
            </w:r>
          </w:p>
        </w:tc>
      </w:tr>
    </w:tbl>
    <w:p w14:paraId="630951E3">
      <w:pPr>
        <w:widowControl/>
        <w:jc w:val="center"/>
        <w:rPr>
          <w:rFonts w:ascii="Times New Roman" w:hAnsi="Times New Roman" w:eastAsia="方正小标宋_GBK" w:cs="Times New Roman"/>
          <w:color w:val="000000"/>
          <w:kern w:val="0"/>
          <w:sz w:val="36"/>
          <w:szCs w:val="36"/>
        </w:rPr>
      </w:pPr>
    </w:p>
    <w:p w14:paraId="31A80375">
      <w:pPr>
        <w:widowControl/>
        <w:jc w:val="center"/>
        <w:rPr>
          <w:rFonts w:ascii="Times New Roman" w:hAnsi="Times New Roman" w:eastAsia="方正小标宋_GBK" w:cs="Times New Roman"/>
          <w:color w:val="000000"/>
          <w:kern w:val="0"/>
          <w:sz w:val="36"/>
          <w:szCs w:val="36"/>
        </w:rPr>
      </w:pPr>
    </w:p>
    <w:p w14:paraId="05584AAF">
      <w:pPr>
        <w:widowControl/>
        <w:jc w:val="center"/>
        <w:rPr>
          <w:rFonts w:ascii="Times New Roman" w:hAnsi="Times New Roman" w:eastAsia="方正小标宋_GBK" w:cs="Times New Roman"/>
          <w:color w:val="000000"/>
          <w:kern w:val="0"/>
          <w:sz w:val="36"/>
          <w:szCs w:val="36"/>
        </w:rPr>
      </w:pPr>
    </w:p>
    <w:p w14:paraId="3617DA5B">
      <w:pPr>
        <w:widowControl/>
        <w:jc w:val="center"/>
        <w:rPr>
          <w:rFonts w:ascii="Times New Roman" w:hAnsi="Times New Roman" w:eastAsia="方正小标宋_GBK" w:cs="Times New Roman"/>
          <w:color w:val="000000"/>
          <w:kern w:val="0"/>
          <w:sz w:val="36"/>
          <w:szCs w:val="36"/>
        </w:rPr>
      </w:pPr>
    </w:p>
    <w:p w14:paraId="10A19226">
      <w:pPr>
        <w:widowControl/>
        <w:jc w:val="center"/>
        <w:rPr>
          <w:rFonts w:ascii="Times New Roman" w:hAnsi="Times New Roman" w:eastAsia="方正小标宋_GBK" w:cs="Times New Roman"/>
          <w:color w:val="000000"/>
          <w:kern w:val="0"/>
          <w:sz w:val="36"/>
          <w:szCs w:val="36"/>
        </w:rPr>
      </w:pPr>
    </w:p>
    <w:p w14:paraId="70F73F50">
      <w:pPr>
        <w:widowControl/>
        <w:jc w:val="center"/>
        <w:rPr>
          <w:rFonts w:ascii="Times New Roman" w:hAnsi="Times New Roman" w:eastAsia="方正小标宋_GBK" w:cs="Times New Roman"/>
          <w:color w:val="000000"/>
          <w:kern w:val="0"/>
          <w:sz w:val="36"/>
          <w:szCs w:val="36"/>
        </w:rPr>
      </w:pPr>
    </w:p>
    <w:p w14:paraId="731B38D1">
      <w:pPr>
        <w:widowControl/>
        <w:jc w:val="center"/>
        <w:rPr>
          <w:rFonts w:ascii="Times New Roman" w:hAnsi="Times New Roman" w:eastAsia="方正小标宋_GBK" w:cs="Times New Roman"/>
          <w:color w:val="000000"/>
          <w:kern w:val="0"/>
          <w:sz w:val="36"/>
          <w:szCs w:val="36"/>
        </w:rPr>
      </w:pPr>
    </w:p>
    <w:tbl>
      <w:tblPr>
        <w:tblStyle w:val="8"/>
        <w:tblW w:w="15720" w:type="dxa"/>
        <w:tblInd w:w="93" w:type="dxa"/>
        <w:tblLayout w:type="autofit"/>
        <w:tblCellMar>
          <w:top w:w="0" w:type="dxa"/>
          <w:left w:w="108" w:type="dxa"/>
          <w:bottom w:w="0" w:type="dxa"/>
          <w:right w:w="108" w:type="dxa"/>
        </w:tblCellMar>
      </w:tblPr>
      <w:tblGrid>
        <w:gridCol w:w="3016"/>
        <w:gridCol w:w="222"/>
        <w:gridCol w:w="222"/>
        <w:gridCol w:w="4836"/>
        <w:gridCol w:w="1486"/>
        <w:gridCol w:w="1198"/>
        <w:gridCol w:w="1163"/>
        <w:gridCol w:w="899"/>
        <w:gridCol w:w="878"/>
        <w:gridCol w:w="1800"/>
      </w:tblGrid>
      <w:tr w14:paraId="7C0EF5A0">
        <w:tblPrEx>
          <w:tblCellMar>
            <w:top w:w="0" w:type="dxa"/>
            <w:left w:w="108" w:type="dxa"/>
            <w:bottom w:w="0" w:type="dxa"/>
            <w:right w:w="108" w:type="dxa"/>
          </w:tblCellMar>
        </w:tblPrEx>
        <w:trPr>
          <w:trHeight w:val="390" w:hRule="atLeast"/>
        </w:trPr>
        <w:tc>
          <w:tcPr>
            <w:tcW w:w="15720" w:type="dxa"/>
            <w:gridSpan w:val="10"/>
            <w:tcBorders>
              <w:top w:val="nil"/>
              <w:left w:val="nil"/>
              <w:bottom w:val="nil"/>
              <w:right w:val="nil"/>
            </w:tcBorders>
            <w:shd w:val="clear" w:color="auto" w:fill="auto"/>
            <w:noWrap/>
            <w:vAlign w:val="center"/>
          </w:tcPr>
          <w:p w14:paraId="0D405F24">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支出决算表</w:t>
            </w:r>
          </w:p>
        </w:tc>
      </w:tr>
      <w:tr w14:paraId="746C553B">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61E15C0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3C7B47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B51FCB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3527E0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373CA2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1AB37F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757D806">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20F29E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1F2C82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1C819498">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公开03表</w:t>
            </w:r>
          </w:p>
        </w:tc>
      </w:tr>
      <w:tr w14:paraId="631BC78D">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1A2CB546">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部门：溆浦县淘金坪乡人民政府</w:t>
            </w:r>
          </w:p>
        </w:tc>
        <w:tc>
          <w:tcPr>
            <w:tcW w:w="0" w:type="auto"/>
            <w:tcBorders>
              <w:top w:val="nil"/>
              <w:left w:val="nil"/>
              <w:bottom w:val="nil"/>
              <w:right w:val="nil"/>
            </w:tcBorders>
            <w:shd w:val="clear" w:color="auto" w:fill="auto"/>
            <w:noWrap/>
            <w:vAlign w:val="center"/>
          </w:tcPr>
          <w:p w14:paraId="2DDBA52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8CFD63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A96AE1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058ABA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31931F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0F11CE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DD36D5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B50F70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0161356D">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3F77A8BE">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9B7F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48BB1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本年支出合计</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472AC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0F0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DB827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上缴上级支出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0C1D9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经营支出</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392E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对附属单位补助支出</w:t>
            </w:r>
          </w:p>
        </w:tc>
      </w:tr>
      <w:tr w14:paraId="057B7A46">
        <w:tblPrEx>
          <w:tblCellMar>
            <w:top w:w="0" w:type="dxa"/>
            <w:left w:w="108" w:type="dxa"/>
            <w:bottom w:w="0" w:type="dxa"/>
            <w:right w:w="108" w:type="dxa"/>
          </w:tblCellMar>
        </w:tblPrEx>
        <w:trPr>
          <w:trHeight w:val="312"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FA8E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DF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19BC32">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745CF">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0F27F">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AA252B">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A3330">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64A963">
            <w:pPr>
              <w:jc w:val="center"/>
              <w:rPr>
                <w:rFonts w:ascii="宋体" w:hAnsi="宋体" w:eastAsia="宋体" w:cs="宋体"/>
                <w:color w:val="000000"/>
                <w:sz w:val="22"/>
              </w:rPr>
            </w:pPr>
          </w:p>
        </w:tc>
      </w:tr>
      <w:tr w14:paraId="1DB27D67">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72D23A">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B26DD">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D4BF9D">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D803B">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85C510">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E1C02">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5708B">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53E07">
            <w:pPr>
              <w:jc w:val="center"/>
              <w:rPr>
                <w:rFonts w:ascii="宋体" w:hAnsi="宋体" w:eastAsia="宋体" w:cs="宋体"/>
                <w:color w:val="000000"/>
                <w:sz w:val="22"/>
              </w:rPr>
            </w:pPr>
          </w:p>
        </w:tc>
      </w:tr>
      <w:tr w14:paraId="613A1D2F">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0EF804">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EFD57">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55AB05">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F62A3">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AB273">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B1B47F">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FAB02C">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E12A3">
            <w:pPr>
              <w:jc w:val="center"/>
              <w:rPr>
                <w:rFonts w:ascii="宋体" w:hAnsi="宋体" w:eastAsia="宋体" w:cs="宋体"/>
                <w:color w:val="000000"/>
                <w:sz w:val="22"/>
              </w:rPr>
            </w:pPr>
          </w:p>
        </w:tc>
      </w:tr>
      <w:tr w14:paraId="3CB96996">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B68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9D3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CD9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310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A34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799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8A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622989A0">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AFB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F9C1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1,075.10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133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822.69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53CA">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252.40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36912">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A9FC">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21070">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2BE03F9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A61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C1D9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7B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D82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519.62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FAF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C37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BF2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08E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782078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A14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E65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2BA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51B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117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1D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C7E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847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815373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5C4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716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76E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A70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D30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400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205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CD26B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C96016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7FC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79B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D84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EE0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EE3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A65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18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3A5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C087F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446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863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4E8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C69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74A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03C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86F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F1F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806696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E7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48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FD8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64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0B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F4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BDA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14C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423CEB">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99AA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4F5C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3670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7E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86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D4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51A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072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F57897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5F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652F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66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A94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5C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C41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9C1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072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E47E2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350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423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8D5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EE4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21C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ABA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131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667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D34693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466A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CE64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CA5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905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C83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22A6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0FE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63F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939E07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A6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D639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96C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8B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4950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F05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D26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238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3803C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A5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5FC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382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D92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5B1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C6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64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5C9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EE7582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D6F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F5A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其他党委办公厅（室）及相关机构事务支出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94B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B1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61D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6D1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C5C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EF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FFE0CA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BA6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7D2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997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50C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24A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67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68A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EB60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D7B68C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80F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824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29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4E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F36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F35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F0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E4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830E0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E6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10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69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66F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5B9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E8B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3073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4AF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41D954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8E9C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96A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38F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716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CDD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C85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59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5CA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38C924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158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480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B12E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27B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34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099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49A2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9D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BBB00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B88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ED4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司法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8E6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EE5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A5F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2C5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FF1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15D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556E0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3EE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715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A7A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217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F43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402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33E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1B4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769286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4A4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28C9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B7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3F7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A1B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14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82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491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67081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617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21C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BB3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116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FE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D3C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5E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5F7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9A9B02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98E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64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474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D9E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875F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C360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087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FA8B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119609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AF1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3355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7AD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F43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F3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425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C81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3DB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CEEC7F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C61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BA1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899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0EF2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8ECD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142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ED21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298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ED60D0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1C4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DD1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AE1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351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74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2C2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457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E4D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8FA803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3A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A58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A9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E16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8F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C9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73F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E50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DF9AF1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F21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F55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EF7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51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BDC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8A7F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C32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7FE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1002AA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FA5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7F6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8B4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57F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4C30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861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EC2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EC8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96100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B72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5E5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688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CF4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C38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C2D1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2B7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FE6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EF7462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111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E87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DFB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2D6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6FA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6A68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28B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D42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0527F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35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660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小型水库移民扶助基金安排的支出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0ED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8F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276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832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1FB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D4D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B4E03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51A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1A0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CE0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722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144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163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DC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378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EC24D9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D10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033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D21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FE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09FD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F8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8A0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BC49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6813E4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203D1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C02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7DC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3BB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2EE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3A8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F1B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50F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6733B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FAC5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FF6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2478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0C1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BF5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1B0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1181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580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70AFD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8D5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3B2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DC2F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979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817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581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B1F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91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DBE9B5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EC3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B49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334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5DD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39E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C00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BCA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02B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A64F2F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D378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61E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DB54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843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043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3F8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0C0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57ED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D1658C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E18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68E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84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A12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998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35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1A0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E2B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D0BBDB">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7C98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32C8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E83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E3F7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66E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AF9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1A2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E91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04DD7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74E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ACF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145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4DF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B2C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51B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06F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2B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3037A4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C35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9DB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356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FE9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BCB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4BE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EBB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2BD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6E2EBB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9FA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97BA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0E2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871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BA7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94C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88D0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CD0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DFBD0E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5FC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FA1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4A3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D57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995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E56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271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5B3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23B7CB">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ED1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33D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CD5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EE1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BC68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57B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635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FA9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43F9DE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72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18F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2ED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D72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45F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F99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01C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05C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3B0972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A9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E738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AC7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A8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761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171.39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A7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ABD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EF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04129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0AC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D0D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5B6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59A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58B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EFF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691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0D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D090B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897E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63F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F8C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22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A44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0C8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E85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9A1B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C5992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AF3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72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B64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61F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CF2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C0D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E7A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26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58B063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CC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0F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122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369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A02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4F1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38A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C8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6B652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E7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5BC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2B8A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B19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1ED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E07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747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723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38B52B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B7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1A9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5D8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5BD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F70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DF5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F0A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049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108DB3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A5A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A20F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巩固脱贫攻坚成果衔接乡村振兴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AEE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9EB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28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135.11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7E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D5C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6BA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AFAF69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765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588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90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ABE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B50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864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8F3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44E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71DACB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F44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BA2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07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3D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F11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51D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8A3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384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25A8BC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540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D68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其他巩固脱贫攻坚成果衔接乡村振兴支出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688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41D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C99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91F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615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F260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C3BECD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C28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054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D35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83B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BD3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2C5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C38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BFE2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4F070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E83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812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3E7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E81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9E6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3F5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408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4A8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1D5532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839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96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D83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F0B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512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7C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BB2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458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5DAA0C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40C1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1E5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72B9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6AB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9AA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D23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19D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83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12040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58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717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8E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4B2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8D4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881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9E8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3B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2CD29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BDC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18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A7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EA7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87E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A05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4AD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C7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98C0F3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0C0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C78C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E04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E17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E7C5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63E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65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E6D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2671A7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C72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AA1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892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4C3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A4FC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274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FCB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BBA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6D5843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A4E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1EF5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009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411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9C9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0D8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474C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B514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132304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808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3C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CAF5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6B8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AA7B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AD4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D78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C26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B7195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D73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9C7B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9EF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D8F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C5B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8FA2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C97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2610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5BFCA3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22EE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C4E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C4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D386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ED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C629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B4E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C1D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05E9B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FE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6B8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9FA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F4B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FB75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FD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21E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1E3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172B08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95D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212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E9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C37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744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356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22D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EC2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CA90DE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449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58A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3A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420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266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13AF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04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990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1700E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21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F00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85F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FFB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7C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127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908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EA0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DE55D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AC4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49E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000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86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D347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C379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75394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CD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C53528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32D7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2CF2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97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5D9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361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B6CB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9354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335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A84AF2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444A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BD1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7D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DE9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192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34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3BA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54D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972B07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B94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BB0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A3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3F3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42E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09F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2FD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EE0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4CE4E1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5B1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238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28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99C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6067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BD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430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B3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1C0630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A5C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7C7F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099CC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7E6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CE4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5A5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3B4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574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D32C9D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7DC5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E85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193A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4E4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DE5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B8F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668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361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6CD3096">
        <w:tblPrEx>
          <w:tblCellMar>
            <w:top w:w="0" w:type="dxa"/>
            <w:left w:w="108" w:type="dxa"/>
            <w:bottom w:w="0" w:type="dxa"/>
            <w:right w:w="108" w:type="dxa"/>
          </w:tblCellMar>
        </w:tblPrEx>
        <w:trPr>
          <w:trHeight w:val="300" w:hRule="atLeast"/>
        </w:trPr>
        <w:tc>
          <w:tcPr>
            <w:tcW w:w="0" w:type="auto"/>
            <w:gridSpan w:val="10"/>
            <w:tcBorders>
              <w:top w:val="nil"/>
              <w:left w:val="nil"/>
              <w:bottom w:val="nil"/>
              <w:right w:val="nil"/>
            </w:tcBorders>
            <w:shd w:val="clear" w:color="auto" w:fill="auto"/>
            <w:noWrap/>
            <w:vAlign w:val="center"/>
          </w:tcPr>
          <w:p w14:paraId="446F90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注：本表反映部门本年度各项支出情况。</w:t>
            </w:r>
          </w:p>
        </w:tc>
      </w:tr>
    </w:tbl>
    <w:p w14:paraId="3EE38B48">
      <w:pPr>
        <w:widowControl/>
        <w:jc w:val="center"/>
        <w:rPr>
          <w:rFonts w:ascii="Times New Roman" w:hAnsi="Times New Roman" w:eastAsia="方正小标宋_GBK" w:cs="Times New Roman"/>
          <w:color w:val="000000"/>
          <w:kern w:val="0"/>
          <w:sz w:val="36"/>
          <w:szCs w:val="36"/>
        </w:rPr>
      </w:pPr>
    </w:p>
    <w:p w14:paraId="0F6B8406">
      <w:pPr>
        <w:widowControl/>
        <w:jc w:val="center"/>
        <w:rPr>
          <w:rFonts w:ascii="Times New Roman" w:hAnsi="Times New Roman" w:eastAsia="方正小标宋_GBK" w:cs="Times New Roman"/>
          <w:color w:val="000000"/>
          <w:kern w:val="0"/>
          <w:sz w:val="36"/>
          <w:szCs w:val="36"/>
        </w:rPr>
      </w:pPr>
    </w:p>
    <w:tbl>
      <w:tblPr>
        <w:tblStyle w:val="8"/>
        <w:tblW w:w="15600" w:type="dxa"/>
        <w:tblInd w:w="93" w:type="dxa"/>
        <w:tblLayout w:type="autofit"/>
        <w:tblCellMar>
          <w:top w:w="0" w:type="dxa"/>
          <w:left w:w="108" w:type="dxa"/>
          <w:bottom w:w="0" w:type="dxa"/>
          <w:right w:w="108" w:type="dxa"/>
        </w:tblCellMar>
      </w:tblPr>
      <w:tblGrid>
        <w:gridCol w:w="3693"/>
        <w:gridCol w:w="526"/>
        <w:gridCol w:w="1396"/>
        <w:gridCol w:w="3979"/>
        <w:gridCol w:w="526"/>
        <w:gridCol w:w="1188"/>
        <w:gridCol w:w="1396"/>
        <w:gridCol w:w="1030"/>
        <w:gridCol w:w="1866"/>
      </w:tblGrid>
      <w:tr w14:paraId="1895C2BE">
        <w:tblPrEx>
          <w:tblCellMar>
            <w:top w:w="0" w:type="dxa"/>
            <w:left w:w="108" w:type="dxa"/>
            <w:bottom w:w="0" w:type="dxa"/>
            <w:right w:w="108" w:type="dxa"/>
          </w:tblCellMar>
        </w:tblPrEx>
        <w:trPr>
          <w:trHeight w:val="640" w:hRule="atLeast"/>
        </w:trPr>
        <w:tc>
          <w:tcPr>
            <w:tcW w:w="15600" w:type="dxa"/>
            <w:gridSpan w:val="9"/>
            <w:tcBorders>
              <w:top w:val="nil"/>
              <w:left w:val="nil"/>
              <w:bottom w:val="nil"/>
              <w:right w:val="nil"/>
            </w:tcBorders>
            <w:shd w:val="clear" w:color="auto" w:fill="auto"/>
            <w:noWrap/>
            <w:vAlign w:val="center"/>
          </w:tcPr>
          <w:p w14:paraId="63EFAB0C">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财政拨款收入支出决算总表</w:t>
            </w:r>
          </w:p>
        </w:tc>
      </w:tr>
      <w:tr w14:paraId="0A37E160">
        <w:tblPrEx>
          <w:tblCellMar>
            <w:top w:w="0" w:type="dxa"/>
            <w:left w:w="108" w:type="dxa"/>
            <w:bottom w:w="0" w:type="dxa"/>
            <w:right w:w="108" w:type="dxa"/>
          </w:tblCellMar>
        </w:tblPrEx>
        <w:trPr>
          <w:trHeight w:val="320" w:hRule="atLeast"/>
        </w:trPr>
        <w:tc>
          <w:tcPr>
            <w:tcW w:w="0" w:type="auto"/>
            <w:tcBorders>
              <w:top w:val="nil"/>
              <w:left w:val="nil"/>
              <w:bottom w:val="nil"/>
              <w:right w:val="nil"/>
            </w:tcBorders>
            <w:shd w:val="clear" w:color="auto" w:fill="auto"/>
            <w:noWrap/>
            <w:vAlign w:val="center"/>
          </w:tcPr>
          <w:p w14:paraId="7A57DBE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77DE7D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43802C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776D00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241093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77B76B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D2E4A5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F09CA8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7AEB85D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公开04表</w:t>
            </w:r>
          </w:p>
        </w:tc>
      </w:tr>
      <w:tr w14:paraId="2CA57E8B">
        <w:tblPrEx>
          <w:tblCellMar>
            <w:top w:w="0" w:type="dxa"/>
            <w:left w:w="108" w:type="dxa"/>
            <w:bottom w:w="0" w:type="dxa"/>
            <w:right w:w="108" w:type="dxa"/>
          </w:tblCellMar>
        </w:tblPrEx>
        <w:trPr>
          <w:trHeight w:val="320" w:hRule="atLeast"/>
        </w:trPr>
        <w:tc>
          <w:tcPr>
            <w:tcW w:w="0" w:type="auto"/>
            <w:tcBorders>
              <w:top w:val="nil"/>
              <w:left w:val="nil"/>
              <w:bottom w:val="nil"/>
              <w:right w:val="nil"/>
            </w:tcBorders>
            <w:shd w:val="clear" w:color="auto" w:fill="auto"/>
            <w:noWrap/>
            <w:vAlign w:val="bottom"/>
          </w:tcPr>
          <w:p w14:paraId="09CE40D9">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部门：溆浦县淘金坪乡人民政府</w:t>
            </w:r>
          </w:p>
        </w:tc>
        <w:tc>
          <w:tcPr>
            <w:tcW w:w="0" w:type="auto"/>
            <w:tcBorders>
              <w:top w:val="nil"/>
              <w:left w:val="nil"/>
              <w:bottom w:val="nil"/>
              <w:right w:val="nil"/>
            </w:tcBorders>
            <w:shd w:val="clear" w:color="auto" w:fill="auto"/>
            <w:noWrap/>
            <w:vAlign w:val="center"/>
          </w:tcPr>
          <w:p w14:paraId="36E96D3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682EF7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0909E1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001A16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84B616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7DD838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5B86AE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78832915">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4F94DD41">
        <w:tblPrEx>
          <w:tblCellMar>
            <w:top w:w="0" w:type="dxa"/>
            <w:left w:w="108" w:type="dxa"/>
            <w:bottom w:w="0" w:type="dxa"/>
            <w:right w:w="108" w:type="dxa"/>
          </w:tblCellMar>
        </w:tblPrEx>
        <w:trPr>
          <w:trHeight w:val="33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C26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收     入</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198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支     出</w:t>
            </w:r>
          </w:p>
        </w:tc>
      </w:tr>
      <w:tr w14:paraId="38E1A142">
        <w:tblPrEx>
          <w:tblCellMar>
            <w:top w:w="0" w:type="dxa"/>
            <w:left w:w="108" w:type="dxa"/>
            <w:bottom w:w="0" w:type="dxa"/>
            <w:right w:w="108" w:type="dxa"/>
          </w:tblCellMar>
        </w:tblPrEx>
        <w:trPr>
          <w:trHeight w:val="312" w:hRule="atLeast"/>
        </w:trPr>
        <w:tc>
          <w:tcPr>
            <w:tcW w:w="35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CF54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CBB1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4B54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w:t>
            </w:r>
          </w:p>
        </w:tc>
        <w:tc>
          <w:tcPr>
            <w:tcW w:w="382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733C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5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0ADA1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行次</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98A4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47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F545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一般公共预算财政拨款</w:t>
            </w:r>
          </w:p>
        </w:tc>
        <w:tc>
          <w:tcPr>
            <w:tcW w:w="124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6651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政府性基金预算财政拨款</w:t>
            </w:r>
          </w:p>
        </w:tc>
        <w:tc>
          <w:tcPr>
            <w:tcW w:w="1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753F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国有资本经营预算财政拨款</w:t>
            </w:r>
          </w:p>
        </w:tc>
      </w:tr>
      <w:tr w14:paraId="5BB086EC">
        <w:tblPrEx>
          <w:tblCellMar>
            <w:top w:w="0" w:type="dxa"/>
            <w:left w:w="108" w:type="dxa"/>
            <w:bottom w:w="0" w:type="dxa"/>
            <w:right w:w="108" w:type="dxa"/>
          </w:tblCellMar>
        </w:tblPrEx>
        <w:trPr>
          <w:trHeight w:val="667" w:hRule="atLeast"/>
        </w:trPr>
        <w:tc>
          <w:tcPr>
            <w:tcW w:w="35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B6D07">
            <w:pPr>
              <w:jc w:val="center"/>
              <w:rPr>
                <w:rFonts w:ascii="宋体" w:hAnsi="宋体" w:eastAsia="宋体" w:cs="宋体"/>
                <w:color w:val="000000"/>
                <w:sz w:val="22"/>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C7E6A">
            <w:pPr>
              <w:jc w:val="center"/>
              <w:rPr>
                <w:rFonts w:ascii="宋体" w:hAnsi="宋体" w:eastAsia="宋体" w:cs="宋体"/>
                <w:color w:val="000000"/>
                <w:sz w:val="22"/>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9DE4D">
            <w:pPr>
              <w:jc w:val="center"/>
              <w:rPr>
                <w:rFonts w:ascii="宋体" w:hAnsi="宋体" w:eastAsia="宋体" w:cs="宋体"/>
                <w:color w:val="000000"/>
                <w:sz w:val="22"/>
              </w:rPr>
            </w:pPr>
          </w:p>
        </w:tc>
        <w:tc>
          <w:tcPr>
            <w:tcW w:w="382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43F09">
            <w:pPr>
              <w:jc w:val="center"/>
              <w:rPr>
                <w:rFonts w:ascii="宋体" w:hAnsi="宋体" w:eastAsia="宋体" w:cs="宋体"/>
                <w:color w:val="000000"/>
                <w:sz w:val="22"/>
              </w:rPr>
            </w:pPr>
          </w:p>
        </w:tc>
        <w:tc>
          <w:tcPr>
            <w:tcW w:w="5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8723F">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0CE5B">
            <w:pPr>
              <w:jc w:val="center"/>
              <w:rPr>
                <w:rFonts w:ascii="宋体" w:hAnsi="宋体" w:eastAsia="宋体" w:cs="宋体"/>
                <w:color w:val="000000"/>
                <w:sz w:val="22"/>
              </w:rPr>
            </w:pPr>
          </w:p>
        </w:tc>
        <w:tc>
          <w:tcPr>
            <w:tcW w:w="147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020253">
            <w:pPr>
              <w:jc w:val="center"/>
              <w:rPr>
                <w:rFonts w:ascii="宋体" w:hAnsi="宋体" w:eastAsia="宋体" w:cs="宋体"/>
                <w:color w:val="000000"/>
                <w:sz w:val="22"/>
              </w:rPr>
            </w:pPr>
          </w:p>
        </w:tc>
        <w:tc>
          <w:tcPr>
            <w:tcW w:w="124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C4557">
            <w:pPr>
              <w:jc w:val="center"/>
              <w:rPr>
                <w:rFonts w:ascii="宋体" w:hAnsi="宋体" w:eastAsia="宋体" w:cs="宋体"/>
                <w:color w:val="000000"/>
                <w:sz w:val="22"/>
              </w:rPr>
            </w:pPr>
          </w:p>
        </w:tc>
        <w:tc>
          <w:tcPr>
            <w:tcW w:w="1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148C9">
            <w:pPr>
              <w:jc w:val="center"/>
              <w:rPr>
                <w:rFonts w:ascii="宋体" w:hAnsi="宋体" w:eastAsia="宋体" w:cs="宋体"/>
                <w:color w:val="000000"/>
                <w:sz w:val="22"/>
              </w:rPr>
            </w:pPr>
          </w:p>
        </w:tc>
      </w:tr>
      <w:tr w14:paraId="0A5149C9">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A31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1EACC">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3D03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375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C6790">
            <w:pPr>
              <w:jc w:val="center"/>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1F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F083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CE32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C2F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r>
      <w:tr w14:paraId="4FD9358C">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D4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5914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C7B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77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341E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C93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ADC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90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09F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99596DA">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842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716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231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EAD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76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92C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6065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A7E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EB9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2811E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4632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F2A7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A40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CB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DED9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D9B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574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CEF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83F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897CB8F">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DFFB">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268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66202">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6BD3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0874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2C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E44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E8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753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E47E602">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0DAB6B">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8E2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51CD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D95B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07E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D413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5512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CA00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9C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BAF7962">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1205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AF4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451E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160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0A5B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05D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CB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068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B74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C5B1F2A">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07024">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DAFF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360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22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5D2C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FC7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594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B0F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0C7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F194F0B">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EBA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726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5AF6E">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0CF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59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4D2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0C0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54EB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68D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1ECB14E">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727D6">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4C91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4272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745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052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0EF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AA4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D915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E8E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36477DE">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7811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7C08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7706C7">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AB377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E76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198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0E4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882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069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46145E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C76B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432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22C4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A428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0F46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FE0E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C2C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5772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FDD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D1F129">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54F6E">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41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3C18">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1E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622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FBA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4ECD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D812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5A0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79C0FBB">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765C">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D79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8ECC">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205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16E8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A20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14DA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7CF3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CD93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A8D1244">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B90FE">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EAA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51E5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AC6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EA9F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70E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C1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EF2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8E4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39BFE2A">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E9EFB">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525E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7AFBA">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608B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E18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251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3847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0C8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1D2D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6AE5682">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73880">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61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30A0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D8B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A821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D8A6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0994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603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01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CA2A125">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E9778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3508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DAD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49C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0906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E165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339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866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4CF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0613FE0">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04C63">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BD42E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D3BE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C8C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6C8F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68F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8A9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15EE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61D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DCB67D">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8C5D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5038E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73B72">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802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7D6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3D2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FA7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50E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7A1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FF7D85">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0FFE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A5A9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7B86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AF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DF17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1C1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A663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8B4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4EB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3D4F42D">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4310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879B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B8AA5">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96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732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BDC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7EF1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309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C6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78A26A9">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999D8">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A3F2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117F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70A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119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7590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3B4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87A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E96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18C50CA">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F24CF">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02B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6B16C">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543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00AE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B2F9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EED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B80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9FF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A79329">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8DE22">
            <w:pPr>
              <w:jc w:val="center"/>
              <w:rPr>
                <w:rFonts w:ascii="宋体" w:hAnsi="宋体" w:eastAsia="宋体" w:cs="宋体"/>
                <w:b/>
                <w:bCs/>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1AD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6B96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202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4247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100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90C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B21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5035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80360A5">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A8EFE">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4DD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2064">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B2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00C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9F1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78C4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4E8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74B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D0E30D1">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92613">
            <w:pPr>
              <w:jc w:val="left"/>
              <w:rPr>
                <w:rFonts w:ascii="宋体" w:hAnsi="宋体" w:eastAsia="宋体" w:cs="宋体"/>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275A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A4B8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CB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1DF2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FD6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0661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1DA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CC6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D8243B9">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4175C">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5348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E3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6FA6B">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1A4C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A37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69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B75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EA93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4F81A2">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CBA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年初财政拨款结转和结余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9955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FB9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3C6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年末财政拨款结转和结余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E2A4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8B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A1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994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FB8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A6BD00">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16C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一般公共预算财政拨款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D716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A80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8001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13B7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7D4D">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6A92">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B964B">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57A8D">
            <w:pPr>
              <w:jc w:val="right"/>
              <w:rPr>
                <w:rFonts w:ascii="宋体" w:hAnsi="宋体" w:eastAsia="宋体" w:cs="宋体"/>
                <w:color w:val="000000"/>
                <w:sz w:val="22"/>
              </w:rPr>
            </w:pPr>
          </w:p>
        </w:tc>
      </w:tr>
      <w:tr w14:paraId="6751ABB3">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B9D8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政府性基金预算财政拨款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B55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84D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57A65">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2C94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2E1E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794A9F">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BC9B7">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81ECB">
            <w:pPr>
              <w:jc w:val="right"/>
              <w:rPr>
                <w:rFonts w:ascii="宋体" w:hAnsi="宋体" w:eastAsia="宋体" w:cs="宋体"/>
                <w:color w:val="000000"/>
                <w:sz w:val="22"/>
              </w:rPr>
            </w:pPr>
          </w:p>
        </w:tc>
      </w:tr>
      <w:tr w14:paraId="5979D9A6">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24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国有资本经营预算财政拨款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1C8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AE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1B41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34BF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7F6E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96AFA">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EB173">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36860F">
            <w:pPr>
              <w:jc w:val="right"/>
              <w:rPr>
                <w:rFonts w:ascii="宋体" w:hAnsi="宋体" w:eastAsia="宋体" w:cs="宋体"/>
                <w:color w:val="000000"/>
                <w:sz w:val="22"/>
              </w:rPr>
            </w:pPr>
          </w:p>
        </w:tc>
      </w:tr>
      <w:tr w14:paraId="6B2A40BA">
        <w:tblPrEx>
          <w:tblCellMar>
            <w:top w:w="0" w:type="dxa"/>
            <w:left w:w="108" w:type="dxa"/>
            <w:bottom w:w="0" w:type="dxa"/>
            <w:right w:w="108" w:type="dxa"/>
          </w:tblCellMar>
        </w:tblPrEx>
        <w:trPr>
          <w:trHeight w:val="33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1AA3">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513D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6D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4BF9">
            <w:pPr>
              <w:widowControl/>
              <w:jc w:val="center"/>
              <w:textAlignment w:val="center"/>
              <w:rPr>
                <w:rFonts w:ascii="宋体" w:hAnsi="宋体" w:eastAsia="宋体" w:cs="宋体"/>
                <w:b/>
                <w:bCs/>
                <w:color w:val="000000"/>
                <w:sz w:val="22"/>
              </w:rPr>
            </w:pPr>
            <w:r>
              <w:rPr>
                <w:rFonts w:hint="eastAsia" w:ascii="宋体" w:hAnsi="宋体" w:eastAsia="宋体" w:cs="宋体"/>
                <w:b/>
                <w:bCs/>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8E06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C60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1,075.10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E4E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1,068.10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F75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9B8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FE7561">
        <w:tblPrEx>
          <w:tblCellMar>
            <w:top w:w="0" w:type="dxa"/>
            <w:left w:w="108" w:type="dxa"/>
            <w:bottom w:w="0" w:type="dxa"/>
            <w:right w:w="108" w:type="dxa"/>
          </w:tblCellMar>
        </w:tblPrEx>
        <w:trPr>
          <w:trHeight w:val="330" w:hRule="atLeast"/>
        </w:trPr>
        <w:tc>
          <w:tcPr>
            <w:tcW w:w="0" w:type="auto"/>
            <w:gridSpan w:val="8"/>
            <w:tcBorders>
              <w:top w:val="nil"/>
              <w:left w:val="nil"/>
              <w:bottom w:val="nil"/>
              <w:right w:val="nil"/>
            </w:tcBorders>
            <w:shd w:val="clear" w:color="auto" w:fill="auto"/>
            <w:noWrap/>
            <w:vAlign w:val="center"/>
          </w:tcPr>
          <w:p w14:paraId="551170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0EEDB5EC">
            <w:pPr>
              <w:jc w:val="left"/>
              <w:rPr>
                <w:rFonts w:ascii="宋体" w:hAnsi="宋体" w:eastAsia="宋体" w:cs="宋体"/>
                <w:color w:val="000000"/>
                <w:sz w:val="20"/>
                <w:szCs w:val="20"/>
              </w:rPr>
            </w:pPr>
          </w:p>
        </w:tc>
      </w:tr>
    </w:tbl>
    <w:p w14:paraId="54BF2DAF">
      <w:pPr>
        <w:widowControl/>
        <w:jc w:val="center"/>
        <w:rPr>
          <w:rFonts w:ascii="Times New Roman" w:hAnsi="Times New Roman" w:eastAsia="方正小标宋_GBK" w:cs="Times New Roman"/>
          <w:color w:val="000000"/>
          <w:kern w:val="0"/>
          <w:sz w:val="36"/>
          <w:szCs w:val="36"/>
        </w:rPr>
      </w:pPr>
    </w:p>
    <w:p w14:paraId="36846C17">
      <w:pPr>
        <w:widowControl/>
        <w:jc w:val="center"/>
        <w:rPr>
          <w:rFonts w:ascii="Times New Roman" w:hAnsi="Times New Roman" w:eastAsia="方正小标宋_GBK" w:cs="Times New Roman"/>
          <w:color w:val="000000"/>
          <w:kern w:val="0"/>
          <w:sz w:val="36"/>
          <w:szCs w:val="36"/>
        </w:rPr>
      </w:pPr>
    </w:p>
    <w:p w14:paraId="7688219B">
      <w:pPr>
        <w:widowControl/>
        <w:jc w:val="center"/>
        <w:rPr>
          <w:rFonts w:ascii="Times New Roman" w:hAnsi="Times New Roman" w:eastAsia="方正小标宋_GBK" w:cs="Times New Roman"/>
          <w:color w:val="000000"/>
          <w:kern w:val="0"/>
          <w:sz w:val="36"/>
          <w:szCs w:val="36"/>
        </w:rPr>
      </w:pPr>
    </w:p>
    <w:p w14:paraId="13743EB8">
      <w:pPr>
        <w:widowControl/>
        <w:jc w:val="center"/>
        <w:rPr>
          <w:rFonts w:ascii="Times New Roman" w:hAnsi="Times New Roman" w:eastAsia="方正小标宋_GBK" w:cs="Times New Roman"/>
          <w:color w:val="000000"/>
          <w:kern w:val="0"/>
          <w:sz w:val="36"/>
          <w:szCs w:val="36"/>
        </w:rPr>
      </w:pPr>
    </w:p>
    <w:p w14:paraId="5FF34927">
      <w:pPr>
        <w:widowControl/>
        <w:jc w:val="center"/>
        <w:rPr>
          <w:rFonts w:ascii="Times New Roman" w:hAnsi="Times New Roman" w:eastAsia="方正小标宋_GBK" w:cs="Times New Roman"/>
          <w:color w:val="000000"/>
          <w:kern w:val="0"/>
          <w:sz w:val="36"/>
          <w:szCs w:val="36"/>
        </w:rPr>
      </w:pPr>
    </w:p>
    <w:p w14:paraId="28022D11">
      <w:pPr>
        <w:widowControl/>
        <w:jc w:val="center"/>
        <w:rPr>
          <w:rFonts w:ascii="Times New Roman" w:hAnsi="Times New Roman" w:eastAsia="方正小标宋_GBK" w:cs="Times New Roman"/>
          <w:color w:val="000000"/>
          <w:kern w:val="0"/>
          <w:sz w:val="36"/>
          <w:szCs w:val="36"/>
        </w:rPr>
      </w:pPr>
    </w:p>
    <w:p w14:paraId="7B93D05A">
      <w:pPr>
        <w:widowControl/>
        <w:jc w:val="center"/>
        <w:rPr>
          <w:rFonts w:ascii="Times New Roman" w:hAnsi="Times New Roman" w:eastAsia="方正小标宋_GBK" w:cs="Times New Roman"/>
          <w:color w:val="000000"/>
          <w:kern w:val="0"/>
          <w:sz w:val="36"/>
          <w:szCs w:val="36"/>
        </w:rPr>
      </w:pPr>
    </w:p>
    <w:p w14:paraId="7C163FE8">
      <w:pPr>
        <w:widowControl/>
        <w:jc w:val="center"/>
        <w:rPr>
          <w:rFonts w:ascii="Times New Roman" w:hAnsi="Times New Roman" w:eastAsia="方正小标宋_GBK" w:cs="Times New Roman"/>
          <w:color w:val="000000"/>
          <w:kern w:val="0"/>
          <w:sz w:val="36"/>
          <w:szCs w:val="36"/>
        </w:rPr>
      </w:pPr>
    </w:p>
    <w:p w14:paraId="26F93E7E">
      <w:pPr>
        <w:widowControl/>
        <w:jc w:val="center"/>
        <w:rPr>
          <w:rFonts w:ascii="Times New Roman" w:hAnsi="Times New Roman" w:eastAsia="方正小标宋_GBK" w:cs="Times New Roman"/>
          <w:color w:val="000000"/>
          <w:kern w:val="0"/>
          <w:sz w:val="36"/>
          <w:szCs w:val="36"/>
        </w:rPr>
      </w:pPr>
    </w:p>
    <w:p w14:paraId="1D825BFB">
      <w:pPr>
        <w:widowControl/>
        <w:jc w:val="center"/>
        <w:rPr>
          <w:rFonts w:ascii="Times New Roman" w:hAnsi="Times New Roman" w:eastAsia="方正小标宋_GBK" w:cs="Times New Roman"/>
          <w:color w:val="000000"/>
          <w:kern w:val="0"/>
          <w:sz w:val="36"/>
          <w:szCs w:val="36"/>
        </w:rPr>
      </w:pPr>
    </w:p>
    <w:tbl>
      <w:tblPr>
        <w:tblStyle w:val="8"/>
        <w:tblW w:w="11670" w:type="dxa"/>
        <w:tblInd w:w="93" w:type="dxa"/>
        <w:tblLayout w:type="autofit"/>
        <w:tblCellMar>
          <w:top w:w="0" w:type="dxa"/>
          <w:left w:w="108" w:type="dxa"/>
          <w:bottom w:w="0" w:type="dxa"/>
          <w:right w:w="108" w:type="dxa"/>
        </w:tblCellMar>
      </w:tblPr>
      <w:tblGrid>
        <w:gridCol w:w="3016"/>
        <w:gridCol w:w="222"/>
        <w:gridCol w:w="222"/>
        <w:gridCol w:w="4396"/>
        <w:gridCol w:w="1193"/>
        <w:gridCol w:w="947"/>
        <w:gridCol w:w="1676"/>
      </w:tblGrid>
      <w:tr w14:paraId="6571C106">
        <w:tblPrEx>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center"/>
          </w:tcPr>
          <w:p w14:paraId="2196FD0C">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一般公共预算财政拨款支出决算表</w:t>
            </w:r>
          </w:p>
        </w:tc>
      </w:tr>
      <w:tr w14:paraId="6E35B7F7">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40D73B9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3BA93D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856586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4D825F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4A6F17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6CCB34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2D9D1FC5">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公开05表</w:t>
            </w:r>
          </w:p>
        </w:tc>
      </w:tr>
      <w:tr w14:paraId="11E4EA6D">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bottom"/>
          </w:tcPr>
          <w:p w14:paraId="474E57C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部门：溆浦县淘金坪乡人民政府</w:t>
            </w:r>
          </w:p>
        </w:tc>
        <w:tc>
          <w:tcPr>
            <w:tcW w:w="0" w:type="auto"/>
            <w:tcBorders>
              <w:top w:val="nil"/>
              <w:left w:val="nil"/>
              <w:bottom w:val="nil"/>
              <w:right w:val="nil"/>
            </w:tcBorders>
            <w:shd w:val="clear" w:color="auto" w:fill="auto"/>
            <w:noWrap/>
            <w:vAlign w:val="center"/>
          </w:tcPr>
          <w:p w14:paraId="6A6AF1A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9E3045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DF1811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3D7242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47663A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680EFC6A">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5C138C84">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606CB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67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12FB5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r>
      <w:tr w14:paraId="08DD2B29">
        <w:tblPrEx>
          <w:tblCellMar>
            <w:top w:w="0" w:type="dxa"/>
            <w:left w:w="108" w:type="dxa"/>
            <w:bottom w:w="0" w:type="dxa"/>
            <w:right w:w="108" w:type="dxa"/>
          </w:tblCellMar>
        </w:tblPrEx>
        <w:trPr>
          <w:trHeight w:val="312" w:hRule="atLeast"/>
        </w:trPr>
        <w:tc>
          <w:tcPr>
            <w:tcW w:w="99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64C7B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2ADB8">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535BB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541B4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22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A404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r>
      <w:tr w14:paraId="3601D82B">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C56F7">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F3DF61">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1440B">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4D5F3">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E7F01">
            <w:pPr>
              <w:jc w:val="center"/>
              <w:rPr>
                <w:rFonts w:ascii="宋体" w:hAnsi="宋体" w:eastAsia="宋体" w:cs="宋体"/>
                <w:color w:val="000000"/>
                <w:sz w:val="22"/>
              </w:rPr>
            </w:pPr>
          </w:p>
        </w:tc>
      </w:tr>
      <w:tr w14:paraId="58CB4AD3">
        <w:tblPrEx>
          <w:tblCellMar>
            <w:top w:w="0" w:type="dxa"/>
            <w:left w:w="108" w:type="dxa"/>
            <w:bottom w:w="0" w:type="dxa"/>
            <w:right w:w="108" w:type="dxa"/>
          </w:tblCellMar>
        </w:tblPrEx>
        <w:trPr>
          <w:trHeight w:val="312" w:hRule="atLeast"/>
        </w:trPr>
        <w:tc>
          <w:tcPr>
            <w:tcW w:w="99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9DFEF">
            <w:pPr>
              <w:jc w:val="center"/>
              <w:rPr>
                <w:rFonts w:ascii="宋体" w:hAnsi="宋体" w:eastAsia="宋体" w:cs="宋体"/>
                <w:color w:val="000000"/>
                <w:sz w:val="22"/>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8EA28">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03326E">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A50D9">
            <w:pPr>
              <w:jc w:val="center"/>
              <w:rPr>
                <w:rFonts w:ascii="宋体" w:hAnsi="宋体" w:eastAsia="宋体" w:cs="宋体"/>
                <w:color w:val="000000"/>
                <w:sz w:val="22"/>
              </w:rPr>
            </w:pPr>
          </w:p>
        </w:tc>
        <w:tc>
          <w:tcPr>
            <w:tcW w:w="22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9DE596">
            <w:pPr>
              <w:jc w:val="center"/>
              <w:rPr>
                <w:rFonts w:ascii="宋体" w:hAnsi="宋体" w:eastAsia="宋体" w:cs="宋体"/>
                <w:color w:val="000000"/>
                <w:sz w:val="22"/>
              </w:rPr>
            </w:pPr>
          </w:p>
        </w:tc>
      </w:tr>
      <w:tr w14:paraId="79462D6A">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2AE7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F01B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3658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F121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r>
      <w:tr w14:paraId="6FAE012B">
        <w:tblPrEx>
          <w:tblCellMar>
            <w:top w:w="0" w:type="dxa"/>
            <w:left w:w="108" w:type="dxa"/>
            <w:bottom w:w="0" w:type="dxa"/>
            <w:right w:w="108" w:type="dxa"/>
          </w:tblCellMar>
        </w:tblPrEx>
        <w:trPr>
          <w:trHeight w:val="300"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1C75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F872">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1,068.10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F44E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822.69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FC29">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245.40</w:t>
            </w:r>
          </w:p>
        </w:tc>
      </w:tr>
      <w:tr w14:paraId="01A9D97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14FA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76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F4CC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541.16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3A44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519.62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3A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21.54</w:t>
            </w:r>
          </w:p>
        </w:tc>
      </w:tr>
      <w:tr w14:paraId="03207A6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CF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724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人大事务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582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8CB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4D0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B2BE68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8993A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5CAB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5E1A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FE1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E16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265086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B5F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A1D0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政府办公厅（室）及相关机构事务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1AC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519.16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C98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506.62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A77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12.54</w:t>
            </w:r>
          </w:p>
        </w:tc>
      </w:tr>
      <w:tr w14:paraId="1FA8834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3C6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9EFE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313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DEC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494.62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483C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E12EB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C56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2E8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FE66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5A0E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F047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8.06</w:t>
            </w:r>
          </w:p>
        </w:tc>
      </w:tr>
      <w:tr w14:paraId="2CFA168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FFC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C6D4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信访事务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E98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BAB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2EA9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05973C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276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3D0E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94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778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77C4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4.48</w:t>
            </w:r>
          </w:p>
        </w:tc>
      </w:tr>
      <w:tr w14:paraId="5321C29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CB0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464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财政事务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967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04E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E1B0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r>
      <w:tr w14:paraId="0C5AC28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05A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A60E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行政运行</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B4C2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AB5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76F8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EABB7F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283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4F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864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A29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7B2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r>
      <w:tr w14:paraId="52569E7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EB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F7A3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党委办公厅（室）及相关机构事务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4F3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AD8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0FBB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7EEE41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4F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47A7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其他党委办公厅（室）及相关机构事务支出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28C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B58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47C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E60CFF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3E1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96DF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组织事务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6ED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BB1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DA6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r>
      <w:tr w14:paraId="1BAB6F0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8E47D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2013202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7A2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A5F0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01A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F1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r>
      <w:tr w14:paraId="3FD9377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F61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3DD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519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A16D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4AB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13.76</w:t>
            </w:r>
          </w:p>
        </w:tc>
      </w:tr>
      <w:tr w14:paraId="2B34F84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651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B1F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E7A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9D3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917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r>
      <w:tr w14:paraId="08BB65D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97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4AEB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BAC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D27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F24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5.76</w:t>
            </w:r>
          </w:p>
        </w:tc>
      </w:tr>
      <w:tr w14:paraId="2798D36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3F2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6B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司法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63C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03E6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356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r>
      <w:tr w14:paraId="422303E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5C5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2040602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052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842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BD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0A37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8.00</w:t>
            </w:r>
          </w:p>
        </w:tc>
      </w:tr>
      <w:tr w14:paraId="4CCDDBE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609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F5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35C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65AF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0E58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55E73D0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E77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69F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文化和旅游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B08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C6F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440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r>
      <w:tr w14:paraId="2953548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776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47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其他文化和旅游支出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BC6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39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557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r>
      <w:tr w14:paraId="4E556EC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60A8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C0C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2344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E3A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CD4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7A485FE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73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2079999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60F8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6BF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DFE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D59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4.00</w:t>
            </w:r>
          </w:p>
        </w:tc>
      </w:tr>
      <w:tr w14:paraId="64521F7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47F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6A1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DE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97.25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E13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96.75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FF9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0.50</w:t>
            </w:r>
          </w:p>
        </w:tc>
      </w:tr>
      <w:tr w14:paraId="69D0500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7BE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2E8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行政事业单位养老支出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E19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56DB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33FB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7E7F3F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77C2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05B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机关事业单位基本养老保险缴费支出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2C3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D55F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41A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AE468D5">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3A9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D934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74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D76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1B32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0.50</w:t>
            </w:r>
          </w:p>
        </w:tc>
      </w:tr>
      <w:tr w14:paraId="480DE85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D8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A18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死亡抚恤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09A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C92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00F0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C69777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AD7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EE8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其他优抚支出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E2E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ECB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A3F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0.50</w:t>
            </w:r>
          </w:p>
        </w:tc>
      </w:tr>
      <w:tr w14:paraId="1D49B0F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64E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95D0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退役军人管理事务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306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5E59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A06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C7C8F1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C2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A8FA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其他退役军人事务管理支出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7C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063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1BC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768194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4DDF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95E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CD6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7FA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4FF9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7B2203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A9A8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20CA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8FC9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B0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7.97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D84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40DB91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597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97DB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CB5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192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587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1466C3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CAF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204A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公共卫生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6EB5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0132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17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41AC8C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FCD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2100404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608D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精神卫生机构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4E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851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771A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AE8494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0087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A125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行政事业单位医疗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8E4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A30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ECBA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6E226C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A2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2101101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793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行政单位医疗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C5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9B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7E1B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A28B5D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4315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98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140C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568D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D14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16.90</w:t>
            </w:r>
          </w:p>
        </w:tc>
      </w:tr>
      <w:tr w14:paraId="22A9321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0011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365C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城乡社区公共设施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4AD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542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76C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11.90</w:t>
            </w:r>
          </w:p>
        </w:tc>
      </w:tr>
      <w:tr w14:paraId="4E9E02B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2213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E2F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小城镇基础设施建设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36E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5CC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D1EB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11.90</w:t>
            </w:r>
          </w:p>
        </w:tc>
      </w:tr>
      <w:tr w14:paraId="318BE33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549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1AD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5BE1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14A8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323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277658A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7F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2120501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2FF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城乡社区环境卫生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5C65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D28C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7C2F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2DC7CEE3">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B43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2FE5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4D1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304.25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6F0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132.86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202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171.39</w:t>
            </w:r>
          </w:p>
        </w:tc>
      </w:tr>
      <w:tr w14:paraId="57CB250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561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CE0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农业农村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C6D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14.52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C1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7916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13.28</w:t>
            </w:r>
          </w:p>
        </w:tc>
      </w:tr>
      <w:tr w14:paraId="5E8FD21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9DC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8F19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防灾救灾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751D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9.92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7D0C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3F6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8.68</w:t>
            </w:r>
          </w:p>
        </w:tc>
      </w:tr>
      <w:tr w14:paraId="616E77E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7045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9817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农村社会事业</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6290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12C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1376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2.60</w:t>
            </w:r>
          </w:p>
        </w:tc>
      </w:tr>
      <w:tr w14:paraId="7C15CC3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2C58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73D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其他农业农村支出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1241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4EFC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0BD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r>
      <w:tr w14:paraId="23715EF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6B4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57B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344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03F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5228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r>
      <w:tr w14:paraId="24A25961">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5CB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EC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水利工程运行与维护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30B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B849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84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20.00</w:t>
            </w:r>
          </w:p>
        </w:tc>
      </w:tr>
      <w:tr w14:paraId="158B0BB9">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6923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978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巩固脱贫攻坚成果衔接乡村振兴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3F76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136.69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7DD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BAD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135.11</w:t>
            </w:r>
          </w:p>
        </w:tc>
      </w:tr>
      <w:tr w14:paraId="7B19E448">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80A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B49B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2E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34A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E4F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103.32</w:t>
            </w:r>
          </w:p>
        </w:tc>
      </w:tr>
      <w:tr w14:paraId="11F99CE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FBF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B83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生产发展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96D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2FE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8F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8.74</w:t>
            </w:r>
          </w:p>
        </w:tc>
      </w:tr>
      <w:tr w14:paraId="5062B4F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32A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47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其他巩固脱贫攻坚成果衔接乡村振兴支出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1F52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24.63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140E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01B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23.05</w:t>
            </w:r>
          </w:p>
        </w:tc>
      </w:tr>
      <w:tr w14:paraId="77BDABF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EA6E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7A5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农村综合改革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AC2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3FC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0B5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7EA2C0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CDB7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2130705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196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对村民委员会和村党支部的补助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5D1A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D9D7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C01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99C0F9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DAA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FB0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733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8189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839A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219886F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F98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2139999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ADC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E6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D66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C2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3.00</w:t>
            </w:r>
          </w:p>
        </w:tc>
      </w:tr>
      <w:tr w14:paraId="0E03CD3B">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C928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0539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40A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A8C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9491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5D32C47E">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41BC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7580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E004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0E73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BAF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4A40D2D6">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E490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2200106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98B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自然资源利用与保护</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6343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4E4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DBC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22346D7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B55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497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3EC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AB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923B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06EB9A">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929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6A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住房改革支出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E96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5219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A145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D32A16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9B32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2210201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7E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3E67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2188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BD2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5F6D14F">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AF8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1FB4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B9A2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999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B1D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46BC72C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276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435B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粮油物资事务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D17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D38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C877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7C3C453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E9A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2220199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026D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其他粮油物资事务支出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CBAF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A9F0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504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5DCFE5B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C04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3FF5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B78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654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49D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6.31</w:t>
            </w:r>
          </w:p>
        </w:tc>
      </w:tr>
      <w:tr w14:paraId="216CC577">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511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6FD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应急管理事务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55CE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D96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165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F5B45F0">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F0B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863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FB14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B4B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2DAD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1A126B4">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4F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6AD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消防救援事务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4AD1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AA8C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8873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r>
      <w:tr w14:paraId="3370FB8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A17D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49C7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一般行政管理事务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342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80F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221D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1.31</w:t>
            </w:r>
          </w:p>
        </w:tc>
      </w:tr>
      <w:tr w14:paraId="2BC1815C">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0114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D3E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自然灾害防治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573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56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42E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0FF97C1D">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277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2240601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0EE4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地质灾害防治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5173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84D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98A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r>
      <w:tr w14:paraId="676359B9">
        <w:tblPrEx>
          <w:tblCellMar>
            <w:top w:w="0" w:type="dxa"/>
            <w:left w:w="108" w:type="dxa"/>
            <w:bottom w:w="0" w:type="dxa"/>
            <w:right w:w="108" w:type="dxa"/>
          </w:tblCellMar>
        </w:tblPrEx>
        <w:trPr>
          <w:trHeight w:val="300" w:hRule="atLeast"/>
        </w:trPr>
        <w:tc>
          <w:tcPr>
            <w:tcW w:w="0" w:type="auto"/>
            <w:gridSpan w:val="7"/>
            <w:tcBorders>
              <w:top w:val="nil"/>
              <w:left w:val="nil"/>
              <w:bottom w:val="nil"/>
              <w:right w:val="nil"/>
            </w:tcBorders>
            <w:shd w:val="clear" w:color="auto" w:fill="auto"/>
            <w:noWrap/>
            <w:vAlign w:val="center"/>
          </w:tcPr>
          <w:p w14:paraId="3E815F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注：本表反映部门本年度一般公共预算财政拨款支出情况。</w:t>
            </w:r>
          </w:p>
        </w:tc>
      </w:tr>
    </w:tbl>
    <w:p w14:paraId="76027C0F">
      <w:pPr>
        <w:widowControl/>
        <w:jc w:val="center"/>
        <w:rPr>
          <w:rFonts w:ascii="Times New Roman" w:hAnsi="Times New Roman" w:eastAsia="方正小标宋_GBK" w:cs="Times New Roman"/>
          <w:color w:val="000000"/>
          <w:kern w:val="0"/>
          <w:sz w:val="36"/>
          <w:szCs w:val="36"/>
        </w:rPr>
      </w:pPr>
    </w:p>
    <w:p w14:paraId="6751C5E1">
      <w:pPr>
        <w:widowControl/>
        <w:jc w:val="center"/>
        <w:rPr>
          <w:rFonts w:ascii="Times New Roman" w:hAnsi="Times New Roman" w:eastAsia="方正小标宋_GBK" w:cs="Times New Roman"/>
          <w:color w:val="000000"/>
          <w:kern w:val="0"/>
          <w:sz w:val="36"/>
          <w:szCs w:val="36"/>
        </w:rPr>
      </w:pPr>
    </w:p>
    <w:p w14:paraId="031B80CA">
      <w:pPr>
        <w:widowControl/>
        <w:jc w:val="center"/>
        <w:rPr>
          <w:rFonts w:ascii="Times New Roman" w:hAnsi="Times New Roman" w:eastAsia="方正小标宋_GBK" w:cs="Times New Roman"/>
          <w:color w:val="000000"/>
          <w:kern w:val="0"/>
          <w:sz w:val="36"/>
          <w:szCs w:val="36"/>
        </w:rPr>
      </w:pPr>
    </w:p>
    <w:p w14:paraId="3DE299EA">
      <w:pPr>
        <w:widowControl/>
        <w:jc w:val="center"/>
        <w:rPr>
          <w:rFonts w:ascii="Times New Roman" w:hAnsi="Times New Roman" w:eastAsia="方正小标宋_GBK" w:cs="Times New Roman"/>
          <w:color w:val="000000"/>
          <w:kern w:val="0"/>
          <w:sz w:val="36"/>
          <w:szCs w:val="36"/>
        </w:rPr>
      </w:pPr>
    </w:p>
    <w:tbl>
      <w:tblPr>
        <w:tblStyle w:val="8"/>
        <w:tblW w:w="14745" w:type="dxa"/>
        <w:tblInd w:w="93" w:type="dxa"/>
        <w:tblLayout w:type="autofit"/>
        <w:tblCellMar>
          <w:top w:w="0" w:type="dxa"/>
          <w:left w:w="108" w:type="dxa"/>
          <w:bottom w:w="0" w:type="dxa"/>
          <w:right w:w="108" w:type="dxa"/>
        </w:tblCellMar>
      </w:tblPr>
      <w:tblGrid>
        <w:gridCol w:w="766"/>
        <w:gridCol w:w="3516"/>
        <w:gridCol w:w="876"/>
        <w:gridCol w:w="766"/>
        <w:gridCol w:w="2416"/>
        <w:gridCol w:w="876"/>
        <w:gridCol w:w="766"/>
        <w:gridCol w:w="4396"/>
        <w:gridCol w:w="876"/>
      </w:tblGrid>
      <w:tr w14:paraId="53BF699E">
        <w:tblPrEx>
          <w:tblCellMar>
            <w:top w:w="0" w:type="dxa"/>
            <w:left w:w="108" w:type="dxa"/>
            <w:bottom w:w="0" w:type="dxa"/>
            <w:right w:w="108" w:type="dxa"/>
          </w:tblCellMar>
        </w:tblPrEx>
        <w:trPr>
          <w:trHeight w:val="390" w:hRule="atLeast"/>
        </w:trPr>
        <w:tc>
          <w:tcPr>
            <w:tcW w:w="14745" w:type="dxa"/>
            <w:gridSpan w:val="9"/>
            <w:tcBorders>
              <w:top w:val="nil"/>
              <w:left w:val="nil"/>
              <w:bottom w:val="nil"/>
              <w:right w:val="nil"/>
            </w:tcBorders>
            <w:shd w:val="clear" w:color="auto" w:fill="auto"/>
            <w:noWrap/>
            <w:vAlign w:val="center"/>
          </w:tcPr>
          <w:p w14:paraId="705E8B37">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一般公共预算财政拨款基本支出决算明细表</w:t>
            </w:r>
          </w:p>
        </w:tc>
      </w:tr>
      <w:tr w14:paraId="3DF3BB15">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14:paraId="1CBE2A0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F6543D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AAAF36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5E78DD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0C46AA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B6CE0A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F6AF669">
            <w:pPr>
              <w:rPr>
                <w:rFonts w:ascii="宋体" w:hAnsi="宋体" w:eastAsia="宋体" w:cs="宋体"/>
                <w:color w:val="000000"/>
                <w:sz w:val="22"/>
              </w:rPr>
            </w:pPr>
          </w:p>
        </w:tc>
        <w:tc>
          <w:tcPr>
            <w:tcW w:w="0" w:type="auto"/>
            <w:gridSpan w:val="2"/>
            <w:tcBorders>
              <w:top w:val="nil"/>
              <w:left w:val="nil"/>
              <w:bottom w:val="nil"/>
              <w:right w:val="nil"/>
            </w:tcBorders>
            <w:shd w:val="clear" w:color="auto" w:fill="auto"/>
            <w:noWrap/>
            <w:vAlign w:val="bottom"/>
          </w:tcPr>
          <w:p w14:paraId="5838C23C">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公开06表</w:t>
            </w:r>
          </w:p>
        </w:tc>
      </w:tr>
      <w:tr w14:paraId="26FAF6F9">
        <w:tblPrEx>
          <w:tblCellMar>
            <w:top w:w="0" w:type="dxa"/>
            <w:left w:w="108" w:type="dxa"/>
            <w:bottom w:w="0" w:type="dxa"/>
            <w:right w:w="108" w:type="dxa"/>
          </w:tblCellMar>
        </w:tblPrEx>
        <w:trPr>
          <w:trHeight w:val="270" w:hRule="atLeast"/>
        </w:trPr>
        <w:tc>
          <w:tcPr>
            <w:tcW w:w="0" w:type="auto"/>
            <w:gridSpan w:val="2"/>
            <w:tcBorders>
              <w:top w:val="nil"/>
              <w:left w:val="nil"/>
              <w:bottom w:val="nil"/>
              <w:right w:val="nil"/>
            </w:tcBorders>
            <w:shd w:val="clear" w:color="auto" w:fill="auto"/>
            <w:noWrap/>
            <w:vAlign w:val="bottom"/>
          </w:tcPr>
          <w:p w14:paraId="06A9157D">
            <w:pPr>
              <w:widowControl/>
              <w:jc w:val="lef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部门：溆浦县淘金坪乡人民政府</w:t>
            </w:r>
          </w:p>
        </w:tc>
        <w:tc>
          <w:tcPr>
            <w:tcW w:w="0" w:type="auto"/>
            <w:tcBorders>
              <w:top w:val="nil"/>
              <w:left w:val="nil"/>
              <w:bottom w:val="nil"/>
              <w:right w:val="nil"/>
            </w:tcBorders>
            <w:shd w:val="clear" w:color="auto" w:fill="auto"/>
            <w:noWrap/>
            <w:vAlign w:val="center"/>
          </w:tcPr>
          <w:p w14:paraId="17E1F7F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87819F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06110E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B76D98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D18C3FE">
            <w:pPr>
              <w:rPr>
                <w:rFonts w:ascii="宋体" w:hAnsi="宋体" w:eastAsia="宋体" w:cs="宋体"/>
                <w:color w:val="000000"/>
                <w:sz w:val="22"/>
              </w:rPr>
            </w:pPr>
          </w:p>
        </w:tc>
        <w:tc>
          <w:tcPr>
            <w:tcW w:w="0" w:type="auto"/>
            <w:gridSpan w:val="2"/>
            <w:tcBorders>
              <w:top w:val="nil"/>
              <w:left w:val="nil"/>
              <w:bottom w:val="nil"/>
              <w:right w:val="nil"/>
            </w:tcBorders>
            <w:shd w:val="clear" w:color="auto" w:fill="auto"/>
            <w:noWrap/>
            <w:vAlign w:val="bottom"/>
          </w:tcPr>
          <w:p w14:paraId="556B2D2C">
            <w:pPr>
              <w:widowControl/>
              <w:jc w:val="right"/>
              <w:textAlignment w:val="bottom"/>
              <w:rPr>
                <w:rFonts w:ascii="宋体" w:hAnsi="宋体" w:eastAsia="宋体" w:cs="宋体"/>
                <w:color w:val="000000"/>
                <w:sz w:val="18"/>
                <w:szCs w:val="18"/>
              </w:rPr>
            </w:pPr>
            <w:r>
              <w:rPr>
                <w:rFonts w:hint="eastAsia" w:ascii="宋体" w:hAnsi="宋体" w:eastAsia="宋体" w:cs="宋体"/>
                <w:color w:val="000000"/>
                <w:kern w:val="0"/>
                <w:sz w:val="18"/>
                <w:szCs w:val="18"/>
              </w:rPr>
              <w:t>金额单位：万元</w:t>
            </w:r>
          </w:p>
        </w:tc>
      </w:tr>
      <w:tr w14:paraId="4502EFC2">
        <w:tblPrEx>
          <w:tblCellMar>
            <w:top w:w="0" w:type="dxa"/>
            <w:left w:w="108" w:type="dxa"/>
            <w:bottom w:w="0" w:type="dxa"/>
            <w:right w:w="108" w:type="dxa"/>
          </w:tblCellMar>
        </w:tblPrEx>
        <w:trPr>
          <w:trHeight w:val="30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2E3A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B2AE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w:t>
            </w:r>
          </w:p>
        </w:tc>
      </w:tr>
      <w:tr w14:paraId="2A10DA74">
        <w:tblPrEx>
          <w:tblCellMar>
            <w:top w:w="0" w:type="dxa"/>
            <w:left w:w="108" w:type="dxa"/>
            <w:bottom w:w="0" w:type="dxa"/>
            <w:right w:w="108" w:type="dxa"/>
          </w:tblCellMar>
        </w:tblPrEx>
        <w:trPr>
          <w:trHeight w:val="312" w:hRule="atLeast"/>
        </w:trPr>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097EC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35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90280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10DB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CE49A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20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44CF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2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351F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c>
          <w:tcPr>
            <w:tcW w:w="7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7D1A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261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4B319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84E6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5EB28677">
        <w:tblPrEx>
          <w:tblCellMar>
            <w:top w:w="0" w:type="dxa"/>
            <w:left w:w="108" w:type="dxa"/>
            <w:bottom w:w="0" w:type="dxa"/>
            <w:right w:w="108" w:type="dxa"/>
          </w:tblCellMar>
        </w:tblPrEx>
        <w:trPr>
          <w:trHeight w:val="312" w:hRule="atLeast"/>
        </w:trPr>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3F1586">
            <w:pPr>
              <w:jc w:val="center"/>
              <w:rPr>
                <w:rFonts w:ascii="宋体" w:hAnsi="宋体" w:eastAsia="宋体" w:cs="宋体"/>
                <w:color w:val="000000"/>
                <w:sz w:val="22"/>
              </w:rPr>
            </w:pPr>
          </w:p>
        </w:tc>
        <w:tc>
          <w:tcPr>
            <w:tcW w:w="35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5AAD8">
            <w:pPr>
              <w:jc w:val="center"/>
              <w:rPr>
                <w:rFonts w:ascii="宋体" w:hAnsi="宋体" w:eastAsia="宋体" w:cs="宋体"/>
                <w:color w:val="000000"/>
                <w:sz w:val="22"/>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64D9B2">
            <w:pPr>
              <w:jc w:val="center"/>
              <w:rPr>
                <w:rFonts w:ascii="宋体" w:hAnsi="宋体" w:eastAsia="宋体" w:cs="宋体"/>
                <w:color w:val="000000"/>
                <w:sz w:val="22"/>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6540C">
            <w:pPr>
              <w:jc w:val="center"/>
              <w:rPr>
                <w:rFonts w:ascii="宋体" w:hAnsi="宋体" w:eastAsia="宋体" w:cs="宋体"/>
                <w:color w:val="000000"/>
                <w:sz w:val="22"/>
              </w:rPr>
            </w:pPr>
          </w:p>
        </w:tc>
        <w:tc>
          <w:tcPr>
            <w:tcW w:w="20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6EC04">
            <w:pPr>
              <w:jc w:val="center"/>
              <w:rPr>
                <w:rFonts w:ascii="宋体" w:hAnsi="宋体" w:eastAsia="宋体" w:cs="宋体"/>
                <w:color w:val="000000"/>
                <w:sz w:val="22"/>
              </w:rPr>
            </w:pPr>
          </w:p>
        </w:tc>
        <w:tc>
          <w:tcPr>
            <w:tcW w:w="12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30B80">
            <w:pPr>
              <w:jc w:val="center"/>
              <w:rPr>
                <w:rFonts w:ascii="宋体" w:hAnsi="宋体" w:eastAsia="宋体" w:cs="宋体"/>
                <w:color w:val="000000"/>
                <w:sz w:val="22"/>
              </w:rPr>
            </w:pPr>
          </w:p>
        </w:tc>
        <w:tc>
          <w:tcPr>
            <w:tcW w:w="7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1E1973">
            <w:pPr>
              <w:jc w:val="center"/>
              <w:rPr>
                <w:rFonts w:ascii="宋体" w:hAnsi="宋体" w:eastAsia="宋体" w:cs="宋体"/>
                <w:color w:val="000000"/>
                <w:sz w:val="22"/>
              </w:rPr>
            </w:pPr>
          </w:p>
        </w:tc>
        <w:tc>
          <w:tcPr>
            <w:tcW w:w="261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74C7D">
            <w:pPr>
              <w:jc w:val="center"/>
              <w:rPr>
                <w:rFonts w:ascii="宋体" w:hAnsi="宋体" w:eastAsia="宋体" w:cs="宋体"/>
                <w:color w:val="000000"/>
                <w:sz w:val="22"/>
              </w:rPr>
            </w:pPr>
          </w:p>
        </w:tc>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1FCEF">
            <w:pPr>
              <w:jc w:val="center"/>
              <w:rPr>
                <w:rFonts w:ascii="宋体" w:hAnsi="宋体" w:eastAsia="宋体" w:cs="宋体"/>
                <w:color w:val="000000"/>
                <w:sz w:val="22"/>
              </w:rPr>
            </w:pPr>
          </w:p>
        </w:tc>
      </w:tr>
      <w:tr w14:paraId="11250E4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D69E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A31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B2C8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505.65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B11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2626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35A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F1B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4D73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债务利息及费用支出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4C0F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2DB6F4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844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DF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基本工资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BDE5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155.68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1F6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59F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CD2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25.77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A19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0D67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国内债务付息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BFA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67BE4A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DBA4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7DB6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津贴补贴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59897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CB8C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70C6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印刷费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388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BDA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30702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A8E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国外债务付息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7F9E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6BB287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1470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48AB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7FFD4">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13.41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8B0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33B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咨询费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CD522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82B2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94C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4EE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C23561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13D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CC8C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伙食补助费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67EF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7.37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6B4D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2EF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手续费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8D5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59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098D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房屋建筑物购建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7234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55E32FE">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9091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09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绩效工资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27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56.47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BDEA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BA84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A6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93A6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E0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办公设备购置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B8EA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F9B306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1618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AA11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机关事业单位基本养老保险缴费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CA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61.89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9F6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43A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726D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2.81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CB66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D4D9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专用设备购置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50AF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3BCC1B5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1DF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8E2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职业年金缴费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BABF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E1E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ECBA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邮电费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0E03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294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D769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基础设施建设</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059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35F6170">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34C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4EBF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职工基本医疗保险缴费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47F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27.70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0DCF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D74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取暖费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436E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F40C7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C1E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大型修缮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3ADB1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FB0FEC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DB7B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BF6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公务员医疗补助缴费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8B66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1163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CE7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物业管理费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46CFB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82E1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D56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信息网络及软件购置更新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D2C6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8C93FD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BCB6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1DB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其他社会保障缴费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9B1E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3.69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07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9782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差旅费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6253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30.57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101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7AA0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物资储备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E024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A4F8E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3E3B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3DE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住房公积金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6256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316D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A9E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因公出国（境）费用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9746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37B5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E63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土地补偿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B846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89B9569">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FB80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20AE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88E3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6863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96B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维修（护）费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CF3E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8.54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8D1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9D3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安置补助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1BAD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0B606A3">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F6CF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30199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E444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其他工资福利支出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A1CA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4AAD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2BE6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租赁费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876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92F0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B681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地上附着物和青苗补偿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9850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8AFEC16">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90D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D97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FB2F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161.58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2C06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5EC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会议费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92A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CAEE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F5EC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拆迁补偿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946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1A4F5E2">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8C14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FDD4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离休费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88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E76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776D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培训费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C6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5615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5CED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6F15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5FE5AB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4EC3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1A0A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退休费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129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33F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472F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公务接待费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D06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1E8F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D47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其他交通工具购置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8521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B6A4F2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6C90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64AD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退职（役）费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3F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B22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A116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专用材料费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53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2E2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3AB8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文物和陈列品购置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25B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254BF13C">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1C12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2D4E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抚恤金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585D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26.63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116D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F129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被装购置费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BF6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A1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B19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无形资产购置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7E7A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E09CE9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F27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9A4F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生活补助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65D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129.24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1F9C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578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专用燃料费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FA3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A398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31099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525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其他资本性支出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0A70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75F8CAF4">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5DEC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550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救济费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0D4A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0E2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3F4E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劳务费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AE6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47B6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47BE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3BA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0BCEB5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0918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AAAF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医疗费补助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2F6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6317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9291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委托业务费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7D1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DD4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28A82">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国家赔偿费用支出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A3FE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BB8C90F">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52B3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CA8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助学金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E5A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D9D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5401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工会经费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2DC3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BD8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87D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对民间非营利组织和群众性自治组织补贴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B39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807FF1">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C334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9C52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奖励金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FEFBE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285E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B27C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福利费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A47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40083">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7C11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经常性赠与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15A4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451681D">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45521">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B9D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个人农业生产补贴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27FC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1B65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8F85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公务用车运行维护费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AF6E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53E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FD29C">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资本性赠与</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EF9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076739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BC8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A690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代缴社会保险费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367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E4E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F2D85">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其他交通费用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4D67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32.60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7EBCA6">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39999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32E2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7C6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E30AD87">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3C90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30399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DBB7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其他对个人和家庭的补助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939C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2BA5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BD394">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税金及附加费用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7AD0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1927">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D629B">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0E9A">
            <w:pPr>
              <w:jc w:val="right"/>
              <w:rPr>
                <w:rFonts w:ascii="宋体" w:hAnsi="宋体" w:eastAsia="宋体" w:cs="宋体"/>
                <w:color w:val="000000"/>
                <w:sz w:val="22"/>
              </w:rPr>
            </w:pPr>
          </w:p>
        </w:tc>
      </w:tr>
      <w:tr w14:paraId="56DC5B2A">
        <w:tblPrEx>
          <w:tblCellMar>
            <w:top w:w="0" w:type="dxa"/>
            <w:left w:w="108" w:type="dxa"/>
            <w:bottom w:w="0" w:type="dxa"/>
            <w:right w:w="108" w:type="dxa"/>
          </w:tblCellMar>
        </w:tblPrEx>
        <w:trPr>
          <w:trHeight w:val="3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76BDC">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1B9DA">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7E269">
            <w:pPr>
              <w:jc w:val="righ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B51E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30299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BD0B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 xml:space="preserve">  其他商品和服务支出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31E5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44.15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C6A82">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0814B">
            <w:pPr>
              <w:jc w:val="left"/>
              <w:rPr>
                <w:rFonts w:ascii="宋体" w:hAnsi="宋体" w:eastAsia="宋体" w:cs="宋体"/>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EE167">
            <w:pPr>
              <w:jc w:val="right"/>
              <w:rPr>
                <w:rFonts w:ascii="宋体" w:hAnsi="宋体" w:eastAsia="宋体" w:cs="宋体"/>
                <w:color w:val="000000"/>
                <w:sz w:val="22"/>
              </w:rPr>
            </w:pPr>
          </w:p>
        </w:tc>
      </w:tr>
      <w:tr w14:paraId="63B839F5">
        <w:tblPrEx>
          <w:tblCellMar>
            <w:top w:w="0" w:type="dxa"/>
            <w:left w:w="108" w:type="dxa"/>
            <w:bottom w:w="0" w:type="dxa"/>
            <w:right w:w="108" w:type="dxa"/>
          </w:tblCellMar>
        </w:tblPrEx>
        <w:trPr>
          <w:trHeight w:val="30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D45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人员经费合计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4297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667.23</w:t>
            </w:r>
          </w:p>
        </w:tc>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AA50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公用经费合计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8CD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155.47</w:t>
            </w:r>
          </w:p>
        </w:tc>
      </w:tr>
      <w:tr w14:paraId="6C9179D9">
        <w:tblPrEx>
          <w:tblCellMar>
            <w:top w:w="0" w:type="dxa"/>
            <w:left w:w="108" w:type="dxa"/>
            <w:bottom w:w="0" w:type="dxa"/>
            <w:right w:w="108" w:type="dxa"/>
          </w:tblCellMar>
        </w:tblPrEx>
        <w:trPr>
          <w:trHeight w:val="300" w:hRule="atLeast"/>
        </w:trPr>
        <w:tc>
          <w:tcPr>
            <w:tcW w:w="0" w:type="auto"/>
            <w:gridSpan w:val="9"/>
            <w:tcBorders>
              <w:top w:val="nil"/>
              <w:left w:val="nil"/>
              <w:bottom w:val="nil"/>
              <w:right w:val="nil"/>
            </w:tcBorders>
            <w:shd w:val="clear" w:color="auto" w:fill="auto"/>
            <w:noWrap/>
            <w:vAlign w:val="center"/>
          </w:tcPr>
          <w:p w14:paraId="4CBF75D7">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注：本表反映部门本年度一般公共预算财政拨款基本支出明细情况。</w:t>
            </w:r>
          </w:p>
        </w:tc>
      </w:tr>
    </w:tbl>
    <w:p w14:paraId="5DA1D37D">
      <w:pPr>
        <w:widowControl/>
        <w:jc w:val="center"/>
        <w:rPr>
          <w:rFonts w:ascii="Times New Roman" w:hAnsi="Times New Roman" w:eastAsia="方正小标宋_GBK" w:cs="Times New Roman"/>
          <w:color w:val="000000"/>
          <w:kern w:val="0"/>
          <w:sz w:val="36"/>
          <w:szCs w:val="36"/>
        </w:rPr>
      </w:pPr>
    </w:p>
    <w:p w14:paraId="11FFEF67">
      <w:pPr>
        <w:widowControl/>
        <w:jc w:val="center"/>
        <w:rPr>
          <w:rFonts w:ascii="Times New Roman" w:hAnsi="Times New Roman" w:eastAsia="方正小标宋_GBK" w:cs="Times New Roman"/>
          <w:color w:val="000000"/>
          <w:kern w:val="0"/>
          <w:sz w:val="36"/>
          <w:szCs w:val="36"/>
        </w:rPr>
      </w:pPr>
    </w:p>
    <w:p w14:paraId="6D83A776">
      <w:pPr>
        <w:widowControl/>
        <w:jc w:val="center"/>
        <w:rPr>
          <w:rFonts w:ascii="Times New Roman" w:hAnsi="Times New Roman" w:eastAsia="方正小标宋_GBK" w:cs="Times New Roman"/>
          <w:color w:val="000000"/>
          <w:kern w:val="0"/>
          <w:sz w:val="36"/>
          <w:szCs w:val="36"/>
        </w:rPr>
      </w:pPr>
    </w:p>
    <w:p w14:paraId="449C0E3D">
      <w:pPr>
        <w:widowControl/>
        <w:jc w:val="center"/>
        <w:rPr>
          <w:rFonts w:ascii="Times New Roman" w:hAnsi="Times New Roman" w:eastAsia="方正小标宋_GBK" w:cs="Times New Roman"/>
          <w:color w:val="000000"/>
          <w:kern w:val="0"/>
          <w:sz w:val="36"/>
          <w:szCs w:val="36"/>
        </w:rPr>
      </w:pPr>
    </w:p>
    <w:p w14:paraId="58D5C453">
      <w:pPr>
        <w:widowControl/>
        <w:jc w:val="center"/>
        <w:rPr>
          <w:rFonts w:ascii="Times New Roman" w:hAnsi="Times New Roman" w:eastAsia="方正小标宋_GBK" w:cs="Times New Roman"/>
          <w:color w:val="000000"/>
          <w:kern w:val="0"/>
          <w:sz w:val="36"/>
          <w:szCs w:val="36"/>
        </w:rPr>
      </w:pPr>
    </w:p>
    <w:tbl>
      <w:tblPr>
        <w:tblStyle w:val="8"/>
        <w:tblW w:w="15000" w:type="dxa"/>
        <w:tblInd w:w="93" w:type="dxa"/>
        <w:tblLayout w:type="autofit"/>
        <w:tblCellMar>
          <w:top w:w="0" w:type="dxa"/>
          <w:left w:w="108" w:type="dxa"/>
          <w:bottom w:w="0" w:type="dxa"/>
          <w:right w:w="108" w:type="dxa"/>
        </w:tblCellMar>
      </w:tblPr>
      <w:tblGrid>
        <w:gridCol w:w="1623"/>
        <w:gridCol w:w="878"/>
        <w:gridCol w:w="43"/>
        <w:gridCol w:w="651"/>
        <w:gridCol w:w="479"/>
        <w:gridCol w:w="43"/>
        <w:gridCol w:w="3915"/>
        <w:gridCol w:w="43"/>
        <w:gridCol w:w="1388"/>
        <w:gridCol w:w="1388"/>
        <w:gridCol w:w="43"/>
        <w:gridCol w:w="932"/>
        <w:gridCol w:w="1371"/>
        <w:gridCol w:w="1332"/>
        <w:gridCol w:w="1388"/>
        <w:gridCol w:w="4"/>
      </w:tblGrid>
      <w:tr w14:paraId="5D113E3D">
        <w:tblPrEx>
          <w:tblCellMar>
            <w:top w:w="0" w:type="dxa"/>
            <w:left w:w="108" w:type="dxa"/>
            <w:bottom w:w="0" w:type="dxa"/>
            <w:right w:w="108" w:type="dxa"/>
          </w:tblCellMar>
        </w:tblPrEx>
        <w:trPr>
          <w:gridAfter w:val="1"/>
          <w:wAfter w:w="4" w:type="dxa"/>
          <w:trHeight w:val="390" w:hRule="atLeast"/>
        </w:trPr>
        <w:tc>
          <w:tcPr>
            <w:tcW w:w="15000" w:type="dxa"/>
            <w:gridSpan w:val="15"/>
            <w:tcBorders>
              <w:top w:val="nil"/>
              <w:left w:val="nil"/>
              <w:bottom w:val="nil"/>
              <w:right w:val="nil"/>
            </w:tcBorders>
            <w:shd w:val="clear" w:color="auto" w:fill="auto"/>
            <w:noWrap/>
            <w:vAlign w:val="center"/>
          </w:tcPr>
          <w:p w14:paraId="35AFAA12">
            <w:pPr>
              <w:widowControl/>
              <w:jc w:val="center"/>
              <w:textAlignment w:val="center"/>
              <w:rPr>
                <w:rFonts w:ascii="黑体" w:hAnsi="宋体" w:eastAsia="黑体" w:cs="黑体"/>
                <w:color w:val="000000"/>
                <w:sz w:val="30"/>
                <w:szCs w:val="30"/>
              </w:rPr>
            </w:pPr>
            <w:r>
              <w:rPr>
                <w:rFonts w:hint="eastAsia" w:ascii="黑体" w:hAnsi="宋体" w:eastAsia="黑体" w:cs="黑体"/>
                <w:color w:val="000000"/>
                <w:kern w:val="0"/>
                <w:sz w:val="30"/>
                <w:szCs w:val="30"/>
              </w:rPr>
              <w:t>政府性基金预算财政拨款收入支出决算表</w:t>
            </w:r>
          </w:p>
        </w:tc>
      </w:tr>
      <w:tr w14:paraId="3161AC3D">
        <w:tblPrEx>
          <w:tblCellMar>
            <w:top w:w="0" w:type="dxa"/>
            <w:left w:w="108" w:type="dxa"/>
            <w:bottom w:w="0" w:type="dxa"/>
            <w:right w:w="108" w:type="dxa"/>
          </w:tblCellMar>
        </w:tblPrEx>
        <w:trPr>
          <w:gridAfter w:val="1"/>
          <w:wAfter w:w="4" w:type="dxa"/>
          <w:trHeight w:val="270" w:hRule="atLeast"/>
        </w:trPr>
        <w:tc>
          <w:tcPr>
            <w:tcW w:w="0" w:type="auto"/>
            <w:gridSpan w:val="3"/>
            <w:tcBorders>
              <w:top w:val="nil"/>
              <w:left w:val="nil"/>
              <w:bottom w:val="nil"/>
              <w:right w:val="nil"/>
            </w:tcBorders>
            <w:shd w:val="clear" w:color="auto" w:fill="auto"/>
            <w:noWrap/>
            <w:vAlign w:val="center"/>
          </w:tcPr>
          <w:p w14:paraId="05F71555">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558F4F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51084DA">
            <w:pPr>
              <w:rPr>
                <w:rFonts w:ascii="宋体" w:hAnsi="宋体" w:eastAsia="宋体" w:cs="宋体"/>
                <w:color w:val="000000"/>
                <w:sz w:val="22"/>
              </w:rPr>
            </w:pPr>
          </w:p>
        </w:tc>
        <w:tc>
          <w:tcPr>
            <w:tcW w:w="0" w:type="auto"/>
            <w:gridSpan w:val="3"/>
            <w:tcBorders>
              <w:top w:val="nil"/>
              <w:left w:val="nil"/>
              <w:bottom w:val="nil"/>
              <w:right w:val="nil"/>
            </w:tcBorders>
            <w:shd w:val="clear" w:color="auto" w:fill="auto"/>
            <w:noWrap/>
            <w:vAlign w:val="center"/>
          </w:tcPr>
          <w:p w14:paraId="5CD55D77">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7F9C71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577DF50">
            <w:pPr>
              <w:rPr>
                <w:rFonts w:ascii="宋体" w:hAnsi="宋体" w:eastAsia="宋体" w:cs="宋体"/>
                <w:color w:val="000000"/>
                <w:sz w:val="22"/>
              </w:rPr>
            </w:pPr>
          </w:p>
        </w:tc>
        <w:tc>
          <w:tcPr>
            <w:tcW w:w="0" w:type="auto"/>
            <w:gridSpan w:val="2"/>
            <w:tcBorders>
              <w:top w:val="nil"/>
              <w:left w:val="nil"/>
              <w:bottom w:val="nil"/>
              <w:right w:val="nil"/>
            </w:tcBorders>
            <w:shd w:val="clear" w:color="auto" w:fill="auto"/>
            <w:noWrap/>
            <w:vAlign w:val="center"/>
          </w:tcPr>
          <w:p w14:paraId="1E4F57C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867988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84FC8C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6B1DC8D4">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公开07表</w:t>
            </w:r>
          </w:p>
        </w:tc>
      </w:tr>
      <w:tr w14:paraId="5E844C7F">
        <w:tblPrEx>
          <w:tblCellMar>
            <w:top w:w="0" w:type="dxa"/>
            <w:left w:w="108" w:type="dxa"/>
            <w:bottom w:w="0" w:type="dxa"/>
            <w:right w:w="108" w:type="dxa"/>
          </w:tblCellMar>
        </w:tblPrEx>
        <w:trPr>
          <w:gridAfter w:val="1"/>
          <w:wAfter w:w="4" w:type="dxa"/>
          <w:trHeight w:val="270" w:hRule="atLeast"/>
        </w:trPr>
        <w:tc>
          <w:tcPr>
            <w:tcW w:w="0" w:type="auto"/>
            <w:gridSpan w:val="3"/>
            <w:tcBorders>
              <w:top w:val="nil"/>
              <w:left w:val="nil"/>
              <w:bottom w:val="nil"/>
              <w:right w:val="nil"/>
            </w:tcBorders>
            <w:shd w:val="clear" w:color="auto" w:fill="auto"/>
            <w:noWrap/>
            <w:vAlign w:val="bottom"/>
          </w:tcPr>
          <w:p w14:paraId="19602494">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部门：溆浦县淘金坪乡人民政府</w:t>
            </w:r>
          </w:p>
        </w:tc>
        <w:tc>
          <w:tcPr>
            <w:tcW w:w="0" w:type="auto"/>
            <w:tcBorders>
              <w:top w:val="nil"/>
              <w:left w:val="nil"/>
              <w:bottom w:val="nil"/>
              <w:right w:val="nil"/>
            </w:tcBorders>
            <w:shd w:val="clear" w:color="auto" w:fill="auto"/>
            <w:noWrap/>
            <w:vAlign w:val="center"/>
          </w:tcPr>
          <w:p w14:paraId="265EF43C">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73A2D7F">
            <w:pPr>
              <w:rPr>
                <w:rFonts w:ascii="宋体" w:hAnsi="宋体" w:eastAsia="宋体" w:cs="宋体"/>
                <w:color w:val="000000"/>
                <w:sz w:val="22"/>
              </w:rPr>
            </w:pPr>
          </w:p>
        </w:tc>
        <w:tc>
          <w:tcPr>
            <w:tcW w:w="0" w:type="auto"/>
            <w:gridSpan w:val="3"/>
            <w:tcBorders>
              <w:top w:val="nil"/>
              <w:left w:val="nil"/>
              <w:bottom w:val="nil"/>
              <w:right w:val="nil"/>
            </w:tcBorders>
            <w:shd w:val="clear" w:color="auto" w:fill="auto"/>
            <w:noWrap/>
            <w:vAlign w:val="center"/>
          </w:tcPr>
          <w:p w14:paraId="0BECA6C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B5CA7D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C9B7EBD">
            <w:pPr>
              <w:rPr>
                <w:rFonts w:ascii="宋体" w:hAnsi="宋体" w:eastAsia="宋体" w:cs="宋体"/>
                <w:color w:val="000000"/>
                <w:sz w:val="22"/>
              </w:rPr>
            </w:pPr>
          </w:p>
        </w:tc>
        <w:tc>
          <w:tcPr>
            <w:tcW w:w="0" w:type="auto"/>
            <w:gridSpan w:val="2"/>
            <w:tcBorders>
              <w:top w:val="nil"/>
              <w:left w:val="nil"/>
              <w:bottom w:val="nil"/>
              <w:right w:val="nil"/>
            </w:tcBorders>
            <w:shd w:val="clear" w:color="auto" w:fill="auto"/>
            <w:noWrap/>
            <w:vAlign w:val="center"/>
          </w:tcPr>
          <w:p w14:paraId="15A23DD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A379E73">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CA14D5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142E13E1">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14BA3546">
        <w:tblPrEx>
          <w:tblCellMar>
            <w:top w:w="0" w:type="dxa"/>
            <w:left w:w="108" w:type="dxa"/>
            <w:bottom w:w="0" w:type="dxa"/>
            <w:right w:w="108" w:type="dxa"/>
          </w:tblCellMar>
        </w:tblPrEx>
        <w:trPr>
          <w:gridAfter w:val="1"/>
          <w:wAfter w:w="4" w:type="dxa"/>
          <w:trHeight w:val="3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D9F50">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9C34C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年初结转和结余</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78E4A2">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本年收入</w:t>
            </w:r>
          </w:p>
        </w:tc>
        <w:tc>
          <w:tcPr>
            <w:tcW w:w="504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10F4F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本年支出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049AF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年末结转和结余</w:t>
            </w:r>
          </w:p>
        </w:tc>
      </w:tr>
      <w:tr w14:paraId="1DE633E1">
        <w:tblPrEx>
          <w:tblCellMar>
            <w:top w:w="0" w:type="dxa"/>
            <w:left w:w="108" w:type="dxa"/>
            <w:bottom w:w="0" w:type="dxa"/>
            <w:right w:w="108" w:type="dxa"/>
          </w:tblCellMar>
        </w:tblPrEx>
        <w:trPr>
          <w:gridAfter w:val="1"/>
          <w:wAfter w:w="4" w:type="dxa"/>
          <w:trHeight w:val="312" w:hRule="atLeast"/>
        </w:trPr>
        <w:tc>
          <w:tcPr>
            <w:tcW w:w="99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77DCA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科目代码</w:t>
            </w:r>
          </w:p>
        </w:tc>
        <w:tc>
          <w:tcPr>
            <w:tcW w:w="0" w:type="auto"/>
            <w:gridSpan w:val="3"/>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D4F0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科目名称</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F0863F">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23436">
            <w:pPr>
              <w:jc w:val="center"/>
              <w:rPr>
                <w:rFonts w:ascii="宋体" w:hAnsi="宋体" w:eastAsia="宋体" w:cs="宋体"/>
                <w:color w:val="000000"/>
                <w:sz w:val="22"/>
              </w:rPr>
            </w:pPr>
          </w:p>
        </w:tc>
        <w:tc>
          <w:tcPr>
            <w:tcW w:w="168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4CA24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506AF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基本支出</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4911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项目支出</w:t>
            </w: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12D1B9">
            <w:pPr>
              <w:jc w:val="center"/>
              <w:rPr>
                <w:rFonts w:ascii="宋体" w:hAnsi="宋体" w:eastAsia="宋体" w:cs="宋体"/>
                <w:color w:val="000000"/>
                <w:sz w:val="22"/>
              </w:rPr>
            </w:pPr>
          </w:p>
        </w:tc>
      </w:tr>
      <w:tr w14:paraId="095BAA52">
        <w:tblPrEx>
          <w:tblCellMar>
            <w:top w:w="0" w:type="dxa"/>
            <w:left w:w="108" w:type="dxa"/>
            <w:bottom w:w="0" w:type="dxa"/>
            <w:right w:w="108" w:type="dxa"/>
          </w:tblCellMar>
        </w:tblPrEx>
        <w:trPr>
          <w:gridAfter w:val="1"/>
          <w:wAfter w:w="4" w:type="dxa"/>
          <w:trHeight w:val="312" w:hRule="atLeast"/>
        </w:trPr>
        <w:tc>
          <w:tcPr>
            <w:tcW w:w="99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ACE495">
            <w:pPr>
              <w:jc w:val="center"/>
              <w:rPr>
                <w:rFonts w:ascii="宋体" w:hAnsi="宋体" w:eastAsia="宋体" w:cs="宋体"/>
                <w:color w:val="000000"/>
                <w:sz w:val="22"/>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30F5EB">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B1060">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541C6">
            <w:pPr>
              <w:jc w:val="center"/>
              <w:rPr>
                <w:rFonts w:ascii="宋体" w:hAnsi="宋体" w:eastAsia="宋体" w:cs="宋体"/>
                <w:color w:val="000000"/>
                <w:sz w:val="22"/>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54A3AB">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C869A">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42447">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D15FD8">
            <w:pPr>
              <w:jc w:val="center"/>
              <w:rPr>
                <w:rFonts w:ascii="宋体" w:hAnsi="宋体" w:eastAsia="宋体" w:cs="宋体"/>
                <w:color w:val="000000"/>
                <w:sz w:val="22"/>
              </w:rPr>
            </w:pPr>
          </w:p>
        </w:tc>
      </w:tr>
      <w:tr w14:paraId="2D007AFF">
        <w:tblPrEx>
          <w:tblCellMar>
            <w:top w:w="0" w:type="dxa"/>
            <w:left w:w="108" w:type="dxa"/>
            <w:bottom w:w="0" w:type="dxa"/>
            <w:right w:w="108" w:type="dxa"/>
          </w:tblCellMar>
        </w:tblPrEx>
        <w:trPr>
          <w:gridAfter w:val="1"/>
          <w:wAfter w:w="4" w:type="dxa"/>
          <w:trHeight w:val="312" w:hRule="atLeast"/>
        </w:trPr>
        <w:tc>
          <w:tcPr>
            <w:tcW w:w="99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769533">
            <w:pPr>
              <w:jc w:val="center"/>
              <w:rPr>
                <w:rFonts w:ascii="宋体" w:hAnsi="宋体" w:eastAsia="宋体" w:cs="宋体"/>
                <w:color w:val="000000"/>
                <w:sz w:val="22"/>
              </w:rPr>
            </w:pPr>
          </w:p>
        </w:tc>
        <w:tc>
          <w:tcPr>
            <w:tcW w:w="0" w:type="auto"/>
            <w:gridSpan w:val="3"/>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C9A38">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F0BAB">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0860B">
            <w:pPr>
              <w:jc w:val="center"/>
              <w:rPr>
                <w:rFonts w:ascii="宋体" w:hAnsi="宋体" w:eastAsia="宋体" w:cs="宋体"/>
                <w:color w:val="000000"/>
                <w:sz w:val="22"/>
              </w:rPr>
            </w:pPr>
          </w:p>
        </w:tc>
        <w:tc>
          <w:tcPr>
            <w:tcW w:w="168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5F223">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D0780">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9FBAD6">
            <w:pPr>
              <w:jc w:val="center"/>
              <w:rPr>
                <w:rFonts w:ascii="宋体" w:hAnsi="宋体" w:eastAsia="宋体" w:cs="宋体"/>
                <w:color w:val="000000"/>
                <w:sz w:val="22"/>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EC664">
            <w:pPr>
              <w:jc w:val="center"/>
              <w:rPr>
                <w:rFonts w:ascii="宋体" w:hAnsi="宋体" w:eastAsia="宋体" w:cs="宋体"/>
                <w:color w:val="000000"/>
                <w:sz w:val="22"/>
              </w:rPr>
            </w:pPr>
          </w:p>
        </w:tc>
      </w:tr>
      <w:tr w14:paraId="6BD564FF">
        <w:tblPrEx>
          <w:tblCellMar>
            <w:top w:w="0" w:type="dxa"/>
            <w:left w:w="108" w:type="dxa"/>
            <w:bottom w:w="0" w:type="dxa"/>
            <w:right w:w="108" w:type="dxa"/>
          </w:tblCellMar>
        </w:tblPrEx>
        <w:trPr>
          <w:gridAfter w:val="1"/>
          <w:wAfter w:w="4" w:type="dxa"/>
          <w:trHeight w:val="3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021C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栏次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D05A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396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8E9DF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B71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65B6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80945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r>
      <w:tr w14:paraId="2FDFE79D">
        <w:tblPrEx>
          <w:tblCellMar>
            <w:top w:w="0" w:type="dxa"/>
            <w:left w:w="108" w:type="dxa"/>
            <w:bottom w:w="0" w:type="dxa"/>
            <w:right w:w="108" w:type="dxa"/>
          </w:tblCellMar>
        </w:tblPrEx>
        <w:trPr>
          <w:gridAfter w:val="1"/>
          <w:wAfter w:w="4" w:type="dxa"/>
          <w:trHeight w:val="300" w:hRule="atLeast"/>
        </w:trPr>
        <w:tc>
          <w:tcPr>
            <w:tcW w:w="0" w:type="auto"/>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2E22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D729">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83A0">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C825B">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DC566">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B9059">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7.00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E933">
            <w:pPr>
              <w:widowControl/>
              <w:jc w:val="right"/>
              <w:textAlignment w:val="center"/>
              <w:rPr>
                <w:rFonts w:ascii="宋体" w:hAnsi="宋体" w:eastAsia="宋体" w:cs="宋体"/>
                <w:b/>
                <w:bCs/>
                <w:color w:val="000000"/>
                <w:sz w:val="22"/>
              </w:rPr>
            </w:pPr>
            <w:r>
              <w:rPr>
                <w:rFonts w:hint="eastAsia" w:ascii="宋体" w:hAnsi="宋体" w:eastAsia="宋体" w:cs="宋体"/>
                <w:b/>
                <w:bCs/>
                <w:color w:val="000000"/>
                <w:kern w:val="0"/>
                <w:sz w:val="22"/>
              </w:rPr>
              <w:t>0.00</w:t>
            </w:r>
          </w:p>
        </w:tc>
      </w:tr>
      <w:tr w14:paraId="4D721A82">
        <w:tblPrEx>
          <w:tblCellMar>
            <w:top w:w="0" w:type="dxa"/>
            <w:left w:w="108" w:type="dxa"/>
            <w:bottom w:w="0" w:type="dxa"/>
            <w:right w:w="108" w:type="dxa"/>
          </w:tblCellMar>
        </w:tblPrEx>
        <w:trPr>
          <w:gridAfter w:val="1"/>
          <w:wAfter w:w="4" w:type="dxa"/>
          <w:trHeight w:val="3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3B92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9EDCB">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25E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CA82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399A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6BB5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DD7F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45AD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4E948451">
        <w:tblPrEx>
          <w:tblCellMar>
            <w:top w:w="0" w:type="dxa"/>
            <w:left w:w="108" w:type="dxa"/>
            <w:bottom w:w="0" w:type="dxa"/>
            <w:right w:w="108" w:type="dxa"/>
          </w:tblCellMar>
        </w:tblPrEx>
        <w:trPr>
          <w:gridAfter w:val="1"/>
          <w:wAfter w:w="4" w:type="dxa"/>
          <w:trHeight w:val="3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8C47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799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小型水库移民扶助基金安排的支出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1118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A73EC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550D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3C45">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E958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DC88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96DBC10">
        <w:tblPrEx>
          <w:tblCellMar>
            <w:top w:w="0" w:type="dxa"/>
            <w:left w:w="108" w:type="dxa"/>
            <w:bottom w:w="0" w:type="dxa"/>
            <w:right w:w="108" w:type="dxa"/>
          </w:tblCellMar>
        </w:tblPrEx>
        <w:trPr>
          <w:gridAfter w:val="1"/>
          <w:wAfter w:w="4" w:type="dxa"/>
          <w:trHeight w:val="3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DEFE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2082302</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346B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基础设施建设和经济发展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0AD2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499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38183">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A04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8E9A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5.00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3E4B8">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5ED61E33">
        <w:tblPrEx>
          <w:tblCellMar>
            <w:top w:w="0" w:type="dxa"/>
            <w:left w:w="108" w:type="dxa"/>
            <w:bottom w:w="0" w:type="dxa"/>
            <w:right w:w="108" w:type="dxa"/>
          </w:tblCellMar>
        </w:tblPrEx>
        <w:trPr>
          <w:gridAfter w:val="1"/>
          <w:wAfter w:w="4" w:type="dxa"/>
          <w:trHeight w:val="3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AE168">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DD3BF">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0F9D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B0E5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81B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35A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BDB3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E41E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16685DAC">
        <w:tblPrEx>
          <w:tblCellMar>
            <w:top w:w="0" w:type="dxa"/>
            <w:left w:w="108" w:type="dxa"/>
            <w:bottom w:w="0" w:type="dxa"/>
            <w:right w:w="108" w:type="dxa"/>
          </w:tblCellMar>
        </w:tblPrEx>
        <w:trPr>
          <w:gridAfter w:val="1"/>
          <w:wAfter w:w="4" w:type="dxa"/>
          <w:trHeight w:val="3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794E">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EA08D">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其他政府性基金及对应专项债务收入安排的支出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60AF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91DB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BE49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F8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2254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BA78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0B803CD8">
        <w:tblPrEx>
          <w:tblCellMar>
            <w:top w:w="0" w:type="dxa"/>
            <w:left w:w="108" w:type="dxa"/>
            <w:bottom w:w="0" w:type="dxa"/>
            <w:right w:w="108" w:type="dxa"/>
          </w:tblCellMar>
        </w:tblPrEx>
        <w:trPr>
          <w:gridAfter w:val="1"/>
          <w:wAfter w:w="4" w:type="dxa"/>
          <w:trHeight w:val="300" w:hRule="atLeast"/>
        </w:trPr>
        <w:tc>
          <w:tcPr>
            <w:tcW w:w="0" w:type="auto"/>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5624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2290401</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9F329">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其他政府性基金安排的支出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DEC08D">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3F83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61A2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08E6">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B0BD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C8C32">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r>
      <w:tr w14:paraId="6F993BD4">
        <w:tblPrEx>
          <w:tblCellMar>
            <w:top w:w="0" w:type="dxa"/>
            <w:left w:w="108" w:type="dxa"/>
            <w:bottom w:w="0" w:type="dxa"/>
            <w:right w:w="108" w:type="dxa"/>
          </w:tblCellMar>
        </w:tblPrEx>
        <w:trPr>
          <w:gridAfter w:val="1"/>
          <w:wAfter w:w="4" w:type="dxa"/>
          <w:trHeight w:val="300" w:hRule="atLeast"/>
        </w:trPr>
        <w:tc>
          <w:tcPr>
            <w:tcW w:w="0" w:type="auto"/>
            <w:gridSpan w:val="15"/>
            <w:tcBorders>
              <w:top w:val="nil"/>
              <w:left w:val="nil"/>
              <w:bottom w:val="nil"/>
              <w:right w:val="nil"/>
            </w:tcBorders>
            <w:shd w:val="clear" w:color="auto" w:fill="auto"/>
            <w:noWrap/>
            <w:vAlign w:val="center"/>
          </w:tcPr>
          <w:p w14:paraId="4939AC1A">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注：本表反映部门本年度政府性基金预算财政拨款收入、支出及结转和结余情况。</w:t>
            </w:r>
          </w:p>
        </w:tc>
      </w:tr>
      <w:tr w14:paraId="03802DC2">
        <w:tblPrEx>
          <w:tblCellMar>
            <w:top w:w="0" w:type="dxa"/>
            <w:left w:w="108" w:type="dxa"/>
            <w:bottom w:w="0" w:type="dxa"/>
            <w:right w:w="108" w:type="dxa"/>
          </w:tblCellMar>
        </w:tblPrEx>
        <w:trPr>
          <w:trHeight w:val="963" w:hRule="atLeast"/>
        </w:trPr>
        <w:tc>
          <w:tcPr>
            <w:tcW w:w="15120" w:type="dxa"/>
            <w:gridSpan w:val="16"/>
            <w:tcBorders>
              <w:top w:val="nil"/>
              <w:left w:val="nil"/>
              <w:bottom w:val="nil"/>
              <w:right w:val="nil"/>
            </w:tcBorders>
            <w:shd w:val="clear" w:color="auto" w:fill="auto"/>
            <w:vAlign w:val="center"/>
          </w:tcPr>
          <w:p w14:paraId="3F54558F">
            <w:pPr>
              <w:widowControl/>
              <w:jc w:val="center"/>
              <w:textAlignment w:val="center"/>
              <w:rPr>
                <w:rFonts w:ascii="华文中宋" w:hAnsi="华文中宋" w:eastAsia="华文中宋" w:cs="华文中宋"/>
                <w:color w:val="000000"/>
                <w:sz w:val="32"/>
                <w:szCs w:val="32"/>
              </w:rPr>
            </w:pPr>
            <w:r>
              <w:rPr>
                <w:rFonts w:hint="eastAsia" w:ascii="华文中宋" w:hAnsi="华文中宋" w:eastAsia="华文中宋" w:cs="华文中宋"/>
                <w:color w:val="000000"/>
                <w:kern w:val="0"/>
                <w:sz w:val="32"/>
                <w:szCs w:val="32"/>
              </w:rPr>
              <w:t>国有资本经营预算财政拨款支出决算表</w:t>
            </w:r>
          </w:p>
        </w:tc>
      </w:tr>
      <w:tr w14:paraId="7697ABB9">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auto"/>
            <w:vAlign w:val="center"/>
          </w:tcPr>
          <w:p w14:paraId="120436B9">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auto"/>
            <w:vAlign w:val="center"/>
          </w:tcPr>
          <w:p w14:paraId="1437FCCD">
            <w:pPr>
              <w:jc w:val="center"/>
              <w:rPr>
                <w:rFonts w:ascii="宋体" w:hAnsi="宋体" w:eastAsia="宋体" w:cs="宋体"/>
                <w:color w:val="000000"/>
                <w:sz w:val="20"/>
                <w:szCs w:val="20"/>
              </w:rPr>
            </w:pPr>
          </w:p>
        </w:tc>
        <w:tc>
          <w:tcPr>
            <w:tcW w:w="2292" w:type="dxa"/>
            <w:gridSpan w:val="4"/>
            <w:tcBorders>
              <w:top w:val="nil"/>
              <w:left w:val="nil"/>
              <w:bottom w:val="nil"/>
              <w:right w:val="nil"/>
            </w:tcBorders>
            <w:shd w:val="clear" w:color="auto" w:fill="auto"/>
            <w:vAlign w:val="center"/>
          </w:tcPr>
          <w:p w14:paraId="59A7248A">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auto"/>
            <w:vAlign w:val="center"/>
          </w:tcPr>
          <w:p w14:paraId="2805C9F3">
            <w:pPr>
              <w:rPr>
                <w:rFonts w:ascii="宋体" w:hAnsi="宋体" w:eastAsia="宋体" w:cs="宋体"/>
                <w:color w:val="000000"/>
                <w:sz w:val="20"/>
                <w:szCs w:val="20"/>
              </w:rPr>
            </w:pPr>
          </w:p>
        </w:tc>
        <w:tc>
          <w:tcPr>
            <w:tcW w:w="3315" w:type="dxa"/>
            <w:gridSpan w:val="4"/>
            <w:tcBorders>
              <w:top w:val="nil"/>
              <w:left w:val="nil"/>
              <w:bottom w:val="nil"/>
              <w:right w:val="nil"/>
            </w:tcBorders>
            <w:shd w:val="clear" w:color="auto" w:fill="auto"/>
            <w:vAlign w:val="center"/>
          </w:tcPr>
          <w:p w14:paraId="45A86FF3">
            <w:pPr>
              <w:rPr>
                <w:rFonts w:ascii="宋体" w:hAnsi="宋体" w:eastAsia="宋体" w:cs="宋体"/>
                <w:color w:val="000000"/>
                <w:sz w:val="20"/>
                <w:szCs w:val="20"/>
              </w:rPr>
            </w:pPr>
          </w:p>
        </w:tc>
        <w:tc>
          <w:tcPr>
            <w:tcW w:w="0" w:type="auto"/>
            <w:gridSpan w:val="5"/>
            <w:tcBorders>
              <w:top w:val="nil"/>
              <w:left w:val="nil"/>
              <w:bottom w:val="nil"/>
              <w:right w:val="nil"/>
            </w:tcBorders>
            <w:shd w:val="clear" w:color="auto" w:fill="auto"/>
            <w:noWrap/>
            <w:vAlign w:val="center"/>
          </w:tcPr>
          <w:p w14:paraId="3C8638F8">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公开08表</w:t>
            </w:r>
          </w:p>
        </w:tc>
      </w:tr>
      <w:tr w14:paraId="137848F5">
        <w:tblPrEx>
          <w:tblCellMar>
            <w:top w:w="0" w:type="dxa"/>
            <w:left w:w="108" w:type="dxa"/>
            <w:bottom w:w="0" w:type="dxa"/>
            <w:right w:w="108" w:type="dxa"/>
          </w:tblCellMar>
        </w:tblPrEx>
        <w:trPr>
          <w:trHeight w:val="417" w:hRule="atLeast"/>
        </w:trPr>
        <w:tc>
          <w:tcPr>
            <w:tcW w:w="4319" w:type="dxa"/>
            <w:gridSpan w:val="6"/>
            <w:tcBorders>
              <w:top w:val="nil"/>
              <w:left w:val="nil"/>
              <w:bottom w:val="nil"/>
              <w:right w:val="nil"/>
            </w:tcBorders>
            <w:shd w:val="clear" w:color="auto" w:fill="auto"/>
            <w:noWrap/>
            <w:vAlign w:val="center"/>
          </w:tcPr>
          <w:p w14:paraId="04F8E17B">
            <w:pPr>
              <w:jc w:val="left"/>
              <w:rPr>
                <w:rFonts w:ascii="宋体" w:hAnsi="宋体" w:eastAsia="宋体" w:cs="宋体"/>
                <w:color w:val="000000"/>
                <w:sz w:val="20"/>
                <w:szCs w:val="20"/>
              </w:rPr>
            </w:pPr>
            <w:r>
              <w:rPr>
                <w:rFonts w:hint="eastAsia" w:ascii="宋体" w:hAnsi="宋体" w:eastAsia="宋体" w:cs="宋体"/>
                <w:color w:val="000000"/>
                <w:kern w:val="0"/>
                <w:sz w:val="20"/>
                <w:szCs w:val="20"/>
              </w:rPr>
              <w:t>部门：溆浦县淘金坪乡人民政府</w:t>
            </w:r>
          </w:p>
        </w:tc>
        <w:tc>
          <w:tcPr>
            <w:tcW w:w="3315" w:type="dxa"/>
            <w:tcBorders>
              <w:top w:val="nil"/>
              <w:left w:val="nil"/>
              <w:bottom w:val="nil"/>
              <w:right w:val="nil"/>
            </w:tcBorders>
            <w:shd w:val="clear" w:color="auto" w:fill="auto"/>
            <w:vAlign w:val="center"/>
          </w:tcPr>
          <w:p w14:paraId="1DAC8B74">
            <w:pPr>
              <w:rPr>
                <w:rFonts w:ascii="宋体" w:hAnsi="宋体" w:eastAsia="宋体" w:cs="宋体"/>
                <w:color w:val="000000"/>
                <w:sz w:val="20"/>
                <w:szCs w:val="20"/>
              </w:rPr>
            </w:pPr>
          </w:p>
        </w:tc>
        <w:tc>
          <w:tcPr>
            <w:tcW w:w="3315" w:type="dxa"/>
            <w:gridSpan w:val="4"/>
            <w:tcBorders>
              <w:top w:val="nil"/>
              <w:left w:val="nil"/>
              <w:bottom w:val="nil"/>
              <w:right w:val="nil"/>
            </w:tcBorders>
            <w:shd w:val="clear" w:color="auto" w:fill="auto"/>
            <w:vAlign w:val="center"/>
          </w:tcPr>
          <w:p w14:paraId="3C3A7125">
            <w:pPr>
              <w:rPr>
                <w:rFonts w:ascii="宋体" w:hAnsi="宋体" w:eastAsia="宋体" w:cs="宋体"/>
                <w:color w:val="000000"/>
                <w:sz w:val="20"/>
                <w:szCs w:val="20"/>
              </w:rPr>
            </w:pPr>
          </w:p>
        </w:tc>
        <w:tc>
          <w:tcPr>
            <w:tcW w:w="0" w:type="auto"/>
            <w:gridSpan w:val="5"/>
            <w:tcBorders>
              <w:top w:val="nil"/>
              <w:left w:val="nil"/>
              <w:bottom w:val="nil"/>
              <w:right w:val="nil"/>
            </w:tcBorders>
            <w:shd w:val="clear" w:color="auto" w:fill="auto"/>
            <w:noWrap/>
            <w:vAlign w:val="center"/>
          </w:tcPr>
          <w:p w14:paraId="4805BA40">
            <w:pPr>
              <w:widowControl/>
              <w:jc w:val="righ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单位：万元</w:t>
            </w:r>
          </w:p>
        </w:tc>
      </w:tr>
      <w:tr w14:paraId="6E3BFE3F">
        <w:tblPrEx>
          <w:tblCellMar>
            <w:top w:w="0" w:type="dxa"/>
            <w:left w:w="108" w:type="dxa"/>
            <w:bottom w:w="0" w:type="dxa"/>
            <w:right w:w="108" w:type="dxa"/>
          </w:tblCellMar>
        </w:tblPrEx>
        <w:trPr>
          <w:trHeight w:val="548" w:hRule="atLeast"/>
        </w:trPr>
        <w:tc>
          <w:tcPr>
            <w:tcW w:w="43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E131812">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项 </w:t>
            </w:r>
            <w:r>
              <w:rPr>
                <w:rStyle w:val="18"/>
                <w:rFonts w:hint="default"/>
              </w:rPr>
              <w:t>目</w:t>
            </w:r>
          </w:p>
        </w:tc>
        <w:tc>
          <w:tcPr>
            <w:tcW w:w="108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60D71F">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本年支出</w:t>
            </w:r>
          </w:p>
        </w:tc>
      </w:tr>
      <w:tr w14:paraId="0A3A5611">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318E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科目代码</w:t>
            </w:r>
          </w:p>
        </w:tc>
        <w:tc>
          <w:tcPr>
            <w:tcW w:w="229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1D836A">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3C834E">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3315"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01043">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 xml:space="preserve">基本支出  </w:t>
            </w:r>
          </w:p>
        </w:tc>
        <w:tc>
          <w:tcPr>
            <w:tcW w:w="4171"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771C3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项目支出</w:t>
            </w:r>
          </w:p>
        </w:tc>
      </w:tr>
      <w:tr w14:paraId="5D614AE4">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CBF69F">
            <w:pPr>
              <w:jc w:val="center"/>
              <w:rPr>
                <w:rFonts w:ascii="宋体" w:hAnsi="宋体" w:eastAsia="宋体" w:cs="宋体"/>
                <w:color w:val="000000"/>
                <w:sz w:val="24"/>
                <w:szCs w:val="24"/>
              </w:rPr>
            </w:pPr>
          </w:p>
        </w:tc>
        <w:tc>
          <w:tcPr>
            <w:tcW w:w="22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01266B">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91C9B">
            <w:pPr>
              <w:jc w:val="center"/>
              <w:rPr>
                <w:rFonts w:ascii="宋体" w:hAnsi="宋体" w:eastAsia="宋体" w:cs="宋体"/>
                <w:color w:val="000000"/>
                <w:sz w:val="24"/>
                <w:szCs w:val="24"/>
              </w:rPr>
            </w:pPr>
          </w:p>
        </w:tc>
        <w:tc>
          <w:tcPr>
            <w:tcW w:w="331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3115F5">
            <w:pPr>
              <w:jc w:val="center"/>
              <w:rPr>
                <w:rFonts w:ascii="宋体" w:hAnsi="宋体" w:eastAsia="宋体" w:cs="宋体"/>
                <w:color w:val="000000"/>
                <w:sz w:val="24"/>
                <w:szCs w:val="24"/>
              </w:rPr>
            </w:pPr>
          </w:p>
        </w:tc>
        <w:tc>
          <w:tcPr>
            <w:tcW w:w="41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0E18A8">
            <w:pPr>
              <w:jc w:val="center"/>
              <w:rPr>
                <w:rFonts w:ascii="宋体" w:hAnsi="宋体" w:eastAsia="宋体" w:cs="宋体"/>
                <w:color w:val="000000"/>
                <w:sz w:val="24"/>
                <w:szCs w:val="24"/>
              </w:rPr>
            </w:pPr>
          </w:p>
        </w:tc>
      </w:tr>
      <w:tr w14:paraId="215AA756">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D0E87B">
            <w:pPr>
              <w:jc w:val="center"/>
              <w:rPr>
                <w:rFonts w:ascii="宋体" w:hAnsi="宋体" w:eastAsia="宋体" w:cs="宋体"/>
                <w:color w:val="000000"/>
                <w:sz w:val="24"/>
                <w:szCs w:val="24"/>
              </w:rPr>
            </w:pPr>
          </w:p>
        </w:tc>
        <w:tc>
          <w:tcPr>
            <w:tcW w:w="22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6820D">
            <w:pPr>
              <w:jc w:val="center"/>
              <w:rPr>
                <w:rFonts w:ascii="宋体" w:hAnsi="宋体" w:eastAsia="宋体"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A29744">
            <w:pPr>
              <w:jc w:val="center"/>
              <w:rPr>
                <w:rFonts w:ascii="宋体" w:hAnsi="宋体" w:eastAsia="宋体" w:cs="宋体"/>
                <w:color w:val="000000"/>
                <w:sz w:val="24"/>
                <w:szCs w:val="24"/>
              </w:rPr>
            </w:pPr>
          </w:p>
        </w:tc>
        <w:tc>
          <w:tcPr>
            <w:tcW w:w="3315"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BB93B">
            <w:pPr>
              <w:jc w:val="center"/>
              <w:rPr>
                <w:rFonts w:ascii="宋体" w:hAnsi="宋体" w:eastAsia="宋体" w:cs="宋体"/>
                <w:color w:val="000000"/>
                <w:sz w:val="24"/>
                <w:szCs w:val="24"/>
              </w:rPr>
            </w:pPr>
          </w:p>
        </w:tc>
        <w:tc>
          <w:tcPr>
            <w:tcW w:w="4171"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60EE4">
            <w:pPr>
              <w:jc w:val="center"/>
              <w:rPr>
                <w:rFonts w:ascii="宋体" w:hAnsi="宋体" w:eastAsia="宋体" w:cs="宋体"/>
                <w:color w:val="000000"/>
                <w:sz w:val="24"/>
                <w:szCs w:val="24"/>
              </w:rPr>
            </w:pPr>
          </w:p>
        </w:tc>
      </w:tr>
      <w:tr w14:paraId="5204AB8E">
        <w:tblPrEx>
          <w:tblCellMar>
            <w:top w:w="0" w:type="dxa"/>
            <w:left w:w="108" w:type="dxa"/>
            <w:bottom w:w="0" w:type="dxa"/>
            <w:right w:w="108" w:type="dxa"/>
          </w:tblCellMar>
        </w:tblPrEx>
        <w:trPr>
          <w:trHeight w:val="548" w:hRule="atLeast"/>
        </w:trPr>
        <w:tc>
          <w:tcPr>
            <w:tcW w:w="43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5A5CD0">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3D41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1</w:t>
            </w: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79DC1B">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2</w:t>
            </w:r>
          </w:p>
        </w:tc>
        <w:tc>
          <w:tcPr>
            <w:tcW w:w="41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06136B7">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3</w:t>
            </w:r>
          </w:p>
        </w:tc>
      </w:tr>
      <w:tr w14:paraId="7133B227">
        <w:tblPrEx>
          <w:tblCellMar>
            <w:top w:w="0" w:type="dxa"/>
            <w:left w:w="108" w:type="dxa"/>
            <w:bottom w:w="0" w:type="dxa"/>
            <w:right w:w="108" w:type="dxa"/>
          </w:tblCellMar>
        </w:tblPrEx>
        <w:trPr>
          <w:trHeight w:val="548" w:hRule="atLeast"/>
        </w:trPr>
        <w:tc>
          <w:tcPr>
            <w:tcW w:w="431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6E10D6">
            <w:pPr>
              <w:widowControl/>
              <w:jc w:val="center"/>
              <w:textAlignment w:val="center"/>
              <w:rPr>
                <w:rFonts w:ascii="宋体" w:hAnsi="宋体" w:eastAsia="宋体" w:cs="宋体"/>
                <w:color w:val="000000"/>
                <w:sz w:val="24"/>
                <w:szCs w:val="24"/>
              </w:rPr>
            </w:pPr>
            <w:r>
              <w:rPr>
                <w:rFonts w:hint="eastAsia" w:ascii="宋体" w:hAnsi="宋体" w:eastAsia="宋体" w:cs="宋体"/>
                <w:color w:val="000000"/>
                <w:kern w:val="0"/>
                <w:sz w:val="24"/>
                <w:szCs w:val="24"/>
              </w:rPr>
              <w:t>合计</w:t>
            </w:r>
          </w:p>
        </w:tc>
        <w:tc>
          <w:tcPr>
            <w:tcW w:w="10801"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361B13">
            <w:pPr>
              <w:jc w:val="center"/>
              <w:rPr>
                <w:rFonts w:ascii="宋体" w:hAnsi="宋体" w:eastAsia="宋体" w:cs="宋体"/>
                <w:color w:val="000000"/>
                <w:sz w:val="24"/>
                <w:szCs w:val="24"/>
              </w:rPr>
            </w:pPr>
            <w:r>
              <w:rPr>
                <w:rFonts w:hint="eastAsia" w:ascii="楷体" w:hAnsi="楷体" w:eastAsia="楷体" w:cs="楷体"/>
                <w:b/>
                <w:bCs/>
                <w:kern w:val="0"/>
                <w:sz w:val="24"/>
                <w:szCs w:val="24"/>
              </w:rPr>
              <w:t>我单位没有使用国有资本经营预算安排的支出，故本表无数据。</w:t>
            </w:r>
          </w:p>
        </w:tc>
      </w:tr>
      <w:tr w14:paraId="4303BACC">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DD749E">
            <w:pPr>
              <w:jc w:val="center"/>
              <w:rPr>
                <w:rFonts w:ascii="宋体" w:hAnsi="宋体" w:eastAsia="宋体" w:cs="宋体"/>
                <w:color w:val="000000"/>
                <w:sz w:val="24"/>
                <w:szCs w:val="24"/>
              </w:rPr>
            </w:pPr>
          </w:p>
        </w:tc>
        <w:tc>
          <w:tcPr>
            <w:tcW w:w="22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F3F01E">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92719">
            <w:pPr>
              <w:rPr>
                <w:rFonts w:ascii="宋体" w:hAnsi="宋体" w:eastAsia="宋体" w:cs="宋体"/>
                <w:color w:val="000000"/>
                <w:sz w:val="24"/>
                <w:szCs w:val="24"/>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37A97C">
            <w:pPr>
              <w:rPr>
                <w:rFonts w:ascii="宋体" w:hAnsi="宋体" w:eastAsia="宋体" w:cs="宋体"/>
                <w:color w:val="000000"/>
                <w:sz w:val="24"/>
                <w:szCs w:val="24"/>
              </w:rPr>
            </w:pPr>
          </w:p>
        </w:tc>
        <w:tc>
          <w:tcPr>
            <w:tcW w:w="41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A8BF60">
            <w:pPr>
              <w:rPr>
                <w:rFonts w:ascii="宋体" w:hAnsi="宋体" w:eastAsia="宋体" w:cs="宋体"/>
                <w:color w:val="000000"/>
                <w:sz w:val="24"/>
                <w:szCs w:val="24"/>
              </w:rPr>
            </w:pPr>
          </w:p>
        </w:tc>
      </w:tr>
      <w:tr w14:paraId="304FB4BD">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B86839">
            <w:pPr>
              <w:jc w:val="center"/>
              <w:rPr>
                <w:rFonts w:ascii="宋体" w:hAnsi="宋体" w:eastAsia="宋体" w:cs="宋体"/>
                <w:color w:val="000000"/>
                <w:sz w:val="24"/>
                <w:szCs w:val="24"/>
              </w:rPr>
            </w:pPr>
          </w:p>
        </w:tc>
        <w:tc>
          <w:tcPr>
            <w:tcW w:w="22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6F30B2A">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9459">
            <w:pPr>
              <w:rPr>
                <w:rFonts w:ascii="宋体" w:hAnsi="宋体" w:eastAsia="宋体" w:cs="宋体"/>
                <w:color w:val="000000"/>
                <w:sz w:val="24"/>
                <w:szCs w:val="24"/>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948B6F">
            <w:pPr>
              <w:rPr>
                <w:rFonts w:ascii="宋体" w:hAnsi="宋体" w:eastAsia="宋体" w:cs="宋体"/>
                <w:color w:val="000000"/>
                <w:sz w:val="24"/>
                <w:szCs w:val="24"/>
              </w:rPr>
            </w:pPr>
          </w:p>
        </w:tc>
        <w:tc>
          <w:tcPr>
            <w:tcW w:w="41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C97164F">
            <w:pPr>
              <w:rPr>
                <w:rFonts w:ascii="宋体" w:hAnsi="宋体" w:eastAsia="宋体" w:cs="宋体"/>
                <w:color w:val="000000"/>
                <w:sz w:val="24"/>
                <w:szCs w:val="24"/>
              </w:rPr>
            </w:pPr>
          </w:p>
        </w:tc>
      </w:tr>
      <w:tr w14:paraId="410FA8C7">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1D94D">
            <w:pPr>
              <w:jc w:val="center"/>
              <w:rPr>
                <w:rFonts w:ascii="宋体" w:hAnsi="宋体" w:eastAsia="宋体" w:cs="宋体"/>
                <w:color w:val="000000"/>
                <w:sz w:val="24"/>
                <w:szCs w:val="24"/>
              </w:rPr>
            </w:pPr>
          </w:p>
        </w:tc>
        <w:tc>
          <w:tcPr>
            <w:tcW w:w="22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249212">
            <w:pPr>
              <w:rPr>
                <w:rFonts w:ascii="宋体" w:hAnsi="宋体" w:eastAsia="宋体"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E43C3">
            <w:pPr>
              <w:rPr>
                <w:rFonts w:ascii="宋体" w:hAnsi="宋体" w:eastAsia="宋体" w:cs="宋体"/>
                <w:color w:val="000000"/>
                <w:sz w:val="24"/>
                <w:szCs w:val="24"/>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D1A6D0">
            <w:pPr>
              <w:rPr>
                <w:rFonts w:ascii="宋体" w:hAnsi="宋体" w:eastAsia="宋体" w:cs="宋体"/>
                <w:color w:val="000000"/>
                <w:sz w:val="24"/>
                <w:szCs w:val="24"/>
              </w:rPr>
            </w:pPr>
          </w:p>
        </w:tc>
        <w:tc>
          <w:tcPr>
            <w:tcW w:w="41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5CB0B1">
            <w:pPr>
              <w:rPr>
                <w:rFonts w:ascii="宋体" w:hAnsi="宋体" w:eastAsia="宋体" w:cs="宋体"/>
                <w:color w:val="000000"/>
                <w:sz w:val="24"/>
                <w:szCs w:val="24"/>
              </w:rPr>
            </w:pPr>
          </w:p>
        </w:tc>
      </w:tr>
      <w:tr w14:paraId="4B345E71">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7D6C3D">
            <w:pPr>
              <w:jc w:val="center"/>
              <w:rPr>
                <w:rFonts w:ascii="宋体" w:hAnsi="宋体" w:eastAsia="宋体" w:cs="宋体"/>
                <w:color w:val="000000"/>
                <w:sz w:val="24"/>
                <w:szCs w:val="24"/>
              </w:rPr>
            </w:pPr>
          </w:p>
        </w:tc>
        <w:tc>
          <w:tcPr>
            <w:tcW w:w="22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68E905">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0AE92">
            <w:pPr>
              <w:rPr>
                <w:rFonts w:ascii="宋体" w:hAnsi="宋体" w:eastAsia="宋体" w:cs="宋体"/>
                <w:color w:val="000000"/>
                <w:sz w:val="24"/>
                <w:szCs w:val="24"/>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2ECAF11">
            <w:pPr>
              <w:rPr>
                <w:rFonts w:ascii="宋体" w:hAnsi="宋体" w:eastAsia="宋体" w:cs="宋体"/>
                <w:color w:val="000000"/>
                <w:sz w:val="24"/>
                <w:szCs w:val="24"/>
              </w:rPr>
            </w:pPr>
          </w:p>
        </w:tc>
        <w:tc>
          <w:tcPr>
            <w:tcW w:w="41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5E5429">
            <w:pPr>
              <w:rPr>
                <w:rFonts w:ascii="宋体" w:hAnsi="宋体" w:eastAsia="宋体" w:cs="宋体"/>
                <w:color w:val="000000"/>
                <w:sz w:val="24"/>
                <w:szCs w:val="24"/>
              </w:rPr>
            </w:pPr>
          </w:p>
        </w:tc>
      </w:tr>
      <w:tr w14:paraId="17DBF677">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3F1FC2">
            <w:pPr>
              <w:jc w:val="center"/>
              <w:rPr>
                <w:rFonts w:ascii="宋体" w:hAnsi="宋体" w:eastAsia="宋体" w:cs="宋体"/>
                <w:color w:val="000000"/>
                <w:sz w:val="24"/>
                <w:szCs w:val="24"/>
              </w:rPr>
            </w:pPr>
          </w:p>
        </w:tc>
        <w:tc>
          <w:tcPr>
            <w:tcW w:w="22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02DBC3">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DA19A">
            <w:pPr>
              <w:rPr>
                <w:rFonts w:ascii="宋体" w:hAnsi="宋体" w:eastAsia="宋体" w:cs="宋体"/>
                <w:color w:val="000000"/>
                <w:sz w:val="24"/>
                <w:szCs w:val="24"/>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5E22AA">
            <w:pPr>
              <w:rPr>
                <w:rFonts w:ascii="宋体" w:hAnsi="宋体" w:eastAsia="宋体" w:cs="宋体"/>
                <w:color w:val="000000"/>
                <w:sz w:val="24"/>
                <w:szCs w:val="24"/>
              </w:rPr>
            </w:pPr>
          </w:p>
        </w:tc>
        <w:tc>
          <w:tcPr>
            <w:tcW w:w="41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1F05BD">
            <w:pPr>
              <w:rPr>
                <w:rFonts w:ascii="宋体" w:hAnsi="宋体" w:eastAsia="宋体" w:cs="宋体"/>
                <w:color w:val="000000"/>
                <w:sz w:val="24"/>
                <w:szCs w:val="24"/>
              </w:rPr>
            </w:pPr>
          </w:p>
        </w:tc>
      </w:tr>
      <w:tr w14:paraId="1F2EB8BD">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D02B58">
            <w:pPr>
              <w:jc w:val="center"/>
              <w:rPr>
                <w:rFonts w:ascii="宋体" w:hAnsi="宋体" w:eastAsia="宋体" w:cs="宋体"/>
                <w:color w:val="000000"/>
                <w:sz w:val="24"/>
                <w:szCs w:val="24"/>
              </w:rPr>
            </w:pPr>
          </w:p>
        </w:tc>
        <w:tc>
          <w:tcPr>
            <w:tcW w:w="22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BB2479">
            <w:pPr>
              <w:rPr>
                <w:rFonts w:ascii="宋体" w:hAnsi="宋体" w:eastAsia="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CE83">
            <w:pPr>
              <w:rPr>
                <w:rFonts w:ascii="宋体" w:hAnsi="宋体" w:eastAsia="宋体" w:cs="宋体"/>
                <w:color w:val="000000"/>
                <w:sz w:val="24"/>
                <w:szCs w:val="24"/>
              </w:rPr>
            </w:pPr>
          </w:p>
        </w:tc>
        <w:tc>
          <w:tcPr>
            <w:tcW w:w="33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76C636">
            <w:pPr>
              <w:rPr>
                <w:rFonts w:ascii="宋体" w:hAnsi="宋体" w:eastAsia="宋体" w:cs="宋体"/>
                <w:color w:val="000000"/>
                <w:sz w:val="24"/>
                <w:szCs w:val="24"/>
              </w:rPr>
            </w:pPr>
          </w:p>
        </w:tc>
        <w:tc>
          <w:tcPr>
            <w:tcW w:w="417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643041">
            <w:pPr>
              <w:rPr>
                <w:rFonts w:ascii="宋体" w:hAnsi="宋体" w:eastAsia="宋体" w:cs="宋体"/>
                <w:color w:val="000000"/>
                <w:sz w:val="24"/>
                <w:szCs w:val="24"/>
              </w:rPr>
            </w:pPr>
          </w:p>
        </w:tc>
      </w:tr>
      <w:tr w14:paraId="43659B3D">
        <w:tblPrEx>
          <w:tblCellMar>
            <w:top w:w="0" w:type="dxa"/>
            <w:left w:w="108" w:type="dxa"/>
            <w:bottom w:w="0" w:type="dxa"/>
            <w:right w:w="108" w:type="dxa"/>
          </w:tblCellMar>
        </w:tblPrEx>
        <w:trPr>
          <w:trHeight w:val="976" w:hRule="atLeast"/>
        </w:trPr>
        <w:tc>
          <w:tcPr>
            <w:tcW w:w="15120" w:type="dxa"/>
            <w:gridSpan w:val="16"/>
            <w:tcBorders>
              <w:top w:val="nil"/>
              <w:left w:val="nil"/>
              <w:bottom w:val="nil"/>
              <w:right w:val="nil"/>
            </w:tcBorders>
            <w:shd w:val="clear" w:color="auto" w:fill="auto"/>
            <w:vAlign w:val="center"/>
          </w:tcPr>
          <w:p w14:paraId="44C59A64">
            <w:pPr>
              <w:widowControl/>
              <w:jc w:val="left"/>
              <w:textAlignment w:val="center"/>
              <w:rPr>
                <w:rFonts w:ascii="宋体" w:hAnsi="宋体" w:eastAsia="宋体" w:cs="宋体"/>
                <w:color w:val="000000"/>
                <w:kern w:val="0"/>
                <w:sz w:val="24"/>
                <w:szCs w:val="24"/>
              </w:rPr>
            </w:pPr>
            <w:r>
              <w:rPr>
                <w:rFonts w:hint="eastAsia" w:ascii="宋体" w:hAnsi="宋体" w:eastAsia="宋体" w:cs="宋体"/>
                <w:color w:val="000000"/>
                <w:kern w:val="0"/>
                <w:sz w:val="24"/>
                <w:szCs w:val="24"/>
              </w:rPr>
              <w:t>注：本表反映部门本年度国有资本经营预算财政拨款支出情况。</w:t>
            </w:r>
          </w:p>
          <w:p w14:paraId="17A9AD4E">
            <w:pPr>
              <w:widowControl/>
              <w:jc w:val="left"/>
              <w:textAlignment w:val="center"/>
              <w:rPr>
                <w:rFonts w:ascii="宋体" w:hAnsi="宋体" w:eastAsia="宋体" w:cs="宋体"/>
                <w:color w:val="000000"/>
                <w:kern w:val="0"/>
                <w:sz w:val="24"/>
                <w:szCs w:val="24"/>
              </w:rPr>
            </w:pPr>
          </w:p>
          <w:p w14:paraId="4CF993FC">
            <w:pPr>
              <w:widowControl/>
              <w:jc w:val="left"/>
              <w:textAlignment w:val="center"/>
              <w:rPr>
                <w:rFonts w:ascii="宋体" w:hAnsi="宋体" w:eastAsia="宋体" w:cs="宋体"/>
                <w:color w:val="000000"/>
                <w:kern w:val="0"/>
                <w:sz w:val="24"/>
                <w:szCs w:val="24"/>
              </w:rPr>
            </w:pPr>
            <w:r>
              <w:rPr>
                <w:rFonts w:hint="eastAsia" w:ascii="楷体" w:hAnsi="楷体" w:eastAsia="楷体" w:cs="楷体"/>
                <w:b/>
                <w:bCs/>
                <w:kern w:val="0"/>
                <w:sz w:val="24"/>
                <w:szCs w:val="24"/>
              </w:rPr>
              <w:t>说明：</w:t>
            </w:r>
            <w:bookmarkStart w:id="0" w:name="OLE_LINK1"/>
            <w:r>
              <w:rPr>
                <w:rFonts w:hint="eastAsia" w:ascii="楷体" w:hAnsi="楷体" w:eastAsia="楷体" w:cs="楷体"/>
                <w:b/>
                <w:bCs/>
                <w:kern w:val="0"/>
                <w:sz w:val="24"/>
                <w:szCs w:val="24"/>
              </w:rPr>
              <w:t>我单位没有使用国有资本经营预算安排的支出，故本表无数据。</w:t>
            </w:r>
            <w:bookmarkEnd w:id="0"/>
            <w:r>
              <w:rPr>
                <w:rFonts w:hint="eastAsia" w:ascii="楷体" w:hAnsi="楷体" w:eastAsia="楷体" w:cs="楷体"/>
                <w:b/>
                <w:bCs/>
                <w:kern w:val="0"/>
                <w:sz w:val="24"/>
                <w:szCs w:val="24"/>
              </w:rPr>
              <w:t>（当表格数据为空时，应有此说明）</w:t>
            </w:r>
          </w:p>
        </w:tc>
      </w:tr>
    </w:tbl>
    <w:p w14:paraId="1C14D007">
      <w:pPr>
        <w:widowControl/>
        <w:jc w:val="center"/>
        <w:rPr>
          <w:rFonts w:ascii="Times New Roman" w:hAnsi="Times New Roman" w:eastAsia="方正小标宋_GBK" w:cs="Times New Roman"/>
          <w:color w:val="000000"/>
          <w:kern w:val="0"/>
          <w:sz w:val="36"/>
          <w:szCs w:val="36"/>
        </w:rPr>
      </w:pPr>
    </w:p>
    <w:p w14:paraId="0607179D">
      <w:pPr>
        <w:autoSpaceDE w:val="0"/>
        <w:autoSpaceDN w:val="0"/>
        <w:adjustRightInd w:val="0"/>
        <w:ind w:left="315" w:leftChars="150"/>
        <w:jc w:val="left"/>
        <w:rPr>
          <w:rFonts w:ascii="宋体" w:eastAsia="宋体" w:cs="宋体"/>
          <w:kern w:val="0"/>
          <w:sz w:val="24"/>
          <w:szCs w:val="24"/>
        </w:rPr>
      </w:pPr>
    </w:p>
    <w:p w14:paraId="23EDFEF6">
      <w:pPr>
        <w:autoSpaceDE w:val="0"/>
        <w:autoSpaceDN w:val="0"/>
        <w:adjustRightInd w:val="0"/>
        <w:ind w:left="315" w:leftChars="150"/>
        <w:jc w:val="left"/>
        <w:rPr>
          <w:rFonts w:ascii="宋体" w:eastAsia="宋体" w:cs="宋体"/>
          <w:kern w:val="0"/>
          <w:sz w:val="24"/>
          <w:szCs w:val="24"/>
        </w:rPr>
      </w:pPr>
    </w:p>
    <w:tbl>
      <w:tblPr>
        <w:tblStyle w:val="8"/>
        <w:tblW w:w="15500" w:type="dxa"/>
        <w:tblInd w:w="93" w:type="dxa"/>
        <w:tblLayout w:type="autofit"/>
        <w:tblCellMar>
          <w:top w:w="0" w:type="dxa"/>
          <w:left w:w="108" w:type="dxa"/>
          <w:bottom w:w="0" w:type="dxa"/>
          <w:right w:w="108" w:type="dxa"/>
        </w:tblCellMar>
      </w:tblPr>
      <w:tblGrid>
        <w:gridCol w:w="3016"/>
        <w:gridCol w:w="1291"/>
        <w:gridCol w:w="1084"/>
        <w:gridCol w:w="1084"/>
        <w:gridCol w:w="1084"/>
        <w:gridCol w:w="1063"/>
        <w:gridCol w:w="1040"/>
        <w:gridCol w:w="1288"/>
        <w:gridCol w:w="996"/>
        <w:gridCol w:w="979"/>
        <w:gridCol w:w="964"/>
        <w:gridCol w:w="1616"/>
      </w:tblGrid>
      <w:tr w14:paraId="143A5A76">
        <w:tblPrEx>
          <w:tblCellMar>
            <w:top w:w="0" w:type="dxa"/>
            <w:left w:w="108" w:type="dxa"/>
            <w:bottom w:w="0" w:type="dxa"/>
            <w:right w:w="108" w:type="dxa"/>
          </w:tblCellMar>
        </w:tblPrEx>
        <w:trPr>
          <w:trHeight w:val="631" w:hRule="atLeast"/>
        </w:trPr>
        <w:tc>
          <w:tcPr>
            <w:tcW w:w="15500" w:type="dxa"/>
            <w:gridSpan w:val="12"/>
            <w:tcBorders>
              <w:top w:val="nil"/>
              <w:left w:val="nil"/>
              <w:bottom w:val="nil"/>
              <w:right w:val="nil"/>
            </w:tcBorders>
            <w:shd w:val="clear" w:color="auto" w:fill="auto"/>
            <w:noWrap/>
            <w:vAlign w:val="center"/>
          </w:tcPr>
          <w:p w14:paraId="7780C09D">
            <w:pPr>
              <w:widowControl/>
              <w:jc w:val="center"/>
              <w:textAlignment w:val="center"/>
              <w:rPr>
                <w:rFonts w:ascii="黑体" w:hAnsi="宋体" w:eastAsia="黑体" w:cs="黑体"/>
                <w:color w:val="000000"/>
                <w:sz w:val="44"/>
                <w:szCs w:val="44"/>
              </w:rPr>
            </w:pPr>
            <w:r>
              <w:rPr>
                <w:rFonts w:hint="eastAsia" w:ascii="黑体" w:hAnsi="宋体" w:eastAsia="黑体" w:cs="黑体"/>
                <w:color w:val="000000"/>
                <w:kern w:val="0"/>
                <w:sz w:val="44"/>
                <w:szCs w:val="44"/>
              </w:rPr>
              <w:t>财政拨款“三公”经费支出决算表</w:t>
            </w:r>
          </w:p>
        </w:tc>
      </w:tr>
      <w:tr w14:paraId="2CFA0342">
        <w:tblPrEx>
          <w:tblCellMar>
            <w:top w:w="0" w:type="dxa"/>
            <w:left w:w="108" w:type="dxa"/>
            <w:bottom w:w="0" w:type="dxa"/>
            <w:right w:w="108" w:type="dxa"/>
          </w:tblCellMar>
        </w:tblPrEx>
        <w:trPr>
          <w:trHeight w:val="315" w:hRule="atLeast"/>
        </w:trPr>
        <w:tc>
          <w:tcPr>
            <w:tcW w:w="0" w:type="auto"/>
            <w:tcBorders>
              <w:top w:val="nil"/>
              <w:left w:val="nil"/>
              <w:bottom w:val="nil"/>
              <w:right w:val="nil"/>
            </w:tcBorders>
            <w:shd w:val="clear" w:color="auto" w:fill="auto"/>
            <w:noWrap/>
            <w:vAlign w:val="center"/>
          </w:tcPr>
          <w:p w14:paraId="0C9C5AE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995571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4452221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0B87B1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6218E4F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8FB6FF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6DDBE4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E7FB02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28A741D8">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721FFEFE">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B9173EB">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55DC2CE3">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公开09表</w:t>
            </w:r>
          </w:p>
        </w:tc>
      </w:tr>
      <w:tr w14:paraId="4A23E7AB">
        <w:tblPrEx>
          <w:tblCellMar>
            <w:top w:w="0" w:type="dxa"/>
            <w:left w:w="108" w:type="dxa"/>
            <w:bottom w:w="0" w:type="dxa"/>
            <w:right w:w="108" w:type="dxa"/>
          </w:tblCellMar>
        </w:tblPrEx>
        <w:trPr>
          <w:trHeight w:val="315" w:hRule="atLeast"/>
        </w:trPr>
        <w:tc>
          <w:tcPr>
            <w:tcW w:w="0" w:type="auto"/>
            <w:tcBorders>
              <w:top w:val="nil"/>
              <w:left w:val="nil"/>
              <w:bottom w:val="nil"/>
              <w:right w:val="nil"/>
            </w:tcBorders>
            <w:shd w:val="clear" w:color="auto" w:fill="auto"/>
            <w:noWrap/>
            <w:vAlign w:val="bottom"/>
          </w:tcPr>
          <w:p w14:paraId="53552DC7">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部门：溆浦县淘金坪乡人民政府</w:t>
            </w:r>
          </w:p>
        </w:tc>
        <w:tc>
          <w:tcPr>
            <w:tcW w:w="0" w:type="auto"/>
            <w:tcBorders>
              <w:top w:val="nil"/>
              <w:left w:val="nil"/>
              <w:bottom w:val="nil"/>
              <w:right w:val="nil"/>
            </w:tcBorders>
            <w:shd w:val="clear" w:color="auto" w:fill="auto"/>
            <w:noWrap/>
            <w:vAlign w:val="center"/>
          </w:tcPr>
          <w:p w14:paraId="64D6793F">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F97DFE4">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BAAB3D0">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36218D7D">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E258DA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8F1197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158977AA">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40DBCC9">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02C273D1">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center"/>
          </w:tcPr>
          <w:p w14:paraId="57224D72">
            <w:pPr>
              <w:rPr>
                <w:rFonts w:ascii="宋体" w:hAnsi="宋体" w:eastAsia="宋体" w:cs="宋体"/>
                <w:color w:val="000000"/>
                <w:sz w:val="22"/>
              </w:rPr>
            </w:pPr>
          </w:p>
        </w:tc>
        <w:tc>
          <w:tcPr>
            <w:tcW w:w="0" w:type="auto"/>
            <w:tcBorders>
              <w:top w:val="nil"/>
              <w:left w:val="nil"/>
              <w:bottom w:val="nil"/>
              <w:right w:val="nil"/>
            </w:tcBorders>
            <w:shd w:val="clear" w:color="auto" w:fill="auto"/>
            <w:noWrap/>
            <w:vAlign w:val="bottom"/>
          </w:tcPr>
          <w:p w14:paraId="5CCD2DE8">
            <w:pPr>
              <w:widowControl/>
              <w:jc w:val="left"/>
              <w:textAlignment w:val="bottom"/>
              <w:rPr>
                <w:rFonts w:ascii="宋体" w:hAnsi="宋体" w:eastAsia="宋体" w:cs="宋体"/>
                <w:color w:val="000000"/>
                <w:sz w:val="20"/>
                <w:szCs w:val="20"/>
              </w:rPr>
            </w:pPr>
            <w:r>
              <w:rPr>
                <w:rFonts w:hint="eastAsia" w:ascii="宋体" w:hAnsi="宋体" w:eastAsia="宋体" w:cs="宋体"/>
                <w:color w:val="000000"/>
                <w:kern w:val="0"/>
                <w:sz w:val="20"/>
                <w:szCs w:val="20"/>
              </w:rPr>
              <w:t>金额单位：万元</w:t>
            </w:r>
          </w:p>
        </w:tc>
      </w:tr>
      <w:tr w14:paraId="2E33949B">
        <w:tblPrEx>
          <w:tblCellMar>
            <w:top w:w="0" w:type="dxa"/>
            <w:left w:w="108" w:type="dxa"/>
            <w:bottom w:w="0" w:type="dxa"/>
            <w:right w:w="108" w:type="dxa"/>
          </w:tblCellMar>
        </w:tblPrEx>
        <w:trPr>
          <w:trHeight w:val="325" w:hRule="atLeast"/>
        </w:trPr>
        <w:tc>
          <w:tcPr>
            <w:tcW w:w="838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B00B97">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预算数</w:t>
            </w:r>
          </w:p>
        </w:tc>
        <w:tc>
          <w:tcPr>
            <w:tcW w:w="711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D4BA23">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决算数</w:t>
            </w:r>
          </w:p>
        </w:tc>
      </w:tr>
      <w:tr w14:paraId="12F3F436">
        <w:tblPrEx>
          <w:tblCellMar>
            <w:top w:w="0" w:type="dxa"/>
            <w:left w:w="108" w:type="dxa"/>
            <w:bottom w:w="0" w:type="dxa"/>
            <w:right w:w="108" w:type="dxa"/>
          </w:tblCellMar>
        </w:tblPrEx>
        <w:trPr>
          <w:trHeight w:val="325" w:hRule="atLeast"/>
        </w:trPr>
        <w:tc>
          <w:tcPr>
            <w:tcW w:w="27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A5E3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5670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2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0FC81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D3E17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c>
          <w:tcPr>
            <w:tcW w:w="10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EF793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合计</w:t>
            </w:r>
          </w:p>
        </w:tc>
        <w:tc>
          <w:tcPr>
            <w:tcW w:w="12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070B3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因公出国（境）费</w:t>
            </w:r>
          </w:p>
        </w:tc>
        <w:tc>
          <w:tcPr>
            <w:tcW w:w="325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9ABA6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公务用车购置及运行维护费</w:t>
            </w:r>
          </w:p>
        </w:tc>
        <w:tc>
          <w:tcPr>
            <w:tcW w:w="14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D2BEDB">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公务接待费</w:t>
            </w:r>
          </w:p>
        </w:tc>
      </w:tr>
      <w:tr w14:paraId="23A0F55F">
        <w:tblPrEx>
          <w:tblCellMar>
            <w:top w:w="0" w:type="dxa"/>
            <w:left w:w="108" w:type="dxa"/>
            <w:bottom w:w="0" w:type="dxa"/>
            <w:right w:w="108" w:type="dxa"/>
          </w:tblCellMar>
        </w:tblPrEx>
        <w:trPr>
          <w:trHeight w:val="957" w:hRule="atLeast"/>
        </w:trPr>
        <w:tc>
          <w:tcPr>
            <w:tcW w:w="276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DB7DF">
            <w:pPr>
              <w:jc w:val="center"/>
              <w:rPr>
                <w:rFonts w:ascii="宋体" w:hAnsi="宋体" w:eastAsia="宋体" w:cs="宋体"/>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229544">
            <w:pPr>
              <w:jc w:val="center"/>
              <w:rPr>
                <w:rFonts w:ascii="宋体" w:hAnsi="宋体" w:eastAsia="宋体" w:cs="宋体"/>
                <w:color w:val="000000"/>
                <w:sz w:val="22"/>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1131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7BB3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61C7F">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公务用车运行维护费</w:t>
            </w: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F9E54">
            <w:pPr>
              <w:jc w:val="center"/>
              <w:rPr>
                <w:rFonts w:ascii="宋体" w:hAnsi="宋体" w:eastAsia="宋体" w:cs="宋体"/>
                <w:color w:val="000000"/>
                <w:sz w:val="22"/>
              </w:rPr>
            </w:pPr>
          </w:p>
        </w:tc>
        <w:tc>
          <w:tcPr>
            <w:tcW w:w="10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D2D8F">
            <w:pPr>
              <w:jc w:val="center"/>
              <w:rPr>
                <w:rFonts w:ascii="宋体" w:hAnsi="宋体" w:eastAsia="宋体" w:cs="宋体"/>
                <w:color w:val="000000"/>
                <w:sz w:val="22"/>
              </w:rPr>
            </w:pPr>
          </w:p>
        </w:tc>
        <w:tc>
          <w:tcPr>
            <w:tcW w:w="12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ABA7D">
            <w:pPr>
              <w:jc w:val="center"/>
              <w:rPr>
                <w:rFonts w:ascii="宋体" w:hAnsi="宋体" w:eastAsia="宋体" w:cs="宋体"/>
                <w:color w:val="000000"/>
                <w:sz w:val="22"/>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2935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小计</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419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公务用车购置费</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34DA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公务用车运行维护费</w:t>
            </w:r>
          </w:p>
        </w:tc>
        <w:tc>
          <w:tcPr>
            <w:tcW w:w="14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A3432B">
            <w:pPr>
              <w:jc w:val="center"/>
              <w:rPr>
                <w:rFonts w:ascii="宋体" w:hAnsi="宋体" w:eastAsia="宋体" w:cs="宋体"/>
                <w:color w:val="000000"/>
                <w:sz w:val="22"/>
              </w:rPr>
            </w:pPr>
          </w:p>
        </w:tc>
      </w:tr>
      <w:tr w14:paraId="6394E6F3">
        <w:tblPrEx>
          <w:tblCellMar>
            <w:top w:w="0" w:type="dxa"/>
            <w:left w:w="108" w:type="dxa"/>
            <w:bottom w:w="0" w:type="dxa"/>
            <w:right w:w="108" w:type="dxa"/>
          </w:tblCellMar>
        </w:tblPrEx>
        <w:trPr>
          <w:trHeight w:val="325" w:hRule="atLeast"/>
        </w:trPr>
        <w:tc>
          <w:tcPr>
            <w:tcW w:w="2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A3176">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DB5DC">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2</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D326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3</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59A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4</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5B7B4">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5</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15AA">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6</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8D8D">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7</w:t>
            </w:r>
          </w:p>
        </w:tc>
        <w:tc>
          <w:tcPr>
            <w:tcW w:w="1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462D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8</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A9FE">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9</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D181">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10</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C4139">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11</w:t>
            </w:r>
          </w:p>
        </w:tc>
        <w:tc>
          <w:tcPr>
            <w:tcW w:w="14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56CC5">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12</w:t>
            </w:r>
          </w:p>
        </w:tc>
      </w:tr>
      <w:tr w14:paraId="5103A80F">
        <w:tblPrEx>
          <w:tblCellMar>
            <w:top w:w="0" w:type="dxa"/>
            <w:left w:w="108" w:type="dxa"/>
            <w:bottom w:w="0" w:type="dxa"/>
            <w:right w:w="108" w:type="dxa"/>
          </w:tblCellMar>
        </w:tblPrEx>
        <w:trPr>
          <w:trHeight w:val="32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8D64A">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8271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01DB9">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CB67C">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BDF0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579B">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EB0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1.00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DDACE">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87A1F">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F8680">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C2D57">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BED91">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0.70</w:t>
            </w:r>
          </w:p>
        </w:tc>
      </w:tr>
      <w:tr w14:paraId="3EB43F70">
        <w:tblPrEx>
          <w:tblCellMar>
            <w:top w:w="0" w:type="dxa"/>
            <w:left w:w="108" w:type="dxa"/>
            <w:bottom w:w="0" w:type="dxa"/>
            <w:right w:w="108" w:type="dxa"/>
          </w:tblCellMar>
        </w:tblPrEx>
        <w:trPr>
          <w:trHeight w:val="641" w:hRule="atLeast"/>
        </w:trPr>
        <w:tc>
          <w:tcPr>
            <w:tcW w:w="15500" w:type="dxa"/>
            <w:gridSpan w:val="12"/>
            <w:tcBorders>
              <w:top w:val="nil"/>
              <w:left w:val="nil"/>
              <w:bottom w:val="nil"/>
              <w:right w:val="nil"/>
            </w:tcBorders>
            <w:shd w:val="clear" w:color="auto" w:fill="auto"/>
            <w:vAlign w:val="center"/>
          </w:tcPr>
          <w:p w14:paraId="044EC120">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1A6D0ECE">
      <w:pPr>
        <w:autoSpaceDE w:val="0"/>
        <w:autoSpaceDN w:val="0"/>
        <w:adjustRightInd w:val="0"/>
        <w:ind w:left="315" w:leftChars="150"/>
        <w:jc w:val="left"/>
        <w:rPr>
          <w:rFonts w:ascii="宋体" w:eastAsia="宋体" w:cs="宋体"/>
          <w:kern w:val="0"/>
          <w:sz w:val="24"/>
          <w:szCs w:val="24"/>
        </w:rPr>
      </w:pPr>
    </w:p>
    <w:p w14:paraId="3B407838">
      <w:pPr>
        <w:autoSpaceDE w:val="0"/>
        <w:autoSpaceDN w:val="0"/>
        <w:adjustRightInd w:val="0"/>
        <w:ind w:left="315" w:leftChars="150"/>
        <w:jc w:val="left"/>
        <w:rPr>
          <w:rFonts w:ascii="宋体" w:eastAsia="宋体" w:cs="宋体"/>
          <w:kern w:val="0"/>
          <w:sz w:val="24"/>
          <w:szCs w:val="24"/>
        </w:rPr>
      </w:pPr>
    </w:p>
    <w:p w14:paraId="0E87648E">
      <w:pPr>
        <w:autoSpaceDE w:val="0"/>
        <w:autoSpaceDN w:val="0"/>
        <w:adjustRightInd w:val="0"/>
        <w:ind w:left="315" w:leftChars="150"/>
        <w:jc w:val="left"/>
        <w:rPr>
          <w:rFonts w:ascii="宋体" w:eastAsia="宋体" w:cs="宋体"/>
          <w:kern w:val="0"/>
          <w:sz w:val="24"/>
          <w:szCs w:val="24"/>
        </w:rPr>
      </w:pPr>
    </w:p>
    <w:p w14:paraId="6A8285A0">
      <w:pPr>
        <w:widowControl/>
        <w:rPr>
          <w:sz w:val="72"/>
          <w:szCs w:val="72"/>
        </w:rPr>
        <w:sectPr>
          <w:pgSz w:w="16838" w:h="11906" w:orient="landscape"/>
          <w:pgMar w:top="720" w:right="720" w:bottom="720" w:left="720" w:header="851" w:footer="992" w:gutter="0"/>
          <w:cols w:space="425" w:num="1"/>
          <w:docGrid w:type="lines" w:linePitch="312" w:charSpace="0"/>
        </w:sectPr>
      </w:pPr>
      <w:r>
        <w:rPr>
          <w:rFonts w:ascii="黑体" w:hAnsi="黑体" w:eastAsia="黑体"/>
          <w:szCs w:val="21"/>
        </w:rPr>
        <w:br w:type="page"/>
      </w:r>
    </w:p>
    <w:p w14:paraId="67E9D9D4">
      <w:pPr>
        <w:pStyle w:val="13"/>
        <w:jc w:val="both"/>
        <w:rPr>
          <w:rFonts w:ascii="方正小标宋_GBK" w:hAnsi="方正小标宋_GBK" w:eastAsia="方正小标宋_GBK" w:cs="方正小标宋_GBK"/>
          <w:sz w:val="84"/>
          <w:szCs w:val="84"/>
        </w:rPr>
      </w:pPr>
    </w:p>
    <w:p w14:paraId="4D97E64E">
      <w:pPr>
        <w:pStyle w:val="13"/>
        <w:jc w:val="both"/>
        <w:rPr>
          <w:rFonts w:ascii="方正小标宋_GBK" w:hAnsi="方正小标宋_GBK" w:eastAsia="方正小标宋_GBK" w:cs="方正小标宋_GBK"/>
          <w:sz w:val="84"/>
          <w:szCs w:val="84"/>
        </w:rPr>
      </w:pPr>
    </w:p>
    <w:p w14:paraId="03BF438B">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第三部分</w:t>
      </w:r>
    </w:p>
    <w:p w14:paraId="4874C43B">
      <w:pPr>
        <w:pStyle w:val="13"/>
        <w:jc w:val="center"/>
        <w:rPr>
          <w:rFonts w:ascii="方正小标宋_GBK" w:hAnsi="方正小标宋_GBK" w:eastAsia="方正小标宋_GBK" w:cs="方正小标宋_GBK"/>
          <w:sz w:val="70"/>
          <w:szCs w:val="70"/>
        </w:rPr>
      </w:pPr>
    </w:p>
    <w:p w14:paraId="5E421258">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2023年度部门决算情况说明</w:t>
      </w:r>
    </w:p>
    <w:p w14:paraId="365C519D">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4EFE7909">
      <w:pPr>
        <w:pStyle w:val="13"/>
        <w:spacing w:line="600" w:lineRule="exact"/>
        <w:ind w:firstLine="640" w:firstLineChars="200"/>
        <w:rPr>
          <w:rFonts w:hAnsi="黑体"/>
          <w:bCs/>
          <w:sz w:val="32"/>
          <w:szCs w:val="32"/>
        </w:rPr>
      </w:pPr>
      <w:r>
        <w:rPr>
          <w:rFonts w:hint="eastAsia" w:hAnsi="黑体"/>
          <w:bCs/>
          <w:sz w:val="32"/>
          <w:szCs w:val="32"/>
        </w:rPr>
        <w:t>一、收入支出决算总体情况说明</w:t>
      </w:r>
    </w:p>
    <w:p w14:paraId="724D825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2023年度收、支总计1075.1万元。与上年相比，减少92.38万元，减少7.91%，主要是因为</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、农林水支出的减少。</w:t>
      </w:r>
    </w:p>
    <w:p w14:paraId="02A5D099">
      <w:pPr>
        <w:pStyle w:val="13"/>
        <w:spacing w:line="600" w:lineRule="exact"/>
        <w:ind w:firstLine="640" w:firstLineChars="200"/>
        <w:rPr>
          <w:rFonts w:hAnsi="黑体"/>
          <w:bCs/>
          <w:sz w:val="32"/>
          <w:szCs w:val="32"/>
        </w:rPr>
      </w:pPr>
      <w:r>
        <w:rPr>
          <w:rFonts w:hint="eastAsia" w:hAnsi="黑体"/>
          <w:bCs/>
          <w:sz w:val="32"/>
          <w:szCs w:val="32"/>
        </w:rPr>
        <w:t>二、收入决算情况说明</w:t>
      </w:r>
    </w:p>
    <w:p w14:paraId="11DE710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2023年度收入合计1075.1万元，其中：财政拨款收入1075.1万元，占100%；上级补助收入0万元，占0%；事业收入0万元，占0%；经营收入0万元，占0%；附属单位上缴收入0万元，占0%；其他收入0万元，占0%。</w:t>
      </w:r>
    </w:p>
    <w:p w14:paraId="406D3676">
      <w:pPr>
        <w:pStyle w:val="13"/>
        <w:spacing w:line="600" w:lineRule="exact"/>
        <w:ind w:firstLine="640" w:firstLineChars="200"/>
        <w:rPr>
          <w:rFonts w:hAnsi="黑体"/>
          <w:bCs/>
          <w:sz w:val="32"/>
          <w:szCs w:val="32"/>
        </w:rPr>
      </w:pPr>
      <w:r>
        <w:rPr>
          <w:rFonts w:hint="eastAsia" w:hAnsi="黑体"/>
          <w:bCs/>
          <w:sz w:val="32"/>
          <w:szCs w:val="32"/>
        </w:rPr>
        <w:t>三、支出决算情况说明</w:t>
      </w:r>
    </w:p>
    <w:p w14:paraId="0FCC1F92">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2023年度支出合计1075.1万元，其中：基本支出822.69万元，占76.52%；项目支出252.4万元，占23.48%；上缴上级支出0万元，占0%；经营支出0万元，占0%；对附属单位补助支出0万元，占0%。</w:t>
      </w:r>
    </w:p>
    <w:p w14:paraId="3244AD09">
      <w:pPr>
        <w:pStyle w:val="13"/>
        <w:spacing w:line="600" w:lineRule="exact"/>
        <w:ind w:firstLine="640" w:firstLineChars="200"/>
        <w:rPr>
          <w:rFonts w:hAnsi="黑体"/>
          <w:bCs/>
          <w:sz w:val="32"/>
          <w:szCs w:val="32"/>
        </w:rPr>
      </w:pPr>
      <w:r>
        <w:rPr>
          <w:rFonts w:hint="eastAsia" w:hAnsi="黑体"/>
          <w:bCs/>
          <w:sz w:val="32"/>
          <w:szCs w:val="32"/>
        </w:rPr>
        <w:t>四、财政拨款收入支出决算总体情况说明</w:t>
      </w:r>
    </w:p>
    <w:p w14:paraId="26FCEC61">
      <w:pPr>
        <w:pStyle w:val="13"/>
        <w:spacing w:line="600" w:lineRule="exact"/>
        <w:rPr>
          <w:rFonts w:ascii="Times New Roman" w:hAnsi="Times New Roman" w:eastAsia="仿宋_GB2312"/>
          <w:sz w:val="32"/>
          <w:szCs w:val="32"/>
        </w:rPr>
      </w:pPr>
      <w:r>
        <w:rPr>
          <w:rFonts w:hint="eastAsia" w:ascii="Times New Roman" w:hAnsi="Times New Roman" w:eastAsia="仿宋_GB2312"/>
          <w:sz w:val="32"/>
          <w:szCs w:val="32"/>
        </w:rPr>
        <w:t xml:space="preserve">    2023年度财政拨款收、支总计1075.1万元，与上年相比，减少92.38万元,减少7.91%，主要是因为</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、农林水支出的减少。</w:t>
      </w:r>
    </w:p>
    <w:p w14:paraId="745E9B7A">
      <w:pPr>
        <w:pStyle w:val="13"/>
        <w:spacing w:line="600" w:lineRule="exact"/>
        <w:ind w:firstLine="640" w:firstLineChars="200"/>
        <w:rPr>
          <w:rFonts w:hAnsi="黑体"/>
          <w:bCs/>
          <w:sz w:val="32"/>
          <w:szCs w:val="32"/>
        </w:rPr>
      </w:pPr>
      <w:r>
        <w:rPr>
          <w:rFonts w:hint="eastAsia" w:hAnsi="黑体"/>
          <w:bCs/>
          <w:sz w:val="32"/>
          <w:szCs w:val="32"/>
        </w:rPr>
        <w:t>五、一般公共预算财政拨款支出决算情况说明</w:t>
      </w:r>
    </w:p>
    <w:p w14:paraId="3F772F6C">
      <w:pPr>
        <w:pStyle w:val="13"/>
        <w:spacing w:line="600" w:lineRule="exact"/>
        <w:ind w:firstLine="640" w:firstLineChars="200"/>
        <w:rPr>
          <w:rFonts w:ascii="楷体" w:hAnsi="楷体" w:eastAsia="楷体" w:cs="楷体"/>
          <w:bCs/>
          <w:sz w:val="32"/>
          <w:szCs w:val="32"/>
        </w:rPr>
      </w:pPr>
      <w:r>
        <w:rPr>
          <w:rFonts w:hint="eastAsia" w:ascii="楷体" w:hAnsi="楷体" w:eastAsia="楷体" w:cs="楷体"/>
          <w:bCs/>
          <w:sz w:val="32"/>
          <w:szCs w:val="32"/>
        </w:rPr>
        <w:t>（一）一般公共预算财政拨款支出决算总体情况</w:t>
      </w:r>
    </w:p>
    <w:p w14:paraId="3E8CDAB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2023年度财政拨款支出1068.1万元，占本年支出合计的99.35%，与上年相比，财政拨款支出减少96.38万元，减少8.28%，主要是因为</w:t>
      </w:r>
      <w:r>
        <w:rPr>
          <w:rFonts w:hint="eastAsia" w:ascii="Times New Roman" w:hAnsi="Times New Roman" w:eastAsia="仿宋_GB2312"/>
          <w:sz w:val="32"/>
          <w:szCs w:val="32"/>
          <w:lang w:eastAsia="zh-CN"/>
        </w:rPr>
        <w:t>社会保障和就业支出</w:t>
      </w:r>
      <w:r>
        <w:rPr>
          <w:rFonts w:hint="eastAsia" w:ascii="Times New Roman" w:hAnsi="Times New Roman" w:eastAsia="仿宋_GB2312"/>
          <w:sz w:val="32"/>
          <w:szCs w:val="32"/>
        </w:rPr>
        <w:t>、农林水支出的减少。</w:t>
      </w:r>
    </w:p>
    <w:p w14:paraId="547F1EFC">
      <w:pPr>
        <w:pStyle w:val="13"/>
        <w:spacing w:line="600" w:lineRule="exact"/>
        <w:ind w:firstLine="480" w:firstLineChars="150"/>
        <w:rPr>
          <w:rFonts w:ascii="楷体" w:hAnsi="楷体" w:eastAsia="楷体" w:cs="楷体"/>
          <w:bCs/>
          <w:sz w:val="32"/>
          <w:szCs w:val="32"/>
        </w:rPr>
      </w:pPr>
      <w:r>
        <w:rPr>
          <w:rFonts w:hint="eastAsia" w:ascii="楷体" w:hAnsi="楷体" w:eastAsia="楷体" w:cs="楷体"/>
          <w:bCs/>
          <w:sz w:val="32"/>
          <w:szCs w:val="32"/>
        </w:rPr>
        <w:t>（二）一般公共预算财政拨款支出决算结构情况</w:t>
      </w:r>
    </w:p>
    <w:p w14:paraId="1C3A9985">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支出1068.1万元，主要用于以下方面：一般公共服务支出541.16万元，占50.67%；公共安全支出13.76万元，占1.29%；文化旅游体育与传媒支出22万元，占2.06%；社会保障和就业支出97.25万元，占9.10%；卫生健康支出25.26万元，占2.36%；城乡社区支出24万元，占2.25%；农林水支出304.25万元，占28.49%；自然资源海洋气象等支出5万元，占0.47%；住房保障支出22.6万元，占2.12%；粮油物资储备支出5万元，占0.47%；灾害防治及应急管理支出7.82万元，占0.73%。</w:t>
      </w:r>
    </w:p>
    <w:p w14:paraId="5AFE1212">
      <w:pPr>
        <w:pStyle w:val="13"/>
        <w:spacing w:line="600" w:lineRule="exact"/>
        <w:ind w:firstLine="800" w:firstLineChars="250"/>
        <w:rPr>
          <w:rFonts w:ascii="楷体" w:hAnsi="楷体" w:eastAsia="楷体" w:cs="楷体"/>
          <w:bCs/>
          <w:sz w:val="32"/>
          <w:szCs w:val="32"/>
        </w:rPr>
      </w:pPr>
      <w:r>
        <w:rPr>
          <w:rFonts w:hint="eastAsia" w:ascii="楷体" w:hAnsi="楷体" w:eastAsia="楷体" w:cs="楷体"/>
          <w:bCs/>
          <w:sz w:val="32"/>
          <w:szCs w:val="32"/>
        </w:rPr>
        <w:t>（三）一般公共预算财政拨款支出决算具体情况</w:t>
      </w:r>
    </w:p>
    <w:p w14:paraId="4372B9A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2023年度财政拨款支出年初预算数为1068.1万元，支出决算数为1068.1万元，完成年初预算的100%，其中：</w:t>
      </w:r>
    </w:p>
    <w:p w14:paraId="5C9EBA7B">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1、一般公共服务（类）人大事务（款）行政运行（项）。</w:t>
      </w:r>
    </w:p>
    <w:p w14:paraId="7ACFA8A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年初预算为1.69万元，支出决算为1.69万元，完成年初预算的100%。</w:t>
      </w:r>
    </w:p>
    <w:p w14:paraId="4770F93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2、一般公共服务（类）政府办公厅（室）及相关机构事务（款）行政运行（项）。</w:t>
      </w:r>
    </w:p>
    <w:p w14:paraId="1099568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年初预算为494.62万元，支出决算为494.62万元，完成年初预算的100%。</w:t>
      </w:r>
    </w:p>
    <w:p w14:paraId="5256DEB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3、一般公共服务（类）政府办公厅（室）及相关机构事务（款）一般行政管理事务（项）。</w:t>
      </w:r>
    </w:p>
    <w:p w14:paraId="484BBCC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年初预算为8.06万元，支出决算为8.06万元，完成年初预算的100%。</w:t>
      </w:r>
    </w:p>
    <w:p w14:paraId="1B403F07">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4、一般公共服务（类）政府办公厅（室）及相关机构事务（款）信访事务（项）。</w:t>
      </w:r>
    </w:p>
    <w:p w14:paraId="7E8DA057">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年初预算为2万元，支出决算为2万元，完成年初预算的100%。</w:t>
      </w:r>
    </w:p>
    <w:p w14:paraId="739A7B4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5、一般公共服务（类）政府办公厅（室）及相关机构事务（款）其他政府办公厅（室）及相关机构事务支出（项）。</w:t>
      </w:r>
    </w:p>
    <w:p w14:paraId="6A8C2E4B">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年初预算为14.48万元，支出决算为14.48万元，完成年初预算的100%。</w:t>
      </w:r>
    </w:p>
    <w:p w14:paraId="41AC95FC">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6、一般公共服务（类）财政事务（款）行政运行（项）。</w:t>
      </w:r>
    </w:p>
    <w:p w14:paraId="50E0C9D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年初预算为9.31万元，支出决算为9.31万元，完成年初预算的100%。</w:t>
      </w:r>
    </w:p>
    <w:p w14:paraId="7C2BC91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7、一般公共服务（类）财政事务（款）一般行政管理事务（项）。</w:t>
      </w:r>
    </w:p>
    <w:p w14:paraId="5F8CFE5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年初预算为1万元，支出决算为1万元，完成年初预算的100%。</w:t>
      </w:r>
    </w:p>
    <w:p w14:paraId="5C40FAD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8、一般公共服务（类）党委办公厅（室）及相关机构事务（款）其他党委办公厅（室）及相关机构事务支出（项）。</w:t>
      </w:r>
    </w:p>
    <w:p w14:paraId="6493C17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年初预算为2万元，支出决算为2万元，完成年初预算的100%。</w:t>
      </w:r>
    </w:p>
    <w:p w14:paraId="7126718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9、一般公共服务（类）组织事务（款）一般行政管理事务（项）。</w:t>
      </w:r>
    </w:p>
    <w:p w14:paraId="04E5BD3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年初预算为8万元，支出决算为8万元，完成年初预算的100%。</w:t>
      </w:r>
    </w:p>
    <w:p w14:paraId="32CDAA1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10、公共安全支出（类）公安（款）一般行政管理事务（项）。</w:t>
      </w:r>
    </w:p>
    <w:p w14:paraId="006434F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年初预算为5.76万元，支出决算为5.76万元，完成年初预算的100%。</w:t>
      </w:r>
    </w:p>
    <w:p w14:paraId="1AAA30B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11、公共安全支出（类）司法（款）一般行政管理事务（项）。</w:t>
      </w:r>
    </w:p>
    <w:p w14:paraId="2AAC518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年初预算为8万元，支出决算为8万元，完成年初预算的100%。</w:t>
      </w:r>
    </w:p>
    <w:p w14:paraId="27E0F40C">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12、文化旅游体育与传媒支出（类）文化和旅游（款）其他文化和旅游支出（项）。</w:t>
      </w:r>
    </w:p>
    <w:p w14:paraId="011492B3">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年初预算为13万元，支出决算为13万元，完成年初预算的100%。</w:t>
      </w:r>
    </w:p>
    <w:p w14:paraId="2EA63864">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13、文化旅游体育与传媒支出（类）其他文化旅游体育与传媒支出（款）其他文化旅游体育与传媒支出（项）。</w:t>
      </w:r>
    </w:p>
    <w:p w14:paraId="5FD1877E">
      <w:pPr>
        <w:pStyle w:val="13"/>
        <w:spacing w:line="600" w:lineRule="exact"/>
        <w:ind w:firstLine="800" w:firstLineChars="250"/>
        <w:rPr>
          <w:rFonts w:ascii="Times New Roman" w:hAnsi="Times New Roman" w:eastAsia="仿宋_GB2312"/>
          <w:sz w:val="32"/>
          <w:szCs w:val="32"/>
          <w:highlight w:val="yellow"/>
        </w:rPr>
      </w:pPr>
      <w:r>
        <w:rPr>
          <w:rFonts w:hint="eastAsia" w:ascii="Times New Roman" w:hAnsi="Times New Roman" w:eastAsia="仿宋_GB2312"/>
          <w:sz w:val="32"/>
          <w:szCs w:val="32"/>
        </w:rPr>
        <w:t>年初预算为9万元，支出决算为9万元，完成年初预算的100%。</w:t>
      </w:r>
    </w:p>
    <w:p w14:paraId="627EE2BB">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14、社会保障和就业支出（类）行政事业单位养老支出（款）机关事业单位基本养老保险缴费支出（项）。</w:t>
      </w:r>
    </w:p>
    <w:p w14:paraId="38685A5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年初预算为51.57万元，支出决算为51.57万元，完成年初预算的100%。</w:t>
      </w:r>
    </w:p>
    <w:p w14:paraId="3F7577A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15、社会保障和就业支出（类）抚恤（款）死亡抚恤（项）。</w:t>
      </w:r>
    </w:p>
    <w:p w14:paraId="07571B0B">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年初预算为26.63万元，支出决算为26.63万元，完成年初预算的100%。</w:t>
      </w:r>
    </w:p>
    <w:p w14:paraId="61F7ACD4">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16、社会保障和就业支出（类）抚恤（款）其他优抚支出（项）。</w:t>
      </w:r>
    </w:p>
    <w:p w14:paraId="1B1E2EE3">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年初预算为5.99万元，支出决算为5.99万元，完成年初预算的100%。</w:t>
      </w:r>
    </w:p>
    <w:p w14:paraId="33CE937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17、社会保障和就业支出（类）退役军人管理事务（款）其他退役军人事务管理支出（项）。</w:t>
      </w:r>
    </w:p>
    <w:p w14:paraId="793AC63C">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年初预算为5.1万元，支出决算为5.1万元，完成年初预算的100%。</w:t>
      </w:r>
    </w:p>
    <w:p w14:paraId="6FB3AF31">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18、社会保障和就业支出（类）其他社会保障和就业支出（款）其他社会保障和就业支出（项）。</w:t>
      </w:r>
    </w:p>
    <w:p w14:paraId="15B2CDC2">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年初预算为7.97万元，支出决算为7.97万元，完成年初预算的100%。</w:t>
      </w:r>
    </w:p>
    <w:p w14:paraId="596253D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19、卫生健康支出（类）公共卫生（款）精神卫生机构（项）。</w:t>
      </w:r>
    </w:p>
    <w:p w14:paraId="2EE6E02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年初预算为0.92万元，支出决算为0.92万元，完成年初预算的100%。</w:t>
      </w:r>
    </w:p>
    <w:p w14:paraId="252BC20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20、卫生健康支出（类）行政事业单位医疗（款）行政单位医疗（项）。</w:t>
      </w:r>
    </w:p>
    <w:p w14:paraId="22EF5F8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年初预算为24.34万元，支出决算为24.34万元，完成年初预算的100%。</w:t>
      </w:r>
    </w:p>
    <w:p w14:paraId="3A40CB9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21、城乡社区支出（类）城乡社区公共设施（款）小城镇基础设施建设（项）。</w:t>
      </w:r>
    </w:p>
    <w:p w14:paraId="47E3EC1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年初预算为14万元，支出决算为14万元，完成年初预算的100%。</w:t>
      </w:r>
    </w:p>
    <w:p w14:paraId="12FB289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22、城乡社区支出（类）城乡社区环境卫生（款）城乡社区环境卫生（项）。</w:t>
      </w:r>
    </w:p>
    <w:p w14:paraId="03424514">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年初预算为10万元，支出决算为10万元，完成年初预算的100%。</w:t>
      </w:r>
    </w:p>
    <w:p w14:paraId="6E59F11B">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23、农林水支出（类）农业农村（款）防灾救灾（项）。</w:t>
      </w:r>
    </w:p>
    <w:p w14:paraId="6FB4C0A8">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年初预算为9.92万元，支出决算为9.92万元，完成年初预算的100%。</w:t>
      </w:r>
    </w:p>
    <w:p w14:paraId="5DA8A40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24、农林水支出（类）农业农村（款）农村社会事业（项）。</w:t>
      </w:r>
    </w:p>
    <w:p w14:paraId="3D8AD587">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年初预算为2.6万元，支出决算为2.6万元，完成年初预算的100%。</w:t>
      </w:r>
    </w:p>
    <w:p w14:paraId="2A788F2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25、农林水支出（类）农业农村（款）其他农业农村支出（项）。</w:t>
      </w:r>
    </w:p>
    <w:p w14:paraId="60977693">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年初预算为2万元，支出决算为2万元，完成年初预算的100%。</w:t>
      </w:r>
    </w:p>
    <w:p w14:paraId="3DC5F363">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26、农林水支出（类）水利（款）水利工程运行与维护（项）。</w:t>
      </w:r>
    </w:p>
    <w:p w14:paraId="5A2DEC7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年初预算为20万元，支出决算为20万元，完成年初预算的100%。</w:t>
      </w:r>
    </w:p>
    <w:p w14:paraId="2DE34E1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27、农林水支出（类）巩固脱贫攻坚成果衔接乡村振兴（款）农村基础设施建设（项）。</w:t>
      </w:r>
    </w:p>
    <w:p w14:paraId="46ED9C67">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年初预算为103.32万元，支出决算为103.32万元，完成年初预算的100%。</w:t>
      </w:r>
    </w:p>
    <w:p w14:paraId="08F4D94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28、农林水支出（类）巩固脱贫攻坚成果衔接乡村振兴（款）生产发展（项）。</w:t>
      </w:r>
    </w:p>
    <w:p w14:paraId="6F0F7D6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年初预算为8.74万元，支出决算为8.74万元，完成年初预算的100%。</w:t>
      </w:r>
    </w:p>
    <w:p w14:paraId="26D59C05">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29、农林水支出（类）巩固脱贫攻坚成果衔接乡村振兴（款）其他巩固脱贫攻坚成果衔接乡村振兴支出（项）。</w:t>
      </w:r>
    </w:p>
    <w:p w14:paraId="2CB1C5CA">
      <w:pPr>
        <w:pStyle w:val="13"/>
        <w:spacing w:line="600" w:lineRule="exact"/>
        <w:ind w:firstLine="800" w:firstLineChars="250"/>
        <w:rPr>
          <w:rFonts w:ascii="Times New Roman" w:hAnsi="Times New Roman" w:eastAsia="仿宋_GB2312"/>
          <w:sz w:val="32"/>
          <w:szCs w:val="32"/>
          <w:highlight w:val="yellow"/>
        </w:rPr>
      </w:pPr>
      <w:r>
        <w:rPr>
          <w:rFonts w:hint="eastAsia" w:ascii="Times New Roman" w:hAnsi="Times New Roman" w:eastAsia="仿宋_GB2312"/>
          <w:sz w:val="32"/>
          <w:szCs w:val="32"/>
        </w:rPr>
        <w:t>年初预算为24.63万元，支出决算为24.63万元，完成年初预算的100%。</w:t>
      </w:r>
    </w:p>
    <w:p w14:paraId="6FC72F6D">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30、农林水支出（类）农村综合改革（款）对村民委员会和村党支部的补助（项）。</w:t>
      </w:r>
    </w:p>
    <w:p w14:paraId="41048B66">
      <w:pPr>
        <w:pStyle w:val="13"/>
        <w:spacing w:line="600" w:lineRule="exact"/>
        <w:ind w:firstLine="800" w:firstLineChars="250"/>
        <w:rPr>
          <w:rFonts w:ascii="Times New Roman" w:hAnsi="Times New Roman" w:eastAsia="仿宋_GB2312"/>
          <w:sz w:val="32"/>
          <w:szCs w:val="32"/>
          <w:highlight w:val="yellow"/>
        </w:rPr>
      </w:pPr>
      <w:r>
        <w:rPr>
          <w:rFonts w:hint="eastAsia" w:ascii="Times New Roman" w:hAnsi="Times New Roman" w:eastAsia="仿宋_GB2312"/>
          <w:sz w:val="32"/>
          <w:szCs w:val="32"/>
        </w:rPr>
        <w:t>年初预算为130.04万元，支出决算为130.04万元，完成年初预算的100%。</w:t>
      </w:r>
    </w:p>
    <w:p w14:paraId="51BFD909">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31、农林水支出（类）其他农林水支出（款）其他农林水支出（项）。</w:t>
      </w:r>
    </w:p>
    <w:p w14:paraId="046F9FFC">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年初预算为3万元，支出决算为3万元，完成年初预算的100%。</w:t>
      </w:r>
    </w:p>
    <w:p w14:paraId="3C2F887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32、自然资源海洋气象等支出（类）自然资源事务（款）自然资源利用与保护（项）。</w:t>
      </w:r>
    </w:p>
    <w:p w14:paraId="762C1FFA">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年初预算为5万元，支出决算为5万元，完成年初预算的100%。</w:t>
      </w:r>
    </w:p>
    <w:p w14:paraId="234A06A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33、住房保障支出（类）住房改革支出（款）住房公积金（项）。</w:t>
      </w:r>
    </w:p>
    <w:p w14:paraId="55564A76">
      <w:pPr>
        <w:pStyle w:val="13"/>
        <w:spacing w:line="600" w:lineRule="exact"/>
        <w:ind w:firstLine="800" w:firstLineChars="250"/>
        <w:rPr>
          <w:rFonts w:ascii="Times New Roman" w:hAnsi="Times New Roman" w:eastAsia="仿宋_GB2312"/>
          <w:sz w:val="32"/>
          <w:szCs w:val="32"/>
          <w:highlight w:val="yellow"/>
        </w:rPr>
      </w:pPr>
      <w:r>
        <w:rPr>
          <w:rFonts w:hint="eastAsia" w:ascii="Times New Roman" w:hAnsi="Times New Roman" w:eastAsia="仿宋_GB2312"/>
          <w:sz w:val="32"/>
          <w:szCs w:val="32"/>
        </w:rPr>
        <w:t>年初预算为22.6万元，支出决算为22.6万元，完成年初预算的100%。</w:t>
      </w:r>
    </w:p>
    <w:p w14:paraId="7A0881C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34、粮油物资储备支出（类）粮油物资事务（款）其他粮油物资事务支出（项）。</w:t>
      </w:r>
    </w:p>
    <w:p w14:paraId="7E9778C6">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年初预算为5万元，支出决算为5万元，完成年初预算的100%。</w:t>
      </w:r>
    </w:p>
    <w:p w14:paraId="66E4C5F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35、灾害防治及应急管理支出（类）应急管理事务（款）其他应急管理支出（项）。</w:t>
      </w:r>
    </w:p>
    <w:p w14:paraId="23A60392">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年初预算为1.51万元，支出决算为1.51万元，完成年初预算的100%。</w:t>
      </w:r>
    </w:p>
    <w:p w14:paraId="241792A4">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36、灾害防治及应急管理支出（类）消防救援事务（款）一般行政管理事务（项）。</w:t>
      </w:r>
    </w:p>
    <w:p w14:paraId="4A93FBAC">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年初预算为1.31万元，支出决算为1.31万元，完成年初预算的100%。</w:t>
      </w:r>
    </w:p>
    <w:p w14:paraId="7F939B3F">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37、灾害防治及应急管理支出（类）自然灾害防治（款）自然灾害防治（项）。</w:t>
      </w:r>
    </w:p>
    <w:p w14:paraId="3BE50882">
      <w:pPr>
        <w:pStyle w:val="13"/>
        <w:spacing w:line="600" w:lineRule="exact"/>
        <w:ind w:firstLine="800" w:firstLineChars="250"/>
        <w:rPr>
          <w:rFonts w:ascii="Times New Roman" w:hAnsi="Times New Roman" w:eastAsia="仿宋_GB2312"/>
          <w:sz w:val="32"/>
          <w:szCs w:val="32"/>
          <w:highlight w:val="yellow"/>
        </w:rPr>
      </w:pPr>
      <w:r>
        <w:rPr>
          <w:rFonts w:hint="eastAsia" w:ascii="Times New Roman" w:hAnsi="Times New Roman" w:eastAsia="仿宋_GB2312"/>
          <w:sz w:val="32"/>
          <w:szCs w:val="32"/>
        </w:rPr>
        <w:t>年初预算为5万元，支出决算为5万元，完成年初预算的100%。</w:t>
      </w:r>
    </w:p>
    <w:p w14:paraId="08D28236">
      <w:pPr>
        <w:pStyle w:val="13"/>
        <w:spacing w:line="600" w:lineRule="exact"/>
        <w:ind w:firstLine="640" w:firstLineChars="200"/>
        <w:rPr>
          <w:rFonts w:hAnsi="黑体"/>
          <w:bCs/>
          <w:sz w:val="32"/>
          <w:szCs w:val="32"/>
        </w:rPr>
      </w:pPr>
      <w:r>
        <w:rPr>
          <w:rFonts w:hint="eastAsia" w:hAnsi="黑体"/>
          <w:bCs/>
          <w:sz w:val="32"/>
          <w:szCs w:val="32"/>
        </w:rPr>
        <w:t>六、一般公共预算财政拨款基本支出决算情况说明</w:t>
      </w:r>
    </w:p>
    <w:p w14:paraId="1798EDE1">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2023年度财政拨款基本支出822.69万元，其中：</w:t>
      </w:r>
    </w:p>
    <w:p w14:paraId="2D8843AE">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b/>
          <w:bCs/>
          <w:sz w:val="32"/>
          <w:szCs w:val="32"/>
        </w:rPr>
        <w:t>人员经费</w:t>
      </w:r>
      <w:r>
        <w:rPr>
          <w:rFonts w:hint="eastAsia" w:ascii="Times New Roman" w:hAnsi="Times New Roman" w:eastAsia="仿宋_GB2312"/>
          <w:sz w:val="32"/>
          <w:szCs w:val="32"/>
        </w:rPr>
        <w:t>667.23万元，占基本支出的81.10%,主要包括基本工资155.68万元、津贴补贴150.3万元、奖金13.41万元、伙食补助费7.37万元、绩效工资56.47万元、机关事业单位基本养老保险缴费61.89万元、职业年金缴费6.54万元、职工基本医疗保险缴费27.7万元、其他社会保障缴费3.69万元、住房公积金22.6万元、抚恤金26.63万元、生活补助129.24万元、其他对个人和家庭的补助5.71万元。</w:t>
      </w:r>
    </w:p>
    <w:p w14:paraId="2F91062F">
      <w:pPr>
        <w:pStyle w:val="13"/>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b/>
          <w:bCs/>
          <w:sz w:val="32"/>
          <w:szCs w:val="32"/>
        </w:rPr>
        <w:t>公用经费</w:t>
      </w:r>
      <w:r>
        <w:rPr>
          <w:rFonts w:hint="eastAsia" w:ascii="Times New Roman" w:hAnsi="Times New Roman" w:eastAsia="仿宋_GB2312"/>
          <w:sz w:val="32"/>
          <w:szCs w:val="32"/>
        </w:rPr>
        <w:t>155.47万元，占基本支出的18.90%，主要包括办公费25.77万元、印刷费2.83万元、电费2.81万元、差旅费30.57万元、维修（护）费8.54万元、会议费5万元、培训费0.02万元、公务接待费0.7万元、劳务费2.1万元、福利费0.08万元、公务用车运行维护0.3万元、其他交通费用32.6万元、其他商品和服务支出44.15万元。</w:t>
      </w:r>
    </w:p>
    <w:p w14:paraId="14B43336">
      <w:pPr>
        <w:pStyle w:val="13"/>
        <w:spacing w:line="600" w:lineRule="exact"/>
        <w:ind w:firstLine="640" w:firstLineChars="200"/>
        <w:rPr>
          <w:rFonts w:ascii="Times New Roman" w:hAnsi="Times New Roman" w:eastAsia="仿宋_GB2312"/>
          <w:b/>
          <w:sz w:val="32"/>
          <w:szCs w:val="32"/>
        </w:rPr>
      </w:pPr>
      <w:r>
        <w:rPr>
          <w:rFonts w:hint="eastAsia" w:hAnsi="黑体"/>
          <w:bCs/>
          <w:sz w:val="32"/>
          <w:szCs w:val="32"/>
        </w:rPr>
        <w:t>七、财政拨款三公经费支出决算情况说明</w:t>
      </w:r>
    </w:p>
    <w:p w14:paraId="3482BABD">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（一）“三公”经费财政拨款支出决算总体情况说明</w:t>
      </w:r>
    </w:p>
    <w:p w14:paraId="5FEC5BBC">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sz w:val="32"/>
          <w:szCs w:val="32"/>
        </w:rPr>
        <w:t>“三公”经费财政拨款支出预</w:t>
      </w:r>
      <w:r>
        <w:rPr>
          <w:rFonts w:hint="eastAsia" w:ascii="Times New Roman" w:hAnsi="Times New Roman" w:eastAsia="仿宋_GB2312"/>
          <w:color w:val="auto"/>
          <w:sz w:val="32"/>
          <w:szCs w:val="32"/>
        </w:rPr>
        <w:t>算为1万元，支出决算为1万元，完成预算的100%，决算数等于预算数，与上年持平，其中：</w:t>
      </w:r>
    </w:p>
    <w:p w14:paraId="0E53E528">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因公出国（境）费支出预算为0万元，支出决算为0万元，</w:t>
      </w:r>
      <w:bookmarkStart w:id="1" w:name="OLE_LINK94"/>
      <w:r>
        <w:rPr>
          <w:rFonts w:hint="eastAsia" w:ascii="Times New Roman" w:hAnsi="Times New Roman" w:eastAsia="仿宋_GB2312"/>
          <w:color w:val="auto"/>
          <w:sz w:val="32"/>
          <w:szCs w:val="32"/>
        </w:rPr>
        <w:t>由于预算数为0，无法计算百分比</w:t>
      </w:r>
      <w:bookmarkEnd w:id="1"/>
      <w:r>
        <w:rPr>
          <w:rFonts w:hint="eastAsia" w:ascii="Times New Roman" w:hAnsi="Times New Roman" w:eastAsia="仿宋_GB2312"/>
          <w:color w:val="auto"/>
          <w:sz w:val="32"/>
          <w:szCs w:val="32"/>
        </w:rPr>
        <w:t>，决算数等于预算数，与上年持平。</w:t>
      </w:r>
    </w:p>
    <w:p w14:paraId="459FD6D3">
      <w:pPr>
        <w:pStyle w:val="13"/>
        <w:spacing w:line="600" w:lineRule="exact"/>
        <w:ind w:firstLine="800" w:firstLineChars="250"/>
        <w:rPr>
          <w:rFonts w:ascii="Times New Roman" w:hAnsi="Times New Roman" w:eastAsia="仿宋_GB2312"/>
          <w:color w:val="auto"/>
          <w:sz w:val="32"/>
          <w:szCs w:val="32"/>
        </w:rPr>
      </w:pPr>
      <w:r>
        <w:rPr>
          <w:rFonts w:hint="eastAsia" w:ascii="Times New Roman" w:hAnsi="Times New Roman" w:eastAsia="仿宋_GB2312"/>
          <w:color w:val="auto"/>
          <w:sz w:val="32"/>
          <w:szCs w:val="32"/>
        </w:rPr>
        <w:t>公务接待费支出预算为0.7万元，支出决算为0.7万元，完成预算的100%，决算数等于预算数，与上年持平。</w:t>
      </w:r>
    </w:p>
    <w:p w14:paraId="75481D68">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color w:val="auto"/>
          <w:sz w:val="32"/>
          <w:szCs w:val="32"/>
        </w:rPr>
        <w:t>公务用车购置费支出预算为0万元，支出决算为0万元，由于预算数为0，无法计算百分比，决算数等于预算数，与上年持平</w:t>
      </w:r>
      <w:r>
        <w:rPr>
          <w:rFonts w:hint="eastAsia" w:ascii="Times New Roman" w:hAnsi="Times New Roman" w:eastAsia="仿宋_GB2312"/>
          <w:sz w:val="32"/>
          <w:szCs w:val="32"/>
        </w:rPr>
        <w:t>。</w:t>
      </w:r>
    </w:p>
    <w:p w14:paraId="0FE5A06E">
      <w:pPr>
        <w:pStyle w:val="13"/>
        <w:spacing w:line="600" w:lineRule="exact"/>
        <w:ind w:firstLine="800" w:firstLineChars="250"/>
        <w:rPr>
          <w:rFonts w:ascii="Times New Roman" w:hAnsi="Times New Roman" w:eastAsia="仿宋_GB2312"/>
          <w:sz w:val="32"/>
          <w:szCs w:val="32"/>
        </w:rPr>
      </w:pPr>
      <w:r>
        <w:rPr>
          <w:rFonts w:hint="eastAsia" w:ascii="Times New Roman" w:hAnsi="Times New Roman" w:eastAsia="仿宋_GB2312"/>
          <w:sz w:val="32"/>
          <w:szCs w:val="32"/>
        </w:rPr>
        <w:t>公务用车运行维护费支出预算为0.3万元，支出决算为0.3万元，完成预算的100%，决算数等于预算数，与上年持平。</w:t>
      </w:r>
    </w:p>
    <w:p w14:paraId="1BDDD47B">
      <w:pPr>
        <w:pStyle w:val="13"/>
        <w:spacing w:line="600" w:lineRule="exact"/>
        <w:ind w:firstLine="640" w:firstLineChars="200"/>
        <w:rPr>
          <w:rFonts w:ascii="楷体" w:hAnsi="楷体" w:eastAsia="楷体" w:cs="楷体"/>
          <w:b/>
          <w:sz w:val="32"/>
          <w:szCs w:val="32"/>
        </w:rPr>
      </w:pPr>
      <w:r>
        <w:rPr>
          <w:rFonts w:hint="eastAsia" w:ascii="楷体" w:hAnsi="楷体" w:eastAsia="楷体" w:cs="楷体"/>
          <w:b/>
          <w:sz w:val="32"/>
          <w:szCs w:val="32"/>
        </w:rPr>
        <w:t>（二）“三公”经费财政拨款支出决算具体情况说明</w:t>
      </w:r>
    </w:p>
    <w:p w14:paraId="38F7903B">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2023年度“三公”经费财政拨款支出决算中，公务接待费支出决算0.7万元，占70%,因公出国（境）费支出决算0万元，占0%,公务用车购置费及运行维护费支出决算0.3万元，占30%。其中：</w:t>
      </w:r>
    </w:p>
    <w:p w14:paraId="49B32DD8">
      <w:pPr>
        <w:pStyle w:val="13"/>
        <w:spacing w:line="600" w:lineRule="exact"/>
        <w:ind w:firstLine="640" w:firstLineChars="200"/>
        <w:rPr>
          <w:rFonts w:ascii="Times New Roman" w:hAnsi="Times New Roman" w:eastAsia="仿宋_GB2312"/>
          <w:b/>
          <w:sz w:val="32"/>
          <w:szCs w:val="32"/>
        </w:rPr>
      </w:pPr>
      <w:r>
        <w:rPr>
          <w:rFonts w:hint="eastAsia" w:ascii="Times New Roman" w:hAnsi="Times New Roman" w:eastAsia="仿宋_GB2312"/>
          <w:sz w:val="32"/>
          <w:szCs w:val="32"/>
        </w:rPr>
        <w:t>1、因公出国（境）费支出决算为0万元，全年安排因公出国（境）团组0个，累计0人次。</w:t>
      </w:r>
    </w:p>
    <w:p w14:paraId="77FD9A9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2、公务接待费支出决算为0.7万元，全年共接待来访团组32个、来宾119人次，主要是上级单位视察、指导发生的接待支出。</w:t>
      </w:r>
    </w:p>
    <w:p w14:paraId="1C476C0F">
      <w:pPr>
        <w:spacing w:line="600" w:lineRule="exact"/>
        <w:ind w:firstLine="800" w:firstLineChars="250"/>
        <w:rPr>
          <w:rFonts w:ascii="楷体" w:hAnsi="楷体" w:eastAsia="楷体" w:cs="楷体"/>
          <w:b/>
          <w:bCs/>
          <w:i/>
          <w:kern w:val="0"/>
          <w:sz w:val="32"/>
          <w:szCs w:val="32"/>
        </w:rPr>
      </w:pPr>
      <w:r>
        <w:rPr>
          <w:rFonts w:hint="eastAsia" w:ascii="Times New Roman" w:hAnsi="Times New Roman" w:eastAsia="仿宋_GB2312"/>
          <w:sz w:val="32"/>
          <w:szCs w:val="32"/>
        </w:rPr>
        <w:t>3、公务用车购置费及运行维护费支出决算为0.3万元，其中：公务用车购置费0万元，更新公务用车0辆</w:t>
      </w:r>
      <w:r>
        <w:rPr>
          <w:rFonts w:hint="eastAsia" w:ascii="Times New Roman" w:hAnsi="Times New Roman" w:eastAsia="仿宋_GB2312"/>
          <w:color w:val="000000" w:themeColor="text1"/>
          <w:sz w:val="32"/>
          <w:szCs w:val="32"/>
        </w:rPr>
        <w:t>。</w:t>
      </w:r>
      <w:r>
        <w:rPr>
          <w:rFonts w:hint="eastAsia" w:ascii="Times New Roman" w:hAnsi="Times New Roman" w:eastAsia="仿宋_GB2312"/>
          <w:sz w:val="32"/>
          <w:szCs w:val="32"/>
        </w:rPr>
        <w:t>公务用车运行维护费0.3万元，主要是维护车辆日常出行发生的支出，截</w:t>
      </w:r>
      <w:r>
        <w:rPr>
          <w:rFonts w:hint="eastAsia" w:ascii="Times New Roman" w:hAnsi="Times New Roman" w:eastAsia="仿宋_GB2312"/>
          <w:sz w:val="32"/>
          <w:szCs w:val="32"/>
          <w:lang w:val="en-US" w:eastAsia="zh-CN"/>
        </w:rPr>
        <w:t>至</w:t>
      </w:r>
      <w:r>
        <w:rPr>
          <w:rFonts w:hint="eastAsia" w:ascii="Times New Roman" w:hAnsi="Times New Roman" w:eastAsia="仿宋_GB2312"/>
          <w:sz w:val="32"/>
          <w:szCs w:val="32"/>
        </w:rPr>
        <w:t>2023年12月31日，我单位开支财政拨款的公务用车保有量为1辆。</w:t>
      </w:r>
    </w:p>
    <w:p w14:paraId="7127426D">
      <w:pPr>
        <w:pStyle w:val="13"/>
        <w:spacing w:line="600" w:lineRule="exact"/>
        <w:ind w:firstLine="640" w:firstLineChars="200"/>
        <w:rPr>
          <w:rFonts w:hAnsi="黑体"/>
          <w:bCs/>
          <w:sz w:val="32"/>
          <w:szCs w:val="32"/>
        </w:rPr>
      </w:pPr>
      <w:r>
        <w:rPr>
          <w:rFonts w:hint="eastAsia" w:hAnsi="黑体"/>
          <w:bCs/>
          <w:sz w:val="32"/>
          <w:szCs w:val="32"/>
        </w:rPr>
        <w:t>八、政府性基金预算收入支出决算情况</w:t>
      </w:r>
    </w:p>
    <w:p w14:paraId="44AA7AF7">
      <w:pPr>
        <w:pStyle w:val="13"/>
        <w:spacing w:line="600" w:lineRule="exact"/>
        <w:rPr>
          <w:rFonts w:ascii="楷体" w:hAnsi="楷体" w:eastAsia="楷体" w:cs="楷体"/>
          <w:b/>
          <w:bCs/>
          <w:i/>
          <w:color w:val="auto"/>
          <w:sz w:val="32"/>
          <w:szCs w:val="32"/>
        </w:rPr>
      </w:pPr>
      <w:r>
        <w:rPr>
          <w:rFonts w:hint="eastAsia" w:ascii="Times New Roman" w:hAnsi="Times New Roman" w:eastAsia="仿宋_GB2312"/>
          <w:sz w:val="32"/>
          <w:szCs w:val="32"/>
        </w:rPr>
        <w:t xml:space="preserve">     2023年度政府性基金预算财政拨款收入7万元；年初结转和结余0万元；支出7万元，其中基本支出0万元，项目支出7万元；年末结转和结余0万元。具体情况如下：</w:t>
      </w:r>
    </w:p>
    <w:p w14:paraId="748AC4BB">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1、社会保障和就业支出（类）小型水库移民扶助基金安排的支出（款）基础设施建设和经济发展（项）。</w:t>
      </w:r>
    </w:p>
    <w:p w14:paraId="3E9B6C9E">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年初预算为5万元，支出决算为5万元，完成年初预算的100%。</w:t>
      </w:r>
    </w:p>
    <w:p w14:paraId="40D72C19">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2、其他支出（类）其他政府性基金及对应专项债务收入安排的支出（款）其他政府性基金安排的支出（项）。</w:t>
      </w:r>
    </w:p>
    <w:p w14:paraId="72D4361E">
      <w:pPr>
        <w:pStyle w:val="13"/>
        <w:spacing w:line="600" w:lineRule="exact"/>
        <w:ind w:firstLine="640" w:firstLineChars="200"/>
        <w:rPr>
          <w:rFonts w:ascii="Times New Roman" w:hAnsi="Times New Roman" w:eastAsia="仿宋_GB2312"/>
          <w:sz w:val="32"/>
          <w:szCs w:val="32"/>
          <w:highlight w:val="yellow"/>
        </w:rPr>
      </w:pPr>
      <w:r>
        <w:rPr>
          <w:rFonts w:hint="eastAsia" w:ascii="Times New Roman" w:hAnsi="Times New Roman" w:eastAsia="仿宋_GB2312"/>
          <w:sz w:val="32"/>
          <w:szCs w:val="32"/>
        </w:rPr>
        <w:t>年初预算为2万元，支出决算为2万元，完成年初预算的100%。</w:t>
      </w:r>
    </w:p>
    <w:p w14:paraId="15589822">
      <w:pPr>
        <w:pStyle w:val="13"/>
        <w:spacing w:line="600" w:lineRule="exact"/>
        <w:ind w:firstLine="640" w:firstLineChars="200"/>
        <w:rPr>
          <w:rFonts w:ascii="Times New Roman" w:hAnsi="Times New Roman" w:eastAsia="仿宋_GB2312"/>
          <w:b/>
          <w:color w:val="auto"/>
          <w:sz w:val="32"/>
          <w:szCs w:val="32"/>
        </w:rPr>
      </w:pPr>
      <w:r>
        <w:rPr>
          <w:rFonts w:hint="eastAsia" w:ascii="Times New Roman" w:hAnsi="Times New Roman" w:eastAsia="仿宋_GB2312"/>
          <w:b/>
          <w:color w:val="auto"/>
          <w:sz w:val="32"/>
          <w:szCs w:val="32"/>
        </w:rPr>
        <w:t>九、关于机关运行经费支出说明</w:t>
      </w:r>
    </w:p>
    <w:p w14:paraId="19B83EBB">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本部门2023年度机关运行经费支出155.47万元，比上年决算数增加2.8万元，增加1.83%。主要原因是其他商品和服务支出的增加。</w:t>
      </w:r>
    </w:p>
    <w:p w14:paraId="1E21B6F8">
      <w:pPr>
        <w:pStyle w:val="13"/>
        <w:spacing w:line="600" w:lineRule="exact"/>
        <w:ind w:firstLine="640" w:firstLineChars="200"/>
        <w:rPr>
          <w:rFonts w:hAnsi="黑体"/>
          <w:bCs/>
          <w:sz w:val="32"/>
          <w:szCs w:val="32"/>
        </w:rPr>
      </w:pPr>
      <w:r>
        <w:rPr>
          <w:rFonts w:hint="eastAsia" w:hAnsi="黑体"/>
          <w:bCs/>
          <w:sz w:val="32"/>
          <w:szCs w:val="32"/>
        </w:rPr>
        <w:t>十、一般性支出情况说明</w:t>
      </w:r>
    </w:p>
    <w:p w14:paraId="0BE4BA9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2023年本部门开支会议费5万元，用于召开日常例会，人数47人，内容为定期工作部署等，开支1.5万元；召开乡村振兴推进会议，人数80人，内容为部署乡村振兴工作，开支1.7万元；召开人居环境整治工作会议，人数51人，内容为部署人居环境整治工作，开支1.4万元；召开乡人大会议，人数70人，内容为报告和审查上年度各单位和部门的工作，开支0.4万元。</w:t>
      </w:r>
    </w:p>
    <w:p w14:paraId="38D5DE5A">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开支培训费0.02万元，人数1人，内容是政府工作人员参加红色培训的支出。</w:t>
      </w:r>
    </w:p>
    <w:p w14:paraId="4F55754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举办0次节庆、晚会、论坛、赛事活动，开支0万元。</w:t>
      </w:r>
    </w:p>
    <w:p w14:paraId="1BECE0BD">
      <w:pPr>
        <w:pStyle w:val="13"/>
        <w:spacing w:line="600" w:lineRule="exact"/>
        <w:ind w:firstLine="640" w:firstLineChars="200"/>
        <w:rPr>
          <w:rFonts w:hAnsi="黑体"/>
          <w:bCs/>
          <w:sz w:val="32"/>
          <w:szCs w:val="32"/>
        </w:rPr>
      </w:pPr>
      <w:r>
        <w:rPr>
          <w:rFonts w:hint="eastAsia" w:hAnsi="黑体"/>
          <w:bCs/>
          <w:sz w:val="32"/>
          <w:szCs w:val="32"/>
        </w:rPr>
        <w:t>十一、关于政府采购支出说明</w:t>
      </w:r>
    </w:p>
    <w:p w14:paraId="4FFFF3E4">
      <w:pPr>
        <w:pStyle w:val="13"/>
        <w:spacing w:line="580" w:lineRule="exact"/>
        <w:ind w:firstLine="640" w:firstLineChars="200"/>
        <w:rPr>
          <w:rFonts w:ascii="楷体" w:hAnsi="楷体" w:eastAsia="仿宋_GB2312" w:cs="楷体"/>
          <w:b/>
          <w:bCs/>
          <w:i/>
          <w:color w:val="auto"/>
          <w:sz w:val="32"/>
          <w:szCs w:val="32"/>
        </w:rPr>
      </w:pPr>
      <w:r>
        <w:rPr>
          <w:rFonts w:hint="eastAsia" w:ascii="Times New Roman" w:hAnsi="Times New Roman" w:eastAsia="仿宋_GB2312"/>
          <w:sz w:val="32"/>
          <w:szCs w:val="32"/>
        </w:rPr>
        <w:t>本部门2023年度政府采购支出总额0万元，其中：政府采购货物支出0万元、政府采购工程支出0万元、政府采购服务支出0万元。授予中小企业合同金额0万元，占政府采购支出总额的0%，其中：授予小微企业合同金额0万元，</w:t>
      </w:r>
      <w:r>
        <w:rPr>
          <w:rFonts w:hint="eastAsia" w:ascii="Times New Roman" w:hAnsi="Times New Roman" w:eastAsia="仿宋_GB2312"/>
          <w:color w:val="auto"/>
          <w:sz w:val="32"/>
          <w:szCs w:val="32"/>
        </w:rPr>
        <w:t>占授予中小企业合同金额的0%。货物采购授予中小企业合同金额占货物支出金额的0%，工程采购授予中小企业合同金额占工程支出金额的0%，服务采购授予中小企业合同金额占服务支出金额的0%。</w:t>
      </w:r>
    </w:p>
    <w:p w14:paraId="516357D3">
      <w:pPr>
        <w:pStyle w:val="13"/>
        <w:spacing w:line="580" w:lineRule="exact"/>
        <w:ind w:firstLine="640" w:firstLineChars="200"/>
        <w:rPr>
          <w:rFonts w:hAnsi="黑体"/>
          <w:bCs/>
          <w:color w:val="auto"/>
          <w:sz w:val="32"/>
          <w:szCs w:val="32"/>
        </w:rPr>
      </w:pPr>
      <w:r>
        <w:rPr>
          <w:rFonts w:hint="eastAsia" w:hAnsi="黑体"/>
          <w:bCs/>
          <w:color w:val="auto"/>
          <w:sz w:val="32"/>
          <w:szCs w:val="32"/>
        </w:rPr>
        <w:t>十二、关于国有资产占用情况说明</w:t>
      </w:r>
    </w:p>
    <w:p w14:paraId="5C8636EF">
      <w:pPr>
        <w:pStyle w:val="13"/>
        <w:spacing w:line="580" w:lineRule="exact"/>
        <w:ind w:firstLine="640" w:firstLineChars="200"/>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2023年12月31日，单位共有车辆1辆，其中，副部（省）级及以上领导用车0辆、主要负责人用车0辆、机要通信用车0辆、应急保障用车0辆、执法执勤用车0辆、特种专业技术用车0辆、离退休干部服务用车0辆、其他用车1辆，其他用车主要是公务办事用车；单位价值100万元以上设备（不含车辆）0台（套）。</w:t>
      </w:r>
    </w:p>
    <w:p w14:paraId="6E8280CF">
      <w:pPr>
        <w:pStyle w:val="13"/>
        <w:spacing w:line="580" w:lineRule="exact"/>
        <w:ind w:firstLine="640" w:firstLineChars="200"/>
        <w:rPr>
          <w:rFonts w:hAnsi="黑体"/>
          <w:bCs/>
          <w:color w:val="auto"/>
          <w:sz w:val="32"/>
          <w:szCs w:val="32"/>
        </w:rPr>
      </w:pPr>
      <w:r>
        <w:rPr>
          <w:rFonts w:hint="eastAsia" w:hAnsi="黑体"/>
          <w:bCs/>
          <w:color w:val="auto"/>
          <w:sz w:val="32"/>
          <w:szCs w:val="32"/>
        </w:rPr>
        <w:t>十三、关于</w:t>
      </w:r>
      <w:r>
        <w:rPr>
          <w:rFonts w:hint="eastAsia" w:ascii="Times New Roman" w:hAnsi="Times New Roman" w:eastAsia="仿宋_GB2312"/>
          <w:color w:val="auto"/>
          <w:sz w:val="32"/>
          <w:szCs w:val="32"/>
        </w:rPr>
        <w:t>2023</w:t>
      </w:r>
      <w:r>
        <w:rPr>
          <w:rFonts w:hint="eastAsia" w:hAnsi="黑体"/>
          <w:bCs/>
          <w:color w:val="auto"/>
          <w:sz w:val="32"/>
          <w:szCs w:val="32"/>
        </w:rPr>
        <w:t>年度预算绩效情况的说明</w:t>
      </w:r>
    </w:p>
    <w:p w14:paraId="6F01DC1D">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（一）绩效管理工作开展情况</w:t>
      </w:r>
    </w:p>
    <w:p w14:paraId="2FF6DC1A">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本单位成立了预算绩效管理工作小组，由财务负责人牵头，项目办等相关部门工作人员配合，确保绩效管理工作的顺利推进。完善内部预算绩效管理相关的制度办法、操作规程等，为绩效管理工作提供制度保障。</w:t>
      </w:r>
    </w:p>
    <w:p w14:paraId="16B71CFD">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（二）部门（单位）整体支出绩效情况</w:t>
      </w:r>
    </w:p>
    <w:p w14:paraId="2EC730F9">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组织对淘金坪乡人民政府开展整体支出绩效评价，涉及一般公共预算支出1068.1万元，政府性基金预算支出7万元。从评价情况来看，淘金坪乡人民政府整体支出情况较好，预算编制比较科学，民主理财、公开理财氛围浓厚，财政财务制度健全且执行情况良好。在职责履行上收效较为明显，资金投入取得了较好的效益，为全乡工作顺利开展提供了有效保障。部门整体支出绩效情况如下：</w:t>
      </w:r>
    </w:p>
    <w:p w14:paraId="1387AF36">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1.经济性评价</w:t>
      </w:r>
    </w:p>
    <w:p w14:paraId="22530DF8">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（1）从源头抓起，科学合理编制经费预算。根据中央和省、市、县财政预算改革的有关要求，结合单位实际需要，按标准、按项目科学认真编制部门预算。</w:t>
      </w:r>
    </w:p>
    <w:p w14:paraId="3D27BD28">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（2）预算执行方面，支出总额基本控制在预算总额以内，不存在截留或滞留专项资金情况。</w:t>
      </w:r>
    </w:p>
    <w:p w14:paraId="7DBBE984">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2.行政效能评价</w:t>
      </w:r>
    </w:p>
    <w:p w14:paraId="2424157C">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为强化部门整体支出，加强国有资产管理，提高资金使用效益，在财务管理和厉行节约方面开展了大量工作，行政效能显著。</w:t>
      </w:r>
    </w:p>
    <w:p w14:paraId="6918B165">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（1）在原有相对健全的财务管理制度基础上，适时地、针对性地进行了相关制度的增补，制度的建立更为完善。</w:t>
      </w:r>
    </w:p>
    <w:p w14:paraId="3A53A028">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2）重视制度的学习和宣讲，并已逐步形成了崇尚厉行节约反对浪费的机关文化。根据中央、湖南省、怀化市人民政府下发的《党政机关厉行节约反对浪费条例》《湖南省党政机关国内公务接待管理办法》等一系列文件精神，组织单位人员学习，强化了我乡厉行节约管理意识。</w:t>
      </w:r>
    </w:p>
    <w:p w14:paraId="230DACC1">
      <w:pPr>
        <w:pStyle w:val="13"/>
        <w:spacing w:line="580" w:lineRule="exact"/>
        <w:ind w:firstLine="640" w:firstLineChars="200"/>
        <w:rPr>
          <w:rFonts w:ascii="Times New Roman" w:hAnsi="Times New Roman" w:eastAsia="仿宋_GB2312"/>
          <w:sz w:val="32"/>
          <w:szCs w:val="32"/>
          <w:highlight w:val="yellow"/>
        </w:rPr>
      </w:pPr>
      <w:r>
        <w:rPr>
          <w:rFonts w:hint="eastAsia" w:ascii="Times New Roman" w:hAnsi="Times New Roman" w:eastAsia="仿宋_GB2312"/>
          <w:sz w:val="32"/>
          <w:szCs w:val="32"/>
        </w:rPr>
        <w:t>（3）突出作用发挥，持续推进基层组织建设。以党建引领为抓手，突出大抓基层的鲜明导向，不断创新工作举措，全面提升基层党组织组织力。一方面认真组织开展党史和“不忘初心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牢记使命”主题教育。广泛开展“我为群众办实事”实践活动，不断提高党史学习质量，提升为群众办实事解难题的实际效果，助推乡村振兴。另一方面落实“党建+微网格”工作模式。以23个网格组为依托，26名网格员牵头，全乡党员干部齐参与，共联系服务群众2515户，针对性开展党员干部联系服务群众“五个到户”工作。发挥党员在乡村振兴、基层治理中的“领头雁”作用，搭建党群“连心桥”，打通服务群众的“最后一公里”。自“五个到户”工作开展以来，干群联系更加紧密，群众的诉求更快得到回应与解决。</w:t>
      </w:r>
    </w:p>
    <w:p w14:paraId="1AB772D6">
      <w:pPr>
        <w:pStyle w:val="13"/>
        <w:spacing w:line="580" w:lineRule="exact"/>
        <w:ind w:firstLine="640" w:firstLineChars="200"/>
        <w:rPr>
          <w:rFonts w:ascii="楷体" w:hAnsi="楷体" w:eastAsia="楷体" w:cs="楷体"/>
          <w:b/>
          <w:bCs/>
          <w:sz w:val="32"/>
          <w:szCs w:val="32"/>
        </w:rPr>
      </w:pPr>
      <w:r>
        <w:rPr>
          <w:rFonts w:hint="eastAsia" w:ascii="楷体" w:hAnsi="楷体" w:eastAsia="楷体" w:cs="楷体"/>
          <w:b/>
          <w:bCs/>
          <w:sz w:val="32"/>
          <w:szCs w:val="32"/>
        </w:rPr>
        <w:t>（三）存在的问题及原因分析</w:t>
      </w:r>
    </w:p>
    <w:p w14:paraId="0756BB07">
      <w:pPr>
        <w:pStyle w:val="13"/>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预算绩效存在的问题有：绩效管理体系有待进一步完善、监管和考核机制不健全等。原因主要是制度建设滞后，缺乏统一的绩效管理制度和流程，</w:t>
      </w:r>
      <w:r>
        <w:rPr>
          <w:rFonts w:ascii="Times New Roman" w:hAnsi="Times New Roman" w:eastAsia="仿宋_GB2312"/>
          <w:sz w:val="32"/>
          <w:szCs w:val="32"/>
        </w:rPr>
        <w:t>这导致绩效管理工作缺乏制度保障和规范指导</w:t>
      </w:r>
      <w:r>
        <w:rPr>
          <w:rFonts w:hint="eastAsia" w:ascii="Times New Roman" w:hAnsi="Times New Roman" w:eastAsia="仿宋_GB2312"/>
          <w:sz w:val="32"/>
          <w:szCs w:val="32"/>
        </w:rPr>
        <w:t>；绩效评价应用不充分，</w:t>
      </w:r>
      <w:r>
        <w:rPr>
          <w:rFonts w:ascii="Times New Roman" w:hAnsi="Times New Roman" w:eastAsia="仿宋_GB2312"/>
          <w:sz w:val="32"/>
          <w:szCs w:val="32"/>
        </w:rPr>
        <w:t>未能将其作为预算调整和优化的重要依据</w:t>
      </w:r>
      <w:r>
        <w:rPr>
          <w:rFonts w:hint="eastAsia" w:ascii="Times New Roman" w:hAnsi="Times New Roman" w:eastAsia="仿宋_GB2312"/>
          <w:sz w:val="32"/>
          <w:szCs w:val="32"/>
        </w:rPr>
        <w:t>。</w:t>
      </w:r>
    </w:p>
    <w:p w14:paraId="5581C36E">
      <w:pPr>
        <w:pStyle w:val="13"/>
        <w:jc w:val="both"/>
        <w:rPr>
          <w:rFonts w:ascii="方正小标宋_GBK" w:hAnsi="方正小标宋_GBK" w:eastAsia="方正小标宋_GBK" w:cs="方正小标宋_GBK"/>
          <w:sz w:val="72"/>
          <w:szCs w:val="72"/>
        </w:rPr>
      </w:pPr>
    </w:p>
    <w:p w14:paraId="346247FA">
      <w:pPr>
        <w:pStyle w:val="13"/>
        <w:jc w:val="both"/>
        <w:rPr>
          <w:rFonts w:ascii="方正小标宋_GBK" w:hAnsi="方正小标宋_GBK" w:eastAsia="方正小标宋_GBK" w:cs="方正小标宋_GBK"/>
          <w:sz w:val="72"/>
          <w:szCs w:val="72"/>
        </w:rPr>
      </w:pPr>
    </w:p>
    <w:p w14:paraId="58F7A842">
      <w:pPr>
        <w:pStyle w:val="13"/>
        <w:jc w:val="both"/>
        <w:rPr>
          <w:rFonts w:ascii="方正小标宋_GBK" w:hAnsi="方正小标宋_GBK" w:eastAsia="方正小标宋_GBK" w:cs="方正小标宋_GBK"/>
          <w:sz w:val="72"/>
          <w:szCs w:val="72"/>
        </w:rPr>
      </w:pPr>
    </w:p>
    <w:p w14:paraId="2B0075B8">
      <w:pPr>
        <w:rPr>
          <w:rFonts w:ascii="方正小标宋_GBK" w:hAnsi="方正小标宋_GBK" w:eastAsia="方正小标宋_GBK" w:cs="方正小标宋_GBK"/>
          <w:sz w:val="72"/>
          <w:szCs w:val="72"/>
        </w:rPr>
      </w:pPr>
      <w:r>
        <w:rPr>
          <w:rFonts w:hint="eastAsia" w:ascii="方正小标宋_GBK" w:hAnsi="方正小标宋_GBK" w:eastAsia="方正小标宋_GBK" w:cs="方正小标宋_GBK"/>
          <w:sz w:val="72"/>
          <w:szCs w:val="72"/>
        </w:rPr>
        <w:br w:type="page"/>
      </w:r>
    </w:p>
    <w:p w14:paraId="74DAE290">
      <w:pPr>
        <w:pStyle w:val="13"/>
        <w:jc w:val="both"/>
        <w:rPr>
          <w:rFonts w:ascii="方正小标宋_GBK" w:hAnsi="方正小标宋_GBK" w:eastAsia="方正小标宋_GBK" w:cs="方正小标宋_GBK"/>
          <w:sz w:val="84"/>
          <w:szCs w:val="84"/>
        </w:rPr>
      </w:pPr>
    </w:p>
    <w:p w14:paraId="1EB23556">
      <w:pPr>
        <w:pStyle w:val="13"/>
        <w:jc w:val="both"/>
        <w:rPr>
          <w:rFonts w:ascii="方正小标宋_GBK" w:hAnsi="方正小标宋_GBK" w:eastAsia="方正小标宋_GBK" w:cs="方正小标宋_GBK"/>
          <w:sz w:val="84"/>
          <w:szCs w:val="84"/>
        </w:rPr>
      </w:pPr>
    </w:p>
    <w:p w14:paraId="732DF2CC">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第四部分</w:t>
      </w:r>
    </w:p>
    <w:p w14:paraId="4B558AFE">
      <w:pPr>
        <w:jc w:val="center"/>
        <w:rPr>
          <w:rFonts w:ascii="方正小标宋_GBK" w:hAnsi="方正小标宋_GBK" w:eastAsia="方正小标宋_GBK" w:cs="方正小标宋_GBK"/>
          <w:color w:val="000000"/>
          <w:kern w:val="0"/>
          <w:sz w:val="84"/>
          <w:szCs w:val="84"/>
        </w:rPr>
      </w:pPr>
    </w:p>
    <w:p w14:paraId="4B250584">
      <w:pPr>
        <w:jc w:val="center"/>
        <w:rPr>
          <w:rFonts w:ascii="方正小标宋_GBK" w:hAnsi="方正小标宋_GBK" w:eastAsia="方正小标宋_GBK" w:cs="方正小标宋_GBK"/>
          <w:color w:val="000000"/>
          <w:kern w:val="0"/>
          <w:sz w:val="84"/>
          <w:szCs w:val="84"/>
        </w:rPr>
      </w:pPr>
      <w:r>
        <w:rPr>
          <w:rFonts w:hint="eastAsia" w:ascii="方正小标宋_GBK" w:hAnsi="方正小标宋_GBK" w:eastAsia="方正小标宋_GBK" w:cs="方正小标宋_GBK"/>
          <w:color w:val="000000"/>
          <w:kern w:val="0"/>
          <w:sz w:val="84"/>
          <w:szCs w:val="84"/>
        </w:rPr>
        <w:t>名词解释</w:t>
      </w:r>
    </w:p>
    <w:p w14:paraId="7B8B4BA7">
      <w:pPr>
        <w:widowControl/>
        <w:jc w:val="left"/>
        <w:rPr>
          <w:rFonts w:cs="黑体" w:asciiTheme="minorEastAsia" w:hAnsiTheme="minorEastAsia"/>
          <w:color w:val="000000"/>
          <w:kern w:val="0"/>
          <w:sz w:val="32"/>
          <w:szCs w:val="32"/>
        </w:rPr>
      </w:pPr>
      <w:r>
        <w:rPr>
          <w:rFonts w:hint="eastAsia" w:ascii="方正小标宋_GBK" w:hAnsi="方正小标宋_GBK" w:eastAsia="方正小标宋_GBK" w:cs="方正小标宋_GBK"/>
          <w:color w:val="000000"/>
          <w:kern w:val="0"/>
          <w:sz w:val="70"/>
          <w:szCs w:val="70"/>
        </w:rPr>
        <w:br w:type="page"/>
      </w:r>
    </w:p>
    <w:p w14:paraId="7BCA8E2A">
      <w:pPr>
        <w:pStyle w:val="13"/>
        <w:spacing w:line="600" w:lineRule="exact"/>
        <w:ind w:firstLine="640" w:firstLineChars="200"/>
        <w:rPr>
          <w:rFonts w:ascii="Times New Roman" w:hAnsi="Times New Roman" w:eastAsia="仿宋_GB2312"/>
          <w:b/>
          <w:bCs/>
          <w:sz w:val="32"/>
          <w:szCs w:val="32"/>
        </w:rPr>
      </w:pPr>
      <w:r>
        <w:rPr>
          <w:rFonts w:hint="eastAsia" w:ascii="Times New Roman" w:hAnsi="Times New Roman" w:eastAsia="仿宋_GB2312"/>
          <w:b/>
          <w:bCs/>
          <w:sz w:val="32"/>
          <w:szCs w:val="32"/>
        </w:rPr>
        <w:t>一般公共预算</w:t>
      </w:r>
    </w:p>
    <w:p w14:paraId="5AF49DE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一般公共预算是对以税收为主体的财政收入，安排用于保障和改善民生、推动经济社会发展、维护国家安全、维持国家机构正常运转等方面的收支预算。</w:t>
      </w:r>
    </w:p>
    <w:p w14:paraId="636DA14C">
      <w:pPr>
        <w:pStyle w:val="13"/>
        <w:spacing w:line="600" w:lineRule="exact"/>
        <w:ind w:firstLine="640" w:firstLineChars="200"/>
        <w:rPr>
          <w:rFonts w:ascii="Times New Roman" w:hAnsi="Times New Roman" w:eastAsia="仿宋_GB2312"/>
          <w:b/>
          <w:bCs/>
          <w:sz w:val="32"/>
          <w:szCs w:val="32"/>
        </w:rPr>
      </w:pPr>
      <w:r>
        <w:rPr>
          <w:rFonts w:hint="eastAsia" w:ascii="Times New Roman" w:hAnsi="Times New Roman" w:eastAsia="仿宋_GB2312"/>
          <w:b/>
          <w:bCs/>
          <w:sz w:val="32"/>
          <w:szCs w:val="32"/>
        </w:rPr>
        <w:t>政府性基金预算</w:t>
      </w:r>
    </w:p>
    <w:p w14:paraId="494C8BF1">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政府性基金预算是国家通过向社会征收以及出让土地、发行彩票等方式取得收入，并专项用于支持特定基础设施建设和社会事业发展的财政收支预算，是政府预算体系的重要组成部分。</w:t>
      </w:r>
    </w:p>
    <w:p w14:paraId="6879CB25">
      <w:pPr>
        <w:pStyle w:val="13"/>
        <w:spacing w:line="600" w:lineRule="exact"/>
        <w:ind w:firstLine="640" w:firstLineChars="200"/>
        <w:rPr>
          <w:rFonts w:ascii="Times New Roman" w:hAnsi="Times New Roman" w:eastAsia="仿宋_GB2312"/>
          <w:b/>
          <w:bCs/>
          <w:sz w:val="32"/>
          <w:szCs w:val="32"/>
        </w:rPr>
      </w:pPr>
      <w:r>
        <w:rPr>
          <w:rFonts w:hint="eastAsia" w:ascii="Times New Roman" w:hAnsi="Times New Roman" w:eastAsia="仿宋_GB2312"/>
          <w:b/>
          <w:bCs/>
          <w:sz w:val="32"/>
          <w:szCs w:val="32"/>
        </w:rPr>
        <w:t>一般公共服务支出</w:t>
      </w:r>
    </w:p>
    <w:p w14:paraId="3E81731D">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一般公共服务支出主要用于保障机关事业单位正常运转，支持各机关单位履行职能，保障各机关部门的项目支出需要，以及支持地方落实自主择业军转干部退役金等。</w:t>
      </w:r>
    </w:p>
    <w:p w14:paraId="0527FACD">
      <w:pPr>
        <w:pStyle w:val="13"/>
        <w:spacing w:line="600" w:lineRule="exact"/>
        <w:ind w:firstLine="640" w:firstLineChars="200"/>
        <w:rPr>
          <w:rFonts w:ascii="Times New Roman" w:hAnsi="Times New Roman" w:eastAsia="仿宋_GB2312"/>
          <w:b/>
          <w:bCs/>
          <w:sz w:val="32"/>
          <w:szCs w:val="32"/>
        </w:rPr>
      </w:pPr>
      <w:r>
        <w:rPr>
          <w:rFonts w:hint="eastAsia" w:ascii="Times New Roman" w:hAnsi="Times New Roman" w:eastAsia="仿宋_GB2312"/>
          <w:b/>
          <w:bCs/>
          <w:sz w:val="32"/>
          <w:szCs w:val="32"/>
        </w:rPr>
        <w:t>三公经费</w:t>
      </w:r>
    </w:p>
    <w:p w14:paraId="3AFE5480">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公经费指政府部门人员因公出国(境)经费、公务车购置及运行费、公务招待费产生的消费。因公出国(境)费，指单位工作人员公务出国(境)的住宿费、旅费、伙食补助费、杂费、培训费等支出。公务接待费，指单位按规定开支的各类公务接待(含外宾接待)支出。公务用车购置及运行费，指单位公务用车购置费及租用费、燃料费、维修费、过路过桥费、保险费、安全奖励费用等支出，公务用车指用于履行公务的机动车辆。</w:t>
      </w:r>
    </w:p>
    <w:p w14:paraId="7EFDF681">
      <w:pPr>
        <w:pStyle w:val="13"/>
        <w:spacing w:line="600" w:lineRule="exact"/>
        <w:ind w:firstLine="640" w:firstLineChars="200"/>
        <w:rPr>
          <w:rFonts w:ascii="Times New Roman" w:hAnsi="Times New Roman" w:eastAsia="仿宋_GB2312"/>
          <w:b/>
          <w:bCs/>
          <w:sz w:val="32"/>
          <w:szCs w:val="32"/>
        </w:rPr>
      </w:pPr>
      <w:r>
        <w:rPr>
          <w:rFonts w:hint="eastAsia" w:ascii="Times New Roman" w:hAnsi="Times New Roman" w:eastAsia="仿宋_GB2312"/>
          <w:b/>
          <w:bCs/>
          <w:sz w:val="32"/>
          <w:szCs w:val="32"/>
        </w:rPr>
        <w:t>机关运行经费</w:t>
      </w:r>
    </w:p>
    <w:p w14:paraId="515A463D">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机关运行经费指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A90AB33">
      <w:pPr>
        <w:pStyle w:val="13"/>
        <w:spacing w:line="600" w:lineRule="exact"/>
        <w:ind w:firstLine="640" w:firstLineChars="200"/>
        <w:rPr>
          <w:rFonts w:ascii="Times New Roman" w:hAnsi="Times New Roman" w:eastAsia="仿宋_GB2312"/>
          <w:b/>
          <w:bCs/>
          <w:sz w:val="32"/>
          <w:szCs w:val="32"/>
        </w:rPr>
      </w:pPr>
      <w:r>
        <w:rPr>
          <w:rFonts w:hint="eastAsia" w:ascii="Times New Roman" w:hAnsi="Times New Roman" w:eastAsia="仿宋_GB2312"/>
          <w:b/>
          <w:bCs/>
          <w:sz w:val="32"/>
          <w:szCs w:val="32"/>
        </w:rPr>
        <w:t>基本支出</w:t>
      </w:r>
    </w:p>
    <w:p w14:paraId="022B999C">
      <w:pPr>
        <w:pStyle w:val="13"/>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基本支出指部门为保障其机构正常运转、完成日常工作任务的年度基本支出，包括人员经费和公用经费两部分。</w:t>
      </w:r>
    </w:p>
    <w:p w14:paraId="268087B2">
      <w:pPr>
        <w:pStyle w:val="13"/>
        <w:spacing w:line="600" w:lineRule="exact"/>
        <w:ind w:firstLine="640" w:firstLineChars="200"/>
        <w:rPr>
          <w:rFonts w:ascii="Times New Roman" w:hAnsi="Times New Roman" w:eastAsia="仿宋_GB2312"/>
          <w:b/>
          <w:bCs/>
          <w:sz w:val="32"/>
          <w:szCs w:val="32"/>
        </w:rPr>
      </w:pPr>
      <w:r>
        <w:rPr>
          <w:rFonts w:hint="eastAsia" w:ascii="Times New Roman" w:hAnsi="Times New Roman" w:eastAsia="仿宋_GB2312"/>
          <w:b/>
          <w:bCs/>
          <w:sz w:val="32"/>
          <w:szCs w:val="32"/>
        </w:rPr>
        <w:t>其他交通费用</w:t>
      </w:r>
    </w:p>
    <w:p w14:paraId="566B6B8D">
      <w:pPr>
        <w:pStyle w:val="13"/>
        <w:spacing w:line="600" w:lineRule="exact"/>
        <w:ind w:firstLine="640" w:firstLineChars="200"/>
        <w:rPr>
          <w:sz w:val="72"/>
          <w:szCs w:val="72"/>
        </w:rPr>
      </w:pPr>
      <w:r>
        <w:rPr>
          <w:rFonts w:hint="eastAsia" w:ascii="Times New Roman" w:hAnsi="Times New Roman" w:eastAsia="仿宋_GB2312"/>
          <w:sz w:val="32"/>
          <w:szCs w:val="32"/>
        </w:rPr>
        <w:t>其他交通费用指行政事业单位在工作过程中发生的与交通相关的费用，包括员工的交通补贴、差旅费、车辆使用费等。</w:t>
      </w:r>
    </w:p>
    <w:p w14:paraId="1D20B6DC">
      <w:pPr>
        <w:pStyle w:val="13"/>
        <w:jc w:val="center"/>
        <w:rPr>
          <w:sz w:val="72"/>
          <w:szCs w:val="72"/>
        </w:rPr>
      </w:pPr>
    </w:p>
    <w:p w14:paraId="50628D95">
      <w:pPr>
        <w:pStyle w:val="13"/>
        <w:jc w:val="center"/>
        <w:rPr>
          <w:sz w:val="72"/>
          <w:szCs w:val="72"/>
        </w:rPr>
      </w:pPr>
    </w:p>
    <w:p w14:paraId="00C9606F">
      <w:pPr>
        <w:pStyle w:val="13"/>
        <w:jc w:val="center"/>
        <w:rPr>
          <w:sz w:val="72"/>
          <w:szCs w:val="72"/>
        </w:rPr>
      </w:pPr>
    </w:p>
    <w:p w14:paraId="62BB2310">
      <w:pPr>
        <w:pStyle w:val="13"/>
        <w:jc w:val="center"/>
        <w:rPr>
          <w:sz w:val="72"/>
          <w:szCs w:val="72"/>
        </w:rPr>
      </w:pPr>
    </w:p>
    <w:p w14:paraId="763639C7">
      <w:pPr>
        <w:pStyle w:val="13"/>
        <w:jc w:val="center"/>
        <w:rPr>
          <w:sz w:val="72"/>
          <w:szCs w:val="72"/>
        </w:rPr>
      </w:pPr>
    </w:p>
    <w:p w14:paraId="559BB55E">
      <w:pPr>
        <w:pStyle w:val="13"/>
        <w:jc w:val="center"/>
        <w:rPr>
          <w:sz w:val="72"/>
          <w:szCs w:val="72"/>
        </w:rPr>
      </w:pPr>
    </w:p>
    <w:p w14:paraId="3B076008">
      <w:pPr>
        <w:rPr>
          <w:sz w:val="72"/>
          <w:szCs w:val="72"/>
        </w:rPr>
      </w:pPr>
      <w:r>
        <w:rPr>
          <w:sz w:val="72"/>
          <w:szCs w:val="72"/>
        </w:rPr>
        <w:br w:type="page"/>
      </w:r>
    </w:p>
    <w:p w14:paraId="34E67662">
      <w:pPr>
        <w:pStyle w:val="13"/>
        <w:jc w:val="both"/>
        <w:rPr>
          <w:rFonts w:ascii="方正小标宋_GBK" w:hAnsi="方正小标宋_GBK" w:eastAsia="方正小标宋_GBK" w:cs="方正小标宋_GBK"/>
          <w:sz w:val="84"/>
          <w:szCs w:val="84"/>
        </w:rPr>
      </w:pPr>
    </w:p>
    <w:p w14:paraId="5E6B0B91">
      <w:pPr>
        <w:pStyle w:val="13"/>
        <w:jc w:val="both"/>
        <w:rPr>
          <w:rFonts w:ascii="方正小标宋_GBK" w:hAnsi="方正小标宋_GBK" w:eastAsia="方正小标宋_GBK" w:cs="方正小标宋_GBK"/>
          <w:sz w:val="84"/>
          <w:szCs w:val="84"/>
        </w:rPr>
      </w:pPr>
    </w:p>
    <w:p w14:paraId="178F6C67">
      <w:pPr>
        <w:pStyle w:val="13"/>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第五部分</w:t>
      </w:r>
    </w:p>
    <w:p w14:paraId="52DADD57">
      <w:pPr>
        <w:pStyle w:val="13"/>
        <w:jc w:val="center"/>
        <w:rPr>
          <w:rFonts w:ascii="方正小标宋_GBK" w:hAnsi="方正小标宋_GBK" w:eastAsia="方正小标宋_GBK" w:cs="方正小标宋_GBK"/>
          <w:sz w:val="84"/>
          <w:szCs w:val="84"/>
        </w:rPr>
      </w:pPr>
    </w:p>
    <w:p w14:paraId="6C623C2B">
      <w:pPr>
        <w:pStyle w:val="13"/>
        <w:jc w:val="center"/>
        <w:rPr>
          <w:sz w:val="84"/>
          <w:szCs w:val="84"/>
        </w:rPr>
      </w:pPr>
      <w:r>
        <w:rPr>
          <w:rFonts w:hint="eastAsia" w:ascii="方正小标宋_GBK" w:hAnsi="方正小标宋_GBK" w:eastAsia="方正小标宋_GBK" w:cs="方正小标宋_GBK"/>
          <w:sz w:val="84"/>
          <w:szCs w:val="84"/>
        </w:rPr>
        <w:t>附件</w:t>
      </w:r>
    </w:p>
    <w:p w14:paraId="6A0AD409">
      <w:pPr>
        <w:rPr>
          <w:sz w:val="72"/>
          <w:szCs w:val="72"/>
        </w:rPr>
      </w:pPr>
      <w:r>
        <w:rPr>
          <w:sz w:val="72"/>
          <w:szCs w:val="72"/>
        </w:rPr>
        <w:br w:type="page"/>
      </w:r>
    </w:p>
    <w:p w14:paraId="18717F33">
      <w:pPr>
        <w:widowControl/>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溆浦县淘金坪乡人民政府</w:t>
      </w:r>
    </w:p>
    <w:p w14:paraId="749E087A">
      <w:pPr>
        <w:widowControl/>
        <w:spacing w:line="600" w:lineRule="exact"/>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2023年部门整体支出绩效自评报告</w:t>
      </w:r>
    </w:p>
    <w:p w14:paraId="53005FBF">
      <w:pPr>
        <w:widowControl/>
        <w:spacing w:line="600" w:lineRule="exact"/>
        <w:ind w:firstLine="640"/>
        <w:rPr>
          <w:rFonts w:ascii="楷体" w:hAnsi="楷体" w:eastAsia="楷体"/>
          <w:b/>
          <w:spacing w:val="-2"/>
          <w:sz w:val="32"/>
          <w:szCs w:val="32"/>
        </w:rPr>
      </w:pPr>
    </w:p>
    <w:p w14:paraId="590A4EC0">
      <w:pPr>
        <w:spacing w:line="600" w:lineRule="exact"/>
        <w:ind w:firstLine="640"/>
        <w:rPr>
          <w:rFonts w:ascii="黑体" w:hAnsi="黑体" w:eastAsia="黑体" w:cs="黑体"/>
          <w:spacing w:val="-2"/>
          <w:sz w:val="32"/>
          <w:szCs w:val="21"/>
        </w:rPr>
      </w:pPr>
      <w:r>
        <w:rPr>
          <w:rFonts w:hint="eastAsia" w:ascii="黑体" w:hAnsi="黑体" w:eastAsia="黑体" w:cs="黑体"/>
          <w:spacing w:val="-2"/>
          <w:sz w:val="32"/>
          <w:szCs w:val="32"/>
        </w:rPr>
        <w:t>一、部门概况</w:t>
      </w:r>
    </w:p>
    <w:p w14:paraId="71DF9209">
      <w:pPr>
        <w:spacing w:line="600" w:lineRule="exact"/>
        <w:ind w:firstLine="640"/>
        <w:rPr>
          <w:rFonts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（一）部门基本情况</w:t>
      </w:r>
    </w:p>
    <w:p w14:paraId="725EAAD7">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淘金坪乡人民政府隶属溆浦县人民政府，属于行政单位、全额拨款单位。内设行政业务机构10个，分别是：党建办公室、党政办公室、经济发展办公室、社会事务办公室、纪检监察室、社会治安和应急管理办公室、综合行政执法大队、农业综合服务中心、社会事务综合服务中心、政务服务中心；无下属及派出机构；核定编制53名，实有人数42人，其中：行政人员18人、事业人员24人、工勤人员0人、离退休人员11人。</w:t>
      </w:r>
    </w:p>
    <w:p w14:paraId="12F0276B">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单位主要职能如下：（1）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2）制定并组织实施村镇建设规划，部署重点工程建设，地方道路建设及公共设施，水利设施的管理，负责土地、林木、水等自然资源和生态环境的保护，做好护林防火工作。（3）负责本行政区域内的民政、文化教育、卫生、体育等社会公益事业的综合性工作，维护一切经济单位和个人的正当经济权益，取缔非法经济活动，调解和处理民事纠纷，打击刑事犯罪维护社会稳定。（4）按计划组织本级财政收入和地方税的征收，完成国家财政计划，不断培植税源，管好财政资金，增强财政实力。（5）抓好精神文明建设，丰富群众文化生活，提倡移风易俗，反对封建迷信，破除陈规陋习，树立社会主义新风尚。（6）完成上级政府交办的其它事项。</w:t>
      </w:r>
    </w:p>
    <w:p w14:paraId="778385C6">
      <w:pPr>
        <w:numPr>
          <w:ilvl w:val="0"/>
          <w:numId w:val="2"/>
        </w:numPr>
        <w:spacing w:line="600" w:lineRule="exact"/>
        <w:ind w:firstLine="640"/>
        <w:rPr>
          <w:rFonts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部门整体支出规模、使用方向</w:t>
      </w:r>
    </w:p>
    <w:p w14:paraId="07770C82">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支出规模：2023年淘金坪乡收入合计1075.1万元，支出合计1075.1万元，一般公共服务支出541.16万元；公共安全支出13.76万元；文化旅游体育与传媒支出22万元；社会保障和就业支出102.25万元；卫生健康支出25.26万元；城乡社区支出24万元；农林水支出304.25万元；自然资源海洋气象等支出5万元；住房保障支出22.6万元；粮油物资储备支出5万元；灾害防治及应急管理支出7.82万元；其他支出2万元。</w:t>
      </w:r>
    </w:p>
    <w:p w14:paraId="48B485E8">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使用方向：农林水基础设施建设及加强、民生工程深入开展、乡村振兴、党建工作等。</w:t>
      </w:r>
    </w:p>
    <w:p w14:paraId="2D716D5E">
      <w:pPr>
        <w:spacing w:line="600" w:lineRule="exact"/>
        <w:ind w:firstLine="640"/>
        <w:rPr>
          <w:rFonts w:ascii="黑体" w:hAnsi="黑体" w:eastAsia="黑体" w:cs="黑体"/>
          <w:spacing w:val="-2"/>
          <w:sz w:val="32"/>
          <w:szCs w:val="32"/>
        </w:rPr>
      </w:pPr>
      <w:r>
        <w:rPr>
          <w:rFonts w:hint="eastAsia" w:ascii="黑体" w:hAnsi="黑体" w:eastAsia="黑体" w:cs="黑体"/>
          <w:spacing w:val="-2"/>
          <w:sz w:val="32"/>
          <w:szCs w:val="32"/>
        </w:rPr>
        <w:t>二、一般公共预算支出情况</w:t>
      </w:r>
    </w:p>
    <w:p w14:paraId="322083B0">
      <w:pPr>
        <w:spacing w:line="600" w:lineRule="exact"/>
        <w:ind w:firstLine="643"/>
        <w:rPr>
          <w:rFonts w:ascii="仿宋_GB2312" w:hAnsi="仿宋_GB2312" w:eastAsia="仿宋_GB2312" w:cs="仿宋_GB2312"/>
          <w:b/>
          <w:spacing w:val="-2"/>
          <w:sz w:val="32"/>
          <w:szCs w:val="21"/>
        </w:rPr>
      </w:pPr>
      <w:r>
        <w:rPr>
          <w:rFonts w:hint="eastAsia" w:ascii="仿宋_GB2312" w:hAnsi="仿宋_GB2312" w:eastAsia="仿宋_GB2312" w:cs="仿宋_GB2312"/>
          <w:b/>
          <w:spacing w:val="-2"/>
          <w:sz w:val="32"/>
          <w:szCs w:val="32"/>
        </w:rPr>
        <w:t>（一）基本支出</w:t>
      </w:r>
    </w:p>
    <w:p w14:paraId="42CA3139">
      <w:pPr>
        <w:spacing w:line="600" w:lineRule="exact"/>
        <w:ind w:firstLine="643"/>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淘金坪乡2023年基本支出822.69万元。一、支出按经济分类：工资福利支出505.65万元；商品服务支出155.47万元；对个人和家庭补助支出161.58万元。二、支出按功能分类：1、一般公共服务支出519.62万元；2、文化旅游体育与传媒支出17万元；3、社会保障和就业支出96.75万元；4、卫生健康支出25.26万元；5、城乡社区支出7.1万元；6、农林水支出132.86万元；7、住房保障支出22.6万；8、灾害防治及应急管理支出1.51万元。</w:t>
      </w:r>
    </w:p>
    <w:p w14:paraId="2150EA66">
      <w:pPr>
        <w:spacing w:line="600" w:lineRule="exact"/>
        <w:ind w:firstLine="643"/>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三公经费支出：2023年我乡针对三公经费，制定了专门的管理办法，严格执行中央八项规定，将三公经费严格控制在指标范围内，2023年“三公”支出1万元。其中公务接待费0.7万元、公车运行费0.3万元。</w:t>
      </w:r>
    </w:p>
    <w:p w14:paraId="2762CB0D">
      <w:pPr>
        <w:spacing w:line="600" w:lineRule="exact"/>
        <w:ind w:firstLine="643"/>
        <w:rPr>
          <w:rFonts w:ascii="仿宋_GB2312" w:hAnsi="仿宋_GB2312" w:eastAsia="仿宋_GB2312" w:cs="仿宋_GB2312"/>
          <w:b/>
          <w:spacing w:val="-2"/>
          <w:sz w:val="32"/>
          <w:szCs w:val="32"/>
        </w:rPr>
      </w:pPr>
      <w:r>
        <w:rPr>
          <w:rFonts w:hint="eastAsia" w:ascii="仿宋_GB2312" w:hAnsi="仿宋_GB2312" w:eastAsia="仿宋_GB2312" w:cs="仿宋_GB2312"/>
          <w:b/>
          <w:spacing w:val="-2"/>
          <w:sz w:val="32"/>
          <w:szCs w:val="32"/>
        </w:rPr>
        <w:t>（二）专项支出</w:t>
      </w:r>
    </w:p>
    <w:p w14:paraId="78A342E7">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淘金坪乡2023年项目支出252.4万元。主要围绕城乡交通、水利、民生等基础设施建设进行。其中：一般公共服务支出21.54万元；公共安全支出13.76万元；文化旅游体育与传媒支出5万元；社会保障和就业支出5.5万元；城乡社区支出16.9万元；农林水支出171.39万元；自然资源海洋气象等支出5万元；粮油物资储备支出5万元；灾害防治及应急管理支出6.3万元；其他支出2万元。</w:t>
      </w:r>
    </w:p>
    <w:p w14:paraId="0B116F0D">
      <w:pPr>
        <w:spacing w:line="600" w:lineRule="exact"/>
        <w:ind w:firstLine="640"/>
        <w:rPr>
          <w:rFonts w:ascii="仿宋_GB2312" w:hAnsi="仿宋_GB2312" w:eastAsia="仿宋_GB2312" w:cs="仿宋_GB2312"/>
          <w:spacing w:val="-2"/>
          <w:sz w:val="32"/>
          <w:szCs w:val="32"/>
          <w:highlight w:val="yellow"/>
        </w:rPr>
      </w:pPr>
      <w:r>
        <w:rPr>
          <w:rFonts w:hint="eastAsia" w:ascii="仿宋_GB2312" w:hAnsi="仿宋_GB2312" w:eastAsia="仿宋_GB2312" w:cs="仿宋_GB2312"/>
          <w:spacing w:val="-2"/>
          <w:sz w:val="32"/>
          <w:szCs w:val="32"/>
        </w:rPr>
        <w:t>淘金坪乡2023年乡村振兴项目共12个，资金总额263万元，全部完成实施项目263万元。全乡交通项目共计7个，建设资金184万元，公路硬化长2.455公里，公路维修16.046公里，重建老桥一座，方便全乡5000余人出行；水利项目共4个，建设资金29万元，渠道硬化650米，渠道维修1500米，新修排水沟55米，场地平整硬化60平方米，水沟加深长350米，受益人口数450人。产业发展项目1个，投入资金50万元，计划每年实现村集体经济收入约2万元。</w:t>
      </w:r>
    </w:p>
    <w:p w14:paraId="5687B3D5">
      <w:pPr>
        <w:spacing w:line="600" w:lineRule="exact"/>
        <w:ind w:firstLine="640"/>
        <w:rPr>
          <w:rFonts w:ascii="仿宋_GB2312" w:hAnsi="仿宋_GB2312" w:eastAsia="仿宋_GB2312" w:cs="仿宋_GB2312"/>
          <w:spacing w:val="-2"/>
          <w:sz w:val="32"/>
          <w:szCs w:val="21"/>
        </w:rPr>
      </w:pPr>
      <w:r>
        <w:rPr>
          <w:rFonts w:hint="eastAsia" w:ascii="仿宋_GB2312" w:hAnsi="仿宋_GB2312" w:eastAsia="仿宋_GB2312" w:cs="仿宋_GB2312"/>
          <w:spacing w:val="-2"/>
          <w:sz w:val="32"/>
          <w:szCs w:val="32"/>
        </w:rPr>
        <w:t>我乡对于项目资金实行专项资金管理制度，每一个项目实行专人负责，严把质量、验收、结算关，从每一个环节确保每一分财政资金落到实处。</w:t>
      </w:r>
    </w:p>
    <w:p w14:paraId="3AE4E298">
      <w:pPr>
        <w:numPr>
          <w:ilvl w:val="0"/>
          <w:numId w:val="3"/>
        </w:numPr>
        <w:spacing w:line="600" w:lineRule="exact"/>
        <w:ind w:firstLine="640"/>
        <w:rPr>
          <w:rFonts w:ascii="黑体" w:hAnsi="黑体" w:eastAsia="黑体" w:cs="黑体"/>
          <w:spacing w:val="-2"/>
          <w:sz w:val="32"/>
          <w:szCs w:val="32"/>
        </w:rPr>
      </w:pPr>
      <w:r>
        <w:rPr>
          <w:rFonts w:hint="eastAsia" w:ascii="黑体" w:hAnsi="黑体" w:eastAsia="黑体" w:cs="黑体"/>
          <w:spacing w:val="-2"/>
          <w:sz w:val="32"/>
          <w:szCs w:val="32"/>
        </w:rPr>
        <w:t>政府性基金预算支出情况</w:t>
      </w:r>
    </w:p>
    <w:p w14:paraId="672BBFF5">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淘金坪乡2023年政府性基金支出为7万元，全部为项目支出。一、支出按经济分类：商品服务支出2万元；资本性支出5万元。二、支出按功能分类：1、社会保障和就业支出5万元；2、其他支出2万元。</w:t>
      </w:r>
    </w:p>
    <w:p w14:paraId="0E759CBC">
      <w:pPr>
        <w:spacing w:line="600" w:lineRule="exact"/>
        <w:ind w:firstLine="632" w:firstLineChars="200"/>
        <w:rPr>
          <w:rFonts w:ascii="黑体" w:hAnsi="黑体" w:eastAsia="黑体" w:cs="黑体"/>
          <w:spacing w:val="-2"/>
          <w:sz w:val="32"/>
          <w:szCs w:val="32"/>
        </w:rPr>
      </w:pPr>
      <w:r>
        <w:rPr>
          <w:rFonts w:hint="eastAsia" w:ascii="黑体" w:hAnsi="黑体" w:eastAsia="黑体" w:cs="黑体"/>
          <w:spacing w:val="-2"/>
          <w:sz w:val="32"/>
          <w:szCs w:val="32"/>
        </w:rPr>
        <w:t>四、国有资本经营预算支出情况</w:t>
      </w:r>
    </w:p>
    <w:p w14:paraId="5491032D">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无</w:t>
      </w:r>
    </w:p>
    <w:p w14:paraId="0A1ACF83">
      <w:pPr>
        <w:numPr>
          <w:ilvl w:val="0"/>
          <w:numId w:val="4"/>
        </w:numPr>
        <w:spacing w:line="600" w:lineRule="exact"/>
        <w:ind w:firstLine="640"/>
        <w:rPr>
          <w:rFonts w:ascii="黑体" w:hAnsi="黑体" w:eastAsia="黑体" w:cs="黑体"/>
          <w:spacing w:val="-2"/>
          <w:sz w:val="32"/>
          <w:szCs w:val="32"/>
        </w:rPr>
      </w:pPr>
      <w:r>
        <w:rPr>
          <w:rFonts w:hint="eastAsia" w:ascii="黑体" w:hAnsi="黑体" w:eastAsia="黑体" w:cs="黑体"/>
          <w:spacing w:val="-2"/>
          <w:sz w:val="32"/>
          <w:szCs w:val="32"/>
        </w:rPr>
        <w:t>社会保险基金预算支出情况</w:t>
      </w:r>
    </w:p>
    <w:p w14:paraId="2941CEC0">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无</w:t>
      </w:r>
    </w:p>
    <w:p w14:paraId="7E05A049">
      <w:pPr>
        <w:spacing w:line="600" w:lineRule="exact"/>
        <w:ind w:firstLine="640"/>
        <w:rPr>
          <w:rFonts w:ascii="黑体" w:hAnsi="黑体" w:eastAsia="黑体" w:cs="黑体"/>
          <w:spacing w:val="-2"/>
          <w:sz w:val="32"/>
          <w:szCs w:val="32"/>
        </w:rPr>
      </w:pPr>
      <w:r>
        <w:rPr>
          <w:rFonts w:hint="eastAsia" w:ascii="黑体" w:hAnsi="黑体" w:eastAsia="黑体" w:cs="黑体"/>
          <w:spacing w:val="-2"/>
          <w:sz w:val="32"/>
          <w:szCs w:val="32"/>
        </w:rPr>
        <w:t>六、资产管理情况</w:t>
      </w:r>
    </w:p>
    <w:p w14:paraId="15A1970B">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 xml:space="preserve">（一）实施“单位资产动态兼管，资源共享，资产管理与预算管理、资金管理相结合”的管理办法。  </w:t>
      </w:r>
    </w:p>
    <w:p w14:paraId="66108214">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（二）新增（购买、捐赠）资产及时入账，落实保管制度，责任到人。 </w:t>
      </w:r>
    </w:p>
    <w:p w14:paraId="7A8A8F2F">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（三）资产盘亏、报废由党政办公室盘点后提出资产盘亏、报废申请报告，并会同财务部门核查落实后，报财政部门审批，严格规范资产处置程序。</w:t>
      </w:r>
    </w:p>
    <w:p w14:paraId="1E01ADBB">
      <w:pPr>
        <w:spacing w:line="600" w:lineRule="exact"/>
        <w:ind w:firstLine="640"/>
        <w:rPr>
          <w:rFonts w:ascii="黑体" w:hAnsi="黑体" w:eastAsia="黑体" w:cs="黑体"/>
          <w:spacing w:val="-2"/>
          <w:sz w:val="32"/>
          <w:szCs w:val="32"/>
        </w:rPr>
      </w:pPr>
      <w:r>
        <w:rPr>
          <w:rFonts w:hint="eastAsia" w:ascii="黑体" w:hAnsi="黑体" w:eastAsia="黑体" w:cs="黑体"/>
          <w:spacing w:val="-2"/>
          <w:sz w:val="32"/>
          <w:szCs w:val="32"/>
        </w:rPr>
        <w:t>七、部门整体支出绩效情况</w:t>
      </w:r>
    </w:p>
    <w:p w14:paraId="49377436">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2023年，我乡通过加强预算收支的管理，不断建立健全内部管理制度，理顺内部管理流程，部门整体支出管理情况得到了提升，为全乡工作顺利开展提供了有效保障。部门整体支出绩效情况如下：</w:t>
      </w:r>
    </w:p>
    <w:p w14:paraId="67BB1BE3">
      <w:pPr>
        <w:spacing w:line="600" w:lineRule="exact"/>
        <w:ind w:firstLine="640"/>
        <w:rPr>
          <w:rFonts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（一）经济性评价</w:t>
      </w:r>
    </w:p>
    <w:p w14:paraId="15C9193F">
      <w:pPr>
        <w:spacing w:line="600" w:lineRule="exact"/>
        <w:ind w:firstLine="632"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1、从源头抓起，科学合理编制经费预算。根据中央和省、市、县财政预算改革的有关要求，结合单位实际需要，按标准、按项目科学认真编制部门预算。</w:t>
      </w:r>
    </w:p>
    <w:p w14:paraId="500B5574">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2、预算执行方面，支出总额基本控制在预算总额以内，不存在截留或滞留专项资金情况。</w:t>
      </w:r>
    </w:p>
    <w:p w14:paraId="18FC3692">
      <w:pPr>
        <w:spacing w:line="600" w:lineRule="exact"/>
        <w:ind w:firstLine="632" w:firstLineChars="200"/>
        <w:rPr>
          <w:rFonts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（二）行政效能评价</w:t>
      </w:r>
    </w:p>
    <w:p w14:paraId="503B97DC">
      <w:pPr>
        <w:spacing w:line="600" w:lineRule="exact"/>
        <w:ind w:firstLine="632"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为强化部门整体支出，加强国有资产管理，提高资金使用效益，在财务管理和厉行节约方面开展了大量工作，行政效能显著。</w:t>
      </w:r>
    </w:p>
    <w:p w14:paraId="22A4EC4C">
      <w:pPr>
        <w:spacing w:line="600" w:lineRule="exact"/>
        <w:ind w:firstLine="632"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1、在原有相对健全的财务管理制度基础上，适时地、针对性地进行了相关制度的增补，制度的建立更为完善。</w:t>
      </w:r>
    </w:p>
    <w:p w14:paraId="42334E4D">
      <w:pPr>
        <w:spacing w:line="600" w:lineRule="exact"/>
        <w:ind w:firstLine="632"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2、重视制度的学习和宣讲，并已逐步形成了崇尚厉行节约反对浪费的机关文化。根据中央、湖南省、怀化市人民政府下发的《党政机关厉行节约反对浪费条例》《湖南省党政机关国内公务接待管理办法》等一系列文件精神，组织单位人员学习，强化了我乡厉行节约管理意识。</w:t>
      </w:r>
    </w:p>
    <w:p w14:paraId="16CB01BE">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3、突出作用发挥，持续推进基层组织建设。以党建引领为抓手，突出大抓基层的鲜明导向，不断创新工作举措，全面提升基层党组织组织力。一方面认真组织开展党史和“不忘初心</w:t>
      </w:r>
      <w:r>
        <w:rPr>
          <w:rFonts w:hint="eastAsia" w:ascii="仿宋_GB2312" w:hAnsi="仿宋_GB2312" w:eastAsia="仿宋_GB2312" w:cs="仿宋_GB2312"/>
          <w:spacing w:val="-2"/>
          <w:sz w:val="32"/>
          <w:szCs w:val="32"/>
          <w:lang w:eastAsia="zh-CN"/>
        </w:rPr>
        <w:t>、</w:t>
      </w:r>
      <w:r>
        <w:rPr>
          <w:rFonts w:hint="eastAsia" w:ascii="仿宋_GB2312" w:hAnsi="仿宋_GB2312" w:eastAsia="仿宋_GB2312" w:cs="仿宋_GB2312"/>
          <w:spacing w:val="-2"/>
          <w:sz w:val="32"/>
          <w:szCs w:val="32"/>
        </w:rPr>
        <w:t>牢记使命”主题教育。广泛开展“我为群众办实事”实践活动，不断提高党史学习质量，提升为群众办实事解难题的实际效果，助推乡村振兴。另一方面落实“党建+微网格”工作模式。以23个网格组为依托，26名网格员牵头，全乡党员干部齐参与，共联系服务群众2515户，针对性开展党员干部联系服务群众“五个到户”工作。发挥党员在乡村振兴、基层治理中的“领头雁”作用，搭建党群“连心桥”，打通服务群众的“最后一公里”。自“五个到户”工作开展以来，干群联系更加紧密，群众的诉求更快得到回应与解决。</w:t>
      </w:r>
    </w:p>
    <w:p w14:paraId="07261CC2">
      <w:pPr>
        <w:spacing w:line="600" w:lineRule="exact"/>
        <w:ind w:firstLine="640"/>
        <w:rPr>
          <w:rFonts w:ascii="黑体" w:hAnsi="黑体" w:eastAsia="黑体" w:cs="黑体"/>
          <w:spacing w:val="-2"/>
          <w:sz w:val="32"/>
          <w:szCs w:val="32"/>
        </w:rPr>
      </w:pPr>
      <w:r>
        <w:rPr>
          <w:rFonts w:hint="eastAsia" w:ascii="黑体" w:hAnsi="黑体" w:eastAsia="黑体" w:cs="黑体"/>
          <w:spacing w:val="-2"/>
          <w:sz w:val="32"/>
          <w:szCs w:val="32"/>
        </w:rPr>
        <w:t>八、存在的主要问题</w:t>
      </w:r>
    </w:p>
    <w:p w14:paraId="1D327A5C">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（一）经济增长、产业发展后劲不足，支撑经济增长的新动能还未形成。</w:t>
      </w:r>
    </w:p>
    <w:p w14:paraId="2BB74E56">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（二）脱贫人口返贫风险、边缘人口致贫风险仍然存在，民生保障还存在短板，乡村振兴任重道远。</w:t>
      </w:r>
    </w:p>
    <w:p w14:paraId="288717B8">
      <w:pPr>
        <w:spacing w:line="600" w:lineRule="exact"/>
        <w:ind w:firstLine="640"/>
        <w:rPr>
          <w:rFonts w:ascii="仿宋_GB2312" w:hAnsi="仿宋_GB2312" w:eastAsia="仿宋_GB2312" w:cs="仿宋_GB2312"/>
          <w:spacing w:val="-2"/>
          <w:sz w:val="32"/>
          <w:szCs w:val="21"/>
        </w:rPr>
      </w:pPr>
      <w:r>
        <w:rPr>
          <w:rFonts w:hint="eastAsia" w:ascii="仿宋_GB2312" w:hAnsi="仿宋_GB2312" w:eastAsia="仿宋_GB2312" w:cs="仿宋_GB2312"/>
          <w:spacing w:val="-2"/>
          <w:sz w:val="32"/>
          <w:szCs w:val="32"/>
        </w:rPr>
        <w:t>（三）公共服务相对薄弱，群众生活品质需继续提高。</w:t>
      </w:r>
    </w:p>
    <w:p w14:paraId="0DB58C7E">
      <w:pPr>
        <w:spacing w:line="600" w:lineRule="exact"/>
        <w:ind w:firstLine="640"/>
        <w:rPr>
          <w:rFonts w:ascii="黑体" w:hAnsi="黑体" w:eastAsia="黑体" w:cs="黑体"/>
          <w:spacing w:val="-2"/>
          <w:sz w:val="32"/>
          <w:szCs w:val="32"/>
        </w:rPr>
      </w:pPr>
      <w:r>
        <w:rPr>
          <w:rFonts w:hint="eastAsia" w:ascii="黑体" w:hAnsi="黑体" w:eastAsia="黑体" w:cs="黑体"/>
          <w:spacing w:val="-2"/>
          <w:sz w:val="32"/>
          <w:szCs w:val="32"/>
        </w:rPr>
        <w:t>九、改进措施和有关建议</w:t>
      </w:r>
    </w:p>
    <w:p w14:paraId="68F4DBE7">
      <w:pPr>
        <w:spacing w:line="600" w:lineRule="exact"/>
        <w:ind w:firstLine="640"/>
        <w:rPr>
          <w:rFonts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（一）聚焦产业发展，打造高质量发展新引擎</w:t>
      </w:r>
    </w:p>
    <w:p w14:paraId="21ECB48E">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以草芝界创业农牧和双江潭油茶基地为依托，大力发展传统高山种养产业。加快推进草芝界生猪养殖基地改扩建项目，全力支持申报双江潭“健康乡村”项目，推进令溪塘传统古村落保护进程，加快探索推进旅游富民产业。做好集镇区和基地的规划布局，促使建一个龙头、兴一个产业、富一方农民。</w:t>
      </w:r>
    </w:p>
    <w:p w14:paraId="65781923">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激发招商引资活力。紧盯现有的项目，协调解决项目建设困难和问题，抓好项目落地，以项目建设带动投资增长。围绕全区全乡乡村振兴发展思路，特别是生态农业，筛选出一批重点招商引资项目，统筹谋划引商方向和目标，力争特色产业落地。</w:t>
      </w:r>
    </w:p>
    <w:p w14:paraId="0FFD4BD8">
      <w:pPr>
        <w:spacing w:line="600" w:lineRule="exact"/>
        <w:ind w:firstLine="640"/>
        <w:rPr>
          <w:rFonts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（二）聚焦巩固提升，谱写乡村振兴新篇章</w:t>
      </w:r>
    </w:p>
    <w:p w14:paraId="22B9CE8B">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强力巩固脱贫攻坚成果。加强返贫人口和新发生贫困人口监测和帮扶，常态开展“回头看”“回头帮”，保障贫困边缘人口生产生活，严防致贫返贫现象发生。深入推进产业就业帮扶，拓宽农民就业渠道，激发低收入人口内生动力，开发公益性岗位，支持鼓励就地就近就业，增加农民工资性收入。</w:t>
      </w:r>
    </w:p>
    <w:p w14:paraId="75F665B3">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大力推进特色产业发展。立足林果蔬畜等特色资源，打造一批特色农业产业集群。积极发展林果农特产品、中草药种植和万亩油茶基地建设，推动农业产业与旅游、文化、康养深度融合，延伸产业链、提升价值链、拓宽增收链。</w:t>
      </w:r>
    </w:p>
    <w:p w14:paraId="6A3D4DA3">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不断优化乡风文明。强化新时代文明实践所站建设，发挥各志愿者队伍作用，做实各类志愿服务活动。大力推广“幸福基金”模式，以村规民约更好地规范村民日常行为。深化星级文明户、文明家庭创建活动。加强基层文化产品供给、阵地建设和活动开展，不断提升农村优秀传统文化水准。</w:t>
      </w:r>
    </w:p>
    <w:p w14:paraId="255B96BB">
      <w:pPr>
        <w:spacing w:line="600" w:lineRule="exact"/>
        <w:ind w:firstLine="640"/>
        <w:rPr>
          <w:rFonts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（三）聚焦环境治理，城乡面貌力求新突破</w:t>
      </w:r>
    </w:p>
    <w:p w14:paraId="451BB400">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全面贯彻新发展理念，恪守“绿水青山就是金山银山”，提高生态保护政治站位，坚持绿色生态优先发展，认真打好“蓝天保卫战”，严格落实“河长制”等工作制度，持续开展封山育林和河道清“四乱”整治，加快推进集镇污水处理系统建设和农村厕所改造，推动垃圾分类处理和中转站建设。</w:t>
      </w:r>
    </w:p>
    <w:p w14:paraId="356A0E11">
      <w:pPr>
        <w:spacing w:line="600" w:lineRule="exact"/>
        <w:ind w:firstLine="640"/>
        <w:rPr>
          <w:rFonts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（四）聚焦群众幸福感，实现民生福祉新提升</w:t>
      </w:r>
    </w:p>
    <w:p w14:paraId="32ABD040">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全面发展社会事业。严格落实社会保障，对困难群众、残疾人员等弱势群体做到应保尽保，救助资金及时发放。进一步提高新农合、城乡居民养老保险缴费比例，落实国家各项惠农政策，让群众切实感受到政府关怀。全面提升淘金坪乡公共文化服务体系，完善村级综合文化服务中心，广泛开展群众性文体活动。</w:t>
      </w:r>
    </w:p>
    <w:p w14:paraId="02C516A5">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加快完成民生工程。梳理出基础设施等方面的民生实</w:t>
      </w:r>
      <w:r>
        <w:rPr>
          <w:rFonts w:hint="eastAsia" w:ascii="仿宋_GB2312" w:hAnsi="仿宋_GB2312" w:eastAsia="仿宋_GB2312" w:cs="仿宋_GB2312"/>
          <w:spacing w:val="-2"/>
          <w:sz w:val="32"/>
          <w:szCs w:val="32"/>
          <w:lang w:val="en-US" w:eastAsia="zh-CN"/>
        </w:rPr>
        <w:t>事</w:t>
      </w:r>
      <w:r>
        <w:rPr>
          <w:rFonts w:hint="eastAsia" w:ascii="仿宋_GB2312" w:hAnsi="仿宋_GB2312" w:eastAsia="仿宋_GB2312" w:cs="仿宋_GB2312"/>
          <w:spacing w:val="-2"/>
          <w:sz w:val="32"/>
          <w:szCs w:val="32"/>
        </w:rPr>
        <w:t>候选项目，提请乡人大投票表决。对票决出来的项目，我们将认真组织</w:t>
      </w:r>
      <w:r>
        <w:rPr>
          <w:rFonts w:hint="eastAsia" w:ascii="仿宋_GB2312" w:hAnsi="仿宋_GB2312" w:eastAsia="仿宋_GB2312" w:cs="仿宋_GB2312"/>
          <w:spacing w:val="-2"/>
          <w:sz w:val="32"/>
          <w:szCs w:val="32"/>
          <w:lang w:val="en-US" w:eastAsia="zh-CN"/>
        </w:rPr>
        <w:t>实事</w:t>
      </w:r>
      <w:bookmarkStart w:id="2" w:name="_GoBack"/>
      <w:bookmarkEnd w:id="2"/>
      <w:r>
        <w:rPr>
          <w:rFonts w:hint="eastAsia" w:ascii="仿宋_GB2312" w:hAnsi="仿宋_GB2312" w:eastAsia="仿宋_GB2312" w:cs="仿宋_GB2312"/>
          <w:spacing w:val="-2"/>
          <w:sz w:val="32"/>
          <w:szCs w:val="32"/>
        </w:rPr>
        <w:t>，确保把每一件事办好、办实。继续完善最低生活保障、特困供养、计生困难家庭、医疗救助、临时救助、重残救助等机制，推进养老服务发展。</w:t>
      </w:r>
    </w:p>
    <w:p w14:paraId="153CD825">
      <w:pPr>
        <w:spacing w:line="600" w:lineRule="exact"/>
        <w:ind w:firstLine="640"/>
        <w:rPr>
          <w:rFonts w:ascii="仿宋_GB2312" w:hAnsi="仿宋_GB2312" w:eastAsia="仿宋_GB2312" w:cs="仿宋_GB2312"/>
          <w:b/>
          <w:bCs/>
          <w:spacing w:val="-2"/>
          <w:sz w:val="32"/>
          <w:szCs w:val="32"/>
        </w:rPr>
      </w:pPr>
      <w:r>
        <w:rPr>
          <w:rFonts w:hint="eastAsia" w:ascii="仿宋_GB2312" w:hAnsi="仿宋_GB2312" w:eastAsia="仿宋_GB2312" w:cs="仿宋_GB2312"/>
          <w:b/>
          <w:bCs/>
          <w:spacing w:val="-2"/>
          <w:sz w:val="32"/>
          <w:szCs w:val="32"/>
        </w:rPr>
        <w:t>（五）聚焦和谐平安乡，构建社会治理新格局</w:t>
      </w:r>
    </w:p>
    <w:p w14:paraId="7E887ACF">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创新治安防控体系。健全以党委、政府为主导的维护群众权益机制、矛盾纠纷排查化解机制、社会舆情汇集分析机制、信访稳定风险。进一步加强社会治理，健全社会治安防控机制，严打电信网络诈骗等违法犯罪行为，深入推进平安淘金坪建设。</w:t>
      </w:r>
    </w:p>
    <w:p w14:paraId="2226A4AD">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优化应急管理机制。严格落实“党政同责、一岗双责、齐抓共管、失职追责”制度，严守安全红线，深入开展安全生产专项整治行动，着力防范重大安全风险。加强应急管理系统建设，抓好安全生产、消防安全、食品安全等工作。扎实开展工会、共青团、妇联、民族宗教、关心下一代等工作，切实维护人民群众生命安全，增强人民群众幸福感、安全感。</w:t>
      </w:r>
    </w:p>
    <w:p w14:paraId="24AD5267">
      <w:pPr>
        <w:spacing w:line="600" w:lineRule="exact"/>
        <w:ind w:firstLine="632" w:firstLineChars="200"/>
        <w:rPr>
          <w:rFonts w:ascii="黑体" w:hAnsi="黑体" w:eastAsia="黑体" w:cs="黑体"/>
          <w:spacing w:val="-2"/>
          <w:sz w:val="32"/>
          <w:szCs w:val="32"/>
        </w:rPr>
      </w:pPr>
      <w:r>
        <w:rPr>
          <w:rFonts w:hint="eastAsia" w:ascii="黑体" w:hAnsi="黑体" w:eastAsia="黑体" w:cs="黑体"/>
          <w:spacing w:val="-2"/>
          <w:sz w:val="32"/>
          <w:szCs w:val="32"/>
        </w:rPr>
        <w:t>十、部门整体支出绩效自评结果拟应用和公开情况</w:t>
      </w:r>
    </w:p>
    <w:p w14:paraId="201038E1">
      <w:pPr>
        <w:spacing w:line="600" w:lineRule="exact"/>
        <w:ind w:firstLine="632"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（一）绩效自评结果拟应用情况</w:t>
      </w:r>
    </w:p>
    <w:p w14:paraId="1D722DCB">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本报告拟用于提高政府透明度、加强绩效管理、促进资源优化配置等方面具有重要意义。</w:t>
      </w:r>
    </w:p>
    <w:p w14:paraId="2A210B8E">
      <w:pPr>
        <w:spacing w:line="600" w:lineRule="exact"/>
        <w:ind w:firstLine="64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1、改进预算管理和资金分配：根据自评结果，乡镇政府部门可以分析支出结构、使用效益等方面存在的问题和不足，从而优化预算编制，更加科学合理地分配资金。</w:t>
      </w:r>
    </w:p>
    <w:p w14:paraId="4A57DD88">
      <w:pPr>
        <w:spacing w:line="600" w:lineRule="exact"/>
        <w:ind w:firstLine="632"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2、提升项目执行效率和质量：自评结果能够反映项目实施过程中的问题和困难，有助于政府部门及时调整项目实施方案，提升项目执行效率和质量。</w:t>
      </w:r>
    </w:p>
    <w:p w14:paraId="72992278">
      <w:pPr>
        <w:spacing w:line="600" w:lineRule="exact"/>
        <w:ind w:firstLine="632"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3、加强内部控制和风险管理：通过自评结果，政府部门可以识别内部控制和风险管理方面的薄弱环节，进而完善相关制度，降低风险水平。</w:t>
      </w:r>
    </w:p>
    <w:p w14:paraId="1E858105">
      <w:pPr>
        <w:spacing w:line="600" w:lineRule="exact"/>
        <w:ind w:firstLine="632"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（二）绩效自评公开情况</w:t>
      </w:r>
    </w:p>
    <w:p w14:paraId="58B28CFC">
      <w:pPr>
        <w:spacing w:line="600" w:lineRule="exact"/>
        <w:ind w:firstLine="632" w:firstLineChars="200"/>
        <w:rPr>
          <w:rFonts w:ascii="仿宋_GB2312" w:hAnsi="仿宋_GB2312" w:eastAsia="仿宋_GB2312" w:cs="仿宋_GB2312"/>
          <w:spacing w:val="-2"/>
          <w:sz w:val="32"/>
          <w:szCs w:val="32"/>
        </w:rPr>
      </w:pPr>
      <w:r>
        <w:rPr>
          <w:rFonts w:hint="eastAsia" w:ascii="仿宋_GB2312" w:hAnsi="仿宋_GB2312" w:eastAsia="仿宋_GB2312" w:cs="仿宋_GB2312"/>
          <w:spacing w:val="-2"/>
          <w:sz w:val="32"/>
          <w:szCs w:val="32"/>
        </w:rPr>
        <w:t>本报告于2024年4月1日在乡政府公告栏公示。</w:t>
      </w:r>
    </w:p>
    <w:p w14:paraId="22FED40E">
      <w:pPr>
        <w:spacing w:line="600" w:lineRule="exact"/>
        <w:ind w:firstLine="632" w:firstLineChars="200"/>
        <w:rPr>
          <w:rFonts w:ascii="仿宋_GB2312" w:hAnsi="仿宋_GB2312" w:eastAsia="仿宋_GB2312" w:cs="仿宋_GB2312"/>
          <w:spacing w:val="-2"/>
          <w:sz w:val="32"/>
          <w:szCs w:val="32"/>
        </w:rPr>
      </w:pPr>
    </w:p>
    <w:p w14:paraId="6D84D8EA">
      <w:pPr>
        <w:spacing w:line="640" w:lineRule="exact"/>
        <w:ind w:firstLine="640"/>
        <w:rPr>
          <w:rFonts w:ascii="仿宋_GB2312" w:hAnsi="仿宋" w:eastAsia="仿宋_GB2312"/>
          <w:spacing w:val="-2"/>
          <w:sz w:val="32"/>
          <w:szCs w:val="32"/>
        </w:rPr>
      </w:pPr>
    </w:p>
    <w:p w14:paraId="70E13966">
      <w:pPr>
        <w:spacing w:line="640" w:lineRule="exact"/>
        <w:ind w:firstLine="640"/>
        <w:rPr>
          <w:rFonts w:ascii="仿宋_GB2312" w:hAnsi="仿宋" w:eastAsia="仿宋_GB2312"/>
          <w:spacing w:val="-2"/>
          <w:sz w:val="32"/>
          <w:szCs w:val="32"/>
        </w:rPr>
      </w:pPr>
    </w:p>
    <w:p w14:paraId="7CFCC1D4">
      <w:pPr>
        <w:spacing w:line="640" w:lineRule="exact"/>
        <w:ind w:firstLine="640"/>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
    <w:panose1 w:val="02010609060101010101"/>
    <w:charset w:val="86"/>
    <w:family w:val="modern"/>
    <w:pitch w:val="default"/>
    <w:sig w:usb0="800002BF" w:usb1="38CF7CFA" w:usb2="00000016" w:usb3="00000000" w:csb0="00040001" w:csb1="00000000"/>
  </w:font>
  <w:font w:name="KSOF8080F95D">
    <w:panose1 w:val="020B0503020204020204"/>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4A118AE8"/>
    <w:multiLevelType w:val="singleLevel"/>
    <w:tmpl w:val="4A118AE8"/>
    <w:lvl w:ilvl="0" w:tentative="0">
      <w:start w:val="5"/>
      <w:numFmt w:val="chineseCounting"/>
      <w:suff w:val="nothing"/>
      <w:lvlText w:val="%1、"/>
      <w:lvlJc w:val="left"/>
      <w:rPr>
        <w:rFonts w:hint="eastAsia"/>
      </w:rPr>
    </w:lvl>
  </w:abstractNum>
  <w:abstractNum w:abstractNumId="2">
    <w:nsid w:val="53B67218"/>
    <w:multiLevelType w:val="singleLevel"/>
    <w:tmpl w:val="53B67218"/>
    <w:lvl w:ilvl="0" w:tentative="0">
      <w:start w:val="2"/>
      <w:numFmt w:val="chineseCounting"/>
      <w:suff w:val="nothing"/>
      <w:lvlText w:val="（%1）"/>
      <w:lvlJc w:val="left"/>
      <w:rPr>
        <w:rFonts w:hint="eastAsia"/>
      </w:rPr>
    </w:lvl>
  </w:abstractNum>
  <w:abstractNum w:abstractNumId="3">
    <w:nsid w:val="77C3D13F"/>
    <w:multiLevelType w:val="singleLevel"/>
    <w:tmpl w:val="77C3D13F"/>
    <w:lvl w:ilvl="0" w:tentative="0">
      <w:start w:val="3"/>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Q0MmQ0MTc5MDQ5ZDk2NjU3YjUxOTg0MGZhM2M3ZGQ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B0419"/>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9F492B"/>
    <w:rsid w:val="00A01D2B"/>
    <w:rsid w:val="00A42218"/>
    <w:rsid w:val="00A70249"/>
    <w:rsid w:val="00A70B02"/>
    <w:rsid w:val="00A71D9F"/>
    <w:rsid w:val="00A92E9F"/>
    <w:rsid w:val="00AB18FF"/>
    <w:rsid w:val="00B33BEA"/>
    <w:rsid w:val="00B57C9F"/>
    <w:rsid w:val="00B63572"/>
    <w:rsid w:val="00B83069"/>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DE02AD"/>
    <w:rsid w:val="00E00C7A"/>
    <w:rsid w:val="00E37D6C"/>
    <w:rsid w:val="00E55B68"/>
    <w:rsid w:val="00E561AE"/>
    <w:rsid w:val="00E67BE6"/>
    <w:rsid w:val="00E8683C"/>
    <w:rsid w:val="00EA2B72"/>
    <w:rsid w:val="00F74360"/>
    <w:rsid w:val="00FB462F"/>
    <w:rsid w:val="00FC5300"/>
    <w:rsid w:val="00FE16FA"/>
    <w:rsid w:val="00FE328A"/>
    <w:rsid w:val="00FE6269"/>
    <w:rsid w:val="00FF5CD6"/>
    <w:rsid w:val="01872A4C"/>
    <w:rsid w:val="01B82438"/>
    <w:rsid w:val="03990047"/>
    <w:rsid w:val="04B96B96"/>
    <w:rsid w:val="05167356"/>
    <w:rsid w:val="05CE7E5C"/>
    <w:rsid w:val="08850B9A"/>
    <w:rsid w:val="08892894"/>
    <w:rsid w:val="0A561703"/>
    <w:rsid w:val="0A694E8C"/>
    <w:rsid w:val="0AA572D2"/>
    <w:rsid w:val="0AE72C5A"/>
    <w:rsid w:val="0B6B40B0"/>
    <w:rsid w:val="0D3A0435"/>
    <w:rsid w:val="105A6708"/>
    <w:rsid w:val="121A7768"/>
    <w:rsid w:val="15DF730C"/>
    <w:rsid w:val="1829415E"/>
    <w:rsid w:val="18CE39B2"/>
    <w:rsid w:val="199F1537"/>
    <w:rsid w:val="1C024584"/>
    <w:rsid w:val="1D97DEFF"/>
    <w:rsid w:val="1DFF72E5"/>
    <w:rsid w:val="1EFC6F07"/>
    <w:rsid w:val="1F492760"/>
    <w:rsid w:val="20C04A0E"/>
    <w:rsid w:val="20EA3839"/>
    <w:rsid w:val="220A266F"/>
    <w:rsid w:val="2484122C"/>
    <w:rsid w:val="253E4BFC"/>
    <w:rsid w:val="25E90563"/>
    <w:rsid w:val="26A34BB6"/>
    <w:rsid w:val="27532138"/>
    <w:rsid w:val="27E86D24"/>
    <w:rsid w:val="29121B7F"/>
    <w:rsid w:val="2AEB4AAE"/>
    <w:rsid w:val="2B2A5F76"/>
    <w:rsid w:val="2BA17DF7"/>
    <w:rsid w:val="2BBB1DC6"/>
    <w:rsid w:val="2BFD788F"/>
    <w:rsid w:val="2FDF85B8"/>
    <w:rsid w:val="2FFFEE04"/>
    <w:rsid w:val="31945827"/>
    <w:rsid w:val="328A3DB3"/>
    <w:rsid w:val="32A33D96"/>
    <w:rsid w:val="34AE0CD0"/>
    <w:rsid w:val="34DF85B0"/>
    <w:rsid w:val="360A60B7"/>
    <w:rsid w:val="36132E0B"/>
    <w:rsid w:val="36FC3F21"/>
    <w:rsid w:val="376625A6"/>
    <w:rsid w:val="3A443B62"/>
    <w:rsid w:val="3B031466"/>
    <w:rsid w:val="3B8F36BC"/>
    <w:rsid w:val="3C1732DC"/>
    <w:rsid w:val="3C6C7925"/>
    <w:rsid w:val="3E1F11AD"/>
    <w:rsid w:val="3F5274EE"/>
    <w:rsid w:val="4436276D"/>
    <w:rsid w:val="4470570D"/>
    <w:rsid w:val="447A4D50"/>
    <w:rsid w:val="44846C11"/>
    <w:rsid w:val="44D07B24"/>
    <w:rsid w:val="474E27EB"/>
    <w:rsid w:val="47877325"/>
    <w:rsid w:val="481F6BC3"/>
    <w:rsid w:val="48623B31"/>
    <w:rsid w:val="491FF225"/>
    <w:rsid w:val="49B44860"/>
    <w:rsid w:val="4B082FA7"/>
    <w:rsid w:val="4B2652EA"/>
    <w:rsid w:val="4B3D5D65"/>
    <w:rsid w:val="4C094780"/>
    <w:rsid w:val="4C9A3914"/>
    <w:rsid w:val="4CC97B2A"/>
    <w:rsid w:val="4EB43B9B"/>
    <w:rsid w:val="4F1A33B7"/>
    <w:rsid w:val="4F2906DB"/>
    <w:rsid w:val="4FDF1C24"/>
    <w:rsid w:val="4FFD214C"/>
    <w:rsid w:val="4FFD3344"/>
    <w:rsid w:val="508807F5"/>
    <w:rsid w:val="51C25640"/>
    <w:rsid w:val="542D76E9"/>
    <w:rsid w:val="551E6CEE"/>
    <w:rsid w:val="55230AEC"/>
    <w:rsid w:val="5777D4F5"/>
    <w:rsid w:val="58D26AB1"/>
    <w:rsid w:val="596B5787"/>
    <w:rsid w:val="59DD8326"/>
    <w:rsid w:val="5AC643F3"/>
    <w:rsid w:val="5C64411C"/>
    <w:rsid w:val="5DEF592A"/>
    <w:rsid w:val="5F7A0282"/>
    <w:rsid w:val="5FC6BB1E"/>
    <w:rsid w:val="5FF720F1"/>
    <w:rsid w:val="602D281F"/>
    <w:rsid w:val="607A2BF6"/>
    <w:rsid w:val="61D976FD"/>
    <w:rsid w:val="61E24D77"/>
    <w:rsid w:val="626B3B80"/>
    <w:rsid w:val="63B374DF"/>
    <w:rsid w:val="65270493"/>
    <w:rsid w:val="66A51361"/>
    <w:rsid w:val="672524A2"/>
    <w:rsid w:val="67FF5C0B"/>
    <w:rsid w:val="68330BEE"/>
    <w:rsid w:val="6CD579B2"/>
    <w:rsid w:val="6CFE17CB"/>
    <w:rsid w:val="6D231231"/>
    <w:rsid w:val="6EF52D06"/>
    <w:rsid w:val="6EFC0924"/>
    <w:rsid w:val="6FB74722"/>
    <w:rsid w:val="6FEF8B7E"/>
    <w:rsid w:val="70B07280"/>
    <w:rsid w:val="71A6591B"/>
    <w:rsid w:val="729D55E2"/>
    <w:rsid w:val="72FF44EF"/>
    <w:rsid w:val="737D59BA"/>
    <w:rsid w:val="73F3724A"/>
    <w:rsid w:val="7416389E"/>
    <w:rsid w:val="757F36C5"/>
    <w:rsid w:val="768076F4"/>
    <w:rsid w:val="76D57A40"/>
    <w:rsid w:val="77C37683"/>
    <w:rsid w:val="78540E39"/>
    <w:rsid w:val="79464C25"/>
    <w:rsid w:val="7992618A"/>
    <w:rsid w:val="79FF515B"/>
    <w:rsid w:val="7B8B4B71"/>
    <w:rsid w:val="7BA94FF8"/>
    <w:rsid w:val="7CEC7892"/>
    <w:rsid w:val="7D8C69F8"/>
    <w:rsid w:val="7E507FA2"/>
    <w:rsid w:val="7E9E1962"/>
    <w:rsid w:val="7E9F11B4"/>
    <w:rsid w:val="7EFF6EDE"/>
    <w:rsid w:val="7F3124E8"/>
    <w:rsid w:val="7F37EC1E"/>
    <w:rsid w:val="7F7DCD9D"/>
    <w:rsid w:val="7F970A6F"/>
    <w:rsid w:val="7FC1FFF3"/>
    <w:rsid w:val="7FC69637"/>
    <w:rsid w:val="7FD5285F"/>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3">
    <w:name w:val="Body Text First Indent 2"/>
    <w:basedOn w:val="2"/>
    <w:next w:val="1"/>
    <w:unhideWhenUsed/>
    <w:qFormat/>
    <w:uiPriority w:val="99"/>
    <w:pPr>
      <w:ind w:firstLine="420" w:firstLineChars="200"/>
    </w:p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3"/>
    <w:semiHidden/>
    <w:qFormat/>
    <w:uiPriority w:val="0"/>
    <w:pPr>
      <w:snapToGrid w:val="0"/>
      <w:jc w:val="left"/>
    </w:pPr>
    <w:rPr>
      <w:sz w:val="18"/>
      <w:szCs w:val="18"/>
    </w:rPr>
  </w:style>
  <w:style w:type="character" w:styleId="10">
    <w:name w:val="Strong"/>
    <w:basedOn w:val="9"/>
    <w:qFormat/>
    <w:uiPriority w:val="22"/>
    <w:rPr>
      <w:b/>
    </w:rPr>
  </w:style>
  <w:style w:type="character" w:customStyle="1" w:styleId="11">
    <w:name w:val="页眉 Char"/>
    <w:basedOn w:val="9"/>
    <w:link w:val="6"/>
    <w:qFormat/>
    <w:uiPriority w:val="99"/>
    <w:rPr>
      <w:sz w:val="18"/>
      <w:szCs w:val="18"/>
    </w:rPr>
  </w:style>
  <w:style w:type="character" w:customStyle="1" w:styleId="12">
    <w:name w:val="页脚 Char"/>
    <w:basedOn w:val="9"/>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sz w:val="18"/>
      <w:szCs w:val="18"/>
    </w:rPr>
  </w:style>
  <w:style w:type="character" w:customStyle="1" w:styleId="16">
    <w:name w:val="font01"/>
    <w:basedOn w:val="9"/>
    <w:qFormat/>
    <w:uiPriority w:val="0"/>
    <w:rPr>
      <w:rFonts w:hint="eastAsia" w:ascii="宋体" w:hAnsi="宋体" w:eastAsia="宋体" w:cs="宋体"/>
      <w:color w:val="000000"/>
      <w:sz w:val="22"/>
      <w:szCs w:val="22"/>
      <w:u w:val="none"/>
    </w:rPr>
  </w:style>
  <w:style w:type="character" w:customStyle="1" w:styleId="17">
    <w:name w:val="font21"/>
    <w:basedOn w:val="9"/>
    <w:qFormat/>
    <w:uiPriority w:val="0"/>
    <w:rPr>
      <w:rFonts w:hint="eastAsia" w:ascii="宋体" w:hAnsi="宋体" w:eastAsia="宋体" w:cs="宋体"/>
      <w:color w:val="000000"/>
      <w:sz w:val="24"/>
      <w:szCs w:val="24"/>
      <w:u w:val="none"/>
    </w:rPr>
  </w:style>
  <w:style w:type="character" w:customStyle="1" w:styleId="18">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44</Pages>
  <Words>37</Words>
  <Characters>40</Characters>
  <Lines>214</Lines>
  <Paragraphs>60</Paragraphs>
  <TotalTime>4</TotalTime>
  <ScaleCrop>false</ScaleCrop>
  <LinksUpToDate>false</LinksUpToDate>
  <CharactersWithSpaces>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敷衍</cp:lastModifiedBy>
  <cp:lastPrinted>2024-08-08T10:20:00Z</cp:lastPrinted>
  <dcterms:modified xsi:type="dcterms:W3CDTF">2026-07-09T06:32:19Z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11DA83EFF7474764BF6A1110281F4E20_13</vt:lpwstr>
  </property>
  <property fmtid="{D5CDD505-2E9C-101B-9397-08002B2CF9AE}" pid="4" name="KSOTemplateDocerSaveRecord">
    <vt:lpwstr>eyJoZGlkIjoiNDc4MWVmYWJkZTllNTNiZWFiODgyNWFlMTkxMjZhM2MiLCJ1c2VySWQiOiI5NTkxMTI2OTEifQ==</vt:lpwstr>
  </property>
</Properties>
</file>