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导 言</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为全面反映本部门财务状况和运行情况，</w:t>
      </w:r>
      <w:bookmarkStart w:id="0" w:name="DY_AGENCY_NAME_3"/>
      <w:r w:rsidRPr="00137427">
        <w:rPr>
          <w:rFonts w:ascii="宋体" w:eastAsia="宋体" w:hAnsi="宋体" w:cs="宋体"/>
          <w:kern w:val="0"/>
          <w:sz w:val="24"/>
          <w:szCs w:val="24"/>
        </w:rPr>
        <w:t>溆浦县审计局</w:t>
      </w:r>
      <w:bookmarkEnd w:id="0"/>
      <w:r w:rsidRPr="00137427">
        <w:rPr>
          <w:rFonts w:ascii="宋体" w:eastAsia="宋体" w:hAnsi="宋体" w:cs="宋体"/>
          <w:kern w:val="0"/>
          <w:sz w:val="24"/>
          <w:szCs w:val="24"/>
        </w:rPr>
        <w:t>组织编制了《</w:t>
      </w:r>
      <w:bookmarkStart w:id="1" w:name="DY_SET_YEAR_2"/>
      <w:r w:rsidRPr="00137427">
        <w:rPr>
          <w:rFonts w:ascii="宋体" w:eastAsia="宋体" w:hAnsi="宋体" w:cs="宋体"/>
          <w:kern w:val="0"/>
          <w:sz w:val="24"/>
          <w:szCs w:val="24"/>
        </w:rPr>
        <w:t>2025</w:t>
      </w:r>
      <w:bookmarkEnd w:id="1"/>
      <w:r w:rsidRPr="00137427">
        <w:rPr>
          <w:rFonts w:ascii="宋体" w:eastAsia="宋体" w:hAnsi="宋体" w:cs="宋体"/>
          <w:kern w:val="0"/>
          <w:sz w:val="24"/>
          <w:szCs w:val="24"/>
        </w:rPr>
        <w:t>年度</w:t>
      </w:r>
      <w:bookmarkStart w:id="2" w:name="DY_AGENCY_NAME_4"/>
      <w:r w:rsidRPr="00137427">
        <w:rPr>
          <w:rFonts w:ascii="宋体" w:eastAsia="宋体" w:hAnsi="宋体" w:cs="宋体"/>
          <w:kern w:val="0"/>
          <w:sz w:val="24"/>
          <w:szCs w:val="24"/>
        </w:rPr>
        <w:t>溆浦县审计局</w:t>
      </w:r>
      <w:bookmarkEnd w:id="2"/>
      <w:r w:rsidRPr="00137427">
        <w:rPr>
          <w:rFonts w:ascii="宋体" w:eastAsia="宋体" w:hAnsi="宋体" w:cs="宋体"/>
          <w:kern w:val="0"/>
          <w:sz w:val="24"/>
          <w:szCs w:val="24"/>
        </w:rPr>
        <w:t>财务报告》(以下简称《报告》)。</w:t>
      </w:r>
      <w:bookmarkStart w:id="3" w:name="DY_BGJYSM"/>
      <w:r w:rsidRPr="00137427">
        <w:rPr>
          <w:rFonts w:ascii="宋体" w:eastAsia="宋体" w:hAnsi="宋体" w:cs="宋体"/>
          <w:kern w:val="0"/>
          <w:sz w:val="24"/>
          <w:szCs w:val="24"/>
        </w:rPr>
        <w:t>围绕部门年度财务收支、预算执行、履职成本、资金效益开展分析，反映部门日常运行的财务收支全貌、预算完成情况及运行效率，体现财政资金使用的合规性、有效性。总结部门财务管理工作成效，客观指出制度执行、内控监督、核算规范、资金管控等方面存在的问题，提出下一步优化财务管理、提升管控水平的工作思路。简要情况如下：</w:t>
      </w:r>
      <w:bookmarkEnd w:id="3"/>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(一)《报告》编制基本情况</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按照政府会计制度准则、国家其他有关法律法规以及上级主管部门的有关规定编制，如实反映本单位的财务状况、运行情况等有关信息。</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(二) 本部门财务状况和运行情况</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1.资产负债情况。</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2025年末部门资产总额58.23万元、负债总额164.07万元、净资产总额-105.84万元。资产负债率为281.76%，较上年下降7.39个百分点，表明1、资产增加的主要原因是单位统一采购电脑，固定资产增加。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2. 负债减少的主要原因积极申请资金，增加政府投资审计往来款的支付，同时，财政统一支付本年债务费用，导致负债减少。</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1）本部门资产主要包括流动资产和非流动资产，其中，流动资产合计189,544.19元，主要是银行存款189,544.19元；非流动资产合计370,562.56元，主要是固定资产原值1,347,700.00元、固定资产累计折旧977,137.44元、固定资产净值370,562.56元。</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（2）本部门负债主要包括流动负债和非流动负债，其中，流动负债合计1,640,660.28元，主要包括应付账款1,522,087.28元、其他应付款118,573.00元；非流动负债合计为0元.</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2. 收入费用情况。</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lastRenderedPageBreak/>
        <w:t>2025年度部门收入总额2083.28万元，费用总额1745.67万元，收入费用相抵后本年盈余337.61万元。收入费用率为83.79%，较上年增长5.14个百分点，表明1、本年度收入增加的原因主要是财政统一支付债务费用和单位新增2名公招人员。</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（1）本部门收入主要包括财政拨款收入20,806,615.5713元、其他收入26,176.06元。</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（2）本部门费用主要包括工资福利支出6,059,473.01元、商品与服务支出11,221,984.37元、对个人和家庭补助费用70,360.00元、固定资产折旧费用90,846.41元、资产处置费用13,981.838元。</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3）《报告》反映的收入费用与决算报告反映的收入支出的主要差异情况。决算报告中的收入与支出为20,806,615.5713元，与《报告》中的收入相差26,176.06元，主要是因为该笔资金为省审计厅下拨的审计专项经费和单位收到的离退休干部党组织党费返还及使用单位费用代付维修费的返还费用，在决算报告中不体现。</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4" w:name="_Toc11555"/>
      <w:r w:rsidRPr="00137427">
        <w:rPr>
          <w:rFonts w:ascii="宋体" w:eastAsia="宋体" w:hAnsi="宋体" w:cs="宋体"/>
          <w:kern w:val="0"/>
          <w:sz w:val="24"/>
          <w:szCs w:val="24"/>
        </w:rPr>
        <w:t>一、政府部门财务报表</w:t>
      </w:r>
      <w:bookmarkEnd w:id="4"/>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5" w:name="_Toc26210"/>
      <w:r w:rsidRPr="00137427">
        <w:rPr>
          <w:rFonts w:ascii="宋体" w:eastAsia="宋体" w:hAnsi="宋体" w:cs="宋体"/>
          <w:kern w:val="0"/>
          <w:sz w:val="24"/>
          <w:szCs w:val="24"/>
        </w:rPr>
        <w:t>(</w:t>
      </w:r>
      <w:bookmarkEnd w:id="5"/>
      <w:r w:rsidRPr="00137427">
        <w:rPr>
          <w:rFonts w:ascii="宋体" w:eastAsia="宋体" w:hAnsi="宋体" w:cs="宋体"/>
          <w:kern w:val="0"/>
          <w:sz w:val="24"/>
          <w:szCs w:val="24"/>
        </w:rPr>
        <w:t>一) 政府部门会计报表</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6" w:name="_Toc23021"/>
      <w:r w:rsidRPr="00137427">
        <w:rPr>
          <w:rFonts w:ascii="宋体" w:eastAsia="宋体" w:hAnsi="宋体" w:cs="宋体"/>
          <w:kern w:val="0"/>
          <w:sz w:val="24"/>
          <w:szCs w:val="24"/>
        </w:rPr>
        <w:t>表1</w:t>
      </w:r>
      <w:bookmarkEnd w:id="6"/>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资产负债表</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4530"/>
        <w:gridCol w:w="1905"/>
        <w:gridCol w:w="1410"/>
        <w:gridCol w:w="1410"/>
      </w:tblGrid>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bookmarkStart w:id="7" w:name="ML_1_1_ZCFZB"/>
            <w:bookmarkEnd w:id="7"/>
            <w:r w:rsidRPr="00137427">
              <w:rPr>
                <w:rFonts w:ascii="宋体" w:eastAsia="宋体" w:hAnsi="宋体" w:cs="宋体"/>
                <w:kern w:val="0"/>
                <w:sz w:val="24"/>
                <w:szCs w:val="24"/>
              </w:rPr>
              <w:t>编制单位：溆浦县审计局</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2025年12月31日</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项目</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附注</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年末数</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年初数</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流动资产：</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货币资金</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18.95</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24.39</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短期投资</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财政应返还额度</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应收票据</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应收账款净额</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附表3</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预付账款</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附表4</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应收股利</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应收利息</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其他应收款净额</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附表5</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存货</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待摊费用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一年内到期的非流动资产</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其他流动资产</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流动资产合计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18.95</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24.39</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非流动资产：</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长期股权投资</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附表6-1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长期债券投资</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附表6-1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固定资产原值</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134.77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126.97</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减：固定资产累计折旧</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97.71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103.30</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固定资产净值</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37.06</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23.67</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工程物资</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在建工程</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附表8</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无形资产原值</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附表9</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2.78</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减：无形资产累计摊销</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附表9</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0.56</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无形资产净值</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2.22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bl>
    <w:p w:rsidR="00137427" w:rsidRPr="00137427" w:rsidRDefault="00137427" w:rsidP="00137427">
      <w:pPr>
        <w:widowControl/>
        <w:spacing w:line="569" w:lineRule="atLeast"/>
        <w:ind w:firstLine="480"/>
        <w:rPr>
          <w:rFonts w:ascii="宋体" w:eastAsia="宋体" w:hAnsi="宋体" w:cs="宋体"/>
          <w:vanish/>
          <w:kern w:val="0"/>
          <w:sz w:val="24"/>
          <w:szCs w:val="24"/>
        </w:rPr>
      </w:pP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4530"/>
        <w:gridCol w:w="1905"/>
        <w:gridCol w:w="1410"/>
        <w:gridCol w:w="1410"/>
      </w:tblGrid>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研发支出</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公共基础设施原值</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附表10-1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减：公共基础设施累计折旧（摊销）</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附表10-2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公共基础设施净值</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附表10-3</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政府储备物资</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文物资源</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保障性住房原值</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减：保障性住房累计折旧</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保障性住房净值</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长期待摊费用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待处理财产损溢</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其他非流动资产</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非流动资产合计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39.28</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23.67</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受托代理资产</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资产总计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58.23</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48.06</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流动负债：</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短期借款</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应交增值税</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其他应交税费</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应缴财政款</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应付职工薪酬</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应付票据</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附表13</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应付账款</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附表14</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152.21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490.46</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应付政府补贴款</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应付利息</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预收账款</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附表15</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其他应付款</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附表16</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11.86</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1.06</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预提费用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bl>
    <w:p w:rsidR="00137427" w:rsidRPr="00137427" w:rsidRDefault="00137427" w:rsidP="00137427">
      <w:pPr>
        <w:widowControl/>
        <w:spacing w:line="569" w:lineRule="atLeast"/>
        <w:ind w:firstLine="480"/>
        <w:rPr>
          <w:rFonts w:ascii="宋体" w:eastAsia="宋体" w:hAnsi="宋体" w:cs="宋体"/>
          <w:vanish/>
          <w:kern w:val="0"/>
          <w:sz w:val="24"/>
          <w:szCs w:val="24"/>
        </w:rPr>
      </w:pP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4530"/>
        <w:gridCol w:w="1905"/>
        <w:gridCol w:w="1410"/>
        <w:gridCol w:w="1410"/>
      </w:tblGrid>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一年内到期的非流动负债</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其他流动负债</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流动负债合计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164.07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491.52</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非流动负债：</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长期借款</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附表17-1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长期应付款</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附表18</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预计负债</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其他非流动负债</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非流动负债合计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受托代理负债</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负债合计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164.07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491.52</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净资产:</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累计盈余</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-105.84</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-443.46</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专用基金</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权益法调整</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净资产合计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-105.84</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-443.46</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负债及净资产总计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58.23</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48.06</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bl>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8" w:name="_Toc28131"/>
      <w:r w:rsidRPr="00137427">
        <w:rPr>
          <w:rFonts w:ascii="宋体" w:eastAsia="宋体" w:hAnsi="宋体" w:cs="宋体"/>
          <w:kern w:val="0"/>
          <w:sz w:val="24"/>
          <w:szCs w:val="24"/>
        </w:rPr>
        <w:t>表2-1</w:t>
      </w:r>
      <w:bookmarkEnd w:id="8"/>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收入费用表（1）</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4530"/>
        <w:gridCol w:w="1905"/>
        <w:gridCol w:w="1410"/>
        <w:gridCol w:w="1410"/>
      </w:tblGrid>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bookmarkStart w:id="9" w:name="ML_1_1_SRFYB1"/>
            <w:bookmarkEnd w:id="9"/>
            <w:r w:rsidRPr="00137427">
              <w:rPr>
                <w:rFonts w:ascii="宋体" w:eastAsia="宋体" w:hAnsi="宋体" w:cs="宋体"/>
                <w:kern w:val="0"/>
                <w:sz w:val="24"/>
                <w:szCs w:val="24"/>
              </w:rPr>
              <w:lastRenderedPageBreak/>
              <w:t>编制单位：溆浦县审计局</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2025年</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项目</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附注</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本年数</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上年数</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财政拨款收入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2,080.66</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1,356.43</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事业收入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附表19</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上级补助收入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自定义附表1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附属单位上缴收入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自定义附表2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经营收入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附表20</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非同级财政拨款收入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投资收益</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附表6-1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捐赠收入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利息收入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租金收入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附表23</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2.62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19.92</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收入合计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2,083.28</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1,376.35</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业务活动费用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附表24</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1,744.27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1,083.24</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单位管理费用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附表25</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经营费用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附表26</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资产处置费用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1.40</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0.26</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上缴上级费用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自定义附表3</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对附属单位补助费用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自定义附表4</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所得税费用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费用合计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1,745.67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1,083.50</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本年盈余</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337.61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292.85</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bl>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10" w:name="_Toc16621"/>
      <w:r w:rsidRPr="00137427">
        <w:rPr>
          <w:rFonts w:ascii="宋体" w:eastAsia="宋体" w:hAnsi="宋体" w:cs="宋体"/>
          <w:kern w:val="0"/>
          <w:sz w:val="24"/>
          <w:szCs w:val="24"/>
        </w:rPr>
        <w:t>表2-2</w:t>
      </w:r>
      <w:bookmarkEnd w:id="10"/>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收入费用表（2）</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4530"/>
        <w:gridCol w:w="1905"/>
        <w:gridCol w:w="1410"/>
        <w:gridCol w:w="1410"/>
      </w:tblGrid>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编制单位：溆浦县审计局</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2025年</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项目</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附注</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本年数</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上年数</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财政拨款收入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2,080.66</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1,356.43</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事业收入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附表19</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上级补助收入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自定义附表1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附属单位上缴收入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自定义附表2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经营收入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附表20</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非同级财政拨款收入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投资收益</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附表6</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捐赠收入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利息收入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租金收入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其他收入</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附表23</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2.62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19.92</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收入合计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2,083.28</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1,376.35</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工资福利费用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605.95</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556.37</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商品和服务费用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1,122.20</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487.88</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对个人和家庭的补助费用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7.04</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32.00</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对企业补助费用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固定资产折旧费用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9.08</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6.99</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无形资产摊销费用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公共基础设施折旧（摊销）费用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保障性住房折旧费用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计提专用基金</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资产处置费用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1.40</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0.26</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上缴上级费用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自定义附表3</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对附属单位补助费用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自定义附表4</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所得税费用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其他费用</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附表28</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bl>
    <w:p w:rsidR="00137427" w:rsidRPr="00137427" w:rsidRDefault="00137427" w:rsidP="00137427">
      <w:pPr>
        <w:widowControl/>
        <w:spacing w:line="569" w:lineRule="atLeast"/>
        <w:ind w:firstLine="480"/>
        <w:rPr>
          <w:rFonts w:ascii="宋体" w:eastAsia="宋体" w:hAnsi="宋体" w:cs="宋体"/>
          <w:vanish/>
          <w:kern w:val="0"/>
          <w:sz w:val="24"/>
          <w:szCs w:val="24"/>
        </w:rPr>
      </w:pP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4530"/>
        <w:gridCol w:w="1905"/>
        <w:gridCol w:w="1410"/>
        <w:gridCol w:w="1425"/>
      </w:tblGrid>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费用合计</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1,745.67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1,083.50</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本年盈余</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337.61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292.85</w:t>
            </w:r>
          </w:p>
        </w:tc>
      </w:tr>
      <w:tr w:rsidR="00137427" w:rsidRPr="00137427" w:rsidTr="00137427">
        <w:trPr>
          <w:jc w:val="center"/>
        </w:trPr>
        <w:tc>
          <w:tcPr>
            <w:tcW w:w="453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9270" w:type="dxa"/>
            <w:gridSpan w:val="4"/>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表 2-2 的“其他费用”包括“业务活动费用”、“单位管理费用”、“经营费用”等会计科目中的其他部分。</w:t>
            </w:r>
          </w:p>
        </w:tc>
      </w:tr>
    </w:tbl>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11" w:name="_Toc19198"/>
      <w:r w:rsidRPr="00137427">
        <w:rPr>
          <w:rFonts w:ascii="宋体" w:eastAsia="宋体" w:hAnsi="宋体" w:cs="宋体"/>
          <w:kern w:val="0"/>
          <w:sz w:val="24"/>
          <w:szCs w:val="24"/>
        </w:rPr>
        <w:t>(</w:t>
      </w:r>
      <w:bookmarkEnd w:id="11"/>
      <w:r w:rsidRPr="00137427">
        <w:rPr>
          <w:rFonts w:ascii="宋体" w:eastAsia="宋体" w:hAnsi="宋体" w:cs="宋体"/>
          <w:kern w:val="0"/>
          <w:sz w:val="24"/>
          <w:szCs w:val="24"/>
        </w:rPr>
        <w:t>二) 政府部门会计报表附注</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12" w:name="_Toc21358"/>
      <w:r w:rsidRPr="00137427">
        <w:rPr>
          <w:rFonts w:ascii="宋体" w:eastAsia="宋体" w:hAnsi="宋体" w:cs="宋体"/>
          <w:kern w:val="0"/>
          <w:sz w:val="24"/>
          <w:szCs w:val="24"/>
        </w:rPr>
        <w:t>1.</w:t>
      </w:r>
      <w:bookmarkEnd w:id="12"/>
      <w:r w:rsidRPr="00137427">
        <w:rPr>
          <w:rFonts w:ascii="宋体" w:eastAsia="宋体" w:hAnsi="宋体" w:cs="宋体"/>
          <w:kern w:val="0"/>
          <w:sz w:val="24"/>
          <w:szCs w:val="24"/>
        </w:rPr>
        <w:t>会计报表编制基础</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权责发生制。</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13" w:name="_Toc30112"/>
      <w:r w:rsidRPr="00137427">
        <w:rPr>
          <w:rFonts w:ascii="宋体" w:eastAsia="宋体" w:hAnsi="宋体" w:cs="宋体"/>
          <w:kern w:val="0"/>
          <w:sz w:val="24"/>
          <w:szCs w:val="24"/>
        </w:rPr>
        <w:t>2.</w:t>
      </w:r>
      <w:bookmarkEnd w:id="13"/>
      <w:r w:rsidRPr="00137427">
        <w:rPr>
          <w:rFonts w:ascii="宋体" w:eastAsia="宋体" w:hAnsi="宋体" w:cs="宋体"/>
          <w:kern w:val="0"/>
          <w:sz w:val="24"/>
          <w:szCs w:val="24"/>
        </w:rPr>
        <w:t>遵循相关制度规定的声明</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我单位根据《中华人民共和国预算法》及其实施条例、《国务院关于转发财政部权责发生制政府综合财务报告制度改革方案的通知》（国发〔2014〕63号）、《国务院关于进一步深化预算管理制度改革的意见》（国发〔2021〕5号）、《财政部关于修订印发&lt;政府综合财务报告编制办法（实行）&gt;的通知》（财库〔2019〕56号）等有关规定编制政府部门财务报告。</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14" w:name="_Toc3641"/>
      <w:r w:rsidRPr="00137427">
        <w:rPr>
          <w:rFonts w:ascii="宋体" w:eastAsia="宋体" w:hAnsi="宋体" w:cs="宋体"/>
          <w:kern w:val="0"/>
          <w:sz w:val="24"/>
          <w:szCs w:val="24"/>
        </w:rPr>
        <w:t>3.</w:t>
      </w:r>
      <w:bookmarkEnd w:id="14"/>
      <w:r w:rsidRPr="00137427">
        <w:rPr>
          <w:rFonts w:ascii="宋体" w:eastAsia="宋体" w:hAnsi="宋体" w:cs="宋体"/>
          <w:kern w:val="0"/>
          <w:sz w:val="24"/>
          <w:szCs w:val="24"/>
        </w:rPr>
        <w:t>合并范围</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lastRenderedPageBreak/>
        <w:t>溆浦县审计局本级。</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15" w:name="_Toc29140"/>
      <w:r w:rsidRPr="00137427">
        <w:rPr>
          <w:rFonts w:ascii="宋体" w:eastAsia="宋体" w:hAnsi="宋体" w:cs="宋体"/>
          <w:kern w:val="0"/>
          <w:sz w:val="24"/>
          <w:szCs w:val="24"/>
        </w:rPr>
        <w:t>4.</w:t>
      </w:r>
      <w:bookmarkEnd w:id="15"/>
      <w:r w:rsidRPr="00137427">
        <w:rPr>
          <w:rFonts w:ascii="宋体" w:eastAsia="宋体" w:hAnsi="宋体" w:cs="宋体"/>
          <w:kern w:val="0"/>
          <w:sz w:val="24"/>
          <w:szCs w:val="24"/>
        </w:rPr>
        <w:t>重要会计政策与会计估计变更情况</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16" w:name="_Toc32258"/>
      <w:r w:rsidRPr="00137427">
        <w:rPr>
          <w:rFonts w:ascii="宋体" w:eastAsia="宋体" w:hAnsi="宋体" w:cs="宋体"/>
          <w:kern w:val="0"/>
          <w:sz w:val="24"/>
          <w:szCs w:val="24"/>
        </w:rPr>
        <w:t>5.</w:t>
      </w:r>
      <w:bookmarkEnd w:id="16"/>
      <w:r w:rsidRPr="00137427">
        <w:rPr>
          <w:rFonts w:ascii="宋体" w:eastAsia="宋体" w:hAnsi="宋体" w:cs="宋体"/>
          <w:kern w:val="0"/>
          <w:sz w:val="24"/>
          <w:szCs w:val="24"/>
        </w:rPr>
        <w:t>会计报表重要项目的明细信息及说明</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4845"/>
        <w:gridCol w:w="1320"/>
        <w:gridCol w:w="1320"/>
        <w:gridCol w:w="1320"/>
      </w:tblGrid>
      <w:tr w:rsidR="00137427" w:rsidRPr="00137427" w:rsidTr="00137427">
        <w:trPr>
          <w:trHeight w:val="854"/>
          <w:jc w:val="center"/>
        </w:trPr>
        <w:tc>
          <w:tcPr>
            <w:tcW w:w="8805" w:type="dxa"/>
            <w:gridSpan w:val="4"/>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 货币资金明细信息如下：</w:t>
            </w:r>
          </w:p>
        </w:tc>
      </w:tr>
      <w:tr w:rsidR="00137427" w:rsidRPr="00137427" w:rsidTr="00137427">
        <w:trPr>
          <w:trHeight w:val="854"/>
          <w:jc w:val="center"/>
        </w:trPr>
        <w:tc>
          <w:tcPr>
            <w:tcW w:w="8805" w:type="dxa"/>
            <w:gridSpan w:val="4"/>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w:t>
            </w:r>
          </w:p>
        </w:tc>
      </w:tr>
      <w:tr w:rsidR="00137427" w:rsidRPr="00137427" w:rsidTr="00137427">
        <w:trPr>
          <w:trHeight w:val="854"/>
          <w:jc w:val="center"/>
        </w:trPr>
        <w:tc>
          <w:tcPr>
            <w:tcW w:w="8805" w:type="dxa"/>
            <w:gridSpan w:val="4"/>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货币资金明细表</w:t>
            </w:r>
          </w:p>
        </w:tc>
      </w:tr>
      <w:tr w:rsidR="00137427" w:rsidRPr="00137427" w:rsidTr="00137427">
        <w:trPr>
          <w:trHeight w:val="854"/>
          <w:jc w:val="center"/>
        </w:trPr>
        <w:tc>
          <w:tcPr>
            <w:tcW w:w="8805" w:type="dxa"/>
            <w:gridSpan w:val="4"/>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trHeight w:val="854"/>
          <w:jc w:val="center"/>
        </w:trPr>
        <w:tc>
          <w:tcPr>
            <w:tcW w:w="484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项目</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年末数</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年初数</w:t>
            </w:r>
          </w:p>
        </w:tc>
      </w:tr>
      <w:tr w:rsidR="00137427" w:rsidRPr="00137427" w:rsidTr="00137427">
        <w:trPr>
          <w:trHeight w:val="854"/>
          <w:jc w:val="center"/>
        </w:trPr>
        <w:tc>
          <w:tcPr>
            <w:tcW w:w="484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库存现金</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484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银行存款</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18.95</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24.39</w:t>
            </w:r>
          </w:p>
        </w:tc>
      </w:tr>
      <w:tr w:rsidR="00137427" w:rsidRPr="00137427" w:rsidTr="00137427">
        <w:trPr>
          <w:trHeight w:val="854"/>
          <w:jc w:val="center"/>
        </w:trPr>
        <w:tc>
          <w:tcPr>
            <w:tcW w:w="484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其他货币资金</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484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合计</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18.95</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24.39</w:t>
            </w:r>
          </w:p>
        </w:tc>
      </w:tr>
    </w:tbl>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17" w:name="ML_1_2_YSPJMXXXB2"/>
      <w:r w:rsidRPr="00137427">
        <w:rPr>
          <w:rFonts w:ascii="宋体" w:eastAsia="宋体" w:hAnsi="宋体" w:cs="宋体"/>
          <w:kern w:val="0"/>
          <w:sz w:val="24"/>
          <w:szCs w:val="24"/>
        </w:rPr>
        <w:t xml:space="preserve">(2) </w:t>
      </w:r>
      <w:bookmarkEnd w:id="17"/>
      <w:r w:rsidRPr="00137427">
        <w:rPr>
          <w:rFonts w:ascii="宋体" w:eastAsia="宋体" w:hAnsi="宋体" w:cs="宋体"/>
          <w:kern w:val="0"/>
          <w:sz w:val="24"/>
          <w:szCs w:val="24"/>
        </w:rPr>
        <w:t>应收票据明细信息（无）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18" w:name="ML_1_2_YSZKJEMXXXB3"/>
      <w:r w:rsidRPr="00137427">
        <w:rPr>
          <w:rFonts w:ascii="宋体" w:eastAsia="宋体" w:hAnsi="宋体" w:cs="宋体"/>
          <w:kern w:val="0"/>
          <w:sz w:val="24"/>
          <w:szCs w:val="24"/>
        </w:rPr>
        <w:t xml:space="preserve">(3) </w:t>
      </w:r>
      <w:bookmarkEnd w:id="18"/>
      <w:r w:rsidRPr="00137427">
        <w:rPr>
          <w:rFonts w:ascii="宋体" w:eastAsia="宋体" w:hAnsi="宋体" w:cs="宋体"/>
          <w:kern w:val="0"/>
          <w:sz w:val="24"/>
          <w:szCs w:val="24"/>
        </w:rPr>
        <w:t>应收账款净额明细信息（无）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19" w:name="ML_1_2_YFZKMXXXB4"/>
      <w:r w:rsidRPr="00137427">
        <w:rPr>
          <w:rFonts w:ascii="宋体" w:eastAsia="宋体" w:hAnsi="宋体" w:cs="宋体"/>
          <w:kern w:val="0"/>
          <w:sz w:val="24"/>
          <w:szCs w:val="24"/>
        </w:rPr>
        <w:t xml:space="preserve">(4) </w:t>
      </w:r>
      <w:bookmarkEnd w:id="19"/>
      <w:r w:rsidRPr="00137427">
        <w:rPr>
          <w:rFonts w:ascii="宋体" w:eastAsia="宋体" w:hAnsi="宋体" w:cs="宋体"/>
          <w:kern w:val="0"/>
          <w:sz w:val="24"/>
          <w:szCs w:val="24"/>
        </w:rPr>
        <w:t>预付账款明细信息（无）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20" w:name="ML_1_2_QTYSKJEMXXXB5"/>
      <w:r w:rsidRPr="00137427">
        <w:rPr>
          <w:rFonts w:ascii="宋体" w:eastAsia="宋体" w:hAnsi="宋体" w:cs="宋体"/>
          <w:kern w:val="0"/>
          <w:sz w:val="24"/>
          <w:szCs w:val="24"/>
        </w:rPr>
        <w:t xml:space="preserve">(5) </w:t>
      </w:r>
      <w:bookmarkEnd w:id="20"/>
      <w:r w:rsidRPr="00137427">
        <w:rPr>
          <w:rFonts w:ascii="宋体" w:eastAsia="宋体" w:hAnsi="宋体" w:cs="宋体"/>
          <w:kern w:val="0"/>
          <w:sz w:val="24"/>
          <w:szCs w:val="24"/>
        </w:rPr>
        <w:t>其他应收款净额明细信息（无）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21" w:name="ML_1_2_CQTZJTZSYMXXXB6"/>
      <w:r w:rsidRPr="00137427">
        <w:rPr>
          <w:rFonts w:ascii="宋体" w:eastAsia="宋体" w:hAnsi="宋体" w:cs="宋体"/>
          <w:kern w:val="0"/>
          <w:sz w:val="24"/>
          <w:szCs w:val="24"/>
        </w:rPr>
        <w:lastRenderedPageBreak/>
        <w:t xml:space="preserve">(6) </w:t>
      </w:r>
      <w:bookmarkEnd w:id="21"/>
      <w:r w:rsidRPr="00137427">
        <w:rPr>
          <w:rFonts w:ascii="宋体" w:eastAsia="宋体" w:hAnsi="宋体" w:cs="宋体"/>
          <w:kern w:val="0"/>
          <w:sz w:val="24"/>
          <w:szCs w:val="24"/>
        </w:rPr>
        <w:t>长期投资及投资收益明细信息（无）</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570"/>
        <w:gridCol w:w="1410"/>
        <w:gridCol w:w="1410"/>
        <w:gridCol w:w="1410"/>
        <w:gridCol w:w="1425"/>
      </w:tblGrid>
      <w:tr w:rsidR="00137427" w:rsidRPr="00137427" w:rsidTr="00137427">
        <w:trPr>
          <w:jc w:val="center"/>
        </w:trPr>
        <w:tc>
          <w:tcPr>
            <w:tcW w:w="922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(7) 固定资产明细信息如下:</w:t>
            </w:r>
          </w:p>
        </w:tc>
      </w:tr>
      <w:tr w:rsidR="00137427" w:rsidRPr="00137427" w:rsidTr="00137427">
        <w:trPr>
          <w:jc w:val="center"/>
        </w:trPr>
        <w:tc>
          <w:tcPr>
            <w:tcW w:w="922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附表7</w:t>
            </w:r>
          </w:p>
        </w:tc>
      </w:tr>
      <w:tr w:rsidR="00137427" w:rsidRPr="00137427" w:rsidTr="00137427">
        <w:trPr>
          <w:jc w:val="center"/>
        </w:trPr>
        <w:tc>
          <w:tcPr>
            <w:tcW w:w="922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固定资产明细表</w:t>
            </w:r>
          </w:p>
        </w:tc>
      </w:tr>
      <w:tr w:rsidR="00137427" w:rsidRPr="00137427" w:rsidTr="00137427">
        <w:trPr>
          <w:jc w:val="center"/>
        </w:trPr>
        <w:tc>
          <w:tcPr>
            <w:tcW w:w="922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项目</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年初数</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本年增加</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本年减少</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年末数</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原值合计</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126.97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23.31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15.51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134.77</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房屋和构筑物</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50.21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50.21</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设备</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68.59</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23.31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15.51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76.39</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陈列品</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图书和档案</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家具和用具</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8.17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8.17</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特种动植物</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累计折旧合计</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103.30</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8.53</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14.11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97.71</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房屋和构筑物</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50.21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50.21</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设备</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46.97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8.30</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14.11</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41.16</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陈列品</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图书和档案</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家具和用具</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6.12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0.23</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6.34</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特种动植物</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净值合计</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23.67</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37.06</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房屋和构筑物</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设备</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21.62</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35.23</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陈列品</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图书和档案</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家具和用具</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2.05</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1.83</w:t>
            </w: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特种动植物</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7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bl>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22" w:name="ML_1_2_ZJGCMXXXB8"/>
      <w:r w:rsidRPr="00137427">
        <w:rPr>
          <w:rFonts w:ascii="宋体" w:eastAsia="宋体" w:hAnsi="宋体" w:cs="宋体"/>
          <w:kern w:val="0"/>
          <w:sz w:val="24"/>
          <w:szCs w:val="24"/>
        </w:rPr>
        <w:t xml:space="preserve">(8) </w:t>
      </w:r>
      <w:bookmarkEnd w:id="22"/>
      <w:r w:rsidRPr="00137427">
        <w:rPr>
          <w:rFonts w:ascii="宋体" w:eastAsia="宋体" w:hAnsi="宋体" w:cs="宋体"/>
          <w:kern w:val="0"/>
          <w:sz w:val="24"/>
          <w:szCs w:val="24"/>
        </w:rPr>
        <w:t>在建工程明细信息（无）</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210"/>
        <w:gridCol w:w="1410"/>
        <w:gridCol w:w="1410"/>
        <w:gridCol w:w="1410"/>
        <w:gridCol w:w="1440"/>
      </w:tblGrid>
      <w:tr w:rsidR="00137427" w:rsidRPr="00137427" w:rsidTr="00137427">
        <w:trPr>
          <w:jc w:val="center"/>
        </w:trPr>
        <w:tc>
          <w:tcPr>
            <w:tcW w:w="8880"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(9) 无形资产明细信息如下:</w:t>
            </w:r>
          </w:p>
        </w:tc>
      </w:tr>
      <w:tr w:rsidR="00137427" w:rsidRPr="00137427" w:rsidTr="00137427">
        <w:trPr>
          <w:jc w:val="center"/>
        </w:trPr>
        <w:tc>
          <w:tcPr>
            <w:tcW w:w="8880"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附表9</w:t>
            </w:r>
          </w:p>
        </w:tc>
      </w:tr>
      <w:tr w:rsidR="00137427" w:rsidRPr="00137427" w:rsidTr="00137427">
        <w:trPr>
          <w:jc w:val="center"/>
        </w:trPr>
        <w:tc>
          <w:tcPr>
            <w:tcW w:w="8880"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无形资产明细表</w:t>
            </w:r>
          </w:p>
        </w:tc>
      </w:tr>
      <w:tr w:rsidR="00137427" w:rsidRPr="00137427" w:rsidTr="00137427">
        <w:trPr>
          <w:jc w:val="center"/>
        </w:trPr>
        <w:tc>
          <w:tcPr>
            <w:tcW w:w="8880"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项目</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年初数</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本年增加</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本年减少</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年末数</w:t>
            </w: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原值合计</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2.78</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2.78</w:t>
            </w: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专利权</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非专利技术</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著作权</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资源资质</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商标权</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信息数据</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2.78</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2.78</w:t>
            </w: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累计摊销合计</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0.56</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0.56</w:t>
            </w: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专利权</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非专利技术</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著作权</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资源资质</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商标权</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信息数据</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0.56</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0.56</w:t>
            </w: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净值合计</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2.22</w:t>
            </w: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专利权</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非专利技术</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著作权</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资源资质</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商标权</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信息数据</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w:t>
            </w: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2.22</w:t>
            </w:r>
          </w:p>
        </w:tc>
      </w:tr>
      <w:tr w:rsidR="00137427" w:rsidRPr="00137427" w:rsidTr="00137427">
        <w:trPr>
          <w:jc w:val="center"/>
        </w:trPr>
        <w:tc>
          <w:tcPr>
            <w:tcW w:w="32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41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bl>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23" w:name="ML_1_2_GGJCSSMXXXB10"/>
      <w:r w:rsidRPr="00137427">
        <w:rPr>
          <w:rFonts w:ascii="宋体" w:eastAsia="宋体" w:hAnsi="宋体" w:cs="宋体"/>
          <w:kern w:val="0"/>
          <w:sz w:val="24"/>
          <w:szCs w:val="24"/>
        </w:rPr>
        <w:t xml:space="preserve">(10) </w:t>
      </w:r>
      <w:bookmarkEnd w:id="23"/>
      <w:r w:rsidRPr="00137427">
        <w:rPr>
          <w:rFonts w:ascii="宋体" w:eastAsia="宋体" w:hAnsi="宋体" w:cs="宋体"/>
          <w:kern w:val="0"/>
          <w:sz w:val="24"/>
          <w:szCs w:val="24"/>
        </w:rPr>
        <w:t>公共基础设施明细信息（无）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24" w:name="ML_1_2_ZFCBWZMXXXB11"/>
      <w:r w:rsidRPr="00137427">
        <w:rPr>
          <w:rFonts w:ascii="宋体" w:eastAsia="宋体" w:hAnsi="宋体" w:cs="宋体"/>
          <w:kern w:val="0"/>
          <w:sz w:val="24"/>
          <w:szCs w:val="24"/>
        </w:rPr>
        <w:t xml:space="preserve">(11) </w:t>
      </w:r>
      <w:bookmarkEnd w:id="24"/>
      <w:r w:rsidRPr="00137427">
        <w:rPr>
          <w:rFonts w:ascii="宋体" w:eastAsia="宋体" w:hAnsi="宋体" w:cs="宋体"/>
          <w:kern w:val="0"/>
          <w:sz w:val="24"/>
          <w:szCs w:val="24"/>
        </w:rPr>
        <w:t>政府储备物资明细信息（无）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25" w:name="ML_1_2_BZXZFMXXXB12"/>
      <w:r w:rsidRPr="00137427">
        <w:rPr>
          <w:rFonts w:ascii="宋体" w:eastAsia="宋体" w:hAnsi="宋体" w:cs="宋体"/>
          <w:kern w:val="0"/>
          <w:sz w:val="24"/>
          <w:szCs w:val="24"/>
        </w:rPr>
        <w:t xml:space="preserve">(12) </w:t>
      </w:r>
      <w:bookmarkEnd w:id="25"/>
      <w:r w:rsidRPr="00137427">
        <w:rPr>
          <w:rFonts w:ascii="宋体" w:eastAsia="宋体" w:hAnsi="宋体" w:cs="宋体"/>
          <w:kern w:val="0"/>
          <w:sz w:val="24"/>
          <w:szCs w:val="24"/>
        </w:rPr>
        <w:t>保障性住房明细信息（无）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26" w:name="ML_1_2_YFPJMXXXB14"/>
      <w:r w:rsidRPr="00137427">
        <w:rPr>
          <w:rFonts w:ascii="宋体" w:eastAsia="宋体" w:hAnsi="宋体" w:cs="宋体"/>
          <w:kern w:val="0"/>
          <w:sz w:val="24"/>
          <w:szCs w:val="24"/>
        </w:rPr>
        <w:t xml:space="preserve">(13) </w:t>
      </w:r>
      <w:bookmarkEnd w:id="26"/>
      <w:r w:rsidRPr="00137427">
        <w:rPr>
          <w:rFonts w:ascii="宋体" w:eastAsia="宋体" w:hAnsi="宋体" w:cs="宋体"/>
          <w:kern w:val="0"/>
          <w:sz w:val="24"/>
          <w:szCs w:val="24"/>
        </w:rPr>
        <w:t>应付票据明细信息（无）</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525"/>
        <w:gridCol w:w="1320"/>
        <w:gridCol w:w="1320"/>
        <w:gridCol w:w="1320"/>
        <w:gridCol w:w="1320"/>
      </w:tblGrid>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(14) 应付账款明细信息如下：</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附表14</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应付账款明细表</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债权人</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年末数</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应付本部门内部单位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应付本部门以外的同级政府单位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应付本部门以外的非同级政府单位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应付其他单位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152.21</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合计</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152.21</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bl>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27" w:name="ML_1_2_YSZKMXXXB16"/>
      <w:r w:rsidRPr="00137427">
        <w:rPr>
          <w:rFonts w:ascii="宋体" w:eastAsia="宋体" w:hAnsi="宋体" w:cs="宋体"/>
          <w:kern w:val="0"/>
          <w:sz w:val="24"/>
          <w:szCs w:val="24"/>
        </w:rPr>
        <w:t xml:space="preserve">(15) </w:t>
      </w:r>
      <w:bookmarkEnd w:id="27"/>
      <w:r w:rsidRPr="00137427">
        <w:rPr>
          <w:rFonts w:ascii="宋体" w:eastAsia="宋体" w:hAnsi="宋体" w:cs="宋体"/>
          <w:kern w:val="0"/>
          <w:sz w:val="24"/>
          <w:szCs w:val="24"/>
        </w:rPr>
        <w:t>预收账款明细信息（无）</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525"/>
        <w:gridCol w:w="1320"/>
        <w:gridCol w:w="1320"/>
        <w:gridCol w:w="1320"/>
        <w:gridCol w:w="1320"/>
      </w:tblGrid>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(16) 其他应付款明细信息如下：</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附表16</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其他应付款明细表</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债权人</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年末数</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应付本部门内部单位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应付本部门以外的同级政府单位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应付本部门以外的非同级政府单位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应付同级财政</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应付其他单位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11.86</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合计</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11.86</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注：“应付同级财政”主要包括预拨经费、向同级财政部门借入的款项。</w:t>
            </w:r>
          </w:p>
        </w:tc>
      </w:tr>
    </w:tbl>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28" w:name="ML_1_2_CQJKMXXXB18"/>
      <w:r w:rsidRPr="00137427">
        <w:rPr>
          <w:rFonts w:ascii="宋体" w:eastAsia="宋体" w:hAnsi="宋体" w:cs="宋体"/>
          <w:kern w:val="0"/>
          <w:sz w:val="24"/>
          <w:szCs w:val="24"/>
        </w:rPr>
        <w:t xml:space="preserve">(17) </w:t>
      </w:r>
      <w:bookmarkEnd w:id="28"/>
      <w:r w:rsidRPr="00137427">
        <w:rPr>
          <w:rFonts w:ascii="宋体" w:eastAsia="宋体" w:hAnsi="宋体" w:cs="宋体"/>
          <w:kern w:val="0"/>
          <w:sz w:val="24"/>
          <w:szCs w:val="24"/>
        </w:rPr>
        <w:t>长期借款明细信息（无）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29" w:name="ML_1_2_CQYFKMXXXB19"/>
      <w:r w:rsidRPr="00137427">
        <w:rPr>
          <w:rFonts w:ascii="宋体" w:eastAsia="宋体" w:hAnsi="宋体" w:cs="宋体"/>
          <w:kern w:val="0"/>
          <w:sz w:val="24"/>
          <w:szCs w:val="24"/>
        </w:rPr>
        <w:t xml:space="preserve">(18) </w:t>
      </w:r>
      <w:bookmarkEnd w:id="29"/>
      <w:r w:rsidRPr="00137427">
        <w:rPr>
          <w:rFonts w:ascii="宋体" w:eastAsia="宋体" w:hAnsi="宋体" w:cs="宋体"/>
          <w:kern w:val="0"/>
          <w:sz w:val="24"/>
          <w:szCs w:val="24"/>
        </w:rPr>
        <w:t>长期应付款明细信息（无）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30" w:name="ML_1_2_SYSRMXXXB20"/>
      <w:r w:rsidRPr="00137427">
        <w:rPr>
          <w:rFonts w:ascii="宋体" w:eastAsia="宋体" w:hAnsi="宋体" w:cs="宋体"/>
          <w:kern w:val="0"/>
          <w:sz w:val="24"/>
          <w:szCs w:val="24"/>
        </w:rPr>
        <w:t xml:space="preserve">(19) </w:t>
      </w:r>
      <w:bookmarkEnd w:id="30"/>
      <w:r w:rsidRPr="00137427">
        <w:rPr>
          <w:rFonts w:ascii="宋体" w:eastAsia="宋体" w:hAnsi="宋体" w:cs="宋体"/>
          <w:kern w:val="0"/>
          <w:sz w:val="24"/>
          <w:szCs w:val="24"/>
        </w:rPr>
        <w:t>事业收入明细信息（无）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31" w:name="ML_1_2_JYSRMXXXB21"/>
      <w:r w:rsidRPr="00137427">
        <w:rPr>
          <w:rFonts w:ascii="宋体" w:eastAsia="宋体" w:hAnsi="宋体" w:cs="宋体"/>
          <w:kern w:val="0"/>
          <w:sz w:val="24"/>
          <w:szCs w:val="24"/>
        </w:rPr>
        <w:lastRenderedPageBreak/>
        <w:t xml:space="preserve">(20) </w:t>
      </w:r>
      <w:bookmarkEnd w:id="31"/>
      <w:r w:rsidRPr="00137427">
        <w:rPr>
          <w:rFonts w:ascii="宋体" w:eastAsia="宋体" w:hAnsi="宋体" w:cs="宋体"/>
          <w:kern w:val="0"/>
          <w:sz w:val="24"/>
          <w:szCs w:val="24"/>
        </w:rPr>
        <w:t>经营收入明细信息（无）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32" w:name="ML_1_2_FTJCZBKSRMXXXB22"/>
      <w:r w:rsidRPr="00137427">
        <w:rPr>
          <w:rFonts w:ascii="宋体" w:eastAsia="宋体" w:hAnsi="宋体" w:cs="宋体"/>
          <w:kern w:val="0"/>
          <w:sz w:val="24"/>
          <w:szCs w:val="24"/>
        </w:rPr>
        <w:t xml:space="preserve">(21) </w:t>
      </w:r>
      <w:bookmarkEnd w:id="32"/>
      <w:r w:rsidRPr="00137427">
        <w:rPr>
          <w:rFonts w:ascii="宋体" w:eastAsia="宋体" w:hAnsi="宋体" w:cs="宋体"/>
          <w:kern w:val="0"/>
          <w:sz w:val="24"/>
          <w:szCs w:val="24"/>
        </w:rPr>
        <w:t>非同级财政拨款收入明细信息（无）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33" w:name="ML_1_2_ZJSRMXXXB23"/>
      <w:r w:rsidRPr="00137427">
        <w:rPr>
          <w:rFonts w:ascii="宋体" w:eastAsia="宋体" w:hAnsi="宋体" w:cs="宋体"/>
          <w:kern w:val="0"/>
          <w:sz w:val="24"/>
          <w:szCs w:val="24"/>
        </w:rPr>
        <w:t xml:space="preserve">(22) </w:t>
      </w:r>
      <w:bookmarkEnd w:id="33"/>
      <w:r w:rsidRPr="00137427">
        <w:rPr>
          <w:rFonts w:ascii="宋体" w:eastAsia="宋体" w:hAnsi="宋体" w:cs="宋体"/>
          <w:kern w:val="0"/>
          <w:sz w:val="24"/>
          <w:szCs w:val="24"/>
        </w:rPr>
        <w:t>租金收入明细信息（无）</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5625"/>
        <w:gridCol w:w="3300"/>
      </w:tblGrid>
      <w:tr w:rsidR="00137427" w:rsidRPr="00137427" w:rsidTr="00137427">
        <w:trPr>
          <w:jc w:val="center"/>
        </w:trPr>
        <w:tc>
          <w:tcPr>
            <w:tcW w:w="8925" w:type="dxa"/>
            <w:gridSpan w:val="2"/>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(23) 其他收入明细信息如下:</w:t>
            </w:r>
          </w:p>
        </w:tc>
      </w:tr>
      <w:tr w:rsidR="00137427" w:rsidRPr="00137427" w:rsidTr="00137427">
        <w:trPr>
          <w:jc w:val="center"/>
        </w:trPr>
        <w:tc>
          <w:tcPr>
            <w:tcW w:w="8925" w:type="dxa"/>
            <w:gridSpan w:val="2"/>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附表23</w:t>
            </w:r>
          </w:p>
        </w:tc>
      </w:tr>
      <w:tr w:rsidR="00137427" w:rsidRPr="00137427" w:rsidTr="00137427">
        <w:trPr>
          <w:jc w:val="center"/>
        </w:trPr>
        <w:tc>
          <w:tcPr>
            <w:tcW w:w="8925" w:type="dxa"/>
            <w:gridSpan w:val="2"/>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其他收入明细表</w:t>
            </w:r>
          </w:p>
        </w:tc>
      </w:tr>
      <w:tr w:rsidR="00137427" w:rsidRPr="00137427" w:rsidTr="00137427">
        <w:trPr>
          <w:jc w:val="center"/>
        </w:trPr>
        <w:tc>
          <w:tcPr>
            <w:tcW w:w="8925" w:type="dxa"/>
            <w:gridSpan w:val="2"/>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jc w:val="center"/>
        </w:trPr>
        <w:tc>
          <w:tcPr>
            <w:tcW w:w="56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收入来源</w:t>
            </w:r>
          </w:p>
        </w:tc>
        <w:tc>
          <w:tcPr>
            <w:tcW w:w="328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本年数</w:t>
            </w:r>
          </w:p>
        </w:tc>
      </w:tr>
      <w:tr w:rsidR="00137427" w:rsidRPr="00137427" w:rsidTr="00137427">
        <w:trPr>
          <w:jc w:val="center"/>
        </w:trPr>
        <w:tc>
          <w:tcPr>
            <w:tcW w:w="56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来自本部门内部单位</w:t>
            </w:r>
          </w:p>
        </w:tc>
        <w:tc>
          <w:tcPr>
            <w:tcW w:w="328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56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来自本部门以外的同级政府单位</w:t>
            </w:r>
          </w:p>
        </w:tc>
        <w:tc>
          <w:tcPr>
            <w:tcW w:w="328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56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来自本部门以外的非同级政府单位</w:t>
            </w:r>
          </w:p>
        </w:tc>
        <w:tc>
          <w:tcPr>
            <w:tcW w:w="328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1.70</w:t>
            </w:r>
          </w:p>
        </w:tc>
      </w:tr>
      <w:tr w:rsidR="00137427" w:rsidRPr="00137427" w:rsidTr="00137427">
        <w:trPr>
          <w:jc w:val="center"/>
        </w:trPr>
        <w:tc>
          <w:tcPr>
            <w:tcW w:w="56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湖南省审计厅本级</w:t>
            </w:r>
          </w:p>
        </w:tc>
        <w:tc>
          <w:tcPr>
            <w:tcW w:w="328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1.70</w:t>
            </w:r>
          </w:p>
        </w:tc>
      </w:tr>
      <w:tr w:rsidR="00137427" w:rsidRPr="00137427" w:rsidTr="00137427">
        <w:trPr>
          <w:jc w:val="center"/>
        </w:trPr>
        <w:tc>
          <w:tcPr>
            <w:tcW w:w="56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来自其他单位</w:t>
            </w:r>
          </w:p>
        </w:tc>
        <w:tc>
          <w:tcPr>
            <w:tcW w:w="328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0.92</w:t>
            </w:r>
          </w:p>
        </w:tc>
      </w:tr>
      <w:tr w:rsidR="00137427" w:rsidRPr="00137427" w:rsidTr="00137427">
        <w:trPr>
          <w:jc w:val="center"/>
        </w:trPr>
        <w:tc>
          <w:tcPr>
            <w:tcW w:w="56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合计</w:t>
            </w:r>
          </w:p>
        </w:tc>
        <w:tc>
          <w:tcPr>
            <w:tcW w:w="328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2.62</w:t>
            </w:r>
          </w:p>
        </w:tc>
      </w:tr>
      <w:tr w:rsidR="00137427" w:rsidRPr="00137427" w:rsidTr="00137427">
        <w:trPr>
          <w:jc w:val="center"/>
        </w:trPr>
        <w:tc>
          <w:tcPr>
            <w:tcW w:w="56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328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bl>
    <w:p w:rsidR="00137427" w:rsidRPr="00137427" w:rsidRDefault="00137427" w:rsidP="00137427">
      <w:pPr>
        <w:widowControl/>
        <w:spacing w:line="569" w:lineRule="atLeast"/>
        <w:ind w:firstLine="480"/>
        <w:rPr>
          <w:rFonts w:ascii="宋体" w:eastAsia="宋体" w:hAnsi="宋体" w:cs="宋体"/>
          <w:vanish/>
          <w:kern w:val="0"/>
          <w:sz w:val="24"/>
          <w:szCs w:val="24"/>
        </w:rPr>
      </w:pP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525"/>
        <w:gridCol w:w="1320"/>
        <w:gridCol w:w="1320"/>
        <w:gridCol w:w="1320"/>
        <w:gridCol w:w="1320"/>
      </w:tblGrid>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(24)业务活动费用明细信息如下:</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附表24</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业务活动费用明细表</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项目</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本年数</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上年数</w:t>
            </w: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工资和福利费用</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605.95</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556.37</w:t>
            </w: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商品和服务费用</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1,122.20</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487.88</w:t>
            </w: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对个人和家庭的补助费用</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7.04</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32.00</w:t>
            </w: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对企业补助费用</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固定资产折旧费用</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9.08</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6.99</w:t>
            </w: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无形资产摊销费用</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公共基础设施折旧（摊销）费用</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保障性住房折旧费用</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计提专用基金</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其他业务活动费用</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合计</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1,744.27</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1,083.24</w:t>
            </w:r>
          </w:p>
        </w:tc>
      </w:tr>
    </w:tbl>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34" w:name="ML_1_2_DWGLFYMXXXB26"/>
      <w:r w:rsidRPr="00137427">
        <w:rPr>
          <w:rFonts w:ascii="宋体" w:eastAsia="宋体" w:hAnsi="宋体" w:cs="宋体"/>
          <w:kern w:val="0"/>
          <w:sz w:val="24"/>
          <w:szCs w:val="24"/>
        </w:rPr>
        <w:t xml:space="preserve">(25) </w:t>
      </w:r>
      <w:bookmarkEnd w:id="34"/>
      <w:r w:rsidRPr="00137427">
        <w:rPr>
          <w:rFonts w:ascii="宋体" w:eastAsia="宋体" w:hAnsi="宋体" w:cs="宋体"/>
          <w:kern w:val="0"/>
          <w:sz w:val="24"/>
          <w:szCs w:val="24"/>
        </w:rPr>
        <w:t>单位管理费用明细信息（无）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35" w:name="ML_1_2_JYFYMXXXB27"/>
      <w:r w:rsidRPr="00137427">
        <w:rPr>
          <w:rFonts w:ascii="宋体" w:eastAsia="宋体" w:hAnsi="宋体" w:cs="宋体"/>
          <w:kern w:val="0"/>
          <w:sz w:val="24"/>
          <w:szCs w:val="24"/>
        </w:rPr>
        <w:t xml:space="preserve">(26) </w:t>
      </w:r>
      <w:bookmarkEnd w:id="35"/>
      <w:r w:rsidRPr="00137427">
        <w:rPr>
          <w:rFonts w:ascii="宋体" w:eastAsia="宋体" w:hAnsi="宋体" w:cs="宋体"/>
          <w:kern w:val="0"/>
          <w:sz w:val="24"/>
          <w:szCs w:val="24"/>
        </w:rPr>
        <w:t>经营费用明细信息（无）</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525"/>
        <w:gridCol w:w="1320"/>
        <w:gridCol w:w="1320"/>
        <w:gridCol w:w="1320"/>
        <w:gridCol w:w="1320"/>
      </w:tblGrid>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(27) 商品和服务费用明细信息如下：</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附表27</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商品和服务费用明细表</w:t>
            </w:r>
          </w:p>
        </w:tc>
      </w:tr>
      <w:tr w:rsidR="00137427" w:rsidRPr="00137427" w:rsidTr="00137427">
        <w:trPr>
          <w:jc w:val="center"/>
        </w:trPr>
        <w:tc>
          <w:tcPr>
            <w:tcW w:w="8805" w:type="dxa"/>
            <w:gridSpan w:val="5"/>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jc w:val="center"/>
        </w:trPr>
        <w:tc>
          <w:tcPr>
            <w:tcW w:w="3525" w:type="dxa"/>
            <w:vMerge w:val="restart"/>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项目</w:t>
            </w:r>
          </w:p>
        </w:tc>
        <w:tc>
          <w:tcPr>
            <w:tcW w:w="5280" w:type="dxa"/>
            <w:gridSpan w:val="4"/>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本年数</w:t>
            </w:r>
          </w:p>
        </w:tc>
      </w:tr>
      <w:tr w:rsidR="00137427" w:rsidRPr="00137427" w:rsidTr="00137427">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合计</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业务活动费用</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单位管理费用</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经营费用</w:t>
            </w: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支付给本部门内部单位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支付给本部门以外的同级政府单位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支付给本部门以外的非同级政府单位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支付给其他单位</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1,122.20</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1,122.20</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352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合计</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1,122.20</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1,122.20</w:t>
            </w: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32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bl>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36" w:name="ML_1_2_QTFYMXXXB29"/>
      <w:r w:rsidRPr="00137427">
        <w:rPr>
          <w:rFonts w:ascii="宋体" w:eastAsia="宋体" w:hAnsi="宋体" w:cs="宋体"/>
          <w:kern w:val="0"/>
          <w:sz w:val="24"/>
          <w:szCs w:val="24"/>
        </w:rPr>
        <w:t xml:space="preserve">(28) </w:t>
      </w:r>
      <w:bookmarkEnd w:id="36"/>
      <w:r w:rsidRPr="00137427">
        <w:rPr>
          <w:rFonts w:ascii="宋体" w:eastAsia="宋体" w:hAnsi="宋体" w:cs="宋体"/>
          <w:kern w:val="0"/>
          <w:sz w:val="24"/>
          <w:szCs w:val="24"/>
        </w:rPr>
        <w:t>其他费用明细信息（无）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37" w:name="_Toc14062"/>
      <w:r w:rsidRPr="00137427">
        <w:rPr>
          <w:rFonts w:ascii="宋体" w:eastAsia="宋体" w:hAnsi="宋体" w:cs="宋体"/>
          <w:kern w:val="0"/>
          <w:sz w:val="24"/>
          <w:szCs w:val="24"/>
        </w:rPr>
        <w:t>6.</w:t>
      </w:r>
      <w:bookmarkEnd w:id="37"/>
      <w:r w:rsidRPr="00137427">
        <w:rPr>
          <w:rFonts w:ascii="宋体" w:eastAsia="宋体" w:hAnsi="宋体" w:cs="宋体"/>
          <w:kern w:val="0"/>
          <w:sz w:val="24"/>
          <w:szCs w:val="24"/>
        </w:rPr>
        <w:t>需要说明的其他事项</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(1)资产负债表日后重大事项。</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(2)重要或有事项说明。逐笔披露政府部门或有事项的事由和金额，如担保事项、未决诉讼或未决仲裁等，若无法预计金额应说明理由。</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(3)以名义金额计量的资产名称、数量等情况，以及以名义金额计量理由的说明。</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2265"/>
        <w:gridCol w:w="1140"/>
        <w:gridCol w:w="1140"/>
        <w:gridCol w:w="5100"/>
      </w:tblGrid>
      <w:tr w:rsidR="00137427" w:rsidRPr="00137427" w:rsidTr="00137427">
        <w:trPr>
          <w:trHeight w:val="854"/>
          <w:jc w:val="center"/>
        </w:trPr>
        <w:tc>
          <w:tcPr>
            <w:tcW w:w="9630" w:type="dxa"/>
            <w:gridSpan w:val="4"/>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以名义金额计量资产情况表</w:t>
            </w:r>
          </w:p>
        </w:tc>
      </w:tr>
      <w:tr w:rsidR="00137427" w:rsidRPr="00137427" w:rsidTr="00137427">
        <w:trPr>
          <w:trHeight w:val="854"/>
          <w:jc w:val="center"/>
        </w:trPr>
        <w:tc>
          <w:tcPr>
            <w:tcW w:w="2265" w:type="dxa"/>
            <w:vMerge w:val="restart"/>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对象</w:t>
            </w:r>
          </w:p>
        </w:tc>
        <w:tc>
          <w:tcPr>
            <w:tcW w:w="2265" w:type="dxa"/>
            <w:gridSpan w:val="2"/>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数量</w:t>
            </w: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年初数</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年末数</w:t>
            </w: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以名义金额计量的理由</w:t>
            </w: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存货</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固定资产</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房屋和构筑物</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设备</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陈列品</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图书和档案</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家具、用具</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特种动植物</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无形资产</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专利权</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非专利技术</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著作权</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资源资质</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商标权</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信息数据</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其他</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文物资源</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trHeight w:val="854"/>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合计</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c>
          <w:tcPr>
            <w:tcW w:w="510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bl>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(4)使用政府专项债券资金形成的固定资产、在建工程、公共基础设施、保障性住房等资产的记账主体、账面价值、使用情况、收益情况及累计使用债券资金金额。</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lastRenderedPageBreak/>
        <w:t>(5)使用其他债务资金形成的固定资产、在建工程、公共基础设施、保障性住房等资产的账面价值、使用情况、收益情况及债务偿还情况。</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(6)重要资产置换、无偿调入(出)、捐入(出)、报废、重大毁损等情况的说明。</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(7)对于政府部门管理的公共基础设施、文物资源、保障性住房、自然资源资产等重要资产，披露种类和实物量等相关信息。</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(8)《政府会计准则制度解释第4号》中规定的特殊情况抵销事项的报表项目及金额(由一级部门合并主体说明)。</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(9)政府会计具体准则中要求附注披露的其他内容，以及其他未在报表中列示，但对政府部门财务状况有重大影响的事项。</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(10)资产负债表项目年初数调整情况。</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无。</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38" w:name="_Toc11383"/>
      <w:r w:rsidRPr="00137427">
        <w:rPr>
          <w:rFonts w:ascii="宋体" w:eastAsia="宋体" w:hAnsi="宋体" w:cs="宋体"/>
          <w:kern w:val="0"/>
          <w:sz w:val="24"/>
          <w:szCs w:val="24"/>
        </w:rPr>
        <w:t>二、政府部门财务分析</w:t>
      </w:r>
      <w:bookmarkEnd w:id="38"/>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39" w:name="_Toc229"/>
      <w:r w:rsidRPr="00137427">
        <w:rPr>
          <w:rFonts w:ascii="宋体" w:eastAsia="宋体" w:hAnsi="宋体" w:cs="宋体"/>
          <w:kern w:val="0"/>
          <w:sz w:val="24"/>
          <w:szCs w:val="24"/>
        </w:rPr>
        <w:t>(</w:t>
      </w:r>
      <w:bookmarkEnd w:id="39"/>
      <w:r w:rsidRPr="00137427">
        <w:rPr>
          <w:rFonts w:ascii="宋体" w:eastAsia="宋体" w:hAnsi="宋体" w:cs="宋体"/>
          <w:kern w:val="0"/>
          <w:sz w:val="24"/>
          <w:szCs w:val="24"/>
        </w:rPr>
        <w:t>一) 政府部门工作目标完成情况</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本部门作为政府行政机构的核心职能，围绕区域发展、民生保障、行业监管、公共服务等上级部署及法定职责，贯彻落实国家及地方重大方针政策、履行行业管理及 公共服务职能、保障审计</w:t>
      </w:r>
      <w:r w:rsidRPr="00137427">
        <w:rPr>
          <w:rFonts w:ascii="宋体" w:eastAsia="宋体" w:hAnsi="宋体" w:cs="宋体"/>
          <w:kern w:val="0"/>
          <w:sz w:val="24"/>
          <w:szCs w:val="24"/>
        </w:rPr>
        <w:lastRenderedPageBreak/>
        <w:t>工作有序推进、完成上级下达的各项工作任务等。在省市县各级财政部门共同努力下，2025年度溆浦县审计局工作基本完成.。</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40" w:name="_Toc25261"/>
      <w:r w:rsidRPr="00137427">
        <w:rPr>
          <w:rFonts w:ascii="宋体" w:eastAsia="宋体" w:hAnsi="宋体" w:cs="宋体"/>
          <w:kern w:val="0"/>
          <w:sz w:val="24"/>
          <w:szCs w:val="24"/>
        </w:rPr>
        <w:t>(</w:t>
      </w:r>
      <w:bookmarkEnd w:id="40"/>
      <w:r w:rsidRPr="00137427">
        <w:rPr>
          <w:rFonts w:ascii="宋体" w:eastAsia="宋体" w:hAnsi="宋体" w:cs="宋体"/>
          <w:kern w:val="0"/>
          <w:sz w:val="24"/>
          <w:szCs w:val="24"/>
        </w:rPr>
        <w:t>二) 政府部门财务状况分析</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1、资产情况分析：资产账实相符、高效利用、无闲置浪费。</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2.负债情况分析：负债形成合规、偿债风险加大。</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3、收入情况分析：部门年度各项收入总额，收入来源的合规、入账及时，无违规收费、收入核算规范。</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4、费用情况分析：部门年度总支出符合财经纪律、无超预算支出、无铺张浪费、支出审批流程规范。</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41" w:name="_Toc25996"/>
      <w:r w:rsidRPr="00137427">
        <w:rPr>
          <w:rFonts w:ascii="宋体" w:eastAsia="宋体" w:hAnsi="宋体" w:cs="宋体"/>
          <w:kern w:val="0"/>
          <w:sz w:val="24"/>
          <w:szCs w:val="24"/>
        </w:rPr>
        <w:t>(</w:t>
      </w:r>
      <w:bookmarkEnd w:id="41"/>
      <w:r w:rsidRPr="00137427">
        <w:rPr>
          <w:rFonts w:ascii="宋体" w:eastAsia="宋体" w:hAnsi="宋体" w:cs="宋体"/>
          <w:kern w:val="0"/>
          <w:sz w:val="24"/>
          <w:szCs w:val="24"/>
        </w:rPr>
        <w:t>三) 政府部门运行情况分析</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财政资金预算基本保持稳定。综合资产、负债、净资产情况，总结部门整体财务实力，资产结构逐渐完善、负债管控明显增强、净资产积累方面呈现好转趋势。资金使用符合相关规定，通过专项资金的实施，全力推进审计工作，各项工作取得明显成效。综合收入费用情况，反映了人均运行成本降低，运行效率大大提升，资金投入与工作成效的匹配度呈正相关，财政资金使用的社会效益与履职效益成效显著。</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42" w:name="_Toc21495"/>
      <w:r w:rsidRPr="00137427">
        <w:rPr>
          <w:rFonts w:ascii="宋体" w:eastAsia="宋体" w:hAnsi="宋体" w:cs="宋体"/>
          <w:kern w:val="0"/>
          <w:sz w:val="24"/>
          <w:szCs w:val="24"/>
        </w:rPr>
        <w:t>(</w:t>
      </w:r>
      <w:bookmarkEnd w:id="42"/>
      <w:r w:rsidRPr="00137427">
        <w:rPr>
          <w:rFonts w:ascii="宋体" w:eastAsia="宋体" w:hAnsi="宋体" w:cs="宋体"/>
          <w:kern w:val="0"/>
          <w:sz w:val="24"/>
          <w:szCs w:val="24"/>
        </w:rPr>
        <w:t>四) 政府部门财务管理情况</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1.财务管理制度建设：本部门建立健全预算管理、资金管控、资产管理、支出审批、内控管理等财务管理制度，制度贴合部门实际、符合国家财经法规及上级财政部门要求，制度修订完善及制度执行力强。符合国家财经法规及上级财政部门要求。部门预算管理落实到位，资产有效管理。</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2.会计核算与基础工作：本部门会计核算遵循政府会计准则、会计制度，账务处理规范、凭证审核严格、报表编制准确；财务岗位设置合规、人员配置到位、会计档案管理规范，财务基础工作规范化水平逐渐提升。</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lastRenderedPageBreak/>
        <w:t>3.预算与内控管理执行：本部门预算编制、执行、调整、决算全流程管理规范，内控体系已建立风险防控机制、关键岗位制衡机制；资金使用、资产管控、支出监督等方面的内控措施落实效果成效显著。</w:t>
      </w:r>
    </w:p>
    <w:p w:rsidR="00137427" w:rsidRPr="00137427" w:rsidRDefault="00137427" w:rsidP="00137427">
      <w:pPr>
        <w:widowControl/>
        <w:spacing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br w:type="textWrapping" w:clear="all"/>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43" w:name="_Toc5263"/>
      <w:r w:rsidRPr="00137427">
        <w:rPr>
          <w:rFonts w:ascii="宋体" w:eastAsia="宋体" w:hAnsi="宋体" w:cs="宋体"/>
          <w:kern w:val="0"/>
          <w:sz w:val="24"/>
          <w:szCs w:val="24"/>
        </w:rPr>
        <w:t>附：补充报表</w:t>
      </w:r>
      <w:bookmarkEnd w:id="43"/>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补充表1</w:t>
      </w:r>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bookmarkStart w:id="44" w:name="ML_3_YFGCKQKB"/>
      <w:r w:rsidRPr="00137427">
        <w:rPr>
          <w:rFonts w:ascii="宋体" w:eastAsia="宋体" w:hAnsi="宋体" w:cs="宋体"/>
          <w:kern w:val="0"/>
          <w:sz w:val="24"/>
          <w:szCs w:val="24"/>
        </w:rPr>
        <w:t>应付工程款情况表（无）</w:t>
      </w:r>
      <w:bookmarkEnd w:id="44"/>
    </w:p>
    <w:p w:rsidR="00137427" w:rsidRPr="00137427" w:rsidRDefault="00137427" w:rsidP="00137427">
      <w:pPr>
        <w:widowControl/>
        <w:spacing w:before="100" w:beforeAutospacing="1" w:after="100" w:afterAutospacing="1" w:line="569" w:lineRule="atLeast"/>
        <w:ind w:firstLine="480"/>
        <w:rPr>
          <w:rFonts w:ascii="宋体" w:eastAsia="宋体" w:hAnsi="宋体" w:cs="宋体"/>
          <w:kern w:val="0"/>
          <w:sz w:val="24"/>
          <w:szCs w:val="24"/>
        </w:rPr>
      </w:pPr>
      <w:r w:rsidRPr="00137427">
        <w:rPr>
          <w:rFonts w:ascii="宋体" w:eastAsia="宋体" w:hAnsi="宋体" w:cs="宋体"/>
          <w:kern w:val="0"/>
          <w:sz w:val="24"/>
          <w:szCs w:val="24"/>
        </w:rPr>
        <w:t>补充表2</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6240"/>
        <w:gridCol w:w="3405"/>
      </w:tblGrid>
      <w:tr w:rsidR="00137427" w:rsidRPr="00137427" w:rsidTr="00137427">
        <w:trPr>
          <w:jc w:val="center"/>
        </w:trPr>
        <w:tc>
          <w:tcPr>
            <w:tcW w:w="9630" w:type="dxa"/>
            <w:gridSpan w:val="2"/>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bookmarkStart w:id="45" w:name="ML_3_BNYSJYYYYTJB"/>
            <w:bookmarkEnd w:id="45"/>
            <w:r w:rsidRPr="00137427">
              <w:rPr>
                <w:rFonts w:ascii="宋体" w:eastAsia="宋体" w:hAnsi="宋体" w:cs="宋体"/>
                <w:kern w:val="0"/>
                <w:sz w:val="24"/>
                <w:szCs w:val="24"/>
              </w:rPr>
              <w:t>本年预算结余与盈余调节表</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2025 年</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单位：万元</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项目</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金额</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一、本年预算结余（本年预算收支差额）</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81.22</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二、差异调节</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（一）重要事项的差异</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256.45</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加：1.当期确认为收入但没有确认为预算收入</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-26.07</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（1）应收款项、预收账款确认的收入</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-26.07</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（2）接受非货币性资产捐赠确认的收入</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2.当期确认为预算支出但没有确认为费用</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306.60</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（1）支付应付款项、预付账款的支出</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292.57</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（2）为取得存货、政府储备物资等计入物资成本的支出</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（3）为购建固定资产等的资本性支出</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14.03</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lastRenderedPageBreak/>
              <w:t>（4）偿还借款本息支出</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减：1.当期确认为预算收入但没有确认为收入</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0.16</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（1）收到应收款项、预收账款确认的预算收入</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0.16</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（2）取得借款确认的预算收入</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2.当期确认为费用但没有确认为预算支出</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23.92</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（1）发出存货、政府储备物资等确认的费用</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jc w:val="left"/>
              <w:rPr>
                <w:rFonts w:ascii="宋体" w:eastAsia="宋体" w:hAnsi="宋体" w:cs="宋体"/>
                <w:kern w:val="0"/>
                <w:sz w:val="24"/>
                <w:szCs w:val="24"/>
              </w:rPr>
            </w:pP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（2）计提的折旧费用和摊销费用</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9.08</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（3）确认的资产处置费用（处置资产价值）</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0.26</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（4）应付款项、预付账款确认的费用</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14.57</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（二）其他事项差异</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-0.06</w:t>
            </w:r>
          </w:p>
        </w:tc>
      </w:tr>
      <w:tr w:rsidR="00137427" w:rsidRPr="00137427" w:rsidTr="00137427">
        <w:trPr>
          <w:jc w:val="center"/>
        </w:trPr>
        <w:tc>
          <w:tcPr>
            <w:tcW w:w="6240"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三、本年盈余（本年收入与费用的差额）</w:t>
            </w:r>
          </w:p>
        </w:tc>
        <w:tc>
          <w:tcPr>
            <w:tcW w:w="3405" w:type="dxa"/>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337.61</w:t>
            </w:r>
          </w:p>
        </w:tc>
      </w:tr>
      <w:tr w:rsidR="00137427" w:rsidRPr="00137427" w:rsidTr="00137427">
        <w:trPr>
          <w:jc w:val="center"/>
        </w:trPr>
        <w:tc>
          <w:tcPr>
            <w:tcW w:w="9630" w:type="dxa"/>
            <w:gridSpan w:val="2"/>
            <w:tcBorders>
              <w:top w:val="outset" w:sz="6" w:space="0" w:color="000000"/>
              <w:left w:val="outset" w:sz="6" w:space="0" w:color="000000"/>
              <w:bottom w:val="outset" w:sz="6" w:space="0" w:color="000000"/>
              <w:right w:val="outset" w:sz="6" w:space="0" w:color="000000"/>
            </w:tcBorders>
            <w:vAlign w:val="center"/>
            <w:hideMark/>
          </w:tcPr>
          <w:p w:rsidR="00137427" w:rsidRPr="00137427" w:rsidRDefault="00137427" w:rsidP="00137427">
            <w:pPr>
              <w:widowControl/>
              <w:spacing w:before="100" w:beforeAutospacing="1" w:after="100" w:afterAutospacing="1" w:line="569" w:lineRule="atLeast"/>
              <w:rPr>
                <w:rFonts w:ascii="宋体" w:eastAsia="宋体" w:hAnsi="宋体" w:cs="宋体"/>
                <w:kern w:val="0"/>
                <w:sz w:val="24"/>
                <w:szCs w:val="24"/>
              </w:rPr>
            </w:pPr>
            <w:r w:rsidRPr="00137427">
              <w:rPr>
                <w:rFonts w:ascii="宋体" w:eastAsia="宋体" w:hAnsi="宋体" w:cs="宋体"/>
                <w:kern w:val="0"/>
                <w:sz w:val="24"/>
                <w:szCs w:val="24"/>
              </w:rPr>
              <w:t>注：部门层面通过加总所属单位本年预算结余与盈余调节表生成。</w:t>
            </w:r>
          </w:p>
        </w:tc>
      </w:tr>
    </w:tbl>
    <w:p w:rsidR="00A47A0F" w:rsidRPr="00137427" w:rsidRDefault="00A47A0F" w:rsidP="00137427">
      <w:pPr>
        <w:rPr>
          <w:szCs w:val="32"/>
        </w:rPr>
      </w:pPr>
    </w:p>
    <w:sectPr w:rsidR="00A47A0F" w:rsidRPr="00137427" w:rsidSect="00A47A0F">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5AF" w:rsidRDefault="00DD65AF" w:rsidP="00137427">
      <w:r>
        <w:separator/>
      </w:r>
    </w:p>
  </w:endnote>
  <w:endnote w:type="continuationSeparator" w:id="1">
    <w:p w:rsidR="00DD65AF" w:rsidRDefault="00DD65AF" w:rsidP="001374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5AF" w:rsidRDefault="00DD65AF" w:rsidP="00137427">
      <w:r>
        <w:separator/>
      </w:r>
    </w:p>
  </w:footnote>
  <w:footnote w:type="continuationSeparator" w:id="1">
    <w:p w:rsidR="00DD65AF" w:rsidRDefault="00DD65AF" w:rsidP="001374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4M2RiYzliNWNjOTI4M2I2YjdlMTNlMTUzMzgwOGUifQ=="/>
  </w:docVars>
  <w:rsids>
    <w:rsidRoot w:val="004506F9"/>
    <w:rsid w:val="CBFF70E0"/>
    <w:rsid w:val="EEABED75"/>
    <w:rsid w:val="FB36E1A6"/>
    <w:rsid w:val="FFFF1C8B"/>
    <w:rsid w:val="0002229B"/>
    <w:rsid w:val="000273BD"/>
    <w:rsid w:val="00040CBC"/>
    <w:rsid w:val="000415B7"/>
    <w:rsid w:val="00041E3F"/>
    <w:rsid w:val="00055DAA"/>
    <w:rsid w:val="00061F7B"/>
    <w:rsid w:val="000658A3"/>
    <w:rsid w:val="00074155"/>
    <w:rsid w:val="000A3F69"/>
    <w:rsid w:val="00103957"/>
    <w:rsid w:val="0013742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C4DE1"/>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3B59"/>
    <w:rsid w:val="0086638C"/>
    <w:rsid w:val="008A3E8D"/>
    <w:rsid w:val="009237C4"/>
    <w:rsid w:val="00944C48"/>
    <w:rsid w:val="00950252"/>
    <w:rsid w:val="00967F5D"/>
    <w:rsid w:val="009A0F95"/>
    <w:rsid w:val="009B3ADF"/>
    <w:rsid w:val="009C3B52"/>
    <w:rsid w:val="009E6817"/>
    <w:rsid w:val="009E6E9A"/>
    <w:rsid w:val="00A01D2B"/>
    <w:rsid w:val="00A42218"/>
    <w:rsid w:val="00A47A0F"/>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DD65AF"/>
    <w:rsid w:val="00E00C7A"/>
    <w:rsid w:val="00E37D6C"/>
    <w:rsid w:val="00E55B68"/>
    <w:rsid w:val="00E561AE"/>
    <w:rsid w:val="00E67BE6"/>
    <w:rsid w:val="00E8683C"/>
    <w:rsid w:val="00EA2B72"/>
    <w:rsid w:val="00EC04C8"/>
    <w:rsid w:val="00F04C9C"/>
    <w:rsid w:val="00F74360"/>
    <w:rsid w:val="00FB462F"/>
    <w:rsid w:val="00FE16FA"/>
    <w:rsid w:val="00FE328A"/>
    <w:rsid w:val="00FE6269"/>
    <w:rsid w:val="00FF5CD6"/>
    <w:rsid w:val="1A8D3A74"/>
    <w:rsid w:val="23B0469D"/>
    <w:rsid w:val="41C925C2"/>
    <w:rsid w:val="572052E3"/>
    <w:rsid w:val="5777D4F5"/>
    <w:rsid w:val="5B5A4B3C"/>
    <w:rsid w:val="5FC6BB1E"/>
    <w:rsid w:val="5FF720F1"/>
    <w:rsid w:val="61840B64"/>
    <w:rsid w:val="64D67929"/>
    <w:rsid w:val="677D5E3A"/>
    <w:rsid w:val="737D59BA"/>
    <w:rsid w:val="77C37683"/>
    <w:rsid w:val="79FF515B"/>
    <w:rsid w:val="7E9F11B4"/>
    <w:rsid w:val="7FC69637"/>
    <w:rsid w:val="7FFDB4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A0F"/>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A47A0F"/>
    <w:rPr>
      <w:sz w:val="18"/>
      <w:szCs w:val="18"/>
    </w:rPr>
  </w:style>
  <w:style w:type="paragraph" w:styleId="a4">
    <w:name w:val="footer"/>
    <w:basedOn w:val="a"/>
    <w:link w:val="Char0"/>
    <w:uiPriority w:val="99"/>
    <w:unhideWhenUsed/>
    <w:qFormat/>
    <w:rsid w:val="00A47A0F"/>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A47A0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A47A0F"/>
    <w:rPr>
      <w:sz w:val="18"/>
      <w:szCs w:val="18"/>
    </w:rPr>
  </w:style>
  <w:style w:type="character" w:customStyle="1" w:styleId="Char0">
    <w:name w:val="页脚 Char"/>
    <w:basedOn w:val="a0"/>
    <w:link w:val="a4"/>
    <w:uiPriority w:val="99"/>
    <w:qFormat/>
    <w:rsid w:val="00A47A0F"/>
    <w:rPr>
      <w:sz w:val="18"/>
      <w:szCs w:val="18"/>
    </w:rPr>
  </w:style>
  <w:style w:type="paragraph" w:customStyle="1" w:styleId="Default">
    <w:name w:val="Default"/>
    <w:qFormat/>
    <w:rsid w:val="00A47A0F"/>
    <w:pPr>
      <w:widowControl w:val="0"/>
      <w:autoSpaceDE w:val="0"/>
      <w:autoSpaceDN w:val="0"/>
      <w:adjustRightInd w:val="0"/>
    </w:pPr>
    <w:rPr>
      <w:rFonts w:ascii="黑体" w:eastAsia="黑体" w:hAnsiTheme="minorHAnsi" w:cs="黑体"/>
      <w:color w:val="000000"/>
      <w:sz w:val="24"/>
      <w:szCs w:val="24"/>
    </w:rPr>
  </w:style>
  <w:style w:type="paragraph" w:styleId="a6">
    <w:name w:val="List Paragraph"/>
    <w:basedOn w:val="a"/>
    <w:uiPriority w:val="34"/>
    <w:qFormat/>
    <w:rsid w:val="00A47A0F"/>
    <w:pPr>
      <w:ind w:firstLineChars="200" w:firstLine="420"/>
    </w:pPr>
  </w:style>
  <w:style w:type="character" w:customStyle="1" w:styleId="Char">
    <w:name w:val="批注框文本 Char"/>
    <w:basedOn w:val="a0"/>
    <w:link w:val="a3"/>
    <w:uiPriority w:val="99"/>
    <w:semiHidden/>
    <w:qFormat/>
    <w:rsid w:val="00A47A0F"/>
    <w:rPr>
      <w:sz w:val="18"/>
      <w:szCs w:val="18"/>
    </w:rPr>
  </w:style>
  <w:style w:type="character" w:customStyle="1" w:styleId="font01">
    <w:name w:val="font01"/>
    <w:basedOn w:val="a0"/>
    <w:qFormat/>
    <w:rsid w:val="00A47A0F"/>
    <w:rPr>
      <w:rFonts w:ascii="宋体" w:eastAsia="宋体" w:hAnsi="宋体" w:cs="宋体" w:hint="eastAsia"/>
      <w:color w:val="000000"/>
      <w:sz w:val="22"/>
      <w:szCs w:val="22"/>
      <w:u w:val="none"/>
    </w:rPr>
  </w:style>
  <w:style w:type="character" w:customStyle="1" w:styleId="font21">
    <w:name w:val="font21"/>
    <w:basedOn w:val="a0"/>
    <w:qFormat/>
    <w:rsid w:val="00A47A0F"/>
    <w:rPr>
      <w:rFonts w:ascii="宋体" w:eastAsia="宋体" w:hAnsi="宋体" w:cs="宋体" w:hint="eastAsia"/>
      <w:color w:val="000000"/>
      <w:sz w:val="24"/>
      <w:szCs w:val="24"/>
      <w:u w:val="none"/>
    </w:rPr>
  </w:style>
  <w:style w:type="character" w:customStyle="1" w:styleId="font11">
    <w:name w:val="font11"/>
    <w:basedOn w:val="a0"/>
    <w:qFormat/>
    <w:rsid w:val="00A47A0F"/>
    <w:rPr>
      <w:rFonts w:ascii="宋体" w:eastAsia="宋体" w:hAnsi="宋体" w:cs="宋体" w:hint="eastAsia"/>
      <w:color w:val="000000"/>
      <w:sz w:val="24"/>
      <w:szCs w:val="24"/>
      <w:u w:val="none"/>
    </w:rPr>
  </w:style>
  <w:style w:type="paragraph" w:styleId="a7">
    <w:name w:val="Normal (Web)"/>
    <w:basedOn w:val="a"/>
    <w:uiPriority w:val="99"/>
    <w:unhideWhenUsed/>
    <w:rsid w:val="00137427"/>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sid w:val="00137427"/>
    <w:rPr>
      <w:color w:val="0000FF"/>
      <w:u w:val="single"/>
    </w:rPr>
  </w:style>
  <w:style w:type="character" w:styleId="a9">
    <w:name w:val="FollowedHyperlink"/>
    <w:basedOn w:val="a0"/>
    <w:uiPriority w:val="99"/>
    <w:semiHidden/>
    <w:unhideWhenUsed/>
    <w:rsid w:val="00137427"/>
    <w:rPr>
      <w:color w:val="800080"/>
      <w:u w:val="single"/>
    </w:rPr>
  </w:style>
</w:styles>
</file>

<file path=word/webSettings.xml><?xml version="1.0" encoding="utf-8"?>
<w:webSettings xmlns:r="http://schemas.openxmlformats.org/officeDocument/2006/relationships" xmlns:w="http://schemas.openxmlformats.org/wordprocessingml/2006/main">
  <w:divs>
    <w:div w:id="1900087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1184</Words>
  <Characters>6753</Characters>
  <Application>Microsoft Office Word</Application>
  <DocSecurity>0</DocSecurity>
  <Lines>56</Lines>
  <Paragraphs>15</Paragraphs>
  <ScaleCrop>false</ScaleCrop>
  <Company>Microsoft</Company>
  <LinksUpToDate>false</LinksUpToDate>
  <CharactersWithSpaces>7922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User</cp:lastModifiedBy>
  <cp:revision>71</cp:revision>
  <cp:lastPrinted>2023-08-15T09:28:00Z</cp:lastPrinted>
  <dcterms:created xsi:type="dcterms:W3CDTF">2020-07-04T18:32:00Z</dcterms:created>
  <dcterms:modified xsi:type="dcterms:W3CDTF">2026-08-11T03:35:00Z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0CA59B418C70484C8BEF848736097D4D_12</vt:lpwstr>
  </property>
</Properties>
</file>