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宋体"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保护未成年人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  <w:bookmarkStart w:id="0" w:name="_GoBack"/>
      <w:bookmarkEnd w:id="0"/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4827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对经营者履行保护未成年人义务的检查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1.是否在显著位置设置不向未成年人售烟的标志。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2.是否存在向未成年人售烟行为。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2026年4月-2026年10月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内中小学、幼儿园周边烟草制品零售经营主体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烟草专卖局专卖</w:t>
            </w:r>
            <w:r>
              <w:rPr>
                <w:rFonts w:ascii="CESI仿宋-GB2312" w:eastAsia="CESI仿宋-GB2312"/>
                <w:shd w:val="clear" w:color="auto" w:fill="auto"/>
              </w:rPr>
              <w:t>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6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759</TotalTime>
  <Application>Yozo_Office27021597764231179</Application>
  <Pages>1</Pages>
  <Words>164</Words>
  <Characters>174</Characters>
  <Lines>34</Lines>
  <Paragraphs>19</Paragraphs>
  <CharactersWithSpaces>174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XPYC</cp:lastModifiedBy>
  <cp:revision>6</cp:revision>
  <cp:lastPrinted>2026-04-21T15:10:00Z</cp:lastPrinted>
  <dcterms:created xsi:type="dcterms:W3CDTF">2026-03-10T07:08:00Z</dcterms:created>
  <dcterms:modified xsi:type="dcterms:W3CDTF">2026-05-18T01:18:34Z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