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28AF">
      <w:pPr>
        <w:jc w:val="center"/>
        <w:rPr>
          <w:color w:val="auto"/>
          <w:sz w:val="72"/>
          <w:szCs w:val="72"/>
        </w:rPr>
      </w:pPr>
      <w:bookmarkStart w:id="0" w:name="_Toc181263087"/>
      <w:bookmarkStart w:id="1" w:name="_Toc181231296"/>
      <w:bookmarkStart w:id="2" w:name="_Toc141110309"/>
      <w:bookmarkStart w:id="3" w:name="_Toc179753941"/>
      <w:bookmarkStart w:id="4" w:name="_Toc183701404"/>
      <w:bookmarkStart w:id="5" w:name="_Toc120894054"/>
      <w:bookmarkStart w:id="6" w:name="_Toc141192752"/>
      <w:bookmarkStart w:id="7" w:name="_Toc123655314"/>
      <w:bookmarkStart w:id="8" w:name="_Toc169183630"/>
      <w:bookmarkStart w:id="9" w:name="_Toc192757353"/>
      <w:bookmarkStart w:id="10" w:name="_Toc147562423"/>
      <w:bookmarkStart w:id="11" w:name="_Toc136617710"/>
      <w:bookmarkStart w:id="12" w:name="_Toc186187277"/>
      <w:bookmarkStart w:id="13" w:name="_Toc146802861"/>
      <w:bookmarkStart w:id="14" w:name="_Toc179780014"/>
      <w:bookmarkStart w:id="15" w:name="_Toc166315978"/>
      <w:bookmarkStart w:id="16" w:name="_Toc181652876"/>
      <w:bookmarkStart w:id="17" w:name="_Toc171349651"/>
      <w:bookmarkStart w:id="18" w:name="_Toc174978604"/>
      <w:bookmarkStart w:id="19" w:name="_Toc186480795"/>
      <w:bookmarkStart w:id="20" w:name="_Toc190073498"/>
    </w:p>
    <w:p w14:paraId="012B28A1">
      <w:pPr>
        <w:jc w:val="center"/>
        <w:rPr>
          <w:color w:val="auto"/>
          <w:sz w:val="72"/>
          <w:szCs w:val="72"/>
        </w:rPr>
      </w:pPr>
      <w:r>
        <w:rPr>
          <w:color w:val="auto"/>
          <w:sz w:val="72"/>
          <w:szCs w:val="72"/>
        </w:rPr>
        <w:t>建设项目环境影响报告表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F0E42C">
      <w:pPr>
        <w:adjustRightInd w:val="0"/>
        <w:snapToGrid w:val="0"/>
        <w:spacing w:before="192" w:beforeLines="80"/>
        <w:jc w:val="center"/>
        <w:rPr>
          <w:bCs/>
          <w:color w:val="auto"/>
          <w:sz w:val="48"/>
          <w:szCs w:val="48"/>
        </w:rPr>
      </w:pPr>
      <w:r>
        <w:rPr>
          <w:bCs/>
          <w:color w:val="auto"/>
          <w:sz w:val="48"/>
          <w:szCs w:val="48"/>
        </w:rPr>
        <w:t>（污染影响类）</w:t>
      </w:r>
    </w:p>
    <w:p w14:paraId="1A19FE11">
      <w:pPr>
        <w:adjustRightInd w:val="0"/>
        <w:snapToGrid w:val="0"/>
        <w:spacing w:before="240" w:beforeLines="100" w:after="2400" w:afterLines="1000" w:line="288" w:lineRule="auto"/>
        <w:jc w:val="center"/>
        <w:rPr>
          <w:color w:val="auto"/>
          <w:kern w:val="44"/>
          <w:sz w:val="28"/>
          <w:szCs w:val="28"/>
        </w:rPr>
      </w:pPr>
      <w:r>
        <w:rPr>
          <w:color w:val="auto"/>
          <w:kern w:val="44"/>
          <w:sz w:val="28"/>
          <w:szCs w:val="28"/>
        </w:rPr>
        <w:t>（</w:t>
      </w:r>
      <w:r>
        <w:rPr>
          <w:rFonts w:hint="eastAsia"/>
          <w:color w:val="auto"/>
          <w:kern w:val="44"/>
          <w:sz w:val="28"/>
          <w:szCs w:val="28"/>
          <w:lang w:val="en-US" w:eastAsia="zh-CN"/>
        </w:rPr>
        <w:t>报批</w:t>
      </w:r>
      <w:r>
        <w:rPr>
          <w:color w:val="auto"/>
          <w:kern w:val="44"/>
          <w:sz w:val="28"/>
          <w:szCs w:val="28"/>
        </w:rPr>
        <w:t>稿）</w:t>
      </w:r>
    </w:p>
    <w:p w14:paraId="6844338B">
      <w:pPr>
        <w:rPr>
          <w:b/>
          <w:bCs/>
          <w:color w:val="auto"/>
          <w:sz w:val="36"/>
          <w:szCs w:val="36"/>
          <w:u w:val="single"/>
        </w:rPr>
      </w:pPr>
    </w:p>
    <w:p w14:paraId="527666A0">
      <w:pPr>
        <w:rPr>
          <w:b/>
          <w:bCs/>
          <w:color w:val="auto"/>
          <w:sz w:val="36"/>
          <w:szCs w:val="36"/>
          <w:u w:val="single"/>
        </w:rPr>
      </w:pPr>
    </w:p>
    <w:p w14:paraId="57980261">
      <w:pPr>
        <w:rPr>
          <w:b/>
          <w:bCs/>
          <w:color w:val="auto"/>
          <w:sz w:val="36"/>
          <w:szCs w:val="36"/>
          <w:u w:val="single"/>
        </w:rPr>
      </w:pPr>
    </w:p>
    <w:p w14:paraId="1EBED8E1">
      <w:pPr>
        <w:rPr>
          <w:b/>
          <w:bCs/>
          <w:color w:val="auto"/>
          <w:sz w:val="36"/>
          <w:szCs w:val="36"/>
          <w:u w:val="single"/>
        </w:rPr>
      </w:pPr>
    </w:p>
    <w:p w14:paraId="0AE666B7">
      <w:pPr>
        <w:rPr>
          <w:b/>
          <w:bCs/>
          <w:color w:val="auto"/>
          <w:sz w:val="36"/>
          <w:szCs w:val="36"/>
          <w:u w:val="single"/>
        </w:rPr>
      </w:pPr>
    </w:p>
    <w:p w14:paraId="6BDC45CD">
      <w:pPr>
        <w:adjustRightInd w:val="0"/>
        <w:snapToGrid w:val="0"/>
        <w:spacing w:line="360" w:lineRule="auto"/>
        <w:ind w:firstLine="723" w:firstLineChars="200"/>
        <w:rPr>
          <w:b/>
          <w:bCs/>
          <w:color w:val="auto"/>
          <w:sz w:val="36"/>
          <w:szCs w:val="36"/>
          <w:u w:val="single"/>
        </w:rPr>
      </w:pPr>
    </w:p>
    <w:p w14:paraId="6B93400F">
      <w:pPr>
        <w:keepNext w:val="0"/>
        <w:keepLines w:val="0"/>
        <w:pageBreakBefore w:val="0"/>
        <w:widowControl w:val="0"/>
        <w:kinsoku/>
        <w:wordWrap/>
        <w:overflowPunct/>
        <w:topLinePunct w:val="0"/>
        <w:autoSpaceDE/>
        <w:autoSpaceDN/>
        <w:bidi w:val="0"/>
        <w:adjustRightInd w:val="0"/>
        <w:snapToGrid w:val="0"/>
        <w:spacing w:line="360" w:lineRule="auto"/>
        <w:ind w:left="1807" w:leftChars="0" w:hanging="1807" w:hangingChars="500"/>
        <w:textAlignment w:val="auto"/>
        <w:rPr>
          <w:rFonts w:hint="default"/>
          <w:b/>
          <w:bCs/>
          <w:color w:val="auto"/>
          <w:sz w:val="36"/>
          <w:szCs w:val="36"/>
          <w:u w:val="single"/>
          <w:lang w:val="en-US"/>
        </w:rPr>
      </w:pPr>
      <w:r>
        <w:rPr>
          <w:b/>
          <w:bCs/>
          <w:color w:val="auto"/>
          <w:sz w:val="36"/>
          <w:szCs w:val="36"/>
        </w:rPr>
        <w:t>项目名称：</w:t>
      </w:r>
      <w:r>
        <w:rPr>
          <w:rFonts w:hint="eastAsia" w:ascii="Times New Roman" w:hAnsi="Times New Roman" w:cs="Times New Roman"/>
          <w:b/>
          <w:bCs/>
          <w:color w:val="auto"/>
          <w:sz w:val="36"/>
          <w:szCs w:val="36"/>
          <w:u w:val="single"/>
          <w:lang w:val="en-US" w:eastAsia="zh-CN"/>
        </w:rPr>
        <w:t>湖南正生山银花示范种植基地及加工集散交易中心建设项目</w:t>
      </w:r>
      <w:r>
        <w:rPr>
          <w:rFonts w:hint="eastAsia" w:cs="Times New Roman"/>
          <w:b/>
          <w:bCs/>
          <w:color w:val="auto"/>
          <w:sz w:val="36"/>
          <w:szCs w:val="36"/>
          <w:u w:val="single"/>
          <w:lang w:val="en-US" w:eastAsia="zh-CN"/>
        </w:rPr>
        <w:t xml:space="preserve">                    </w:t>
      </w:r>
    </w:p>
    <w:p w14:paraId="6CDA1A7D">
      <w:pPr>
        <w:keepNext w:val="0"/>
        <w:keepLines w:val="0"/>
        <w:pageBreakBefore w:val="0"/>
        <w:widowControl w:val="0"/>
        <w:kinsoku/>
        <w:wordWrap/>
        <w:overflowPunct/>
        <w:topLinePunct w:val="0"/>
        <w:autoSpaceDE/>
        <w:autoSpaceDN/>
        <w:bidi w:val="0"/>
        <w:adjustRightInd w:val="0"/>
        <w:snapToGrid w:val="0"/>
        <w:spacing w:line="360" w:lineRule="auto"/>
        <w:ind w:left="1807" w:leftChars="0" w:hanging="1807" w:hangingChars="500"/>
        <w:textAlignment w:val="auto"/>
        <w:rPr>
          <w:rFonts w:hint="default" w:eastAsia="宋体"/>
          <w:b/>
          <w:bCs/>
          <w:color w:val="auto"/>
          <w:sz w:val="36"/>
          <w:szCs w:val="36"/>
          <w:lang w:val="en-US" w:eastAsia="zh-CN"/>
        </w:rPr>
      </w:pPr>
      <w:r>
        <w:rPr>
          <w:b/>
          <w:bCs/>
          <w:color w:val="auto"/>
          <w:sz w:val="36"/>
          <w:szCs w:val="36"/>
        </w:rPr>
        <w:t>建设单位（</w:t>
      </w:r>
      <w:r>
        <w:rPr>
          <w:b/>
          <w:bCs/>
          <w:color w:val="auto"/>
          <w:spacing w:val="-20"/>
          <w:sz w:val="36"/>
          <w:szCs w:val="36"/>
        </w:rPr>
        <w:t>盖章</w:t>
      </w:r>
      <w:r>
        <w:rPr>
          <w:b/>
          <w:bCs/>
          <w:color w:val="auto"/>
          <w:sz w:val="36"/>
          <w:szCs w:val="36"/>
        </w:rPr>
        <w:t>）：</w:t>
      </w:r>
      <w:r>
        <w:rPr>
          <w:rFonts w:hint="eastAsia" w:cs="Times New Roman"/>
          <w:b/>
          <w:bCs/>
          <w:color w:val="auto"/>
          <w:spacing w:val="-11"/>
          <w:sz w:val="36"/>
          <w:szCs w:val="36"/>
          <w:u w:val="single"/>
          <w:lang w:val="en-US" w:eastAsia="zh-CN"/>
        </w:rPr>
        <w:t xml:space="preserve">湖南正生山银花农业科技有限责任公司                                     </w:t>
      </w:r>
    </w:p>
    <w:p w14:paraId="28F6E5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b/>
          <w:bCs/>
          <w:color w:val="auto"/>
          <w:sz w:val="36"/>
          <w:szCs w:val="36"/>
          <w:u w:val="single"/>
        </w:rPr>
      </w:pPr>
      <w:r>
        <w:rPr>
          <w:b/>
          <w:bCs/>
          <w:color w:val="auto"/>
          <w:sz w:val="36"/>
          <w:szCs w:val="36"/>
        </w:rPr>
        <w:t>编制日期：</w:t>
      </w:r>
      <w:r>
        <w:rPr>
          <w:b/>
          <w:bCs/>
          <w:color w:val="auto"/>
          <w:sz w:val="36"/>
          <w:szCs w:val="36"/>
          <w:u w:val="single"/>
        </w:rPr>
        <w:t xml:space="preserve">        </w:t>
      </w:r>
      <w:r>
        <w:rPr>
          <w:rFonts w:hint="eastAsia"/>
          <w:b/>
          <w:bCs/>
          <w:color w:val="auto"/>
          <w:sz w:val="36"/>
          <w:szCs w:val="36"/>
          <w:u w:val="single"/>
          <w:lang w:val="en-US" w:eastAsia="zh-CN"/>
        </w:rPr>
        <w:t xml:space="preserve"> </w:t>
      </w:r>
      <w:r>
        <w:rPr>
          <w:b/>
          <w:bCs/>
          <w:color w:val="auto"/>
          <w:sz w:val="36"/>
          <w:szCs w:val="36"/>
          <w:u w:val="single"/>
        </w:rPr>
        <w:t xml:space="preserve">  二〇二</w:t>
      </w:r>
      <w:r>
        <w:rPr>
          <w:rFonts w:hint="eastAsia"/>
          <w:b/>
          <w:bCs/>
          <w:color w:val="auto"/>
          <w:sz w:val="36"/>
          <w:szCs w:val="36"/>
          <w:u w:val="single"/>
          <w:lang w:val="en-US" w:eastAsia="zh-CN"/>
        </w:rPr>
        <w:t>六</w:t>
      </w:r>
      <w:r>
        <w:rPr>
          <w:b/>
          <w:bCs/>
          <w:color w:val="auto"/>
          <w:sz w:val="36"/>
          <w:szCs w:val="36"/>
          <w:u w:val="single"/>
        </w:rPr>
        <w:t>年</w:t>
      </w:r>
      <w:r>
        <w:rPr>
          <w:rFonts w:hint="eastAsia"/>
          <w:b/>
          <w:bCs/>
          <w:color w:val="auto"/>
          <w:sz w:val="36"/>
          <w:szCs w:val="36"/>
          <w:u w:val="single"/>
          <w:lang w:val="en-US" w:eastAsia="zh-CN"/>
        </w:rPr>
        <w:t>四</w:t>
      </w:r>
      <w:r>
        <w:rPr>
          <w:b/>
          <w:bCs/>
          <w:color w:val="auto"/>
          <w:sz w:val="36"/>
          <w:szCs w:val="36"/>
          <w:u w:val="single"/>
        </w:rPr>
        <w:t xml:space="preserve">月  </w:t>
      </w:r>
      <w:r>
        <w:rPr>
          <w:rFonts w:hint="eastAsia"/>
          <w:b/>
          <w:bCs/>
          <w:color w:val="auto"/>
          <w:sz w:val="36"/>
          <w:szCs w:val="36"/>
          <w:u w:val="single"/>
          <w:lang w:val="en-US" w:eastAsia="zh-CN"/>
        </w:rPr>
        <w:t xml:space="preserve">   </w:t>
      </w:r>
      <w:r>
        <w:rPr>
          <w:b/>
          <w:bCs/>
          <w:color w:val="auto"/>
          <w:sz w:val="36"/>
          <w:szCs w:val="36"/>
          <w:u w:val="single"/>
        </w:rPr>
        <w:t xml:space="preserve">    </w:t>
      </w:r>
      <w:r>
        <w:rPr>
          <w:rFonts w:hint="eastAsia"/>
          <w:b/>
          <w:bCs/>
          <w:color w:val="auto"/>
          <w:sz w:val="36"/>
          <w:szCs w:val="36"/>
          <w:u w:val="single"/>
          <w:lang w:val="en-US" w:eastAsia="zh-CN"/>
        </w:rPr>
        <w:t xml:space="preserve">  </w:t>
      </w:r>
    </w:p>
    <w:p w14:paraId="4A2EDFB7">
      <w:pPr>
        <w:adjustRightInd w:val="0"/>
        <w:snapToGrid w:val="0"/>
        <w:spacing w:line="360" w:lineRule="auto"/>
        <w:ind w:firstLine="723" w:firstLineChars="200"/>
        <w:rPr>
          <w:b/>
          <w:bCs/>
          <w:color w:val="auto"/>
          <w:sz w:val="36"/>
          <w:szCs w:val="36"/>
          <w:u w:val="single"/>
        </w:rPr>
      </w:pPr>
    </w:p>
    <w:p w14:paraId="0977E316">
      <w:pPr>
        <w:adjustRightInd w:val="0"/>
        <w:snapToGrid w:val="0"/>
        <w:spacing w:line="360" w:lineRule="auto"/>
        <w:ind w:firstLine="723" w:firstLineChars="200"/>
        <w:rPr>
          <w:b/>
          <w:bCs/>
          <w:color w:val="auto"/>
          <w:sz w:val="36"/>
          <w:szCs w:val="36"/>
          <w:u w:val="single"/>
        </w:rPr>
      </w:pPr>
    </w:p>
    <w:p w14:paraId="76E6A52F">
      <w:pPr>
        <w:adjustRightInd w:val="0"/>
        <w:snapToGrid w:val="0"/>
        <w:spacing w:line="360" w:lineRule="auto"/>
        <w:jc w:val="center"/>
        <w:rPr>
          <w:color w:val="auto"/>
          <w:sz w:val="36"/>
          <w:szCs w:val="36"/>
        </w:rPr>
      </w:pPr>
      <w:r>
        <w:rPr>
          <w:color w:val="auto"/>
          <w:sz w:val="36"/>
          <w:szCs w:val="36"/>
        </w:rPr>
        <w:t>中华人民共和国生态环境部制</w:t>
      </w:r>
    </w:p>
    <w:p w14:paraId="7AC78CCD">
      <w:pPr>
        <w:rPr>
          <w:color w:val="auto"/>
          <w:sz w:val="36"/>
          <w:szCs w:val="36"/>
        </w:rPr>
      </w:pPr>
      <w:r>
        <w:rPr>
          <w:color w:val="auto"/>
          <w:sz w:val="36"/>
          <w:szCs w:val="36"/>
        </w:rPr>
        <w:br w:type="page"/>
      </w:r>
    </w:p>
    <w:p w14:paraId="368F21FD">
      <w:pPr>
        <w:pStyle w:val="3"/>
        <w:rPr>
          <w:rFonts w:hint="eastAsia"/>
          <w:color w:val="auto"/>
          <w:lang w:eastAsia="zh-CN"/>
        </w:rPr>
        <w:sectPr>
          <w:footerReference r:id="rId3" w:type="default"/>
          <w:pgSz w:w="11905" w:h="16838"/>
          <w:pgMar w:top="1440" w:right="1803" w:bottom="1440" w:left="1803"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p>
    <w:p w14:paraId="2BEB2D3F">
      <w:pPr>
        <w:jc w:val="center"/>
        <w:rPr>
          <w:rFonts w:hint="eastAsia"/>
          <w:color w:val="auto"/>
          <w:lang w:eastAsia="zh-CN"/>
        </w:rPr>
      </w:pPr>
      <w:r>
        <w:rPr>
          <w:rFonts w:hint="eastAsia"/>
          <w:color w:val="auto"/>
          <w:lang w:eastAsia="zh-CN"/>
        </w:rPr>
        <w:drawing>
          <wp:inline distT="0" distB="0" distL="114300" distR="114300">
            <wp:extent cx="7163435" cy="9683750"/>
            <wp:effectExtent l="0" t="0" r="18415" b="12700"/>
            <wp:docPr id="30" name="图片 30" descr="947f1f2d96b719b31c54d557a713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947f1f2d96b719b31c54d557a7130715"/>
                    <pic:cNvPicPr>
                      <a:picLocks noChangeAspect="1"/>
                    </pic:cNvPicPr>
                  </pic:nvPicPr>
                  <pic:blipFill>
                    <a:blip r:embed="rId7"/>
                    <a:stretch>
                      <a:fillRect/>
                    </a:stretch>
                  </pic:blipFill>
                  <pic:spPr>
                    <a:xfrm>
                      <a:off x="0" y="0"/>
                      <a:ext cx="7163435" cy="9683750"/>
                    </a:xfrm>
                    <a:prstGeom prst="rect">
                      <a:avLst/>
                    </a:prstGeom>
                  </pic:spPr>
                </pic:pic>
              </a:graphicData>
            </a:graphic>
          </wp:inline>
        </w:drawing>
      </w:r>
    </w:p>
    <w:p w14:paraId="07E9E653">
      <w:pPr>
        <w:rPr>
          <w:rFonts w:hint="eastAsia"/>
          <w:color w:val="auto"/>
          <w:lang w:eastAsia="zh-CN"/>
        </w:rPr>
      </w:pPr>
      <w:r>
        <w:rPr>
          <w:rFonts w:hint="eastAsia"/>
          <w:color w:val="auto"/>
          <w:lang w:eastAsia="zh-CN"/>
        </w:rPr>
        <w:br w:type="page"/>
      </w:r>
    </w:p>
    <w:p w14:paraId="2F4DD181">
      <w:pPr>
        <w:jc w:val="center"/>
        <w:rPr>
          <w:rFonts w:hint="eastAsia"/>
          <w:color w:val="auto"/>
          <w:lang w:eastAsia="zh-CN"/>
        </w:rPr>
        <w:sectPr>
          <w:pgSz w:w="11905" w:h="16838"/>
          <w:pgMar w:top="283" w:right="283" w:bottom="283" w:left="283"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p>
    <w:sdt>
      <w:sdtPr>
        <w:rPr>
          <w:rFonts w:ascii="宋体" w:hAnsi="宋体" w:eastAsia="宋体" w:cs="Times New Roman"/>
          <w:color w:val="auto"/>
          <w:kern w:val="2"/>
          <w:sz w:val="21"/>
          <w:szCs w:val="24"/>
          <w:lang w:val="en-US" w:eastAsia="zh-CN" w:bidi="ar-SA"/>
        </w:rPr>
        <w:id w:val="147453853"/>
        <w15:color w:val="DBDBDB"/>
        <w:docPartObj>
          <w:docPartGallery w:val="Table of Contents"/>
          <w:docPartUnique/>
        </w:docPartObj>
      </w:sdtPr>
      <w:sdtEndPr>
        <w:rPr>
          <w:rFonts w:hint="default" w:ascii="Times New Roman" w:hAnsi="Times New Roman" w:eastAsia="宋体" w:cs="Times New Roman"/>
          <w:color w:val="auto"/>
          <w:kern w:val="2"/>
          <w:sz w:val="24"/>
          <w:szCs w:val="24"/>
          <w:lang w:val="en-US" w:eastAsia="zh-CN" w:bidi="ar-SA"/>
        </w:rPr>
      </w:sdtEndPr>
      <w:sdtContent>
        <w:p w14:paraId="34773C07">
          <w:pPr>
            <w:spacing w:before="0" w:beforeLines="0" w:after="0" w:afterLines="0" w:line="360" w:lineRule="auto"/>
            <w:ind w:left="0" w:leftChars="0" w:right="0" w:rightChars="0" w:firstLine="0" w:firstLineChars="0"/>
            <w:jc w:val="center"/>
            <w:rPr>
              <w:b/>
              <w:bCs/>
              <w:color w:val="auto"/>
              <w:sz w:val="28"/>
              <w:szCs w:val="28"/>
            </w:rPr>
          </w:pPr>
          <w:r>
            <w:rPr>
              <w:rFonts w:ascii="宋体" w:hAnsi="宋体" w:eastAsia="宋体"/>
              <w:b/>
              <w:bCs/>
              <w:color w:val="auto"/>
              <w:sz w:val="28"/>
              <w:szCs w:val="28"/>
            </w:rPr>
            <w:t>目录</w:t>
          </w:r>
        </w:p>
        <w:p w14:paraId="16DCCF02">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TOC \o "1-2" \h \u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_Toc8882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rPr>
            <w:t>一、建设项目基本情况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_Toc8882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7541350">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_Toc23135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rPr>
            <w:t>二、建设项目工程分析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_Toc23135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91A3BD5">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_Toc16263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rPr>
            <w:t>三、区域环境质量现状、环境保护目标及评价标准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_Toc16263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95AF427">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_Toc31158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lang w:val="en-US" w:eastAsia="zh-CN"/>
            </w:rPr>
            <w:t>四、</w:t>
          </w:r>
          <w:r>
            <w:rPr>
              <w:rFonts w:hint="default" w:ascii="Times New Roman" w:hAnsi="Times New Roman" w:cs="Times New Roman" w:eastAsiaTheme="majorEastAsia"/>
              <w:bCs/>
              <w:color w:val="auto"/>
              <w:sz w:val="24"/>
              <w:szCs w:val="24"/>
            </w:rPr>
            <w:t>主要环境影响和保护措施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_Toc31158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02A04F7">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_Toc9123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lang w:val="en-US" w:eastAsia="zh-CN"/>
            </w:rPr>
            <w:t>五、</w:t>
          </w:r>
          <w:r>
            <w:rPr>
              <w:rFonts w:hint="default" w:ascii="Times New Roman" w:hAnsi="Times New Roman" w:cs="Times New Roman" w:eastAsiaTheme="majorEastAsia"/>
              <w:bCs/>
              <w:color w:val="auto"/>
              <w:sz w:val="24"/>
              <w:szCs w:val="24"/>
            </w:rPr>
            <w:t>环境保护措施监督检查清单</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_Toc9123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D8D2615">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_Toc7192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rPr>
            <w:t>六、结论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_Toc7192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A797DA6">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_Toc4344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lang w:val="zh-CN"/>
            </w:rPr>
            <w:t>附表</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_Toc4344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49</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0879FDB">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_Toc5327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lang w:val="en-US" w:eastAsia="zh-CN"/>
            </w:rPr>
            <w:t>附件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_Toc5327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A70AB92">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_Toc10836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rPr>
            <w:t>附件1：环评委托书</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_Toc10836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EC31BFA">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_Toc27992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eastAsia="zh-CN"/>
            </w:rPr>
            <w:t>附件</w:t>
          </w:r>
          <w:r>
            <w:rPr>
              <w:rFonts w:hint="default" w:ascii="Times New Roman" w:hAnsi="Times New Roman" w:cs="Times New Roman" w:eastAsiaTheme="majorEastAsia"/>
              <w:color w:val="auto"/>
              <w:sz w:val="24"/>
              <w:szCs w:val="24"/>
              <w:lang w:val="en-US" w:eastAsia="zh-CN"/>
            </w:rPr>
            <w:t>2</w:t>
          </w:r>
          <w:r>
            <w:rPr>
              <w:rFonts w:hint="default" w:ascii="Times New Roman" w:hAnsi="Times New Roman" w:cs="Times New Roman" w:eastAsiaTheme="majorEastAsia"/>
              <w:color w:val="auto"/>
              <w:sz w:val="24"/>
              <w:szCs w:val="24"/>
              <w:lang w:val="zh-CN" w:eastAsia="zh-CN"/>
            </w:rPr>
            <w:t>：营业执照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_Toc27992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70CA8AB">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_Toc9606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rPr>
            <w:t>附件</w:t>
          </w:r>
          <w:r>
            <w:rPr>
              <w:rFonts w:hint="default" w:ascii="Times New Roman" w:hAnsi="Times New Roman" w:cs="Times New Roman" w:eastAsiaTheme="majorEastAsia"/>
              <w:color w:val="auto"/>
              <w:sz w:val="24"/>
              <w:szCs w:val="24"/>
              <w:lang w:val="en-US" w:eastAsia="zh-CN"/>
            </w:rPr>
            <w:t>3</w:t>
          </w:r>
          <w:r>
            <w:rPr>
              <w:rFonts w:hint="default" w:ascii="Times New Roman" w:hAnsi="Times New Roman" w:cs="Times New Roman" w:eastAsiaTheme="majorEastAsia"/>
              <w:color w:val="auto"/>
              <w:sz w:val="24"/>
              <w:szCs w:val="24"/>
              <w:lang w:eastAsia="zh-CN"/>
            </w:rPr>
            <w:t>：</w:t>
          </w:r>
          <w:r>
            <w:rPr>
              <w:rFonts w:hint="default" w:ascii="Times New Roman" w:hAnsi="Times New Roman" w:cs="Times New Roman" w:eastAsiaTheme="majorEastAsia"/>
              <w:color w:val="auto"/>
              <w:sz w:val="24"/>
              <w:szCs w:val="24"/>
              <w:lang w:val="zh-CN" w:eastAsia="zh-CN"/>
            </w:rPr>
            <w:t>备案证明</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_Toc9606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FB15813">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_Toc5502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eastAsia="zh-CN"/>
            </w:rPr>
            <w:t>附件</w:t>
          </w:r>
          <w:r>
            <w:rPr>
              <w:rFonts w:hint="default" w:ascii="Times New Roman" w:hAnsi="Times New Roman" w:cs="Times New Roman" w:eastAsiaTheme="majorEastAsia"/>
              <w:color w:val="auto"/>
              <w:sz w:val="24"/>
              <w:szCs w:val="24"/>
              <w:lang w:val="en-US" w:eastAsia="zh-CN"/>
            </w:rPr>
            <w:t>4：项目用地不动产权证</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_Toc5502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54</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8B93DF3">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_Toc26490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rPr>
            <w:t>附件</w:t>
          </w:r>
          <w:r>
            <w:rPr>
              <w:rFonts w:hint="default" w:ascii="Times New Roman" w:hAnsi="Times New Roman" w:cs="Times New Roman" w:eastAsiaTheme="majorEastAsia"/>
              <w:color w:val="auto"/>
              <w:sz w:val="24"/>
              <w:szCs w:val="24"/>
              <w:lang w:val="en-US" w:eastAsia="zh-CN"/>
            </w:rPr>
            <w:t>5：建设用地规划许可证</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_Toc26490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00CB47E">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_Toc2443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rPr>
            <w:t>附件</w:t>
          </w:r>
          <w:r>
            <w:rPr>
              <w:rFonts w:hint="default" w:ascii="Times New Roman" w:hAnsi="Times New Roman" w:cs="Times New Roman" w:eastAsiaTheme="majorEastAsia"/>
              <w:color w:val="auto"/>
              <w:sz w:val="24"/>
              <w:szCs w:val="24"/>
              <w:lang w:val="en-US" w:eastAsia="zh-CN"/>
            </w:rPr>
            <w:t>6</w:t>
          </w:r>
          <w:r>
            <w:rPr>
              <w:rFonts w:hint="default" w:ascii="Times New Roman" w:hAnsi="Times New Roman" w:cs="Times New Roman" w:eastAsiaTheme="majorEastAsia"/>
              <w:color w:val="auto"/>
              <w:sz w:val="24"/>
              <w:szCs w:val="24"/>
              <w:lang w:val="zh-CN"/>
            </w:rPr>
            <w:t>：</w:t>
          </w:r>
          <w:r>
            <w:rPr>
              <w:rFonts w:hint="default" w:ascii="Times New Roman" w:hAnsi="Times New Roman" w:cs="Times New Roman" w:eastAsiaTheme="majorEastAsia"/>
              <w:color w:val="auto"/>
              <w:sz w:val="24"/>
              <w:szCs w:val="24"/>
              <w:lang w:val="en-US" w:eastAsia="zh-CN"/>
            </w:rPr>
            <w:t>项目水土保持方案批复</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_Toc2443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56</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3E01EC2">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_Toc8761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en-US" w:eastAsia="zh-CN"/>
            </w:rPr>
            <w:t>附件7：环境质量现状</w:t>
          </w:r>
          <w:r>
            <w:rPr>
              <w:rFonts w:hint="default" w:ascii="Times New Roman" w:hAnsi="Times New Roman" w:cs="Times New Roman" w:eastAsiaTheme="majorEastAsia"/>
              <w:color w:val="auto"/>
              <w:sz w:val="24"/>
              <w:szCs w:val="24"/>
              <w:lang w:val="zh-CN"/>
            </w:rPr>
            <w:t>监测报告</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_Toc8761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DDEFC9E">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_Toc18110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en-US" w:eastAsia="zh-CN"/>
            </w:rPr>
            <w:t>附件8：纳污证明</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_Toc18110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64</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75EA874">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_Toc3063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en-US" w:eastAsia="zh-CN"/>
            </w:rPr>
            <w:t>附件9：评审专家意见及签到表</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19D4580">
          <w:pPr>
            <w:pStyle w:val="23"/>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_Toc26783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bCs/>
              <w:color w:val="auto"/>
              <w:sz w:val="24"/>
              <w:szCs w:val="24"/>
              <w:lang w:val="zh-CN" w:eastAsia="zh-CN"/>
            </w:rPr>
            <w:t>附图</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_Toc26783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69</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A5CA271">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_Toc16283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rPr>
            <w:t>附图</w:t>
          </w:r>
          <w:r>
            <w:rPr>
              <w:rFonts w:hint="default" w:ascii="Times New Roman" w:hAnsi="Times New Roman" w:cs="Times New Roman" w:eastAsiaTheme="majorEastAsia"/>
              <w:color w:val="auto"/>
              <w:sz w:val="24"/>
              <w:szCs w:val="24"/>
              <w:lang w:val="en-US" w:eastAsia="zh-CN"/>
            </w:rPr>
            <w:t>1</w:t>
          </w:r>
          <w:r>
            <w:rPr>
              <w:rFonts w:hint="default" w:ascii="Times New Roman" w:hAnsi="Times New Roman" w:cs="Times New Roman" w:eastAsiaTheme="majorEastAsia"/>
              <w:color w:val="auto"/>
              <w:sz w:val="24"/>
              <w:szCs w:val="24"/>
              <w:lang w:val="zh-CN"/>
            </w:rPr>
            <w:t>：项目区域位置图</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_Toc16283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69</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B759C36">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_Toc24057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rPr>
            <w:t>附图</w:t>
          </w:r>
          <w:r>
            <w:rPr>
              <w:rFonts w:hint="default" w:ascii="Times New Roman" w:hAnsi="Times New Roman" w:cs="Times New Roman" w:eastAsiaTheme="majorEastAsia"/>
              <w:color w:val="auto"/>
              <w:sz w:val="24"/>
              <w:szCs w:val="24"/>
              <w:lang w:val="en-US" w:eastAsia="zh-CN"/>
            </w:rPr>
            <w:t>2</w:t>
          </w:r>
          <w:r>
            <w:rPr>
              <w:rFonts w:hint="default" w:ascii="Times New Roman" w:hAnsi="Times New Roman" w:cs="Times New Roman" w:eastAsiaTheme="majorEastAsia"/>
              <w:color w:val="auto"/>
              <w:sz w:val="24"/>
              <w:szCs w:val="24"/>
              <w:lang w:val="zh-CN"/>
            </w:rPr>
            <w:t>：平面布置图</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_Toc24057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639C313">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_Toc23154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eastAsia="zh-CN"/>
            </w:rPr>
            <w:t>附图</w:t>
          </w:r>
          <w:r>
            <w:rPr>
              <w:rFonts w:hint="default" w:ascii="Times New Roman" w:hAnsi="Times New Roman" w:cs="Times New Roman" w:eastAsiaTheme="majorEastAsia"/>
              <w:color w:val="auto"/>
              <w:sz w:val="24"/>
              <w:szCs w:val="24"/>
              <w:lang w:val="en-US" w:eastAsia="zh-CN"/>
            </w:rPr>
            <w:t>3</w:t>
          </w:r>
          <w:r>
            <w:rPr>
              <w:rFonts w:hint="default" w:ascii="Times New Roman" w:hAnsi="Times New Roman" w:cs="Times New Roman" w:eastAsiaTheme="majorEastAsia"/>
              <w:color w:val="auto"/>
              <w:sz w:val="24"/>
              <w:szCs w:val="24"/>
              <w:lang w:val="zh-CN" w:eastAsia="zh-CN"/>
            </w:rPr>
            <w:t>：项目周边环境敏感目标分布图</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_Toc23154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7885A5D">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_Toc18277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eastAsiaTheme="majorEastAsia"/>
              <w:color w:val="auto"/>
              <w:sz w:val="24"/>
              <w:szCs w:val="24"/>
              <w:lang w:val="zh-CN"/>
            </w:rPr>
            <w:t>附图</w:t>
          </w:r>
          <w:r>
            <w:rPr>
              <w:rFonts w:hint="default" w:ascii="Times New Roman" w:hAnsi="Times New Roman" w:cs="Times New Roman" w:eastAsiaTheme="majorEastAsia"/>
              <w:color w:val="auto"/>
              <w:sz w:val="24"/>
              <w:szCs w:val="24"/>
              <w:lang w:val="en-US" w:eastAsia="zh-CN"/>
            </w:rPr>
            <w:t>4</w:t>
          </w:r>
          <w:r>
            <w:rPr>
              <w:rFonts w:hint="default" w:ascii="Times New Roman" w:hAnsi="Times New Roman" w:cs="Times New Roman" w:eastAsiaTheme="majorEastAsia"/>
              <w:color w:val="auto"/>
              <w:sz w:val="24"/>
              <w:szCs w:val="24"/>
              <w:lang w:val="zh-CN"/>
            </w:rPr>
            <w:t>：</w:t>
          </w:r>
          <w:r>
            <w:rPr>
              <w:rFonts w:hint="default" w:ascii="Times New Roman" w:hAnsi="Times New Roman" w:cs="Times New Roman" w:eastAsiaTheme="majorEastAsia"/>
              <w:color w:val="auto"/>
              <w:sz w:val="24"/>
              <w:szCs w:val="24"/>
              <w:lang w:val="en-US" w:eastAsia="zh-CN"/>
            </w:rPr>
            <w:t>环境质量现状监测布点图</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_Toc18277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E7CC009">
          <w:pPr>
            <w:pStyle w:val="26"/>
            <w:tabs>
              <w:tab w:val="right" w:leader="dot" w:pos="8299"/>
            </w:tabs>
            <w:spacing w:line="360" w:lineRule="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_Toc4638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lang w:val="en-US" w:eastAsia="zh-CN"/>
            </w:rPr>
            <w:t>附图5：《溆浦县龙潭镇国土空间规划》（2021-2035年）镇政府驻地国土空间用地规划图</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_Toc4638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91CACC7">
          <w:pPr>
            <w:pStyle w:val="26"/>
            <w:tabs>
              <w:tab w:val="right" w:leader="dot" w:pos="8299"/>
            </w:tabs>
            <w:spacing w:line="360" w:lineRule="auto"/>
            <w:rPr>
              <w:color w:val="auto"/>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_Toc29100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bCs/>
              <w:snapToGrid w:val="0"/>
              <w:color w:val="auto"/>
              <w:sz w:val="24"/>
              <w:szCs w:val="24"/>
              <w:lang w:val="en-US" w:eastAsia="zh-CN"/>
            </w:rPr>
            <w:t>附图6：</w:t>
          </w:r>
          <w:r>
            <w:rPr>
              <w:rFonts w:hint="default" w:ascii="Times New Roman" w:hAnsi="Times New Roman" w:eastAsia="宋体" w:cs="Times New Roman"/>
              <w:bCs/>
              <w:snapToGrid w:val="0"/>
              <w:color w:val="auto"/>
              <w:sz w:val="24"/>
              <w:szCs w:val="24"/>
              <w:lang w:val="en-US" w:eastAsia="zh-CN"/>
            </w:rPr>
            <w:t>现场照片</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_Toc29100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74</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E8902BE">
          <w:pPr>
            <w:spacing w:line="360" w:lineRule="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Cs w:val="24"/>
            </w:rPr>
            <w:fldChar w:fldCharType="end"/>
          </w:r>
        </w:p>
      </w:sdtContent>
    </w:sdt>
    <w:p w14:paraId="71657857">
      <w:pPr>
        <w:pStyle w:val="25"/>
        <w:bidi w:val="0"/>
        <w:spacing w:line="360" w:lineRule="auto"/>
        <w:rPr>
          <w:rFonts w:hint="default" w:ascii="Times New Roman" w:hAnsi="Times New Roman" w:cs="Times New Roman"/>
          <w:color w:val="auto"/>
        </w:rPr>
      </w:pPr>
      <w:bookmarkStart w:id="21" w:name="_Toc17049"/>
    </w:p>
    <w:p w14:paraId="0A80660A">
      <w:pPr>
        <w:pStyle w:val="25"/>
        <w:bidi w:val="0"/>
        <w:rPr>
          <w:rFonts w:hint="default" w:ascii="Times New Roman" w:hAnsi="Times New Roman" w:cs="Times New Roman"/>
          <w:color w:val="auto"/>
        </w:rPr>
      </w:pPr>
    </w:p>
    <w:p w14:paraId="255660C4">
      <w:pPr>
        <w:pStyle w:val="27"/>
        <w:jc w:val="center"/>
        <w:outlineLvl w:val="0"/>
        <w:rPr>
          <w:rFonts w:hint="default" w:ascii="Times New Roman" w:hAnsi="Times New Roman" w:eastAsia="黑体" w:cs="Times New Roman"/>
          <w:snapToGrid w:val="0"/>
          <w:color w:val="auto"/>
          <w:sz w:val="30"/>
          <w:szCs w:val="30"/>
        </w:rPr>
        <w:sectPr>
          <w:pgSz w:w="11905" w:h="16838"/>
          <w:pgMar w:top="1440" w:right="1803" w:bottom="1440" w:left="1803"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22" w:name="_Toc10904"/>
    </w:p>
    <w:p w14:paraId="1F9A1D3F">
      <w:pPr>
        <w:pStyle w:val="2"/>
        <w:bidi w:val="0"/>
        <w:jc w:val="center"/>
        <w:rPr>
          <w:rFonts w:hint="default" w:asciiTheme="majorEastAsia" w:hAnsiTheme="majorEastAsia" w:eastAsiaTheme="majorEastAsia" w:cstheme="majorEastAsia"/>
          <w:b/>
          <w:bCs/>
          <w:color w:val="auto"/>
        </w:rPr>
      </w:pPr>
      <w:bookmarkStart w:id="23" w:name="_Toc8882"/>
      <w:r>
        <w:rPr>
          <w:rFonts w:hint="default" w:asciiTheme="majorEastAsia" w:hAnsiTheme="majorEastAsia" w:eastAsiaTheme="majorEastAsia" w:cstheme="majorEastAsia"/>
          <w:b/>
          <w:bCs/>
          <w:color w:val="auto"/>
        </w:rPr>
        <w:t>一、建设项目基本情况</w:t>
      </w:r>
      <w:bookmarkEnd w:id="21"/>
      <w:bookmarkEnd w:id="22"/>
      <w:bookmarkEnd w:id="23"/>
    </w:p>
    <w:tbl>
      <w:tblPr>
        <w:tblStyle w:val="32"/>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60"/>
        <w:gridCol w:w="2181"/>
        <w:gridCol w:w="1409"/>
        <w:gridCol w:w="3172"/>
      </w:tblGrid>
      <w:tr w14:paraId="4DDDB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7" w:type="pct"/>
            <w:tcMar>
              <w:top w:w="16" w:type="dxa"/>
              <w:left w:w="16" w:type="dxa"/>
              <w:right w:w="16" w:type="dxa"/>
            </w:tcMar>
            <w:vAlign w:val="center"/>
          </w:tcPr>
          <w:p w14:paraId="1D7676A7">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建设项目名称</w:t>
            </w:r>
          </w:p>
        </w:tc>
        <w:tc>
          <w:tcPr>
            <w:tcW w:w="4062" w:type="pct"/>
            <w:gridSpan w:val="3"/>
            <w:vAlign w:val="center"/>
          </w:tcPr>
          <w:p w14:paraId="00794787">
            <w:pPr>
              <w:adjustRightInd w:val="0"/>
              <w:snapToGrid w:val="0"/>
              <w:jc w:val="center"/>
              <w:rPr>
                <w:rFonts w:hint="eastAsia" w:ascii="Times New Roman" w:hAnsi="Times New Roman" w:eastAsia="宋体" w:cs="Times New Roman"/>
                <w:color w:val="auto"/>
                <w:sz w:val="24"/>
                <w:lang w:eastAsia="zh-CN"/>
              </w:rPr>
            </w:pPr>
            <w:r>
              <w:rPr>
                <w:rFonts w:hint="eastAsia" w:cs="Times New Roman"/>
                <w:color w:val="auto"/>
                <w:sz w:val="24"/>
                <w:lang w:eastAsia="zh-CN"/>
              </w:rPr>
              <w:t>湖南正生山银花示范种植基地及加工集散交易中心建设项目</w:t>
            </w:r>
          </w:p>
        </w:tc>
      </w:tr>
      <w:tr w14:paraId="65755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7" w:type="pct"/>
            <w:tcMar>
              <w:top w:w="16" w:type="dxa"/>
              <w:left w:w="16" w:type="dxa"/>
              <w:right w:w="16" w:type="dxa"/>
            </w:tcMar>
            <w:vAlign w:val="center"/>
          </w:tcPr>
          <w:p w14:paraId="51CE0E7E">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项目代码</w:t>
            </w:r>
          </w:p>
        </w:tc>
        <w:tc>
          <w:tcPr>
            <w:tcW w:w="4062" w:type="pct"/>
            <w:gridSpan w:val="3"/>
            <w:vAlign w:val="center"/>
          </w:tcPr>
          <w:p w14:paraId="3A89812F">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2502-431224-04-01-562006</w:t>
            </w:r>
          </w:p>
        </w:tc>
      </w:tr>
      <w:tr w14:paraId="2F943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37" w:type="pct"/>
            <w:tcMar>
              <w:top w:w="16" w:type="dxa"/>
              <w:left w:w="16" w:type="dxa"/>
              <w:right w:w="16" w:type="dxa"/>
            </w:tcMar>
            <w:vAlign w:val="center"/>
          </w:tcPr>
          <w:p w14:paraId="01B4D3B0">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建设单位联系人</w:t>
            </w:r>
          </w:p>
        </w:tc>
        <w:tc>
          <w:tcPr>
            <w:tcW w:w="1310" w:type="pct"/>
            <w:vAlign w:val="center"/>
          </w:tcPr>
          <w:p w14:paraId="7A7EA3FE">
            <w:pPr>
              <w:adjustRightInd w:val="0"/>
              <w:snapToGrid w:val="0"/>
              <w:spacing w:before="60" w:after="60"/>
              <w:jc w:val="center"/>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艾新</w:t>
            </w:r>
          </w:p>
        </w:tc>
        <w:tc>
          <w:tcPr>
            <w:tcW w:w="846" w:type="pct"/>
            <w:vAlign w:val="center"/>
          </w:tcPr>
          <w:p w14:paraId="3735B1D9">
            <w:pPr>
              <w:adjustRightInd w:val="0"/>
              <w:snapToGrid w:val="0"/>
              <w:spacing w:before="60" w:after="60"/>
              <w:jc w:val="center"/>
              <w:rPr>
                <w:rFonts w:hint="default" w:ascii="Times New Roman" w:hAnsi="Times New Roman" w:cs="Times New Roman"/>
                <w:color w:val="auto"/>
                <w:sz w:val="24"/>
              </w:rPr>
            </w:pPr>
            <w:r>
              <w:rPr>
                <w:rFonts w:hint="eastAsia" w:ascii="Times New Roman" w:hAnsi="Times New Roman" w:eastAsia="宋体" w:cs="Times New Roman"/>
                <w:color w:val="auto"/>
                <w:sz w:val="24"/>
              </w:rPr>
              <w:t>联系方式</w:t>
            </w:r>
          </w:p>
        </w:tc>
        <w:tc>
          <w:tcPr>
            <w:tcW w:w="1906" w:type="pct"/>
            <w:vAlign w:val="center"/>
          </w:tcPr>
          <w:p w14:paraId="3AB6A855">
            <w:pPr>
              <w:adjustRightInd w:val="0"/>
              <w:snapToGrid w:val="0"/>
              <w:spacing w:before="60" w:after="60"/>
              <w:jc w:val="center"/>
              <w:rPr>
                <w:rFonts w:hint="default" w:ascii="Times New Roman" w:hAnsi="Times New Roman" w:cs="Times New Roman"/>
                <w:color w:val="auto"/>
                <w:sz w:val="24"/>
              </w:rPr>
            </w:pPr>
          </w:p>
        </w:tc>
      </w:tr>
      <w:tr w14:paraId="0C8AE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7" w:type="pct"/>
            <w:tcMar>
              <w:top w:w="16" w:type="dxa"/>
              <w:left w:w="16" w:type="dxa"/>
              <w:right w:w="16" w:type="dxa"/>
            </w:tcMar>
            <w:vAlign w:val="center"/>
          </w:tcPr>
          <w:p w14:paraId="6ADA9FBF">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建设地点</w:t>
            </w:r>
          </w:p>
        </w:tc>
        <w:tc>
          <w:tcPr>
            <w:tcW w:w="4062" w:type="pct"/>
            <w:gridSpan w:val="3"/>
            <w:vAlign w:val="center"/>
          </w:tcPr>
          <w:p w14:paraId="456B0521">
            <w:pPr>
              <w:adjustRightInd w:val="0"/>
              <w:snapToGrid w:val="0"/>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湖南省怀化市溆浦县</w:t>
            </w:r>
            <w:r>
              <w:rPr>
                <w:rFonts w:hint="eastAsia" w:cs="Times New Roman"/>
                <w:color w:val="auto"/>
                <w:sz w:val="24"/>
                <w:lang w:eastAsia="zh-CN"/>
              </w:rPr>
              <w:t>龙潭镇岩板村和营盘村交界处、紧邻S312省道</w:t>
            </w:r>
          </w:p>
        </w:tc>
      </w:tr>
      <w:tr w14:paraId="3BAEB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7" w:type="pct"/>
            <w:tcMar>
              <w:top w:w="16" w:type="dxa"/>
              <w:left w:w="16" w:type="dxa"/>
              <w:right w:w="16" w:type="dxa"/>
            </w:tcMar>
            <w:vAlign w:val="center"/>
          </w:tcPr>
          <w:p w14:paraId="6B946E88">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地理坐标</w:t>
            </w:r>
          </w:p>
        </w:tc>
        <w:tc>
          <w:tcPr>
            <w:tcW w:w="4062" w:type="pct"/>
            <w:gridSpan w:val="3"/>
            <w:vAlign w:val="center"/>
          </w:tcPr>
          <w:p w14:paraId="071C59A1">
            <w:pPr>
              <w:jc w:val="center"/>
              <w:rPr>
                <w:rFonts w:hint="default" w:ascii="Times New Roman" w:hAnsi="Times New Roman" w:cs="Times New Roman"/>
                <w:color w:val="auto"/>
                <w:sz w:val="24"/>
              </w:rPr>
            </w:pPr>
            <w:r>
              <w:rPr>
                <w:rFonts w:hint="eastAsia" w:ascii="Times New Roman" w:hAnsi="Times New Roman" w:cs="Times New Roman"/>
                <w:color w:val="auto"/>
                <w:sz w:val="24"/>
                <w:lang w:eastAsia="zh-CN"/>
              </w:rPr>
              <w:t>东经：</w:t>
            </w:r>
            <w:r>
              <w:rPr>
                <w:rFonts w:hint="default" w:ascii="Times New Roman" w:hAnsi="Times New Roman" w:cs="Times New Roman"/>
                <w:color w:val="auto"/>
                <w:sz w:val="24"/>
              </w:rPr>
              <w:t>110°31′</w:t>
            </w:r>
            <w:r>
              <w:rPr>
                <w:rFonts w:hint="eastAsia" w:cs="Times New Roman"/>
                <w:color w:val="auto"/>
                <w:sz w:val="24"/>
                <w:lang w:val="en-US" w:eastAsia="zh-CN"/>
              </w:rPr>
              <w:t>48.98036</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北纬</w:t>
            </w:r>
            <w:r>
              <w:rPr>
                <w:rFonts w:hint="default" w:ascii="Times New Roman" w:hAnsi="Times New Roman" w:cs="Times New Roman"/>
                <w:color w:val="auto"/>
                <w:sz w:val="24"/>
              </w:rPr>
              <w:t>27°24′</w:t>
            </w:r>
            <w:r>
              <w:rPr>
                <w:rFonts w:hint="eastAsia" w:cs="Times New Roman"/>
                <w:color w:val="auto"/>
                <w:sz w:val="24"/>
                <w:lang w:val="en-US" w:eastAsia="zh-CN"/>
              </w:rPr>
              <w:t>59.93981</w:t>
            </w:r>
            <w:r>
              <w:rPr>
                <w:rFonts w:hint="default" w:ascii="Times New Roman" w:hAnsi="Times New Roman" w:cs="Times New Roman"/>
                <w:color w:val="auto"/>
                <w:sz w:val="24"/>
              </w:rPr>
              <w:t>″</w:t>
            </w:r>
          </w:p>
        </w:tc>
      </w:tr>
      <w:tr w14:paraId="1E8F7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937" w:type="pct"/>
            <w:tcMar>
              <w:top w:w="16" w:type="dxa"/>
              <w:left w:w="16" w:type="dxa"/>
              <w:right w:w="16" w:type="dxa"/>
            </w:tcMar>
            <w:vAlign w:val="center"/>
          </w:tcPr>
          <w:p w14:paraId="0E0E966D">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国民经济</w:t>
            </w:r>
          </w:p>
          <w:p w14:paraId="611514FF">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p>
        </w:tc>
        <w:tc>
          <w:tcPr>
            <w:tcW w:w="1310" w:type="pct"/>
            <w:vAlign w:val="center"/>
          </w:tcPr>
          <w:p w14:paraId="78F4B903">
            <w:pPr>
              <w:adjustRightInd w:val="0"/>
              <w:snapToGrid w:val="0"/>
              <w:jc w:val="center"/>
              <w:rPr>
                <w:rFonts w:hint="eastAsia" w:ascii="Times New Roman" w:hAnsi="Times New Roman" w:eastAsia="宋体" w:cs="Times New Roman"/>
                <w:color w:val="auto"/>
                <w:sz w:val="24"/>
                <w:lang w:eastAsia="zh-CN"/>
              </w:rPr>
            </w:pPr>
            <w:r>
              <w:rPr>
                <w:rFonts w:hint="eastAsia" w:cs="Times New Roman"/>
                <w:color w:val="auto"/>
                <w:sz w:val="24"/>
                <w:lang w:val="en-US" w:eastAsia="zh-CN"/>
              </w:rPr>
              <w:t>A0179其他中药材种植；C2730中药饮片加工；</w:t>
            </w:r>
            <w:r>
              <w:rPr>
                <w:rFonts w:hint="eastAsia" w:ascii="Times New Roman" w:hAnsi="Times New Roman" w:cs="Times New Roman"/>
                <w:color w:val="auto"/>
                <w:sz w:val="24"/>
                <w:lang w:val="en-US" w:eastAsia="zh-CN"/>
              </w:rPr>
              <w:t>D4430</w:t>
            </w:r>
            <w:r>
              <w:rPr>
                <w:rFonts w:hint="eastAsia" w:ascii="Times New Roman" w:hAnsi="Times New Roman" w:cs="Times New Roman"/>
                <w:color w:val="auto"/>
                <w:sz w:val="24"/>
                <w:lang w:eastAsia="zh-CN"/>
              </w:rPr>
              <w:t>热力生产和供应</w:t>
            </w:r>
          </w:p>
        </w:tc>
        <w:tc>
          <w:tcPr>
            <w:tcW w:w="846" w:type="pct"/>
            <w:vAlign w:val="center"/>
          </w:tcPr>
          <w:p w14:paraId="13FF01EF">
            <w:pPr>
              <w:adjustRightInd w:val="0"/>
              <w:snapToGrid w:val="0"/>
              <w:jc w:val="center"/>
              <w:rPr>
                <w:rFonts w:hint="default" w:ascii="Times New Roman" w:hAnsi="Times New Roman" w:cs="Times New Roman"/>
                <w:color w:val="auto"/>
                <w:sz w:val="24"/>
                <w:u w:val="none"/>
              </w:rPr>
            </w:pPr>
            <w:bookmarkStart w:id="24" w:name="_Hlk49843745"/>
            <w:r>
              <w:rPr>
                <w:rFonts w:hint="default" w:ascii="Times New Roman" w:hAnsi="Times New Roman" w:cs="Times New Roman"/>
                <w:color w:val="auto"/>
                <w:sz w:val="24"/>
                <w:u w:val="none"/>
              </w:rPr>
              <w:t>建设项目行业类别</w:t>
            </w:r>
            <w:bookmarkEnd w:id="24"/>
          </w:p>
        </w:tc>
        <w:tc>
          <w:tcPr>
            <w:tcW w:w="1906" w:type="pct"/>
            <w:vAlign w:val="center"/>
          </w:tcPr>
          <w:p w14:paraId="3109E3BE">
            <w:pPr>
              <w:adjustRightInd w:val="0"/>
              <w:snapToGrid w:val="0"/>
              <w:jc w:val="center"/>
              <w:rPr>
                <w:rFonts w:hint="default" w:ascii="Times New Roman" w:hAnsi="Times New Roman" w:eastAsia="宋体" w:cs="Times New Roman"/>
                <w:color w:val="auto"/>
                <w:sz w:val="24"/>
                <w:u w:val="none"/>
                <w:lang w:val="en-US" w:eastAsia="zh-CN"/>
              </w:rPr>
            </w:pPr>
            <w:r>
              <w:rPr>
                <w:rFonts w:hint="eastAsia" w:cs="Times New Roman"/>
                <w:color w:val="auto"/>
                <w:sz w:val="24"/>
                <w:u w:val="none"/>
                <w:lang w:val="en-US" w:eastAsia="zh-CN"/>
              </w:rPr>
              <w:t>二十四、医药制造业27“其他（单纯切片、制干、打包的除外）”</w:t>
            </w:r>
          </w:p>
          <w:p w14:paraId="0E648E79">
            <w:pPr>
              <w:adjustRightInd w:val="0"/>
              <w:snapToGrid w:val="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四十一、电力、热力生产和供应业</w:t>
            </w:r>
            <w:r>
              <w:rPr>
                <w:rFonts w:hint="eastAsia" w:cs="Times New Roman"/>
                <w:color w:val="auto"/>
                <w:sz w:val="24"/>
                <w:u w:val="none"/>
                <w:lang w:eastAsia="zh-CN"/>
              </w:rPr>
              <w:t>“</w:t>
            </w:r>
            <w:r>
              <w:rPr>
                <w:rFonts w:hint="default" w:ascii="Times New Roman" w:hAnsi="Times New Roman" w:cs="Times New Roman"/>
                <w:color w:val="auto"/>
                <w:sz w:val="24"/>
                <w:u w:val="none"/>
                <w:lang w:eastAsia="zh-CN"/>
              </w:rPr>
              <w:t>使用其他高污染燃料的</w:t>
            </w:r>
            <w:r>
              <w:rPr>
                <w:rFonts w:hint="eastAsia" w:cs="Times New Roman"/>
                <w:color w:val="auto"/>
                <w:sz w:val="24"/>
                <w:u w:val="none"/>
                <w:lang w:eastAsia="zh-CN"/>
              </w:rPr>
              <w:t>”</w:t>
            </w:r>
          </w:p>
        </w:tc>
      </w:tr>
      <w:tr w14:paraId="4A619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37" w:type="pct"/>
            <w:tcMar>
              <w:top w:w="16" w:type="dxa"/>
              <w:left w:w="16" w:type="dxa"/>
              <w:right w:w="16" w:type="dxa"/>
            </w:tcMar>
            <w:vAlign w:val="center"/>
          </w:tcPr>
          <w:p w14:paraId="4D430840">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建设性质</w:t>
            </w:r>
          </w:p>
        </w:tc>
        <w:tc>
          <w:tcPr>
            <w:tcW w:w="1310" w:type="pct"/>
            <w:vAlign w:val="center"/>
          </w:tcPr>
          <w:p w14:paraId="37887849">
            <w:pPr>
              <w:jc w:val="left"/>
              <w:rPr>
                <w:rFonts w:hint="default" w:ascii="Times New Roman" w:hAnsi="Times New Roman" w:cs="Times New Roman"/>
                <w:color w:val="auto"/>
                <w:sz w:val="24"/>
              </w:rPr>
            </w:pPr>
            <w:r>
              <w:rPr>
                <w:rFonts w:hint="eastAsia"/>
                <w:color w:val="auto"/>
                <w:sz w:val="24"/>
                <w:lang w:eastAsia="zh-CN"/>
              </w:rPr>
              <w:t>☑</w:t>
            </w:r>
            <w:r>
              <w:rPr>
                <w:rFonts w:hint="default" w:ascii="Times New Roman" w:hAnsi="Times New Roman" w:cs="Times New Roman"/>
                <w:color w:val="auto"/>
                <w:sz w:val="24"/>
              </w:rPr>
              <w:t>新建</w:t>
            </w:r>
          </w:p>
          <w:p w14:paraId="391F3307">
            <w:pPr>
              <w:jc w:val="left"/>
              <w:rPr>
                <w:rFonts w:hint="default" w:ascii="Times New Roman" w:hAnsi="Times New Roman" w:cs="Times New Roman"/>
                <w:color w:val="auto"/>
                <w:sz w:val="24"/>
              </w:rPr>
            </w:pPr>
            <w:r>
              <w:rPr>
                <w:color w:val="auto"/>
                <w:sz w:val="24"/>
              </w:rPr>
              <w:t>□</w:t>
            </w:r>
            <w:r>
              <w:rPr>
                <w:rFonts w:hint="default" w:ascii="Times New Roman" w:hAnsi="Times New Roman" w:cs="Times New Roman"/>
                <w:color w:val="auto"/>
                <w:sz w:val="24"/>
              </w:rPr>
              <w:t>改建</w:t>
            </w:r>
          </w:p>
          <w:p w14:paraId="44D818FE">
            <w:pPr>
              <w:jc w:val="left"/>
              <w:rPr>
                <w:rFonts w:hint="default" w:ascii="Times New Roman" w:hAnsi="Times New Roman" w:cs="Times New Roman"/>
                <w:color w:val="auto"/>
                <w:sz w:val="24"/>
              </w:rPr>
            </w:pPr>
            <w:r>
              <w:rPr>
                <w:color w:val="auto"/>
                <w:sz w:val="24"/>
              </w:rPr>
              <w:t>□</w:t>
            </w:r>
            <w:r>
              <w:rPr>
                <w:rFonts w:hint="default" w:ascii="Times New Roman" w:hAnsi="Times New Roman" w:cs="Times New Roman"/>
                <w:color w:val="auto"/>
                <w:sz w:val="24"/>
              </w:rPr>
              <w:t>扩建</w:t>
            </w:r>
          </w:p>
          <w:p w14:paraId="54571051">
            <w:pPr>
              <w:jc w:val="left"/>
              <w:rPr>
                <w:rFonts w:hint="default" w:ascii="Times New Roman" w:hAnsi="Times New Roman" w:cs="Times New Roman"/>
                <w:color w:val="auto"/>
                <w:sz w:val="24"/>
              </w:rPr>
            </w:pPr>
            <w:r>
              <w:rPr>
                <w:color w:val="auto"/>
                <w:sz w:val="24"/>
              </w:rPr>
              <w:t>□</w:t>
            </w:r>
            <w:r>
              <w:rPr>
                <w:rFonts w:hint="default" w:ascii="Times New Roman" w:hAnsi="Times New Roman" w:cs="Times New Roman"/>
                <w:color w:val="auto"/>
                <w:sz w:val="24"/>
              </w:rPr>
              <w:t>技术改造</w:t>
            </w:r>
          </w:p>
        </w:tc>
        <w:tc>
          <w:tcPr>
            <w:tcW w:w="846" w:type="pct"/>
            <w:vAlign w:val="center"/>
          </w:tcPr>
          <w:p w14:paraId="54EA0942">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建设项目申报情形</w:t>
            </w:r>
          </w:p>
        </w:tc>
        <w:tc>
          <w:tcPr>
            <w:tcW w:w="1906" w:type="pct"/>
            <w:vAlign w:val="center"/>
          </w:tcPr>
          <w:p w14:paraId="5E8E1B21">
            <w:pPr>
              <w:jc w:val="left"/>
              <w:rPr>
                <w:rFonts w:hint="default" w:ascii="Times New Roman" w:hAnsi="Times New Roman" w:cs="Times New Roman"/>
                <w:color w:val="auto"/>
                <w:sz w:val="24"/>
              </w:rPr>
            </w:pPr>
            <w:r>
              <w:rPr>
                <w:rFonts w:hint="eastAsia"/>
                <w:color w:val="auto"/>
                <w:sz w:val="24"/>
                <w:lang w:eastAsia="zh-CN"/>
              </w:rPr>
              <w:t>☑</w:t>
            </w:r>
            <w:r>
              <w:rPr>
                <w:rFonts w:hint="default" w:ascii="Times New Roman" w:hAnsi="Times New Roman" w:cs="Times New Roman"/>
                <w:color w:val="auto"/>
                <w:sz w:val="24"/>
              </w:rPr>
              <w:t>首次申报项目</w:t>
            </w:r>
          </w:p>
          <w:p w14:paraId="6792C17C">
            <w:pPr>
              <w:jc w:val="left"/>
              <w:rPr>
                <w:rFonts w:hint="default" w:ascii="Times New Roman" w:hAnsi="Times New Roman" w:cs="Times New Roman"/>
                <w:color w:val="auto"/>
                <w:sz w:val="24"/>
              </w:rPr>
            </w:pPr>
            <w:r>
              <w:rPr>
                <w:color w:val="auto"/>
                <w:sz w:val="24"/>
              </w:rPr>
              <w:t>□</w:t>
            </w:r>
            <w:r>
              <w:rPr>
                <w:rFonts w:hint="default" w:ascii="Times New Roman" w:hAnsi="Times New Roman" w:cs="Times New Roman"/>
                <w:color w:val="auto"/>
                <w:sz w:val="24"/>
              </w:rPr>
              <w:t>不予批准后再次申报项目</w:t>
            </w:r>
          </w:p>
          <w:p w14:paraId="487FA296">
            <w:pPr>
              <w:jc w:val="left"/>
              <w:rPr>
                <w:rFonts w:hint="default" w:ascii="Times New Roman" w:hAnsi="Times New Roman" w:cs="Times New Roman"/>
                <w:color w:val="auto"/>
                <w:sz w:val="24"/>
              </w:rPr>
            </w:pPr>
            <w:r>
              <w:rPr>
                <w:color w:val="auto"/>
                <w:sz w:val="24"/>
              </w:rPr>
              <w:t>□</w:t>
            </w:r>
            <w:r>
              <w:rPr>
                <w:rFonts w:hint="default" w:ascii="Times New Roman" w:hAnsi="Times New Roman" w:cs="Times New Roman"/>
                <w:color w:val="auto"/>
                <w:sz w:val="24"/>
              </w:rPr>
              <w:t>超五年重新审核项目</w:t>
            </w:r>
          </w:p>
          <w:p w14:paraId="342B5161">
            <w:pPr>
              <w:jc w:val="left"/>
              <w:rPr>
                <w:rFonts w:hint="default" w:ascii="Times New Roman" w:hAnsi="Times New Roman" w:cs="Times New Roman"/>
                <w:color w:val="auto"/>
                <w:sz w:val="24"/>
              </w:rPr>
            </w:pPr>
            <w:r>
              <w:rPr>
                <w:color w:val="auto"/>
                <w:sz w:val="24"/>
              </w:rPr>
              <w:t>□</w:t>
            </w:r>
            <w:r>
              <w:rPr>
                <w:rFonts w:hint="default" w:ascii="Times New Roman" w:hAnsi="Times New Roman" w:cs="Times New Roman"/>
                <w:color w:val="auto"/>
                <w:sz w:val="24"/>
              </w:rPr>
              <w:t>重大变动重新报批项目</w:t>
            </w:r>
          </w:p>
        </w:tc>
      </w:tr>
      <w:tr w14:paraId="47EE4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37" w:type="pct"/>
            <w:tcMar>
              <w:top w:w="16" w:type="dxa"/>
              <w:left w:w="16" w:type="dxa"/>
              <w:right w:w="16" w:type="dxa"/>
            </w:tcMar>
            <w:vAlign w:val="center"/>
          </w:tcPr>
          <w:p w14:paraId="2B46D063">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项目审批（核准/备案）部门（选填）</w:t>
            </w:r>
          </w:p>
        </w:tc>
        <w:tc>
          <w:tcPr>
            <w:tcW w:w="1310" w:type="pct"/>
            <w:vAlign w:val="center"/>
          </w:tcPr>
          <w:p w14:paraId="056CA52D">
            <w:pPr>
              <w:adjustRightInd w:val="0"/>
              <w:snapToGrid w:val="0"/>
              <w:jc w:val="center"/>
              <w:rPr>
                <w:rFonts w:hint="eastAsia" w:ascii="Times New Roman" w:hAnsi="Times New Roman" w:eastAsia="宋体" w:cs="Times New Roman"/>
                <w:color w:val="auto"/>
                <w:sz w:val="24"/>
                <w:lang w:eastAsia="zh-CN"/>
              </w:rPr>
            </w:pPr>
            <w:r>
              <w:rPr>
                <w:rFonts w:hint="eastAsia" w:cs="Times New Roman"/>
                <w:color w:val="auto"/>
                <w:sz w:val="24"/>
                <w:lang w:eastAsia="zh-CN"/>
              </w:rPr>
              <w:t>溆浦县发展和改革局</w:t>
            </w:r>
          </w:p>
        </w:tc>
        <w:tc>
          <w:tcPr>
            <w:tcW w:w="846" w:type="pct"/>
            <w:vAlign w:val="center"/>
          </w:tcPr>
          <w:p w14:paraId="2258D713">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项目审批（核准/备案）文号（选填）</w:t>
            </w:r>
          </w:p>
        </w:tc>
        <w:tc>
          <w:tcPr>
            <w:tcW w:w="1906" w:type="pct"/>
            <w:vAlign w:val="center"/>
          </w:tcPr>
          <w:p w14:paraId="64833A52">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溆发改备案﹝202</w:t>
            </w:r>
            <w:r>
              <w:rPr>
                <w:rFonts w:hint="eastAsia" w:cs="Times New Roman"/>
                <w:color w:val="auto"/>
                <w:sz w:val="24"/>
                <w:lang w:val="en-US" w:eastAsia="zh-CN"/>
              </w:rPr>
              <w:t>5</w:t>
            </w:r>
            <w:r>
              <w:rPr>
                <w:rFonts w:hint="default" w:ascii="Times New Roman" w:hAnsi="Times New Roman" w:cs="Times New Roman"/>
                <w:color w:val="auto"/>
                <w:sz w:val="24"/>
              </w:rPr>
              <w:t>﹞0</w:t>
            </w:r>
            <w:r>
              <w:rPr>
                <w:rFonts w:hint="eastAsia" w:cs="Times New Roman"/>
                <w:color w:val="auto"/>
                <w:sz w:val="24"/>
                <w:lang w:val="en-US" w:eastAsia="zh-CN"/>
              </w:rPr>
              <w:t>40</w:t>
            </w:r>
            <w:r>
              <w:rPr>
                <w:rFonts w:hint="default" w:ascii="Times New Roman" w:hAnsi="Times New Roman" w:cs="Times New Roman"/>
                <w:color w:val="auto"/>
                <w:sz w:val="24"/>
              </w:rPr>
              <w:t>号</w:t>
            </w:r>
          </w:p>
        </w:tc>
      </w:tr>
      <w:tr w14:paraId="0D8FA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7" w:type="pct"/>
            <w:tcMar>
              <w:top w:w="16" w:type="dxa"/>
              <w:left w:w="16" w:type="dxa"/>
              <w:right w:w="16" w:type="dxa"/>
            </w:tcMar>
            <w:vAlign w:val="center"/>
          </w:tcPr>
          <w:p w14:paraId="0ACDAA34">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总投资（万元）</w:t>
            </w:r>
          </w:p>
        </w:tc>
        <w:tc>
          <w:tcPr>
            <w:tcW w:w="1310" w:type="pct"/>
            <w:vAlign w:val="center"/>
          </w:tcPr>
          <w:p w14:paraId="1DE81768">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kern w:val="44"/>
                <w:sz w:val="24"/>
                <w:lang w:val="en-US" w:eastAsia="zh-CN"/>
              </w:rPr>
              <w:t>5000</w:t>
            </w:r>
          </w:p>
        </w:tc>
        <w:tc>
          <w:tcPr>
            <w:tcW w:w="846" w:type="pct"/>
            <w:tcMar>
              <w:top w:w="16" w:type="dxa"/>
              <w:left w:w="16" w:type="dxa"/>
              <w:right w:w="16" w:type="dxa"/>
            </w:tcMar>
            <w:vAlign w:val="center"/>
          </w:tcPr>
          <w:p w14:paraId="7B9D2256">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1906" w:type="pct"/>
            <w:vAlign w:val="center"/>
          </w:tcPr>
          <w:p w14:paraId="6D5DA851">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kern w:val="44"/>
                <w:sz w:val="24"/>
                <w:highlight w:val="none"/>
                <w:lang w:val="en-US" w:eastAsia="zh-CN"/>
              </w:rPr>
              <w:t>100</w:t>
            </w:r>
          </w:p>
        </w:tc>
      </w:tr>
      <w:tr w14:paraId="1F4EC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7" w:type="pct"/>
            <w:tcMar>
              <w:top w:w="16" w:type="dxa"/>
              <w:left w:w="16" w:type="dxa"/>
              <w:right w:w="16" w:type="dxa"/>
            </w:tcMar>
            <w:vAlign w:val="center"/>
          </w:tcPr>
          <w:p w14:paraId="3F7DF050">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环保投资占比（%）</w:t>
            </w:r>
          </w:p>
        </w:tc>
        <w:tc>
          <w:tcPr>
            <w:tcW w:w="1310" w:type="pct"/>
            <w:vAlign w:val="center"/>
          </w:tcPr>
          <w:p w14:paraId="18A8C007">
            <w:pPr>
              <w:adjustRightInd w:val="0"/>
              <w:snapToGrid w:val="0"/>
              <w:jc w:val="center"/>
              <w:rPr>
                <w:rFonts w:hint="default" w:ascii="Times New Roman" w:hAnsi="Times New Roman" w:cs="Times New Roman"/>
                <w:color w:val="auto"/>
                <w:sz w:val="24"/>
              </w:rPr>
            </w:pPr>
            <w:r>
              <w:rPr>
                <w:rFonts w:hint="eastAsia" w:cs="Times New Roman"/>
                <w:color w:val="auto"/>
                <w:sz w:val="24"/>
                <w:highlight w:val="none"/>
                <w:lang w:val="en-US" w:eastAsia="zh-CN"/>
              </w:rPr>
              <w:t>2</w:t>
            </w:r>
          </w:p>
        </w:tc>
        <w:tc>
          <w:tcPr>
            <w:tcW w:w="846" w:type="pct"/>
            <w:tcMar>
              <w:top w:w="16" w:type="dxa"/>
              <w:left w:w="16" w:type="dxa"/>
              <w:right w:w="16" w:type="dxa"/>
            </w:tcMar>
            <w:vAlign w:val="center"/>
          </w:tcPr>
          <w:p w14:paraId="06EF5DC4">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1906" w:type="pct"/>
            <w:vAlign w:val="center"/>
          </w:tcPr>
          <w:p w14:paraId="0EA6AE02">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12个月</w:t>
            </w:r>
          </w:p>
        </w:tc>
      </w:tr>
      <w:tr w14:paraId="1B503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37" w:type="pct"/>
            <w:tcMar>
              <w:top w:w="16" w:type="dxa"/>
              <w:left w:w="16" w:type="dxa"/>
              <w:right w:w="16" w:type="dxa"/>
            </w:tcMar>
            <w:vAlign w:val="center"/>
          </w:tcPr>
          <w:p w14:paraId="5E1DFCBA">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是否开工建设</w:t>
            </w:r>
          </w:p>
        </w:tc>
        <w:tc>
          <w:tcPr>
            <w:tcW w:w="1310" w:type="pct"/>
            <w:vAlign w:val="center"/>
          </w:tcPr>
          <w:p w14:paraId="2D7FF00C">
            <w:pPr>
              <w:adjustRightInd w:val="0"/>
              <w:snapToGrid w:val="0"/>
              <w:rPr>
                <w:rFonts w:hint="default" w:ascii="Times New Roman" w:hAnsi="Times New Roman" w:cs="Times New Roman"/>
                <w:color w:val="auto"/>
                <w:sz w:val="24"/>
              </w:rPr>
            </w:pPr>
            <w:r>
              <w:rPr>
                <w:rFonts w:hint="eastAsia"/>
                <w:color w:val="auto"/>
                <w:sz w:val="24"/>
                <w:lang w:eastAsia="zh-CN"/>
              </w:rPr>
              <w:t>☑</w:t>
            </w:r>
            <w:r>
              <w:rPr>
                <w:rFonts w:hint="default" w:ascii="Times New Roman" w:hAnsi="Times New Roman" w:cs="Times New Roman"/>
                <w:color w:val="auto"/>
                <w:sz w:val="24"/>
              </w:rPr>
              <w:t>否</w:t>
            </w:r>
          </w:p>
          <w:p w14:paraId="67EDAE42">
            <w:pPr>
              <w:adjustRightInd w:val="0"/>
              <w:snapToGrid w:val="0"/>
              <w:rPr>
                <w:rFonts w:hint="default" w:ascii="Times New Roman" w:hAnsi="Times New Roman" w:cs="Times New Roman"/>
                <w:color w:val="auto"/>
                <w:sz w:val="24"/>
              </w:rPr>
            </w:pPr>
            <w:r>
              <w:rPr>
                <w:rFonts w:hint="eastAsia"/>
                <w:color w:val="auto"/>
                <w:sz w:val="24"/>
                <w:lang w:eastAsia="zh-CN"/>
              </w:rPr>
              <w:t>□</w:t>
            </w:r>
            <w:r>
              <w:rPr>
                <w:rFonts w:hint="default" w:ascii="Times New Roman" w:hAnsi="Times New Roman" w:cs="Times New Roman"/>
                <w:color w:val="auto"/>
                <w:sz w:val="24"/>
              </w:rPr>
              <w:t>是：</w:t>
            </w:r>
            <w:r>
              <w:rPr>
                <w:rFonts w:hint="eastAsia" w:cs="Times New Roman"/>
                <w:color w:val="auto"/>
                <w:sz w:val="24"/>
                <w:lang w:val="en-US" w:eastAsia="zh-CN"/>
              </w:rPr>
              <w:t xml:space="preserve">  </w:t>
            </w:r>
            <w:r>
              <w:rPr>
                <w:rFonts w:hint="eastAsia"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tc>
        <w:tc>
          <w:tcPr>
            <w:tcW w:w="846" w:type="pct"/>
            <w:tcMar>
              <w:top w:w="16" w:type="dxa"/>
              <w:left w:w="16" w:type="dxa"/>
              <w:right w:w="16" w:type="dxa"/>
            </w:tcMar>
            <w:vAlign w:val="center"/>
          </w:tcPr>
          <w:p w14:paraId="7C620A95">
            <w:pPr>
              <w:adjustRightInd w:val="0"/>
              <w:snapToGrid w:val="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用地（用海）</w:t>
            </w:r>
          </w:p>
          <w:p w14:paraId="27D232BB">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1906" w:type="pct"/>
            <w:vAlign w:val="center"/>
          </w:tcPr>
          <w:p w14:paraId="4C956304">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u w:val="single"/>
                <w:lang w:val="en-US" w:eastAsia="zh-CN"/>
              </w:rPr>
              <w:t>5959.9</w:t>
            </w:r>
          </w:p>
        </w:tc>
      </w:tr>
      <w:tr w14:paraId="5BADA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37" w:type="pct"/>
            <w:vAlign w:val="center"/>
          </w:tcPr>
          <w:p w14:paraId="1CB6B9F4">
            <w:pPr>
              <w:autoSpaceDE w:val="0"/>
              <w:autoSpaceDN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专项评价设置情况</w:t>
            </w:r>
          </w:p>
        </w:tc>
        <w:tc>
          <w:tcPr>
            <w:tcW w:w="4062" w:type="pct"/>
            <w:gridSpan w:val="3"/>
            <w:vAlign w:val="center"/>
          </w:tcPr>
          <w:p w14:paraId="69A889BF">
            <w:pPr>
              <w:autoSpaceDE w:val="0"/>
              <w:autoSpaceDN w:val="0"/>
              <w:adjustRightInd w:val="0"/>
              <w:snapToGrid w:val="0"/>
              <w:spacing w:before="120" w:beforeLines="50"/>
              <w:jc w:val="center"/>
              <w:rPr>
                <w:b/>
                <w:bCs/>
                <w:color w:val="auto"/>
                <w:kern w:val="0"/>
                <w:sz w:val="24"/>
              </w:rPr>
            </w:pPr>
            <w:r>
              <w:rPr>
                <w:b/>
                <w:bCs/>
                <w:color w:val="auto"/>
                <w:kern w:val="0"/>
                <w:sz w:val="24"/>
              </w:rPr>
              <w:t xml:space="preserve">表1-1 </w:t>
            </w:r>
            <w:r>
              <w:rPr>
                <w:rFonts w:hint="eastAsia"/>
                <w:b/>
                <w:bCs/>
                <w:color w:val="auto"/>
                <w:kern w:val="0"/>
                <w:sz w:val="24"/>
              </w:rPr>
              <w:t xml:space="preserve"> </w:t>
            </w:r>
            <w:r>
              <w:rPr>
                <w:b/>
                <w:bCs/>
                <w:color w:val="auto"/>
                <w:kern w:val="0"/>
                <w:sz w:val="24"/>
              </w:rPr>
              <w:t xml:space="preserve"> 专项评价设置原则表</w:t>
            </w:r>
          </w:p>
          <w:tbl>
            <w:tblPr>
              <w:tblStyle w:val="32"/>
              <w:tblW w:w="7504" w:type="dxa"/>
              <w:tblInd w:w="-8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138"/>
              <w:gridCol w:w="2649"/>
              <w:gridCol w:w="714"/>
            </w:tblGrid>
            <w:tr w14:paraId="388EF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3" w:type="dxa"/>
                  <w:noWrap w:val="0"/>
                  <w:vAlign w:val="center"/>
                </w:tcPr>
                <w:p w14:paraId="15E55099">
                  <w:pPr>
                    <w:autoSpaceDE w:val="0"/>
                    <w:autoSpaceDN w:val="0"/>
                    <w:adjustRightInd w:val="0"/>
                    <w:snapToGrid w:val="0"/>
                    <w:jc w:val="center"/>
                    <w:rPr>
                      <w:b/>
                      <w:bCs/>
                      <w:color w:val="auto"/>
                      <w:kern w:val="0"/>
                      <w:szCs w:val="21"/>
                    </w:rPr>
                  </w:pPr>
                  <w:r>
                    <w:rPr>
                      <w:b/>
                      <w:bCs/>
                      <w:color w:val="auto"/>
                      <w:kern w:val="0"/>
                      <w:szCs w:val="21"/>
                    </w:rPr>
                    <w:t>专项评价类别</w:t>
                  </w:r>
                </w:p>
              </w:tc>
              <w:tc>
                <w:tcPr>
                  <w:tcW w:w="3138" w:type="dxa"/>
                  <w:noWrap w:val="0"/>
                  <w:vAlign w:val="center"/>
                </w:tcPr>
                <w:p w14:paraId="56B3A344">
                  <w:pPr>
                    <w:autoSpaceDE w:val="0"/>
                    <w:autoSpaceDN w:val="0"/>
                    <w:adjustRightInd w:val="0"/>
                    <w:snapToGrid w:val="0"/>
                    <w:jc w:val="center"/>
                    <w:rPr>
                      <w:b/>
                      <w:bCs/>
                      <w:color w:val="auto"/>
                      <w:kern w:val="0"/>
                      <w:szCs w:val="21"/>
                    </w:rPr>
                  </w:pPr>
                  <w:r>
                    <w:rPr>
                      <w:b/>
                      <w:bCs/>
                      <w:color w:val="auto"/>
                      <w:kern w:val="0"/>
                      <w:szCs w:val="21"/>
                    </w:rPr>
                    <w:t>设置原则</w:t>
                  </w:r>
                </w:p>
              </w:tc>
              <w:tc>
                <w:tcPr>
                  <w:tcW w:w="2649" w:type="dxa"/>
                  <w:noWrap w:val="0"/>
                  <w:vAlign w:val="center"/>
                </w:tcPr>
                <w:p w14:paraId="3313FB70">
                  <w:pPr>
                    <w:autoSpaceDE w:val="0"/>
                    <w:autoSpaceDN w:val="0"/>
                    <w:adjustRightInd w:val="0"/>
                    <w:snapToGrid w:val="0"/>
                    <w:jc w:val="center"/>
                    <w:rPr>
                      <w:b/>
                      <w:bCs/>
                      <w:color w:val="auto"/>
                      <w:kern w:val="0"/>
                      <w:szCs w:val="21"/>
                    </w:rPr>
                  </w:pPr>
                  <w:r>
                    <w:rPr>
                      <w:b/>
                      <w:bCs/>
                      <w:color w:val="auto"/>
                      <w:kern w:val="0"/>
                      <w:szCs w:val="21"/>
                    </w:rPr>
                    <w:t>本项目情况</w:t>
                  </w:r>
                </w:p>
              </w:tc>
              <w:tc>
                <w:tcPr>
                  <w:tcW w:w="714" w:type="dxa"/>
                  <w:noWrap w:val="0"/>
                  <w:vAlign w:val="center"/>
                </w:tcPr>
                <w:p w14:paraId="0CAFBF01">
                  <w:pPr>
                    <w:autoSpaceDE w:val="0"/>
                    <w:autoSpaceDN w:val="0"/>
                    <w:adjustRightInd w:val="0"/>
                    <w:snapToGrid w:val="0"/>
                    <w:jc w:val="center"/>
                    <w:rPr>
                      <w:b/>
                      <w:bCs/>
                      <w:color w:val="auto"/>
                      <w:kern w:val="0"/>
                      <w:szCs w:val="21"/>
                    </w:rPr>
                  </w:pPr>
                  <w:r>
                    <w:rPr>
                      <w:b/>
                      <w:bCs/>
                      <w:color w:val="auto"/>
                      <w:kern w:val="0"/>
                      <w:szCs w:val="21"/>
                    </w:rPr>
                    <w:t>判定结果</w:t>
                  </w:r>
                </w:p>
              </w:tc>
            </w:tr>
            <w:tr w14:paraId="2FF66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03" w:type="dxa"/>
                  <w:noWrap w:val="0"/>
                  <w:vAlign w:val="center"/>
                </w:tcPr>
                <w:p w14:paraId="6EB47E5B">
                  <w:pPr>
                    <w:autoSpaceDE w:val="0"/>
                    <w:autoSpaceDN w:val="0"/>
                    <w:adjustRightInd w:val="0"/>
                    <w:snapToGrid w:val="0"/>
                    <w:jc w:val="center"/>
                    <w:rPr>
                      <w:color w:val="auto"/>
                      <w:kern w:val="0"/>
                      <w:szCs w:val="21"/>
                    </w:rPr>
                  </w:pPr>
                  <w:r>
                    <w:rPr>
                      <w:color w:val="auto"/>
                      <w:kern w:val="0"/>
                      <w:szCs w:val="21"/>
                    </w:rPr>
                    <w:t>大气</w:t>
                  </w:r>
                </w:p>
              </w:tc>
              <w:tc>
                <w:tcPr>
                  <w:tcW w:w="3138" w:type="dxa"/>
                  <w:noWrap w:val="0"/>
                  <w:vAlign w:val="center"/>
                </w:tcPr>
                <w:p w14:paraId="7AA13E23">
                  <w:pPr>
                    <w:autoSpaceDE w:val="0"/>
                    <w:autoSpaceDN w:val="0"/>
                    <w:adjustRightInd w:val="0"/>
                    <w:snapToGrid w:val="0"/>
                    <w:rPr>
                      <w:color w:val="auto"/>
                      <w:kern w:val="0"/>
                      <w:szCs w:val="21"/>
                    </w:rPr>
                  </w:pPr>
                  <w:r>
                    <w:rPr>
                      <w:color w:val="auto"/>
                      <w:kern w:val="0"/>
                      <w:szCs w:val="21"/>
                    </w:rPr>
                    <w:t>排放废气含有毒有害污染物、二噁英、苯并</w:t>
                  </w:r>
                  <w:r>
                    <w:rPr>
                      <w:rFonts w:hint="eastAsia"/>
                      <w:color w:val="auto"/>
                      <w:kern w:val="0"/>
                      <w:szCs w:val="21"/>
                    </w:rPr>
                    <w:t>〔</w:t>
                  </w:r>
                  <w:r>
                    <w:rPr>
                      <w:color w:val="auto"/>
                      <w:kern w:val="0"/>
                      <w:szCs w:val="21"/>
                    </w:rPr>
                    <w:t>a</w:t>
                  </w:r>
                  <w:r>
                    <w:rPr>
                      <w:rFonts w:hint="eastAsia"/>
                      <w:color w:val="auto"/>
                      <w:kern w:val="0"/>
                      <w:szCs w:val="21"/>
                    </w:rPr>
                    <w:t>〕</w:t>
                  </w:r>
                  <w:r>
                    <w:rPr>
                      <w:color w:val="auto"/>
                      <w:kern w:val="0"/>
                      <w:szCs w:val="21"/>
                    </w:rPr>
                    <w:t>芘、氰化物、氯气且厂界外500米范围内有环境空气保护目标的建设项目</w:t>
                  </w:r>
                </w:p>
              </w:tc>
              <w:tc>
                <w:tcPr>
                  <w:tcW w:w="2649" w:type="dxa"/>
                  <w:noWrap w:val="0"/>
                  <w:vAlign w:val="center"/>
                </w:tcPr>
                <w:p w14:paraId="050CAF29">
                  <w:pPr>
                    <w:autoSpaceDE w:val="0"/>
                    <w:autoSpaceDN w:val="0"/>
                    <w:adjustRightInd w:val="0"/>
                    <w:snapToGrid w:val="0"/>
                    <w:rPr>
                      <w:color w:val="auto"/>
                      <w:kern w:val="0"/>
                      <w:szCs w:val="21"/>
                      <w:u w:val="single"/>
                    </w:rPr>
                  </w:pPr>
                  <w:r>
                    <w:rPr>
                      <w:rFonts w:hint="eastAsia"/>
                      <w:color w:val="auto"/>
                      <w:kern w:val="0"/>
                      <w:szCs w:val="21"/>
                      <w:u w:val="none"/>
                      <w:lang w:val="en-US" w:eastAsia="zh-CN"/>
                    </w:rPr>
                    <w:t>本</w:t>
                  </w:r>
                  <w:r>
                    <w:rPr>
                      <w:color w:val="auto"/>
                      <w:kern w:val="0"/>
                      <w:szCs w:val="21"/>
                      <w:u w:val="none"/>
                    </w:rPr>
                    <w:t>项目</w:t>
                  </w:r>
                  <w:r>
                    <w:rPr>
                      <w:rFonts w:hint="eastAsia"/>
                      <w:color w:val="auto"/>
                      <w:kern w:val="0"/>
                      <w:szCs w:val="21"/>
                      <w:u w:val="none"/>
                      <w:lang w:val="en-US" w:eastAsia="zh-CN"/>
                    </w:rPr>
                    <w:t>排放废气主要为</w:t>
                  </w:r>
                  <w:r>
                    <w:rPr>
                      <w:rFonts w:ascii="Times New Roman" w:hAnsi="Times New Roman" w:eastAsia="宋体" w:cs="Times New Roman"/>
                      <w:color w:val="auto"/>
                      <w:kern w:val="0"/>
                      <w:szCs w:val="21"/>
                      <w:u w:val="none"/>
                    </w:rPr>
                    <w:t>颗粒物、二氧化硫、氮氧化物</w:t>
                  </w:r>
                  <w:r>
                    <w:rPr>
                      <w:rFonts w:hint="eastAsia"/>
                      <w:color w:val="auto"/>
                      <w:kern w:val="0"/>
                      <w:szCs w:val="21"/>
                      <w:u w:val="none"/>
                      <w:lang w:val="en-US" w:eastAsia="zh-CN"/>
                    </w:rPr>
                    <w:t>，</w:t>
                  </w:r>
                  <w:r>
                    <w:rPr>
                      <w:color w:val="auto"/>
                      <w:kern w:val="0"/>
                      <w:szCs w:val="21"/>
                      <w:u w:val="none"/>
                    </w:rPr>
                    <w:t>不涉及排放有毒有害污染物、二噁英、苯并</w:t>
                  </w:r>
                  <w:r>
                    <w:rPr>
                      <w:rFonts w:hint="eastAsia"/>
                      <w:color w:val="auto"/>
                      <w:kern w:val="0"/>
                      <w:szCs w:val="21"/>
                      <w:u w:val="none"/>
                    </w:rPr>
                    <w:t>〔</w:t>
                  </w:r>
                  <w:r>
                    <w:rPr>
                      <w:color w:val="auto"/>
                      <w:kern w:val="0"/>
                      <w:szCs w:val="21"/>
                      <w:u w:val="none"/>
                    </w:rPr>
                    <w:t>a</w:t>
                  </w:r>
                  <w:r>
                    <w:rPr>
                      <w:rFonts w:hint="eastAsia"/>
                      <w:color w:val="auto"/>
                      <w:kern w:val="0"/>
                      <w:szCs w:val="21"/>
                      <w:u w:val="none"/>
                    </w:rPr>
                    <w:t>〕</w:t>
                  </w:r>
                  <w:r>
                    <w:rPr>
                      <w:color w:val="auto"/>
                      <w:kern w:val="0"/>
                      <w:szCs w:val="21"/>
                      <w:u w:val="none"/>
                    </w:rPr>
                    <w:t>芘、氰化物、氯气</w:t>
                  </w:r>
                  <w:r>
                    <w:rPr>
                      <w:rFonts w:hint="eastAsia" w:cs="Times New Roman"/>
                      <w:bCs/>
                      <w:color w:val="auto"/>
                      <w:kern w:val="2"/>
                      <w:sz w:val="21"/>
                      <w:szCs w:val="21"/>
                      <w:highlight w:val="none"/>
                      <w:u w:val="none"/>
                      <w:lang w:val="en-US" w:eastAsia="zh-CN" w:bidi="ar-SA"/>
                    </w:rPr>
                    <w:t>等</w:t>
                  </w:r>
                  <w:r>
                    <w:rPr>
                      <w:color w:val="auto"/>
                      <w:kern w:val="0"/>
                      <w:szCs w:val="21"/>
                      <w:u w:val="none"/>
                    </w:rPr>
                    <w:t>。</w:t>
                  </w:r>
                </w:p>
              </w:tc>
              <w:tc>
                <w:tcPr>
                  <w:tcW w:w="714" w:type="dxa"/>
                  <w:noWrap w:val="0"/>
                  <w:vAlign w:val="center"/>
                </w:tcPr>
                <w:p w14:paraId="6E1E111B">
                  <w:pPr>
                    <w:autoSpaceDE w:val="0"/>
                    <w:autoSpaceDN w:val="0"/>
                    <w:adjustRightInd w:val="0"/>
                    <w:snapToGrid w:val="0"/>
                    <w:jc w:val="center"/>
                    <w:rPr>
                      <w:color w:val="auto"/>
                      <w:kern w:val="0"/>
                      <w:szCs w:val="21"/>
                      <w:u w:val="single"/>
                    </w:rPr>
                  </w:pPr>
                  <w:r>
                    <w:rPr>
                      <w:color w:val="auto"/>
                      <w:kern w:val="0"/>
                      <w:szCs w:val="21"/>
                      <w:u w:val="single"/>
                    </w:rPr>
                    <w:t>无须设置</w:t>
                  </w:r>
                </w:p>
              </w:tc>
            </w:tr>
            <w:tr w14:paraId="25413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3" w:type="dxa"/>
                  <w:noWrap w:val="0"/>
                  <w:vAlign w:val="center"/>
                </w:tcPr>
                <w:p w14:paraId="2AD85A5C">
                  <w:pPr>
                    <w:autoSpaceDE w:val="0"/>
                    <w:autoSpaceDN w:val="0"/>
                    <w:adjustRightInd w:val="0"/>
                    <w:snapToGrid w:val="0"/>
                    <w:jc w:val="center"/>
                    <w:rPr>
                      <w:color w:val="auto"/>
                      <w:kern w:val="0"/>
                      <w:szCs w:val="21"/>
                    </w:rPr>
                  </w:pPr>
                  <w:r>
                    <w:rPr>
                      <w:color w:val="auto"/>
                      <w:kern w:val="0"/>
                      <w:szCs w:val="21"/>
                    </w:rPr>
                    <w:t>地表水</w:t>
                  </w:r>
                </w:p>
              </w:tc>
              <w:tc>
                <w:tcPr>
                  <w:tcW w:w="3138" w:type="dxa"/>
                  <w:noWrap w:val="0"/>
                  <w:vAlign w:val="center"/>
                </w:tcPr>
                <w:p w14:paraId="48592490">
                  <w:pPr>
                    <w:autoSpaceDE w:val="0"/>
                    <w:autoSpaceDN w:val="0"/>
                    <w:adjustRightInd w:val="0"/>
                    <w:snapToGrid w:val="0"/>
                    <w:rPr>
                      <w:color w:val="auto"/>
                      <w:kern w:val="0"/>
                      <w:szCs w:val="21"/>
                    </w:rPr>
                  </w:pPr>
                  <w:r>
                    <w:rPr>
                      <w:color w:val="auto"/>
                      <w:kern w:val="0"/>
                      <w:szCs w:val="21"/>
                    </w:rPr>
                    <w:t>新增工业废水直排建设项目（槽罐车外送污水处理厂的除外）；新增废水直排的污水集中处理厂</w:t>
                  </w:r>
                </w:p>
              </w:tc>
              <w:tc>
                <w:tcPr>
                  <w:tcW w:w="2649" w:type="dxa"/>
                  <w:noWrap w:val="0"/>
                  <w:vAlign w:val="center"/>
                </w:tcPr>
                <w:p w14:paraId="643B946A">
                  <w:pPr>
                    <w:autoSpaceDE w:val="0"/>
                    <w:autoSpaceDN w:val="0"/>
                    <w:adjustRightInd w:val="0"/>
                    <w:snapToGrid w:val="0"/>
                    <w:jc w:val="center"/>
                    <w:rPr>
                      <w:color w:val="auto"/>
                      <w:kern w:val="0"/>
                      <w:szCs w:val="21"/>
                    </w:rPr>
                  </w:pPr>
                  <w:r>
                    <w:rPr>
                      <w:color w:val="auto"/>
                      <w:kern w:val="0"/>
                      <w:szCs w:val="21"/>
                    </w:rPr>
                    <w:t>不涉及</w:t>
                  </w:r>
                </w:p>
              </w:tc>
              <w:tc>
                <w:tcPr>
                  <w:tcW w:w="714" w:type="dxa"/>
                  <w:noWrap w:val="0"/>
                  <w:vAlign w:val="center"/>
                </w:tcPr>
                <w:p w14:paraId="03C106E6">
                  <w:pPr>
                    <w:autoSpaceDE w:val="0"/>
                    <w:autoSpaceDN w:val="0"/>
                    <w:adjustRightInd w:val="0"/>
                    <w:snapToGrid w:val="0"/>
                    <w:jc w:val="center"/>
                    <w:rPr>
                      <w:color w:val="auto"/>
                      <w:kern w:val="0"/>
                      <w:szCs w:val="21"/>
                    </w:rPr>
                  </w:pPr>
                  <w:r>
                    <w:rPr>
                      <w:color w:val="auto"/>
                      <w:kern w:val="0"/>
                      <w:szCs w:val="21"/>
                    </w:rPr>
                    <w:t>无须设置</w:t>
                  </w:r>
                </w:p>
              </w:tc>
            </w:tr>
            <w:tr w14:paraId="2ECF0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3" w:type="dxa"/>
                  <w:noWrap w:val="0"/>
                  <w:vAlign w:val="center"/>
                </w:tcPr>
                <w:p w14:paraId="1FF62579">
                  <w:pPr>
                    <w:autoSpaceDE w:val="0"/>
                    <w:autoSpaceDN w:val="0"/>
                    <w:adjustRightInd w:val="0"/>
                    <w:snapToGrid w:val="0"/>
                    <w:jc w:val="center"/>
                    <w:rPr>
                      <w:color w:val="auto"/>
                      <w:kern w:val="0"/>
                      <w:szCs w:val="21"/>
                    </w:rPr>
                  </w:pPr>
                  <w:r>
                    <w:rPr>
                      <w:color w:val="auto"/>
                      <w:kern w:val="0"/>
                      <w:szCs w:val="21"/>
                    </w:rPr>
                    <w:t>环境风险</w:t>
                  </w:r>
                </w:p>
              </w:tc>
              <w:tc>
                <w:tcPr>
                  <w:tcW w:w="3138" w:type="dxa"/>
                  <w:noWrap w:val="0"/>
                  <w:vAlign w:val="center"/>
                </w:tcPr>
                <w:p w14:paraId="388A8EDA">
                  <w:pPr>
                    <w:autoSpaceDE w:val="0"/>
                    <w:autoSpaceDN w:val="0"/>
                    <w:adjustRightInd w:val="0"/>
                    <w:snapToGrid w:val="0"/>
                    <w:rPr>
                      <w:color w:val="auto"/>
                      <w:kern w:val="0"/>
                      <w:szCs w:val="21"/>
                    </w:rPr>
                  </w:pPr>
                  <w:r>
                    <w:rPr>
                      <w:color w:val="auto"/>
                      <w:kern w:val="0"/>
                      <w:szCs w:val="21"/>
                    </w:rPr>
                    <w:t>有毒有害和易燃易爆危险物质存储量超过临界量的建设项目</w:t>
                  </w:r>
                </w:p>
              </w:tc>
              <w:tc>
                <w:tcPr>
                  <w:tcW w:w="2649" w:type="dxa"/>
                  <w:noWrap w:val="0"/>
                  <w:vAlign w:val="center"/>
                </w:tcPr>
                <w:p w14:paraId="36AA6D68">
                  <w:pPr>
                    <w:autoSpaceDE w:val="0"/>
                    <w:autoSpaceDN w:val="0"/>
                    <w:adjustRightInd w:val="0"/>
                    <w:snapToGrid w:val="0"/>
                    <w:rPr>
                      <w:color w:val="auto"/>
                      <w:kern w:val="0"/>
                      <w:szCs w:val="21"/>
                    </w:rPr>
                  </w:pPr>
                  <w:r>
                    <w:rPr>
                      <w:color w:val="auto"/>
                      <w:kern w:val="0"/>
                      <w:szCs w:val="21"/>
                    </w:rPr>
                    <w:t>涉及有毒有害和易燃易爆危险物质</w:t>
                  </w:r>
                  <w:r>
                    <w:rPr>
                      <w:rFonts w:hint="eastAsia"/>
                      <w:color w:val="auto"/>
                      <w:kern w:val="0"/>
                      <w:szCs w:val="21"/>
                    </w:rPr>
                    <w:t>最大</w:t>
                  </w:r>
                  <w:r>
                    <w:rPr>
                      <w:color w:val="auto"/>
                      <w:kern w:val="0"/>
                      <w:szCs w:val="21"/>
                    </w:rPr>
                    <w:t>储</w:t>
                  </w:r>
                  <w:r>
                    <w:rPr>
                      <w:rFonts w:hint="eastAsia"/>
                      <w:color w:val="auto"/>
                      <w:kern w:val="0"/>
                      <w:szCs w:val="21"/>
                    </w:rPr>
                    <w:t>存</w:t>
                  </w:r>
                  <w:r>
                    <w:rPr>
                      <w:color w:val="auto"/>
                      <w:kern w:val="0"/>
                      <w:szCs w:val="21"/>
                    </w:rPr>
                    <w:t>量未超过临界量</w:t>
                  </w:r>
                </w:p>
              </w:tc>
              <w:tc>
                <w:tcPr>
                  <w:tcW w:w="714" w:type="dxa"/>
                  <w:noWrap w:val="0"/>
                  <w:vAlign w:val="center"/>
                </w:tcPr>
                <w:p w14:paraId="17FEF6C1">
                  <w:pPr>
                    <w:autoSpaceDE w:val="0"/>
                    <w:autoSpaceDN w:val="0"/>
                    <w:adjustRightInd w:val="0"/>
                    <w:snapToGrid w:val="0"/>
                    <w:jc w:val="center"/>
                    <w:rPr>
                      <w:color w:val="auto"/>
                      <w:kern w:val="0"/>
                      <w:szCs w:val="21"/>
                    </w:rPr>
                  </w:pPr>
                  <w:r>
                    <w:rPr>
                      <w:color w:val="auto"/>
                      <w:kern w:val="0"/>
                      <w:szCs w:val="21"/>
                    </w:rPr>
                    <w:t>无须设置</w:t>
                  </w:r>
                </w:p>
              </w:tc>
            </w:tr>
            <w:tr w14:paraId="67EDD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03" w:type="dxa"/>
                  <w:noWrap w:val="0"/>
                  <w:vAlign w:val="center"/>
                </w:tcPr>
                <w:p w14:paraId="5995B1C1">
                  <w:pPr>
                    <w:autoSpaceDE w:val="0"/>
                    <w:autoSpaceDN w:val="0"/>
                    <w:adjustRightInd w:val="0"/>
                    <w:snapToGrid w:val="0"/>
                    <w:jc w:val="center"/>
                    <w:rPr>
                      <w:color w:val="auto"/>
                      <w:kern w:val="0"/>
                      <w:szCs w:val="21"/>
                    </w:rPr>
                  </w:pPr>
                  <w:r>
                    <w:rPr>
                      <w:color w:val="auto"/>
                      <w:kern w:val="0"/>
                      <w:szCs w:val="21"/>
                    </w:rPr>
                    <w:t>生态</w:t>
                  </w:r>
                </w:p>
              </w:tc>
              <w:tc>
                <w:tcPr>
                  <w:tcW w:w="3138" w:type="dxa"/>
                  <w:noWrap w:val="0"/>
                  <w:vAlign w:val="center"/>
                </w:tcPr>
                <w:p w14:paraId="2B937637">
                  <w:pPr>
                    <w:autoSpaceDE w:val="0"/>
                    <w:autoSpaceDN w:val="0"/>
                    <w:adjustRightInd w:val="0"/>
                    <w:snapToGrid w:val="0"/>
                    <w:rPr>
                      <w:color w:val="auto"/>
                      <w:kern w:val="0"/>
                      <w:szCs w:val="21"/>
                    </w:rPr>
                  </w:pPr>
                  <w:r>
                    <w:rPr>
                      <w:color w:val="auto"/>
                      <w:kern w:val="0"/>
                      <w:szCs w:val="21"/>
                    </w:rPr>
                    <w:t>取水口下游500米范围内有重要水生生物的自然产卵场、索饵场、越冬场和洄游通道的新增河道取水的污染类建设项目</w:t>
                  </w:r>
                </w:p>
              </w:tc>
              <w:tc>
                <w:tcPr>
                  <w:tcW w:w="2649" w:type="dxa"/>
                  <w:noWrap w:val="0"/>
                  <w:vAlign w:val="center"/>
                </w:tcPr>
                <w:p w14:paraId="76B88FF2">
                  <w:pPr>
                    <w:autoSpaceDE w:val="0"/>
                    <w:autoSpaceDN w:val="0"/>
                    <w:adjustRightInd w:val="0"/>
                    <w:snapToGrid w:val="0"/>
                    <w:jc w:val="center"/>
                    <w:rPr>
                      <w:color w:val="auto"/>
                      <w:kern w:val="0"/>
                      <w:szCs w:val="21"/>
                    </w:rPr>
                  </w:pPr>
                  <w:r>
                    <w:rPr>
                      <w:color w:val="auto"/>
                      <w:kern w:val="0"/>
                      <w:szCs w:val="21"/>
                    </w:rPr>
                    <w:t>不涉及</w:t>
                  </w:r>
                </w:p>
              </w:tc>
              <w:tc>
                <w:tcPr>
                  <w:tcW w:w="714" w:type="dxa"/>
                  <w:noWrap w:val="0"/>
                  <w:vAlign w:val="center"/>
                </w:tcPr>
                <w:p w14:paraId="51BDA4D1">
                  <w:pPr>
                    <w:autoSpaceDE w:val="0"/>
                    <w:autoSpaceDN w:val="0"/>
                    <w:adjustRightInd w:val="0"/>
                    <w:snapToGrid w:val="0"/>
                    <w:jc w:val="center"/>
                    <w:rPr>
                      <w:color w:val="auto"/>
                      <w:kern w:val="0"/>
                      <w:szCs w:val="21"/>
                    </w:rPr>
                  </w:pPr>
                  <w:r>
                    <w:rPr>
                      <w:color w:val="auto"/>
                      <w:kern w:val="0"/>
                      <w:szCs w:val="21"/>
                    </w:rPr>
                    <w:t>无须设置</w:t>
                  </w:r>
                </w:p>
              </w:tc>
            </w:tr>
            <w:tr w14:paraId="38C84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3" w:type="dxa"/>
                  <w:noWrap w:val="0"/>
                  <w:vAlign w:val="center"/>
                </w:tcPr>
                <w:p w14:paraId="4712074B">
                  <w:pPr>
                    <w:autoSpaceDE w:val="0"/>
                    <w:autoSpaceDN w:val="0"/>
                    <w:adjustRightInd w:val="0"/>
                    <w:snapToGrid w:val="0"/>
                    <w:jc w:val="center"/>
                    <w:rPr>
                      <w:color w:val="auto"/>
                      <w:kern w:val="0"/>
                      <w:szCs w:val="21"/>
                    </w:rPr>
                  </w:pPr>
                  <w:r>
                    <w:rPr>
                      <w:color w:val="auto"/>
                      <w:kern w:val="0"/>
                      <w:szCs w:val="21"/>
                    </w:rPr>
                    <w:t>海洋</w:t>
                  </w:r>
                </w:p>
              </w:tc>
              <w:tc>
                <w:tcPr>
                  <w:tcW w:w="3138" w:type="dxa"/>
                  <w:noWrap w:val="0"/>
                  <w:vAlign w:val="center"/>
                </w:tcPr>
                <w:p w14:paraId="4BA9D0A3">
                  <w:pPr>
                    <w:autoSpaceDE w:val="0"/>
                    <w:autoSpaceDN w:val="0"/>
                    <w:adjustRightInd w:val="0"/>
                    <w:snapToGrid w:val="0"/>
                    <w:rPr>
                      <w:color w:val="auto"/>
                      <w:kern w:val="0"/>
                      <w:szCs w:val="21"/>
                    </w:rPr>
                  </w:pPr>
                  <w:r>
                    <w:rPr>
                      <w:color w:val="auto"/>
                      <w:kern w:val="0"/>
                      <w:szCs w:val="21"/>
                    </w:rPr>
                    <w:t>直接向海排放污染物的海洋工程建设项目</w:t>
                  </w:r>
                </w:p>
              </w:tc>
              <w:tc>
                <w:tcPr>
                  <w:tcW w:w="2649" w:type="dxa"/>
                  <w:noWrap w:val="0"/>
                  <w:vAlign w:val="center"/>
                </w:tcPr>
                <w:p w14:paraId="2DA60910">
                  <w:pPr>
                    <w:autoSpaceDE w:val="0"/>
                    <w:autoSpaceDN w:val="0"/>
                    <w:adjustRightInd w:val="0"/>
                    <w:snapToGrid w:val="0"/>
                    <w:jc w:val="center"/>
                    <w:rPr>
                      <w:color w:val="auto"/>
                      <w:kern w:val="0"/>
                      <w:szCs w:val="21"/>
                    </w:rPr>
                  </w:pPr>
                  <w:r>
                    <w:rPr>
                      <w:color w:val="auto"/>
                      <w:kern w:val="0"/>
                      <w:szCs w:val="21"/>
                    </w:rPr>
                    <w:t>不涉及</w:t>
                  </w:r>
                </w:p>
              </w:tc>
              <w:tc>
                <w:tcPr>
                  <w:tcW w:w="714" w:type="dxa"/>
                  <w:noWrap w:val="0"/>
                  <w:vAlign w:val="center"/>
                </w:tcPr>
                <w:p w14:paraId="446D3568">
                  <w:pPr>
                    <w:autoSpaceDE w:val="0"/>
                    <w:autoSpaceDN w:val="0"/>
                    <w:adjustRightInd w:val="0"/>
                    <w:snapToGrid w:val="0"/>
                    <w:jc w:val="center"/>
                    <w:rPr>
                      <w:color w:val="auto"/>
                      <w:kern w:val="0"/>
                      <w:szCs w:val="21"/>
                    </w:rPr>
                  </w:pPr>
                  <w:r>
                    <w:rPr>
                      <w:color w:val="auto"/>
                      <w:kern w:val="0"/>
                      <w:szCs w:val="21"/>
                    </w:rPr>
                    <w:t>无须设置</w:t>
                  </w:r>
                </w:p>
              </w:tc>
            </w:tr>
          </w:tbl>
          <w:p w14:paraId="3B3294BD">
            <w:pPr>
              <w:pStyle w:val="131"/>
              <w:keepNext w:val="0"/>
              <w:keepLines w:val="0"/>
              <w:pageBreakBefore w:val="0"/>
              <w:widowControl w:val="0"/>
              <w:kinsoku/>
              <w:wordWrap/>
              <w:overflowPunct/>
              <w:topLinePunct w:val="0"/>
              <w:autoSpaceDE/>
              <w:autoSpaceDN/>
              <w:bidi w:val="0"/>
              <w:adjustRightInd/>
              <w:snapToGrid/>
              <w:spacing w:before="63" w:beforeLines="20" w:line="360" w:lineRule="auto"/>
              <w:ind w:firstLine="422"/>
              <w:textAlignment w:val="auto"/>
              <w:rPr>
                <w:b/>
                <w:bCs/>
                <w:color w:val="auto"/>
                <w:sz w:val="21"/>
                <w:szCs w:val="21"/>
              </w:rPr>
            </w:pPr>
            <w:r>
              <w:rPr>
                <w:b/>
                <w:bCs/>
                <w:color w:val="auto"/>
                <w:sz w:val="21"/>
                <w:szCs w:val="21"/>
              </w:rPr>
              <w:t>注：1.废气中有毒有害污染物指纳入《有毒有害大气污染物名录》的污染物（不包括无排放标准的污染物）。</w:t>
            </w:r>
          </w:p>
          <w:p w14:paraId="6BC9E6CC">
            <w:pPr>
              <w:pStyle w:val="131"/>
              <w:keepNext w:val="0"/>
              <w:keepLines w:val="0"/>
              <w:pageBreakBefore w:val="0"/>
              <w:widowControl w:val="0"/>
              <w:kinsoku/>
              <w:wordWrap/>
              <w:overflowPunct/>
              <w:topLinePunct w:val="0"/>
              <w:bidi w:val="0"/>
              <w:spacing w:line="360" w:lineRule="auto"/>
              <w:ind w:firstLine="422"/>
              <w:textAlignment w:val="auto"/>
              <w:rPr>
                <w:b/>
                <w:bCs/>
                <w:color w:val="auto"/>
                <w:sz w:val="21"/>
                <w:szCs w:val="21"/>
              </w:rPr>
            </w:pPr>
            <w:r>
              <w:rPr>
                <w:b/>
                <w:bCs/>
                <w:color w:val="auto"/>
                <w:sz w:val="21"/>
                <w:szCs w:val="21"/>
              </w:rPr>
              <w:t>2.环境空气保护目标指自然保护区、风景名胜区、居住区、文化区和农村地区中人群较集中的区域。</w:t>
            </w:r>
          </w:p>
          <w:p w14:paraId="3217EB99">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color w:val="auto"/>
                <w:kern w:val="0"/>
                <w:sz w:val="21"/>
                <w:szCs w:val="21"/>
              </w:rPr>
            </w:pPr>
            <w:r>
              <w:rPr>
                <w:b/>
                <w:bCs/>
                <w:color w:val="auto"/>
                <w:sz w:val="21"/>
                <w:szCs w:val="21"/>
              </w:rPr>
              <w:t>3.临界量及其计算方法可参考《建设项目环境风险技术导则》（HJ169）附录B、附录C</w:t>
            </w:r>
            <w:r>
              <w:rPr>
                <w:rFonts w:hint="eastAsia"/>
                <w:b/>
                <w:bCs/>
                <w:color w:val="auto"/>
                <w:sz w:val="21"/>
                <w:szCs w:val="21"/>
              </w:rPr>
              <w:t>。</w:t>
            </w:r>
          </w:p>
          <w:p w14:paraId="4BCC15E9">
            <w:pPr>
              <w:autoSpaceDE w:val="0"/>
              <w:autoSpaceDN w:val="0"/>
              <w:jc w:val="center"/>
              <w:rPr>
                <w:rFonts w:hint="eastAsia" w:ascii="Times New Roman" w:hAnsi="Times New Roman" w:eastAsia="宋体" w:cs="Times New Roman"/>
                <w:color w:val="auto"/>
                <w:kern w:val="0"/>
                <w:sz w:val="24"/>
                <w:lang w:eastAsia="zh-CN"/>
              </w:rPr>
            </w:pPr>
            <w:r>
              <w:rPr>
                <w:color w:val="auto"/>
                <w:kern w:val="0"/>
                <w:sz w:val="24"/>
              </w:rPr>
              <w:t>综上，本项目无须设置专项评价章节。</w:t>
            </w:r>
          </w:p>
        </w:tc>
      </w:tr>
      <w:tr w14:paraId="456A7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pct"/>
            <w:vAlign w:val="center"/>
          </w:tcPr>
          <w:p w14:paraId="37D041EB">
            <w:pPr>
              <w:autoSpaceDE w:val="0"/>
              <w:autoSpaceDN w:val="0"/>
              <w:spacing w:line="240" w:lineRule="atLeas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规划情况</w:t>
            </w:r>
          </w:p>
        </w:tc>
        <w:tc>
          <w:tcPr>
            <w:tcW w:w="4062" w:type="pct"/>
            <w:gridSpan w:val="3"/>
            <w:vAlign w:val="center"/>
          </w:tcPr>
          <w:p w14:paraId="35C6BDD0">
            <w:pPr>
              <w:autoSpaceDE w:val="0"/>
              <w:autoSpaceDN w:val="0"/>
              <w:spacing w:line="240" w:lineRule="atLeast"/>
              <w:jc w:val="center"/>
              <w:rPr>
                <w:rFonts w:hint="default" w:ascii="Times New Roman" w:hAnsi="Times New Roman" w:eastAsia="宋体" w:cs="Times New Roman"/>
                <w:color w:val="auto"/>
                <w:kern w:val="0"/>
                <w:sz w:val="24"/>
                <w:u w:val="none"/>
                <w:lang w:eastAsia="zh-CN"/>
              </w:rPr>
            </w:pPr>
            <w:r>
              <w:rPr>
                <w:rFonts w:hint="default" w:ascii="Times New Roman" w:hAnsi="Times New Roman" w:cs="Times New Roman"/>
                <w:color w:val="auto"/>
                <w:spacing w:val="-6"/>
                <w:sz w:val="24"/>
                <w:u w:val="none"/>
              </w:rPr>
              <w:t>《怀化市中医药健康产业发展规划（2020-2030）》</w:t>
            </w:r>
          </w:p>
        </w:tc>
      </w:tr>
      <w:tr w14:paraId="13A9E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37" w:type="pct"/>
            <w:vAlign w:val="center"/>
          </w:tcPr>
          <w:p w14:paraId="5953FFD5">
            <w:pPr>
              <w:spacing w:line="240" w:lineRule="atLeas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规划环境影响评价情况</w:t>
            </w:r>
          </w:p>
        </w:tc>
        <w:tc>
          <w:tcPr>
            <w:tcW w:w="4062" w:type="pct"/>
            <w:gridSpan w:val="3"/>
            <w:vAlign w:val="center"/>
          </w:tcPr>
          <w:p w14:paraId="7B3C81E6">
            <w:pPr>
              <w:autoSpaceDE w:val="0"/>
              <w:autoSpaceDN w:val="0"/>
              <w:spacing w:line="360" w:lineRule="auto"/>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无</w:t>
            </w:r>
          </w:p>
        </w:tc>
      </w:tr>
      <w:tr w14:paraId="0D82B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937" w:type="pct"/>
            <w:vAlign w:val="center"/>
          </w:tcPr>
          <w:p w14:paraId="4BA35A63">
            <w:pPr>
              <w:autoSpaceDE w:val="0"/>
              <w:autoSpaceDN w:val="0"/>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规划及规划环境影响评价符合性分析</w:t>
            </w:r>
          </w:p>
        </w:tc>
        <w:tc>
          <w:tcPr>
            <w:tcW w:w="4062" w:type="pct"/>
            <w:gridSpan w:val="3"/>
            <w:vAlign w:val="center"/>
          </w:tcPr>
          <w:p w14:paraId="59BBA0C5">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jc w:val="both"/>
              <w:textAlignment w:val="auto"/>
              <w:rPr>
                <w:rFonts w:hint="eastAsia" w:ascii="Times New Roman" w:hAnsi="Times New Roman" w:eastAsia="宋体" w:cs="Times New Roman"/>
                <w:color w:val="auto"/>
                <w:kern w:val="0"/>
                <w:sz w:val="24"/>
                <w:u w:val="none"/>
                <w:lang w:eastAsia="zh-CN"/>
              </w:rPr>
            </w:pPr>
            <w:r>
              <w:rPr>
                <w:rFonts w:hint="eastAsia" w:ascii="Times New Roman" w:hAnsi="Times New Roman" w:eastAsia="宋体" w:cs="Times New Roman"/>
                <w:color w:val="auto"/>
                <w:spacing w:val="-6"/>
                <w:sz w:val="24"/>
                <w:u w:val="none"/>
                <w:lang w:eastAsia="zh-CN"/>
              </w:rPr>
              <w:t>本项目为山银花种植与加工项目，符合</w:t>
            </w:r>
            <w:r>
              <w:rPr>
                <w:rFonts w:hint="default" w:ascii="Times New Roman" w:hAnsi="Times New Roman" w:eastAsia="宋体" w:cs="Times New Roman"/>
                <w:color w:val="auto"/>
                <w:spacing w:val="-6"/>
                <w:sz w:val="24"/>
                <w:u w:val="none"/>
              </w:rPr>
              <w:t>《怀化市中医药健康产业发展规划（2020-2030）》</w:t>
            </w:r>
            <w:r>
              <w:rPr>
                <w:rFonts w:hint="eastAsia" w:ascii="Times New Roman" w:hAnsi="Times New Roman" w:eastAsia="宋体" w:cs="Times New Roman"/>
                <w:color w:val="auto"/>
                <w:spacing w:val="-6"/>
                <w:sz w:val="24"/>
                <w:u w:val="none"/>
                <w:lang w:eastAsia="zh-CN"/>
              </w:rPr>
              <w:t>中大力发展山银花种植及加工，使为</w:t>
            </w:r>
            <w:r>
              <w:rPr>
                <w:rFonts w:hint="eastAsia" w:cs="Times New Roman"/>
                <w:color w:val="auto"/>
                <w:spacing w:val="-6"/>
                <w:sz w:val="24"/>
                <w:u w:val="none"/>
                <w:lang w:eastAsia="zh-CN"/>
              </w:rPr>
              <w:t>“</w:t>
            </w:r>
            <w:r>
              <w:rPr>
                <w:rFonts w:hint="eastAsia" w:ascii="Times New Roman" w:hAnsi="Times New Roman" w:eastAsia="宋体" w:cs="Times New Roman"/>
                <w:color w:val="auto"/>
                <w:spacing w:val="-6"/>
                <w:sz w:val="24"/>
                <w:u w:val="none"/>
                <w:lang w:eastAsia="zh-CN"/>
              </w:rPr>
              <w:t>怀六药</w:t>
            </w:r>
            <w:r>
              <w:rPr>
                <w:rFonts w:hint="eastAsia" w:cs="Times New Roman"/>
                <w:color w:val="auto"/>
                <w:spacing w:val="-6"/>
                <w:sz w:val="24"/>
                <w:u w:val="none"/>
                <w:lang w:eastAsia="zh-CN"/>
              </w:rPr>
              <w:t>”</w:t>
            </w:r>
            <w:r>
              <w:rPr>
                <w:rFonts w:hint="eastAsia" w:ascii="Times New Roman" w:hAnsi="Times New Roman" w:eastAsia="宋体" w:cs="Times New Roman"/>
                <w:color w:val="auto"/>
                <w:spacing w:val="-6"/>
                <w:sz w:val="24"/>
                <w:u w:val="none"/>
                <w:lang w:eastAsia="zh-CN"/>
              </w:rPr>
              <w:t>之一的山银花中药材产业在高质量发展中实现新突破的要求。</w:t>
            </w:r>
          </w:p>
        </w:tc>
      </w:tr>
      <w:tr w14:paraId="00773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7" w:type="pct"/>
            <w:vAlign w:val="center"/>
          </w:tcPr>
          <w:p w14:paraId="481E243A">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4062" w:type="pct"/>
            <w:gridSpan w:val="3"/>
            <w:vAlign w:val="center"/>
          </w:tcPr>
          <w:p w14:paraId="00C591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highlight w:val="none"/>
                <w:u w:val="none" w:color="auto"/>
                <w:lang w:val="en-US" w:eastAsia="zh-CN"/>
              </w:rPr>
            </w:pPr>
            <w:r>
              <w:rPr>
                <w:rFonts w:hint="default" w:ascii="Times New Roman" w:hAnsi="Times New Roman" w:cs="Times New Roman"/>
                <w:b/>
                <w:bCs/>
                <w:color w:val="auto"/>
                <w:sz w:val="24"/>
                <w:szCs w:val="24"/>
                <w:highlight w:val="none"/>
                <w:u w:val="none" w:color="auto"/>
                <w:lang w:val="en-US" w:eastAsia="zh-CN"/>
              </w:rPr>
              <w:t>1</w:t>
            </w:r>
            <w:r>
              <w:rPr>
                <w:rFonts w:hint="eastAsia" w:cs="Times New Roman"/>
                <w:b/>
                <w:bCs/>
                <w:color w:val="auto"/>
                <w:sz w:val="24"/>
                <w:szCs w:val="24"/>
                <w:highlight w:val="none"/>
                <w:u w:val="none" w:color="auto"/>
                <w:lang w:val="en-US" w:eastAsia="zh-CN"/>
              </w:rPr>
              <w:t>、生态分区管控</w:t>
            </w:r>
            <w:r>
              <w:rPr>
                <w:rFonts w:hint="default" w:ascii="Times New Roman" w:hAnsi="Times New Roman" w:cs="Times New Roman"/>
                <w:b/>
                <w:bCs/>
                <w:color w:val="auto"/>
                <w:sz w:val="24"/>
                <w:szCs w:val="24"/>
                <w:highlight w:val="none"/>
                <w:u w:val="none" w:color="auto"/>
                <w:lang w:val="en-US" w:eastAsia="zh-CN"/>
              </w:rPr>
              <w:t>符合性分析</w:t>
            </w:r>
          </w:p>
          <w:p w14:paraId="52288407">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rPr>
              <w:t>根据</w:t>
            </w:r>
            <w:r>
              <w:rPr>
                <w:rFonts w:hint="default" w:ascii="Times New Roman" w:hAnsi="Times New Roman" w:eastAsia="宋体" w:cs="Times New Roman"/>
                <w:color w:val="auto"/>
                <w:kern w:val="0"/>
                <w:sz w:val="24"/>
                <w:szCs w:val="24"/>
                <w:highlight w:val="none"/>
                <w:u w:val="none" w:color="auto"/>
                <w:lang w:val="en-US" w:eastAsia="zh-CN"/>
              </w:rPr>
              <w:t>怀化市</w:t>
            </w:r>
            <w:r>
              <w:rPr>
                <w:rFonts w:hint="eastAsia" w:ascii="Times New Roman" w:hAnsi="Times New Roman" w:eastAsia="宋体" w:cs="Times New Roman"/>
                <w:color w:val="auto"/>
                <w:kern w:val="0"/>
                <w:sz w:val="24"/>
                <w:szCs w:val="24"/>
                <w:highlight w:val="none"/>
                <w:u w:val="none" w:color="auto"/>
                <w:lang w:val="en-US" w:eastAsia="zh-CN"/>
              </w:rPr>
              <w:t>生态环境局</w:t>
            </w:r>
            <w:r>
              <w:rPr>
                <w:rFonts w:hint="default" w:ascii="Times New Roman" w:hAnsi="Times New Roman" w:eastAsia="宋体" w:cs="Times New Roman"/>
                <w:color w:val="auto"/>
                <w:kern w:val="0"/>
                <w:sz w:val="24"/>
                <w:szCs w:val="24"/>
                <w:highlight w:val="none"/>
                <w:u w:val="none" w:color="auto"/>
                <w:lang w:val="en-US" w:eastAsia="zh-CN"/>
              </w:rPr>
              <w:t>关于发布</w:t>
            </w:r>
            <w:r>
              <w:rPr>
                <w:rFonts w:hint="eastAsia" w:ascii="Times New Roman" w:hAnsi="Times New Roman" w:eastAsia="宋体" w:cs="Times New Roman"/>
                <w:color w:val="auto"/>
                <w:kern w:val="0"/>
                <w:sz w:val="24"/>
                <w:szCs w:val="24"/>
                <w:highlight w:val="none"/>
                <w:u w:val="none" w:color="auto"/>
                <w:lang w:val="en-US" w:eastAsia="zh-CN"/>
              </w:rPr>
              <w:t>《怀化市生态环境分区管控基本要求暨环境管控单元（省级以上产业园区除外）生态环境准入清单（2023版）》</w:t>
            </w:r>
            <w:r>
              <w:rPr>
                <w:rFonts w:hint="default" w:ascii="Times New Roman" w:hAnsi="Times New Roman" w:eastAsia="宋体" w:cs="Times New Roman"/>
                <w:color w:val="auto"/>
                <w:kern w:val="0"/>
                <w:sz w:val="24"/>
                <w:szCs w:val="24"/>
                <w:highlight w:val="none"/>
                <w:u w:val="none" w:color="auto"/>
                <w:lang w:val="en-US" w:eastAsia="zh-CN"/>
              </w:rPr>
              <w:t>的通知</w:t>
            </w:r>
            <w:r>
              <w:rPr>
                <w:rFonts w:hint="eastAsia" w:ascii="Times New Roman" w:hAnsi="Times New Roman" w:eastAsia="宋体" w:cs="Times New Roman"/>
                <w:color w:val="auto"/>
                <w:kern w:val="0"/>
                <w:sz w:val="24"/>
                <w:szCs w:val="24"/>
                <w:highlight w:val="none"/>
                <w:u w:val="none" w:color="auto"/>
                <w:lang w:val="en-US" w:eastAsia="zh-CN"/>
              </w:rPr>
              <w:t>，项目与其符合性分析详细情况见</w:t>
            </w:r>
            <w:r>
              <w:rPr>
                <w:rFonts w:hint="eastAsia" w:cs="Times New Roman"/>
                <w:color w:val="auto"/>
                <w:kern w:val="0"/>
                <w:sz w:val="24"/>
                <w:szCs w:val="24"/>
                <w:highlight w:val="none"/>
                <w:u w:val="none" w:color="auto"/>
                <w:lang w:val="en-US" w:eastAsia="zh-CN"/>
              </w:rPr>
              <w:t>下</w:t>
            </w:r>
            <w:r>
              <w:rPr>
                <w:rFonts w:hint="eastAsia" w:ascii="Times New Roman" w:hAnsi="Times New Roman" w:eastAsia="宋体" w:cs="Times New Roman"/>
                <w:color w:val="auto"/>
                <w:kern w:val="0"/>
                <w:sz w:val="24"/>
                <w:szCs w:val="24"/>
                <w:highlight w:val="none"/>
                <w:u w:val="none" w:color="auto"/>
                <w:lang w:val="en-US" w:eastAsia="zh-CN"/>
              </w:rPr>
              <w:t>表。</w:t>
            </w:r>
          </w:p>
          <w:p w14:paraId="7D4635AE">
            <w:pPr>
              <w:spacing w:line="240" w:lineRule="auto"/>
              <w:jc w:val="center"/>
              <w:rPr>
                <w:rFonts w:hint="default"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t>表1-</w:t>
            </w:r>
            <w:r>
              <w:rPr>
                <w:rFonts w:hint="eastAsia" w:cs="Times New Roman"/>
                <w:b/>
                <w:bCs/>
                <w:color w:val="auto"/>
                <w:kern w:val="2"/>
                <w:sz w:val="24"/>
                <w:szCs w:val="24"/>
                <w:u w:val="none" w:color="auto"/>
                <w:lang w:val="en-US" w:eastAsia="zh-CN" w:bidi="ar-SA"/>
              </w:rPr>
              <w:t>2</w:t>
            </w:r>
            <w:r>
              <w:rPr>
                <w:rFonts w:hint="eastAsia" w:ascii="Times New Roman" w:hAnsi="Times New Roman" w:eastAsia="宋体" w:cs="Times New Roman"/>
                <w:b/>
                <w:bCs/>
                <w:color w:val="auto"/>
                <w:kern w:val="2"/>
                <w:sz w:val="24"/>
                <w:szCs w:val="24"/>
                <w:u w:val="none" w:color="auto"/>
                <w:lang w:val="en-US" w:eastAsia="zh-CN" w:bidi="ar-SA"/>
              </w:rPr>
              <w:t xml:space="preserve"> </w:t>
            </w:r>
            <w:r>
              <w:rPr>
                <w:rFonts w:hint="eastAsia" w:cs="Times New Roman"/>
                <w:b/>
                <w:bCs/>
                <w:color w:val="auto"/>
                <w:kern w:val="2"/>
                <w:sz w:val="24"/>
                <w:szCs w:val="24"/>
                <w:u w:val="none" w:color="auto"/>
                <w:lang w:val="en-US" w:eastAsia="zh-CN" w:bidi="ar-SA"/>
              </w:rPr>
              <w:t xml:space="preserve">  </w:t>
            </w:r>
            <w:r>
              <w:rPr>
                <w:rFonts w:hint="default" w:ascii="Times New Roman" w:hAnsi="Times New Roman" w:eastAsia="宋体" w:cs="Times New Roman"/>
                <w:b/>
                <w:bCs/>
                <w:color w:val="auto"/>
                <w:kern w:val="2"/>
                <w:sz w:val="24"/>
                <w:szCs w:val="24"/>
                <w:u w:val="none" w:color="auto"/>
                <w:lang w:val="en-US" w:eastAsia="zh-CN" w:bidi="ar-SA"/>
              </w:rPr>
              <w:t>与</w:t>
            </w:r>
            <w:r>
              <w:rPr>
                <w:rFonts w:hint="eastAsia" w:ascii="Times New Roman" w:hAnsi="Times New Roman" w:eastAsia="宋体" w:cs="Times New Roman"/>
                <w:b/>
                <w:bCs/>
                <w:color w:val="auto"/>
                <w:kern w:val="2"/>
                <w:sz w:val="24"/>
                <w:szCs w:val="24"/>
                <w:u w:val="none" w:color="auto"/>
                <w:lang w:val="en-US" w:eastAsia="zh-CN" w:bidi="ar-SA"/>
              </w:rPr>
              <w:t>《怀化市生态环境分区管控基本要求暨环境管控单元（省级以上产业园区除外）生态环境准入清单（2023版）》</w:t>
            </w:r>
            <w:r>
              <w:rPr>
                <w:rFonts w:hint="default" w:ascii="Times New Roman" w:hAnsi="Times New Roman" w:eastAsia="宋体" w:cs="Times New Roman"/>
                <w:b/>
                <w:bCs/>
                <w:color w:val="auto"/>
                <w:kern w:val="2"/>
                <w:sz w:val="24"/>
                <w:szCs w:val="24"/>
                <w:u w:val="none" w:color="auto"/>
                <w:lang w:val="en-US" w:eastAsia="zh-CN" w:bidi="ar-SA"/>
              </w:rPr>
              <w:t>符合性</w:t>
            </w:r>
          </w:p>
          <w:tbl>
            <w:tblPr>
              <w:tblStyle w:val="32"/>
              <w:tblW w:w="6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24"/>
              <w:gridCol w:w="1582"/>
              <w:gridCol w:w="1650"/>
              <w:gridCol w:w="1086"/>
            </w:tblGrid>
            <w:tr w14:paraId="0936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noWrap w:val="0"/>
                  <w:vAlign w:val="center"/>
                </w:tcPr>
                <w:p w14:paraId="7C6F570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环境管控单元编码</w:t>
                  </w:r>
                </w:p>
              </w:tc>
              <w:tc>
                <w:tcPr>
                  <w:tcW w:w="1424" w:type="dxa"/>
                  <w:noWrap w:val="0"/>
                  <w:vAlign w:val="center"/>
                </w:tcPr>
                <w:p w14:paraId="1E6B0A30">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单元分类</w:t>
                  </w:r>
                </w:p>
              </w:tc>
              <w:tc>
                <w:tcPr>
                  <w:tcW w:w="1582" w:type="dxa"/>
                  <w:noWrap w:val="0"/>
                  <w:vAlign w:val="center"/>
                </w:tcPr>
                <w:p w14:paraId="1F0499A3">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单元面积（km</w:t>
                  </w:r>
                  <w:r>
                    <w:rPr>
                      <w:rFonts w:hint="default" w:ascii="Times New Roman" w:hAnsi="Times New Roman" w:eastAsia="宋体" w:cs="Times New Roman"/>
                      <w:color w:val="auto"/>
                      <w:sz w:val="21"/>
                      <w:szCs w:val="21"/>
                      <w:highlight w:val="none"/>
                      <w:u w:val="none" w:color="auto"/>
                      <w:vertAlign w:val="superscript"/>
                      <w:lang w:val="en-US" w:eastAsia="zh-CN"/>
                    </w:rPr>
                    <w:t>2</w:t>
                  </w:r>
                  <w:r>
                    <w:rPr>
                      <w:rFonts w:hint="default" w:ascii="Times New Roman" w:hAnsi="Times New Roman" w:eastAsia="宋体" w:cs="Times New Roman"/>
                      <w:color w:val="auto"/>
                      <w:sz w:val="21"/>
                      <w:szCs w:val="21"/>
                      <w:highlight w:val="none"/>
                      <w:u w:val="none" w:color="auto"/>
                      <w:lang w:val="en-US" w:eastAsia="zh-CN"/>
                    </w:rPr>
                    <w:t>）</w:t>
                  </w:r>
                </w:p>
              </w:tc>
              <w:tc>
                <w:tcPr>
                  <w:tcW w:w="1650" w:type="dxa"/>
                  <w:noWrap w:val="0"/>
                  <w:vAlign w:val="center"/>
                </w:tcPr>
                <w:p w14:paraId="4A0C422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涉及乡镇</w:t>
                  </w:r>
                </w:p>
                <w:p w14:paraId="7237FEEE">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（街道）</w:t>
                  </w:r>
                </w:p>
              </w:tc>
              <w:tc>
                <w:tcPr>
                  <w:tcW w:w="1086" w:type="dxa"/>
                  <w:noWrap w:val="0"/>
                  <w:vAlign w:val="center"/>
                </w:tcPr>
                <w:p w14:paraId="5B2F96E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主体功能定位</w:t>
                  </w:r>
                </w:p>
              </w:tc>
            </w:tr>
            <w:tr w14:paraId="7B0F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noWrap w:val="0"/>
                  <w:vAlign w:val="center"/>
                </w:tcPr>
                <w:p w14:paraId="359237D8">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ZH43122410001</w:t>
                  </w:r>
                </w:p>
              </w:tc>
              <w:tc>
                <w:tcPr>
                  <w:tcW w:w="1424" w:type="dxa"/>
                  <w:noWrap w:val="0"/>
                  <w:vAlign w:val="center"/>
                </w:tcPr>
                <w:p w14:paraId="4BDA49CE">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优先保护单元</w:t>
                  </w:r>
                </w:p>
              </w:tc>
              <w:tc>
                <w:tcPr>
                  <w:tcW w:w="1582" w:type="dxa"/>
                  <w:noWrap w:val="0"/>
                  <w:vAlign w:val="center"/>
                </w:tcPr>
                <w:p w14:paraId="357F2BB5">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380.77</w:t>
                  </w:r>
                </w:p>
              </w:tc>
              <w:tc>
                <w:tcPr>
                  <w:tcW w:w="1650" w:type="dxa"/>
                  <w:noWrap w:val="0"/>
                  <w:vAlign w:val="center"/>
                </w:tcPr>
                <w:p w14:paraId="79678310">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龙潭镇</w:t>
                  </w:r>
                </w:p>
              </w:tc>
              <w:tc>
                <w:tcPr>
                  <w:tcW w:w="1086" w:type="dxa"/>
                  <w:noWrap w:val="0"/>
                  <w:vAlign w:val="center"/>
                </w:tcPr>
                <w:p w14:paraId="18C48071">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龙潭镇：重点生态功能区</w:t>
                  </w:r>
                </w:p>
              </w:tc>
            </w:tr>
            <w:tr w14:paraId="0AE8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6" w:type="dxa"/>
                  <w:gridSpan w:val="3"/>
                  <w:noWrap w:val="0"/>
                  <w:vAlign w:val="center"/>
                </w:tcPr>
                <w:p w14:paraId="41D0C896">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具体要求</w:t>
                  </w:r>
                </w:p>
              </w:tc>
              <w:tc>
                <w:tcPr>
                  <w:tcW w:w="1650" w:type="dxa"/>
                  <w:noWrap w:val="0"/>
                  <w:vAlign w:val="center"/>
                </w:tcPr>
                <w:p w14:paraId="7D21EBA7">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本项目情况</w:t>
                  </w:r>
                </w:p>
              </w:tc>
              <w:tc>
                <w:tcPr>
                  <w:tcW w:w="1086" w:type="dxa"/>
                  <w:noWrap w:val="0"/>
                  <w:vAlign w:val="center"/>
                </w:tcPr>
                <w:p w14:paraId="71E2154D">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符合性</w:t>
                  </w:r>
                </w:p>
              </w:tc>
            </w:tr>
            <w:tr w14:paraId="6DC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noWrap w:val="0"/>
                  <w:vAlign w:val="center"/>
                </w:tcPr>
                <w:p w14:paraId="34D96C88">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空间布局约束</w:t>
                  </w:r>
                </w:p>
              </w:tc>
              <w:tc>
                <w:tcPr>
                  <w:tcW w:w="3006" w:type="dxa"/>
                  <w:gridSpan w:val="2"/>
                  <w:noWrap w:val="0"/>
                  <w:vAlign w:val="center"/>
                </w:tcPr>
                <w:p w14:paraId="06BCD526">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（1.1）禁止占用耕地建窑、建坟或者擅自在耕地上挖砂、采石、采矿等。</w:t>
                  </w:r>
                </w:p>
                <w:p w14:paraId="3030E060">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（1.2）非农建设必须节约使用土地，可以利用荒地的，不得占用耕地；可以利用劣地的，不得占用好地。</w:t>
                  </w:r>
                </w:p>
                <w:p w14:paraId="1B5379E2">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（1.3）禁养区内不得新建、扩建和改建各类畜禽养殖场及畜禽养殖户。</w:t>
                  </w:r>
                </w:p>
                <w:p w14:paraId="249E44C8">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（1.4）饮用水源一级保护区内禁止建设养殖场，饮用水源二级保护区禁止建设有污染排放的养殖场。</w:t>
                  </w:r>
                </w:p>
                <w:p w14:paraId="3EB111CC">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（1.5）严格控制建设项目使用国家级森林公园林地，确需使用国家级森林公园林地的，应当避免或者减少对森林景观、生态以及旅游活动的影响，并依法办理林地占用、征收审核审批手续。</w:t>
                  </w:r>
                </w:p>
              </w:tc>
              <w:tc>
                <w:tcPr>
                  <w:tcW w:w="1650" w:type="dxa"/>
                  <w:noWrap w:val="0"/>
                  <w:vAlign w:val="center"/>
                </w:tcPr>
                <w:p w14:paraId="13D0D1E8">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（1）本项目不涉及；</w:t>
                  </w:r>
                </w:p>
                <w:p w14:paraId="33EF7012">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（2）本项目</w:t>
                  </w:r>
                  <w:r>
                    <w:rPr>
                      <w:rFonts w:hint="eastAsia" w:cs="Times New Roman"/>
                      <w:bCs/>
                      <w:color w:val="auto"/>
                      <w:u w:val="none"/>
                      <w:lang w:val="en-US" w:eastAsia="zh-CN"/>
                    </w:rPr>
                    <w:t>加工基地</w:t>
                  </w:r>
                  <w:r>
                    <w:rPr>
                      <w:rFonts w:hint="eastAsia" w:ascii="Times New Roman" w:hAnsi="Times New Roman" w:eastAsia="宋体" w:cs="Times New Roman"/>
                      <w:color w:val="auto"/>
                      <w:sz w:val="21"/>
                      <w:szCs w:val="21"/>
                      <w:highlight w:val="none"/>
                      <w:u w:val="none" w:color="auto"/>
                      <w:lang w:val="en-US" w:eastAsia="zh-CN"/>
                    </w:rPr>
                    <w:t>不占用耕地、林地等</w:t>
                  </w:r>
                  <w:r>
                    <w:rPr>
                      <w:rFonts w:hint="eastAsia" w:cs="Times New Roman"/>
                      <w:color w:val="auto"/>
                      <w:sz w:val="21"/>
                      <w:szCs w:val="21"/>
                      <w:highlight w:val="none"/>
                      <w:u w:val="none" w:color="auto"/>
                      <w:lang w:val="en-US" w:eastAsia="zh-CN"/>
                    </w:rPr>
                    <w:t>， 种植基地利用现有梯田，不做开垦、不占用林地</w:t>
                  </w:r>
                  <w:r>
                    <w:rPr>
                      <w:rFonts w:hint="eastAsia" w:ascii="Times New Roman" w:hAnsi="Times New Roman" w:eastAsia="宋体" w:cs="Times New Roman"/>
                      <w:color w:val="auto"/>
                      <w:sz w:val="21"/>
                      <w:szCs w:val="21"/>
                      <w:highlight w:val="none"/>
                      <w:u w:val="none" w:color="auto"/>
                      <w:lang w:val="en-US" w:eastAsia="zh-CN"/>
                    </w:rPr>
                    <w:t>；</w:t>
                  </w:r>
                </w:p>
                <w:p w14:paraId="5A1B5B04">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（3）本项目不涉及；</w:t>
                  </w:r>
                </w:p>
                <w:p w14:paraId="3C23780B">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（4）本项目位于溆浦县龙潭镇，不涉及饮用水源保护区；</w:t>
                  </w:r>
                </w:p>
                <w:p w14:paraId="3C87504B">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（5）本项目不涉及。</w:t>
                  </w:r>
                </w:p>
              </w:tc>
              <w:tc>
                <w:tcPr>
                  <w:tcW w:w="1086" w:type="dxa"/>
                  <w:noWrap w:val="0"/>
                  <w:vAlign w:val="center"/>
                </w:tcPr>
                <w:p w14:paraId="51B16A02">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符合</w:t>
                  </w:r>
                </w:p>
              </w:tc>
            </w:tr>
            <w:tr w14:paraId="4807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noWrap w:val="0"/>
                  <w:vAlign w:val="center"/>
                </w:tcPr>
                <w:p w14:paraId="4C79A020">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污染物排放管控</w:t>
                  </w:r>
                </w:p>
              </w:tc>
              <w:tc>
                <w:tcPr>
                  <w:tcW w:w="3006" w:type="dxa"/>
                  <w:gridSpan w:val="2"/>
                  <w:noWrap w:val="0"/>
                  <w:vAlign w:val="center"/>
                </w:tcPr>
                <w:p w14:paraId="3D5161D0">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2.1）废水</w:t>
                  </w:r>
                </w:p>
                <w:p w14:paraId="587300D3">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（2.1.1）统筹推进人居环境综合治理，因地制宜推进农村改厕、污水处理和农业面源污染治理。</w:t>
                  </w:r>
                </w:p>
                <w:p w14:paraId="6693A5C8">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（2.1.2）加快实施现有管网雨污分流改造。城镇新区建设严格实施雨污分流，配套管网同步设计、同步建设、同步投运。城镇污水处理设施污水收集率在90%以上</w:t>
                  </w:r>
                </w:p>
                <w:p w14:paraId="34B129F4">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（2.1.3）推进中小企业入园，加快完善污水收集、处理、排放设施设备，加大环境污染综合治理和重点污染源监控。</w:t>
                  </w:r>
                </w:p>
                <w:p w14:paraId="0AC96BC4">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（2.1.4）优化肥料结构与施肥方式，削减养殖业和种植业污染负荷，促进农业面源污染防治。</w:t>
                  </w:r>
                </w:p>
                <w:p w14:paraId="2842F73F">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（2.2）废气</w:t>
                  </w:r>
                </w:p>
                <w:p w14:paraId="409325DA">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（2.2.1）推进大气污染防治，加强工业源污染治理，强化燃煤锅炉烟气排放监管，对重点行业、重点企业开展监督管理，加快推进中小企业入园。</w:t>
                  </w:r>
                </w:p>
                <w:p w14:paraId="2A27295C">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（2.2.2）加强施工扬尘综合整治，控制道路扬尘污染。</w:t>
                  </w:r>
                </w:p>
                <w:p w14:paraId="3066086B">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（2.2.3）推进秸秆资源化利用，禁止露天焚烧秸秆。</w:t>
                  </w:r>
                </w:p>
                <w:p w14:paraId="6274CC02">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（2.3）固体废物</w:t>
                  </w:r>
                </w:p>
                <w:p w14:paraId="4EDC9D4E">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（2.3.1）加强工矿企业污染治理，强化固体废物、危险废物管控，加强医疗废物监管，实现村卫生所医疗垃圾统一处理。</w:t>
                  </w:r>
                </w:p>
                <w:p w14:paraId="2392247F">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（2.3.2）深入推进城乡垃圾减量分类、收集、转运及处理处置设施建设，推动形成绿色发展方式和生活方式。</w:t>
                  </w:r>
                </w:p>
              </w:tc>
              <w:tc>
                <w:tcPr>
                  <w:tcW w:w="1650" w:type="dxa"/>
                  <w:noWrap w:val="0"/>
                  <w:vAlign w:val="center"/>
                </w:tcPr>
                <w:p w14:paraId="1D2943A9">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（1）本项目位于溆浦县</w:t>
                  </w:r>
                  <w:r>
                    <w:rPr>
                      <w:rFonts w:hint="eastAsia" w:cs="Times New Roman"/>
                      <w:color w:val="auto"/>
                      <w:sz w:val="21"/>
                      <w:szCs w:val="21"/>
                      <w:highlight w:val="none"/>
                      <w:u w:val="none" w:color="auto"/>
                      <w:lang w:val="en-US" w:eastAsia="zh-CN"/>
                    </w:rPr>
                    <w:t>龙潭镇岩板村和营盘村交界处、紧邻S312省道</w:t>
                  </w:r>
                  <w:r>
                    <w:rPr>
                      <w:rFonts w:hint="eastAsia" w:ascii="Times New Roman" w:hAnsi="Times New Roman" w:eastAsia="宋体" w:cs="Times New Roman"/>
                      <w:color w:val="auto"/>
                      <w:sz w:val="21"/>
                      <w:szCs w:val="21"/>
                      <w:highlight w:val="none"/>
                      <w:u w:val="none" w:color="auto"/>
                      <w:lang w:val="en-US" w:eastAsia="zh-CN"/>
                    </w:rPr>
                    <w:t>，项目生活污水经化粪池处理</w:t>
                  </w:r>
                  <w:r>
                    <w:rPr>
                      <w:rFonts w:hint="eastAsia" w:cs="Times New Roman"/>
                      <w:color w:val="auto"/>
                      <w:sz w:val="21"/>
                      <w:szCs w:val="21"/>
                      <w:highlight w:val="none"/>
                      <w:u w:val="none" w:color="auto"/>
                      <w:lang w:val="en-US" w:eastAsia="zh-CN"/>
                    </w:rPr>
                    <w:t>、生产废水经三级沉淀池处理</w:t>
                  </w:r>
                  <w:r>
                    <w:rPr>
                      <w:rFonts w:hint="eastAsia" w:ascii="Times New Roman" w:hAnsi="Times New Roman" w:eastAsia="宋体" w:cs="Times New Roman"/>
                      <w:color w:val="auto"/>
                      <w:sz w:val="21"/>
                      <w:szCs w:val="21"/>
                      <w:highlight w:val="none"/>
                      <w:u w:val="none" w:color="auto"/>
                      <w:lang w:val="en-US" w:eastAsia="zh-CN"/>
                    </w:rPr>
                    <w:t>后排入龙潭镇污水处理厂综合处理。</w:t>
                  </w:r>
                </w:p>
                <w:p w14:paraId="5CAE9FAA">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（2）本项目</w:t>
                  </w:r>
                  <w:r>
                    <w:rPr>
                      <w:rFonts w:hint="eastAsia" w:cs="Times New Roman"/>
                      <w:color w:val="auto"/>
                      <w:sz w:val="21"/>
                      <w:szCs w:val="21"/>
                      <w:highlight w:val="none"/>
                      <w:u w:val="none" w:color="auto"/>
                      <w:lang w:val="en-US" w:eastAsia="zh-CN"/>
                    </w:rPr>
                    <w:t>不设锅炉，蒸汽发生器的</w:t>
                  </w:r>
                  <w:r>
                    <w:rPr>
                      <w:rFonts w:hint="eastAsia" w:ascii="Times New Roman" w:hAnsi="Times New Roman" w:eastAsia="宋体" w:cs="Times New Roman"/>
                      <w:color w:val="auto"/>
                      <w:sz w:val="21"/>
                      <w:szCs w:val="21"/>
                      <w:highlight w:val="none"/>
                      <w:u w:val="none" w:color="auto"/>
                      <w:lang w:val="en-US" w:eastAsia="zh-CN"/>
                    </w:rPr>
                    <w:t>生物质</w:t>
                  </w:r>
                  <w:r>
                    <w:rPr>
                      <w:rFonts w:hint="eastAsia" w:eastAsia="宋体"/>
                      <w:color w:val="auto"/>
                      <w:sz w:val="21"/>
                      <w:szCs w:val="21"/>
                      <w:lang w:val="en-US" w:eastAsia="zh-CN"/>
                    </w:rPr>
                    <w:t>燃烧</w:t>
                  </w:r>
                  <w:r>
                    <w:rPr>
                      <w:rFonts w:hint="eastAsia"/>
                      <w:color w:val="auto"/>
                      <w:sz w:val="21"/>
                      <w:szCs w:val="21"/>
                      <w:lang w:val="en-US" w:eastAsia="zh-CN"/>
                    </w:rPr>
                    <w:t>废气经</w:t>
                  </w:r>
                  <w:r>
                    <w:rPr>
                      <w:rFonts w:hint="eastAsia"/>
                      <w:color w:val="auto"/>
                      <w:u w:val="none"/>
                      <w:lang w:eastAsia="zh-CN"/>
                    </w:rPr>
                    <w:t>布袋除尘处理后由</w:t>
                  </w:r>
                  <w:r>
                    <w:rPr>
                      <w:rFonts w:hint="eastAsia"/>
                      <w:color w:val="auto"/>
                      <w:u w:val="none"/>
                      <w:lang w:val="en-US" w:eastAsia="zh-CN"/>
                    </w:rPr>
                    <w:t>15米高排气筒排放</w:t>
                  </w:r>
                  <w:r>
                    <w:rPr>
                      <w:rFonts w:hint="eastAsia" w:ascii="Times New Roman" w:hAnsi="Times New Roman" w:eastAsia="宋体" w:cs="Times New Roman"/>
                      <w:color w:val="auto"/>
                      <w:sz w:val="21"/>
                      <w:szCs w:val="21"/>
                      <w:highlight w:val="none"/>
                      <w:u w:val="none" w:color="auto"/>
                      <w:lang w:val="en-US" w:eastAsia="zh-CN"/>
                    </w:rPr>
                    <w:t>。</w:t>
                  </w:r>
                </w:p>
                <w:p w14:paraId="778E0F2E">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r>
                    <w:rPr>
                      <w:rFonts w:hint="default" w:ascii="Times New Roman" w:hAnsi="Times New Roman" w:cs="Times New Roman"/>
                      <w:color w:val="auto"/>
                      <w:kern w:val="0"/>
                      <w:sz w:val="21"/>
                      <w:szCs w:val="21"/>
                      <w:u w:val="none"/>
                    </w:rPr>
                    <w:t>生活垃圾交环卫部门统一处置</w:t>
                  </w:r>
                  <w:r>
                    <w:rPr>
                      <w:rFonts w:hint="eastAsia" w:ascii="Times New Roman" w:hAnsi="Times New Roman" w:cs="Times New Roman"/>
                      <w:color w:val="auto"/>
                      <w:kern w:val="0"/>
                      <w:sz w:val="21"/>
                      <w:szCs w:val="21"/>
                      <w:u w:val="none"/>
                      <w:lang w:eastAsia="zh-CN"/>
                    </w:rPr>
                    <w:t>；</w:t>
                  </w:r>
                  <w:r>
                    <w:rPr>
                      <w:rFonts w:hint="eastAsia" w:ascii="Times New Roman" w:hAnsi="Times New Roman" w:cs="Times New Roman"/>
                      <w:color w:val="auto"/>
                      <w:kern w:val="0"/>
                      <w:sz w:val="21"/>
                      <w:szCs w:val="21"/>
                      <w:u w:val="none"/>
                      <w:lang w:val="en-US" w:eastAsia="zh-CN"/>
                    </w:rPr>
                    <w:t>工业固废分类收集后外售给物资公司资源化利用</w:t>
                  </w:r>
                  <w:r>
                    <w:rPr>
                      <w:rFonts w:hint="eastAsia" w:ascii="Times New Roman" w:hAnsi="Times New Roman" w:eastAsia="宋体" w:cs="Times New Roman"/>
                      <w:color w:val="auto"/>
                      <w:sz w:val="21"/>
                      <w:szCs w:val="21"/>
                      <w:highlight w:val="none"/>
                      <w:u w:val="none" w:color="auto"/>
                      <w:lang w:val="en-US" w:eastAsia="zh-CN"/>
                    </w:rPr>
                    <w:t>。</w:t>
                  </w:r>
                </w:p>
              </w:tc>
              <w:tc>
                <w:tcPr>
                  <w:tcW w:w="1086" w:type="dxa"/>
                  <w:noWrap w:val="0"/>
                  <w:vAlign w:val="center"/>
                </w:tcPr>
                <w:p w14:paraId="4622D50A">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符合</w:t>
                  </w:r>
                </w:p>
              </w:tc>
            </w:tr>
            <w:tr w14:paraId="3B8F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noWrap w:val="0"/>
                  <w:vAlign w:val="center"/>
                </w:tcPr>
                <w:p w14:paraId="641162CE">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环境风险防控</w:t>
                  </w:r>
                </w:p>
              </w:tc>
              <w:tc>
                <w:tcPr>
                  <w:tcW w:w="3006" w:type="dxa"/>
                  <w:gridSpan w:val="2"/>
                  <w:noWrap w:val="0"/>
                  <w:vAlign w:val="center"/>
                </w:tcPr>
                <w:p w14:paraId="7CF47361">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（3.1）完善风险防控体系建设，落实《溆浦县突发环境事件应急预案》的相关要求，严防环境风险事故发生，提高应急处置能力。</w:t>
                  </w:r>
                </w:p>
                <w:p w14:paraId="6B972753">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（3.2）加强村镇饮用水源地保护，有效防范水源地环境风险。</w:t>
                  </w:r>
                </w:p>
                <w:p w14:paraId="6299BA57">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（3.3）严格落实《农用地土壤环境管理办法》相关要求，强化农用地土壤环境保护监督管理，保护农用地土壤环境，管控农用地土壤环境风险。</w:t>
                  </w:r>
                </w:p>
                <w:p w14:paraId="61A79E58">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（3.4）开展矿山地质环境整治、矿山</w:t>
                  </w:r>
                  <w:r>
                    <w:rPr>
                      <w:rFonts w:hint="eastAsia" w:cs="Times New Roman"/>
                      <w:color w:val="auto"/>
                      <w:sz w:val="21"/>
                      <w:szCs w:val="21"/>
                      <w:highlight w:val="none"/>
                      <w:u w:val="none" w:color="auto"/>
                      <w:lang w:val="en-US" w:eastAsia="zh-CN"/>
                    </w:rPr>
                    <w:t>“</w:t>
                  </w:r>
                  <w:r>
                    <w:rPr>
                      <w:rFonts w:hint="eastAsia" w:ascii="Times New Roman" w:hAnsi="Times New Roman" w:eastAsia="宋体" w:cs="Times New Roman"/>
                      <w:color w:val="auto"/>
                      <w:sz w:val="21"/>
                      <w:szCs w:val="21"/>
                      <w:highlight w:val="none"/>
                      <w:u w:val="none" w:color="auto"/>
                      <w:lang w:val="en-US" w:eastAsia="zh-CN"/>
                    </w:rPr>
                    <w:t>三废</w:t>
                  </w:r>
                  <w:r>
                    <w:rPr>
                      <w:rFonts w:hint="eastAsia" w:cs="Times New Roman"/>
                      <w:color w:val="auto"/>
                      <w:sz w:val="21"/>
                      <w:szCs w:val="21"/>
                      <w:highlight w:val="none"/>
                      <w:u w:val="none" w:color="auto"/>
                      <w:lang w:val="en-US" w:eastAsia="zh-CN"/>
                    </w:rPr>
                    <w:t>”</w:t>
                  </w:r>
                  <w:r>
                    <w:rPr>
                      <w:rFonts w:hint="eastAsia" w:ascii="Times New Roman" w:hAnsi="Times New Roman" w:eastAsia="宋体" w:cs="Times New Roman"/>
                      <w:color w:val="auto"/>
                      <w:sz w:val="21"/>
                      <w:szCs w:val="21"/>
                      <w:highlight w:val="none"/>
                      <w:u w:val="none" w:color="auto"/>
                      <w:lang w:val="en-US" w:eastAsia="zh-CN"/>
                    </w:rPr>
                    <w:t>治理、退役矿山综合整治、土地复垦还绿专项整治，促进产业空间整合，推动矿山恢复治理及综合利用。</w:t>
                  </w:r>
                </w:p>
              </w:tc>
              <w:tc>
                <w:tcPr>
                  <w:tcW w:w="1650" w:type="dxa"/>
                  <w:noWrap w:val="0"/>
                  <w:vAlign w:val="center"/>
                </w:tcPr>
                <w:p w14:paraId="145A64FE">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（1）本项目运营期，建设单位需建立风险防控体系，落实《溆浦县突发环境事件应急预案》的相关要求，严防环境风险事故发生，提高应急处置能力；</w:t>
                  </w:r>
                </w:p>
                <w:p w14:paraId="74B70037">
                  <w:pPr>
                    <w:spacing w:line="240" w:lineRule="auto"/>
                    <w:ind w:left="0" w:leftChars="0" w:firstLine="0" w:firstLineChars="0"/>
                    <w:jc w:val="left"/>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（2）本项目不涉及饮用水源地保护；</w:t>
                  </w:r>
                </w:p>
                <w:p w14:paraId="37A2D265">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（3）项目</w:t>
                  </w:r>
                  <w:r>
                    <w:rPr>
                      <w:rFonts w:hint="eastAsia" w:cs="Times New Roman"/>
                      <w:color w:val="auto"/>
                      <w:sz w:val="21"/>
                      <w:szCs w:val="21"/>
                      <w:highlight w:val="none"/>
                      <w:u w:val="none" w:color="auto"/>
                      <w:lang w:val="en-US" w:eastAsia="zh-CN"/>
                    </w:rPr>
                    <w:t>山银花</w:t>
                  </w:r>
                  <w:r>
                    <w:rPr>
                      <w:rFonts w:hint="eastAsia" w:ascii="Times New Roman" w:hAnsi="Times New Roman" w:cs="Times New Roman"/>
                      <w:bCs/>
                      <w:color w:val="auto"/>
                      <w:u w:val="none"/>
                      <w:lang w:val="en-US" w:eastAsia="zh-CN"/>
                    </w:rPr>
                    <w:t>种植和采收主要采用人工方式，多年来已形成较为稳定的生态系统</w:t>
                  </w:r>
                  <w:r>
                    <w:rPr>
                      <w:rFonts w:hint="eastAsia" w:ascii="Times New Roman" w:hAnsi="Times New Roman" w:eastAsia="宋体" w:cs="Times New Roman"/>
                      <w:color w:val="auto"/>
                      <w:sz w:val="21"/>
                      <w:szCs w:val="21"/>
                      <w:highlight w:val="none"/>
                      <w:u w:val="none" w:color="auto"/>
                      <w:lang w:val="en-US" w:eastAsia="zh-CN"/>
                    </w:rPr>
                    <w:t>；</w:t>
                  </w:r>
                </w:p>
                <w:p w14:paraId="274DBFD4">
                  <w:pPr>
                    <w:spacing w:line="240" w:lineRule="auto"/>
                    <w:ind w:left="0" w:leftChars="0" w:firstLine="0" w:firstLineChars="0"/>
                    <w:jc w:val="left"/>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（4）本项目</w:t>
                  </w:r>
                  <w:r>
                    <w:rPr>
                      <w:rFonts w:hint="eastAsia" w:cs="Times New Roman"/>
                      <w:color w:val="auto"/>
                      <w:sz w:val="21"/>
                      <w:szCs w:val="21"/>
                      <w:highlight w:val="none"/>
                      <w:u w:val="none" w:color="auto"/>
                      <w:lang w:val="en-US" w:eastAsia="zh-CN"/>
                    </w:rPr>
                    <w:t>不涉及</w:t>
                  </w:r>
                  <w:r>
                    <w:rPr>
                      <w:rFonts w:hint="eastAsia" w:ascii="Times New Roman" w:hAnsi="Times New Roman" w:eastAsia="宋体" w:cs="Times New Roman"/>
                      <w:color w:val="auto"/>
                      <w:sz w:val="21"/>
                      <w:szCs w:val="21"/>
                      <w:highlight w:val="none"/>
                      <w:u w:val="none" w:color="auto"/>
                      <w:lang w:val="en-US" w:eastAsia="zh-CN"/>
                    </w:rPr>
                    <w:t>。</w:t>
                  </w:r>
                </w:p>
              </w:tc>
              <w:tc>
                <w:tcPr>
                  <w:tcW w:w="1086" w:type="dxa"/>
                  <w:noWrap w:val="0"/>
                  <w:vAlign w:val="center"/>
                </w:tcPr>
                <w:p w14:paraId="0637A17C">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符合</w:t>
                  </w:r>
                </w:p>
              </w:tc>
            </w:tr>
            <w:tr w14:paraId="3F41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noWrap w:val="0"/>
                  <w:vAlign w:val="center"/>
                </w:tcPr>
                <w:p w14:paraId="111634FC">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资源开发频率要求</w:t>
                  </w:r>
                </w:p>
              </w:tc>
              <w:tc>
                <w:tcPr>
                  <w:tcW w:w="3006" w:type="dxa"/>
                  <w:gridSpan w:val="2"/>
                  <w:noWrap w:val="0"/>
                  <w:vAlign w:val="center"/>
                </w:tcPr>
                <w:p w14:paraId="622E2F63">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（4.1）能源</w:t>
                  </w:r>
                </w:p>
                <w:p w14:paraId="452155E6">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（4.1.1）科学开发利用清洁能源与可再生新能源，优化能源结构。</w:t>
                  </w:r>
                </w:p>
                <w:p w14:paraId="02EAE57C">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（4.1.2）加快开发秸秆废弃物、城市垃圾等生物质资源能源化利用，推进清洁能源产业化进程。</w:t>
                  </w:r>
                </w:p>
                <w:p w14:paraId="688E8DFB">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（4.2）水资源</w:t>
                  </w:r>
                </w:p>
                <w:p w14:paraId="1F0F573E">
                  <w:pPr>
                    <w:spacing w:line="240" w:lineRule="auto"/>
                    <w:ind w:left="0" w:leftChars="0" w:firstLine="0" w:firstLineChars="0"/>
                    <w:jc w:val="both"/>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到2025年，溆浦县用水总量21952万立方米，万元地区生产总值用水量比2020年下降21.86%，万元工业增加值用水量比2020年下降10.80%，农田灌溉水有效利用系数0.571。</w:t>
                  </w:r>
                </w:p>
                <w:p w14:paraId="1095C41D">
                  <w:pPr>
                    <w:spacing w:line="240" w:lineRule="auto"/>
                    <w:ind w:left="0" w:leftChars="0" w:firstLine="0" w:firstLineChars="0"/>
                    <w:jc w:val="left"/>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（4.3）土地资源</w:t>
                  </w:r>
                </w:p>
                <w:p w14:paraId="343C4CB2">
                  <w:pPr>
                    <w:spacing w:line="240" w:lineRule="auto"/>
                    <w:ind w:left="0" w:leftChars="0" w:firstLine="0" w:firstLineChars="0"/>
                    <w:jc w:val="both"/>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到2025年，溆浦县耕地保有量为67.26万亩，永久基本农田保护面积为59.34万亩，生态保护红线面积为1181.93万亩，城镇开发边界规模为30.77万亩。</w:t>
                  </w:r>
                </w:p>
              </w:tc>
              <w:tc>
                <w:tcPr>
                  <w:tcW w:w="1650" w:type="dxa"/>
                  <w:noWrap w:val="0"/>
                  <w:vAlign w:val="center"/>
                </w:tcPr>
                <w:p w14:paraId="3E68018A">
                  <w:pPr>
                    <w:spacing w:line="240" w:lineRule="auto"/>
                    <w:ind w:left="0" w:leftChars="0" w:firstLine="0" w:firstLineChars="0"/>
                    <w:jc w:val="both"/>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r>
                    <w:rPr>
                      <w:rFonts w:hint="default" w:ascii="Times New Roman" w:hAnsi="Times New Roman" w:cs="Times New Roman"/>
                      <w:color w:val="auto"/>
                      <w:kern w:val="0"/>
                      <w:sz w:val="21"/>
                      <w:szCs w:val="21"/>
                      <w:u w:val="none"/>
                    </w:rPr>
                    <w:t>本项目使用电能、生物质颗粒</w:t>
                  </w:r>
                  <w:r>
                    <w:rPr>
                      <w:rFonts w:hint="eastAsia" w:ascii="Times New Roman" w:hAnsi="Times New Roman" w:cs="Times New Roman"/>
                      <w:color w:val="auto"/>
                      <w:kern w:val="0"/>
                      <w:sz w:val="21"/>
                      <w:szCs w:val="21"/>
                      <w:u w:val="none"/>
                      <w:lang w:eastAsia="zh-CN"/>
                    </w:rPr>
                    <w:t>，</w:t>
                  </w:r>
                  <w:r>
                    <w:rPr>
                      <w:rFonts w:hint="eastAsia"/>
                      <w:color w:val="auto"/>
                      <w:u w:val="none"/>
                      <w:lang w:val="en-US" w:eastAsia="zh-CN"/>
                    </w:rPr>
                    <w:t>生物质燃烧</w:t>
                  </w:r>
                  <w:r>
                    <w:rPr>
                      <w:rFonts w:hint="eastAsia"/>
                      <w:color w:val="auto"/>
                      <w:u w:val="none"/>
                      <w:lang w:eastAsia="zh-CN"/>
                    </w:rPr>
                    <w:t>废气经布袋除尘处理后由</w:t>
                  </w:r>
                  <w:r>
                    <w:rPr>
                      <w:rFonts w:hint="eastAsia"/>
                      <w:color w:val="auto"/>
                      <w:u w:val="none"/>
                      <w:lang w:val="en-US" w:eastAsia="zh-CN"/>
                    </w:rPr>
                    <w:t>15米高排气筒排放</w:t>
                  </w:r>
                  <w:r>
                    <w:rPr>
                      <w:rFonts w:hint="eastAsia" w:ascii="Times New Roman" w:hAnsi="Times New Roman" w:eastAsia="宋体" w:cs="Times New Roman"/>
                      <w:color w:val="auto"/>
                      <w:sz w:val="21"/>
                      <w:szCs w:val="21"/>
                      <w:highlight w:val="none"/>
                      <w:u w:val="none" w:color="auto"/>
                      <w:lang w:val="en-US" w:eastAsia="zh-CN"/>
                    </w:rPr>
                    <w:t>；</w:t>
                  </w:r>
                </w:p>
                <w:p w14:paraId="40688E3C">
                  <w:pPr>
                    <w:spacing w:line="240" w:lineRule="auto"/>
                    <w:ind w:left="0" w:leftChars="0" w:firstLine="0" w:firstLineChars="0"/>
                    <w:jc w:val="both"/>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（2）项</w:t>
                  </w:r>
                  <w:r>
                    <w:rPr>
                      <w:rFonts w:hint="eastAsia" w:cs="Times New Roman"/>
                      <w:color w:val="auto"/>
                      <w:sz w:val="21"/>
                      <w:szCs w:val="21"/>
                      <w:highlight w:val="none"/>
                      <w:u w:val="none" w:color="auto"/>
                      <w:lang w:val="en-US" w:eastAsia="zh-CN"/>
                    </w:rPr>
                    <w:t>生产、</w:t>
                  </w:r>
                  <w:r>
                    <w:rPr>
                      <w:rFonts w:hint="eastAsia" w:ascii="Times New Roman" w:hAnsi="Times New Roman" w:eastAsia="宋体" w:cs="Times New Roman"/>
                      <w:color w:val="auto"/>
                      <w:sz w:val="21"/>
                      <w:szCs w:val="21"/>
                      <w:u w:val="none" w:color="auto"/>
                      <w:lang w:val="en-US" w:eastAsia="zh-CN"/>
                    </w:rPr>
                    <w:t>生活</w:t>
                  </w:r>
                  <w:r>
                    <w:rPr>
                      <w:rFonts w:hint="eastAsia" w:cs="Times New Roman"/>
                      <w:color w:val="auto"/>
                      <w:sz w:val="21"/>
                      <w:szCs w:val="21"/>
                      <w:u w:val="none" w:color="auto"/>
                      <w:lang w:val="en-US" w:eastAsia="zh-CN"/>
                    </w:rPr>
                    <w:t>用水均由市政自来水供应</w:t>
                  </w:r>
                  <w:r>
                    <w:rPr>
                      <w:rFonts w:hint="eastAsia" w:ascii="Times New Roman" w:hAnsi="Times New Roman" w:eastAsia="宋体" w:cs="Times New Roman"/>
                      <w:color w:val="auto"/>
                      <w:sz w:val="21"/>
                      <w:szCs w:val="21"/>
                      <w:highlight w:val="none"/>
                      <w:u w:val="none" w:color="auto"/>
                      <w:lang w:val="en-US" w:eastAsia="zh-CN"/>
                    </w:rPr>
                    <w:t>；</w:t>
                  </w:r>
                </w:p>
                <w:p w14:paraId="672524CB">
                  <w:pPr>
                    <w:spacing w:line="240" w:lineRule="auto"/>
                    <w:ind w:left="0" w:leftChars="0" w:firstLine="0" w:firstLineChars="0"/>
                    <w:jc w:val="both"/>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（3）项目</w:t>
                  </w:r>
                  <w:r>
                    <w:rPr>
                      <w:rFonts w:hint="eastAsia" w:cs="Times New Roman"/>
                      <w:color w:val="auto"/>
                      <w:sz w:val="21"/>
                      <w:szCs w:val="21"/>
                      <w:highlight w:val="none"/>
                      <w:u w:val="none" w:color="auto"/>
                      <w:lang w:val="en-US" w:eastAsia="zh-CN"/>
                    </w:rPr>
                    <w:t>加工基地</w:t>
                  </w:r>
                  <w:r>
                    <w:rPr>
                      <w:rFonts w:hint="eastAsia" w:ascii="Times New Roman" w:hAnsi="Times New Roman" w:eastAsia="宋体" w:cs="Times New Roman"/>
                      <w:color w:val="auto"/>
                      <w:sz w:val="21"/>
                      <w:szCs w:val="21"/>
                      <w:highlight w:val="none"/>
                      <w:u w:val="none" w:color="auto"/>
                      <w:lang w:val="en-US" w:eastAsia="zh-CN"/>
                    </w:rPr>
                    <w:t>不涉及公益林、耕地、永久基本农田、生态保护红线等。</w:t>
                  </w:r>
                </w:p>
              </w:tc>
              <w:tc>
                <w:tcPr>
                  <w:tcW w:w="1086" w:type="dxa"/>
                  <w:noWrap w:val="0"/>
                  <w:vAlign w:val="center"/>
                </w:tcPr>
                <w:p w14:paraId="1E8AFB52">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符合</w:t>
                  </w:r>
                </w:p>
              </w:tc>
            </w:tr>
          </w:tbl>
          <w:p w14:paraId="4D9171C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default" w:ascii="Times New Roman" w:hAnsi="Times New Roman" w:eastAsia="宋体" w:cs="Times New Roman"/>
                <w:b/>
                <w:snapToGrid w:val="0"/>
                <w:color w:val="auto"/>
                <w:spacing w:val="4"/>
                <w:kern w:val="0"/>
                <w:sz w:val="24"/>
                <w:szCs w:val="24"/>
                <w:u w:val="none" w:color="auto"/>
                <w:lang w:val="en-US" w:eastAsia="zh-CN"/>
              </w:rPr>
            </w:pPr>
            <w:r>
              <w:rPr>
                <w:rFonts w:hint="eastAsia" w:cs="Times New Roman"/>
                <w:b/>
                <w:bCs/>
                <w:color w:val="auto"/>
                <w:kern w:val="0"/>
                <w:sz w:val="24"/>
                <w:u w:val="none" w:color="auto"/>
                <w:lang w:val="en-US" w:eastAsia="zh-CN"/>
              </w:rPr>
              <w:t>2、</w:t>
            </w:r>
            <w:r>
              <w:rPr>
                <w:rFonts w:hint="eastAsia" w:ascii="Times New Roman" w:hAnsi="Times New Roman" w:eastAsia="宋体" w:cs="Times New Roman"/>
                <w:b/>
                <w:snapToGrid w:val="0"/>
                <w:color w:val="auto"/>
                <w:spacing w:val="4"/>
                <w:kern w:val="0"/>
                <w:sz w:val="24"/>
                <w:szCs w:val="24"/>
                <w:u w:val="none" w:color="auto"/>
                <w:lang w:val="en-US" w:eastAsia="zh-CN"/>
              </w:rPr>
              <w:t>与</w:t>
            </w:r>
            <w:r>
              <w:rPr>
                <w:rFonts w:hint="eastAsia" w:ascii="Times New Roman" w:hAnsi="Times New Roman" w:eastAsia="宋体" w:cs="Times New Roman"/>
                <w:b/>
                <w:snapToGrid w:val="0"/>
                <w:color w:val="auto"/>
                <w:spacing w:val="4"/>
                <w:kern w:val="0"/>
                <w:sz w:val="24"/>
                <w:szCs w:val="24"/>
                <w:u w:val="none" w:color="auto"/>
              </w:rPr>
              <w:t>《湖南省</w:t>
            </w:r>
            <w:r>
              <w:rPr>
                <w:rFonts w:hint="eastAsia" w:cs="Times New Roman"/>
                <w:b/>
                <w:snapToGrid w:val="0"/>
                <w:color w:val="auto"/>
                <w:spacing w:val="4"/>
                <w:kern w:val="0"/>
                <w:sz w:val="24"/>
                <w:szCs w:val="24"/>
                <w:u w:val="none" w:color="auto"/>
                <w:lang w:eastAsia="zh-CN"/>
              </w:rPr>
              <w:t>“</w:t>
            </w:r>
            <w:r>
              <w:rPr>
                <w:rFonts w:hint="eastAsia" w:ascii="Times New Roman" w:hAnsi="Times New Roman" w:eastAsia="宋体" w:cs="Times New Roman"/>
                <w:b/>
                <w:snapToGrid w:val="0"/>
                <w:color w:val="auto"/>
                <w:spacing w:val="4"/>
                <w:kern w:val="0"/>
                <w:sz w:val="24"/>
                <w:szCs w:val="24"/>
                <w:u w:val="none" w:color="auto"/>
              </w:rPr>
              <w:t>十四五</w:t>
            </w:r>
            <w:r>
              <w:rPr>
                <w:rFonts w:hint="eastAsia" w:cs="Times New Roman"/>
                <w:b/>
                <w:snapToGrid w:val="0"/>
                <w:color w:val="auto"/>
                <w:spacing w:val="4"/>
                <w:kern w:val="0"/>
                <w:sz w:val="24"/>
                <w:szCs w:val="24"/>
                <w:u w:val="none" w:color="auto"/>
                <w:lang w:eastAsia="zh-CN"/>
              </w:rPr>
              <w:t>”</w:t>
            </w:r>
            <w:r>
              <w:rPr>
                <w:rFonts w:hint="eastAsia" w:ascii="Times New Roman" w:hAnsi="Times New Roman" w:eastAsia="宋体" w:cs="Times New Roman"/>
                <w:b/>
                <w:snapToGrid w:val="0"/>
                <w:color w:val="auto"/>
                <w:spacing w:val="4"/>
                <w:kern w:val="0"/>
                <w:sz w:val="24"/>
                <w:szCs w:val="24"/>
                <w:u w:val="none" w:color="auto"/>
              </w:rPr>
              <w:t>生态环境保护规划》</w:t>
            </w:r>
            <w:r>
              <w:rPr>
                <w:rFonts w:hint="eastAsia" w:ascii="Times New Roman" w:hAnsi="Times New Roman" w:eastAsia="宋体" w:cs="Times New Roman"/>
                <w:b/>
                <w:snapToGrid w:val="0"/>
                <w:color w:val="auto"/>
                <w:spacing w:val="4"/>
                <w:kern w:val="0"/>
                <w:sz w:val="24"/>
                <w:szCs w:val="24"/>
                <w:u w:val="none" w:color="auto"/>
                <w:lang w:val="en-US" w:eastAsia="zh-CN"/>
              </w:rPr>
              <w:t>相符性分析</w:t>
            </w:r>
          </w:p>
          <w:p w14:paraId="69981D6F">
            <w:pPr>
              <w:pStyle w:val="30"/>
              <w:spacing w:line="360" w:lineRule="auto"/>
              <w:ind w:firstLine="480" w:firstLineChars="200"/>
              <w:jc w:val="left"/>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查阅湖南省人民政府办公厅于2021年9月30日发布的《湖南省</w:t>
            </w:r>
            <w:r>
              <w:rPr>
                <w:rFonts w:hint="eastAsia" w:cs="Times New Roman"/>
                <w:color w:val="auto"/>
                <w:kern w:val="2"/>
                <w:sz w:val="24"/>
                <w:szCs w:val="24"/>
                <w:highlight w:val="none"/>
                <w:u w:val="none" w:color="auto"/>
                <w:lang w:val="en-US" w:eastAsia="zh-CN" w:bidi="ar-SA"/>
              </w:rPr>
              <w:t>“</w:t>
            </w:r>
            <w:r>
              <w:rPr>
                <w:rFonts w:hint="eastAsia" w:ascii="Times New Roman" w:hAnsi="Times New Roman" w:eastAsia="宋体" w:cs="Times New Roman"/>
                <w:color w:val="auto"/>
                <w:kern w:val="2"/>
                <w:sz w:val="24"/>
                <w:szCs w:val="24"/>
                <w:highlight w:val="none"/>
                <w:u w:val="none" w:color="auto"/>
                <w:lang w:val="en-US" w:eastAsia="zh-CN" w:bidi="ar-SA"/>
              </w:rPr>
              <w:t>十四五</w:t>
            </w:r>
            <w:r>
              <w:rPr>
                <w:rFonts w:hint="eastAsia" w:cs="Times New Roman"/>
                <w:color w:val="auto"/>
                <w:kern w:val="2"/>
                <w:sz w:val="24"/>
                <w:szCs w:val="24"/>
                <w:highlight w:val="none"/>
                <w:u w:val="none" w:color="auto"/>
                <w:lang w:val="en-US" w:eastAsia="zh-CN" w:bidi="ar-SA"/>
              </w:rPr>
              <w:t>”</w:t>
            </w:r>
            <w:r>
              <w:rPr>
                <w:rFonts w:hint="eastAsia" w:ascii="Times New Roman" w:hAnsi="Times New Roman" w:eastAsia="宋体" w:cs="Times New Roman"/>
                <w:color w:val="auto"/>
                <w:kern w:val="2"/>
                <w:sz w:val="24"/>
                <w:szCs w:val="24"/>
                <w:highlight w:val="none"/>
                <w:u w:val="none" w:color="auto"/>
                <w:lang w:val="en-US" w:eastAsia="zh-CN" w:bidi="ar-SA"/>
              </w:rPr>
              <w:t>生</w:t>
            </w:r>
            <w:r>
              <w:rPr>
                <w:rFonts w:hint="eastAsia" w:ascii="Times New Roman" w:hAnsi="Times New Roman" w:eastAsia="宋体" w:cs="Times New Roman"/>
                <w:b w:val="0"/>
                <w:color w:val="auto"/>
                <w:kern w:val="2"/>
                <w:sz w:val="24"/>
                <w:szCs w:val="24"/>
                <w:highlight w:val="none"/>
                <w:u w:val="none" w:color="auto"/>
                <w:lang w:val="en-US" w:eastAsia="zh-CN" w:bidi="ar-SA"/>
              </w:rPr>
              <w:t>态环境保护规划》，项目产生的废水、废气、固废及噪声采用的处理措施属于可行技术、处理后可做到达标排放</w:t>
            </w:r>
            <w:r>
              <w:rPr>
                <w:rFonts w:hint="eastAsia" w:ascii="Times New Roman" w:hAnsi="Times New Roman" w:eastAsia="宋体" w:cs="Times New Roman"/>
                <w:color w:val="auto"/>
                <w:kern w:val="2"/>
                <w:sz w:val="24"/>
                <w:szCs w:val="24"/>
                <w:highlight w:val="none"/>
                <w:u w:val="none" w:color="auto"/>
                <w:lang w:val="en-US" w:eastAsia="zh-CN" w:bidi="ar-SA"/>
              </w:rPr>
              <w:t>，项目的建设符合《湖南省</w:t>
            </w:r>
            <w:r>
              <w:rPr>
                <w:rFonts w:hint="eastAsia" w:cs="Times New Roman"/>
                <w:color w:val="auto"/>
                <w:kern w:val="2"/>
                <w:sz w:val="24"/>
                <w:szCs w:val="24"/>
                <w:highlight w:val="none"/>
                <w:u w:val="none" w:color="auto"/>
                <w:lang w:val="en-US" w:eastAsia="zh-CN" w:bidi="ar-SA"/>
              </w:rPr>
              <w:t>“</w:t>
            </w:r>
            <w:r>
              <w:rPr>
                <w:rFonts w:hint="eastAsia" w:ascii="Times New Roman" w:hAnsi="Times New Roman" w:eastAsia="宋体" w:cs="Times New Roman"/>
                <w:color w:val="auto"/>
                <w:kern w:val="2"/>
                <w:sz w:val="24"/>
                <w:szCs w:val="24"/>
                <w:highlight w:val="none"/>
                <w:u w:val="none" w:color="auto"/>
                <w:lang w:val="en-US" w:eastAsia="zh-CN" w:bidi="ar-SA"/>
              </w:rPr>
              <w:t>十四五</w:t>
            </w:r>
            <w:r>
              <w:rPr>
                <w:rFonts w:hint="eastAsia" w:cs="Times New Roman"/>
                <w:color w:val="auto"/>
                <w:kern w:val="2"/>
                <w:sz w:val="24"/>
                <w:szCs w:val="24"/>
                <w:highlight w:val="none"/>
                <w:u w:val="none" w:color="auto"/>
                <w:lang w:val="en-US" w:eastAsia="zh-CN" w:bidi="ar-SA"/>
              </w:rPr>
              <w:t>”</w:t>
            </w:r>
            <w:r>
              <w:rPr>
                <w:rFonts w:hint="eastAsia" w:ascii="Times New Roman" w:hAnsi="Times New Roman" w:eastAsia="宋体" w:cs="Times New Roman"/>
                <w:color w:val="auto"/>
                <w:kern w:val="2"/>
                <w:sz w:val="24"/>
                <w:szCs w:val="24"/>
                <w:highlight w:val="none"/>
                <w:u w:val="none" w:color="auto"/>
                <w:lang w:val="en-US" w:eastAsia="zh-CN" w:bidi="ar-SA"/>
              </w:rPr>
              <w:t>生态环境保护规划》要求。</w:t>
            </w:r>
          </w:p>
          <w:p w14:paraId="52969279">
            <w:pPr>
              <w:pStyle w:val="124"/>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color w:val="auto"/>
                <w:kern w:val="0"/>
                <w:sz w:val="24"/>
                <w:szCs w:val="24"/>
                <w:u w:val="none"/>
                <w:lang w:val="en-US" w:eastAsia="zh-CN"/>
              </w:rPr>
            </w:pPr>
            <w:r>
              <w:rPr>
                <w:rFonts w:hint="eastAsia" w:cs="Times New Roman"/>
                <w:b/>
                <w:bCs/>
                <w:color w:val="auto"/>
                <w:kern w:val="0"/>
                <w:sz w:val="24"/>
                <w:szCs w:val="24"/>
                <w:u w:val="none"/>
                <w:lang w:val="en-US" w:eastAsia="zh-CN"/>
              </w:rPr>
              <w:t>3、</w:t>
            </w:r>
            <w:r>
              <w:rPr>
                <w:rFonts w:hint="default" w:ascii="Times New Roman" w:hAnsi="Times New Roman" w:eastAsia="宋体" w:cs="Times New Roman"/>
                <w:b/>
                <w:bCs/>
                <w:color w:val="auto"/>
                <w:kern w:val="0"/>
                <w:sz w:val="24"/>
                <w:szCs w:val="24"/>
                <w:u w:val="none"/>
                <w:lang w:val="en-US" w:eastAsia="zh-CN"/>
              </w:rPr>
              <w:t>与《</w:t>
            </w:r>
            <w:r>
              <w:rPr>
                <w:rFonts w:hint="eastAsia" w:ascii="Times New Roman" w:hAnsi="Times New Roman" w:eastAsia="宋体" w:cs="Times New Roman"/>
                <w:b/>
                <w:bCs/>
                <w:color w:val="auto"/>
                <w:kern w:val="0"/>
                <w:sz w:val="24"/>
                <w:szCs w:val="24"/>
                <w:u w:val="none"/>
                <w:lang w:val="en-US" w:eastAsia="zh-CN"/>
              </w:rPr>
              <w:t>怀化市</w:t>
            </w:r>
            <w:r>
              <w:rPr>
                <w:rFonts w:hint="eastAsia" w:cs="Times New Roman"/>
                <w:b/>
                <w:bCs/>
                <w:color w:val="auto"/>
                <w:kern w:val="0"/>
                <w:sz w:val="24"/>
                <w:szCs w:val="24"/>
                <w:u w:val="none"/>
                <w:lang w:val="en-US" w:eastAsia="zh-CN"/>
              </w:rPr>
              <w:t>“</w:t>
            </w:r>
            <w:r>
              <w:rPr>
                <w:rFonts w:hint="eastAsia" w:ascii="Times New Roman" w:hAnsi="Times New Roman" w:eastAsia="宋体" w:cs="Times New Roman"/>
                <w:b/>
                <w:bCs/>
                <w:color w:val="auto"/>
                <w:kern w:val="0"/>
                <w:sz w:val="24"/>
                <w:szCs w:val="24"/>
                <w:u w:val="none"/>
                <w:lang w:val="en-US" w:eastAsia="zh-CN"/>
              </w:rPr>
              <w:t>十四五</w:t>
            </w:r>
            <w:r>
              <w:rPr>
                <w:rFonts w:hint="eastAsia" w:cs="Times New Roman"/>
                <w:b/>
                <w:bCs/>
                <w:color w:val="auto"/>
                <w:kern w:val="0"/>
                <w:sz w:val="24"/>
                <w:szCs w:val="24"/>
                <w:u w:val="none"/>
                <w:lang w:val="en-US" w:eastAsia="zh-CN"/>
              </w:rPr>
              <w:t>”</w:t>
            </w:r>
            <w:r>
              <w:rPr>
                <w:rFonts w:hint="eastAsia" w:ascii="Times New Roman" w:hAnsi="Times New Roman" w:eastAsia="宋体" w:cs="Times New Roman"/>
                <w:b/>
                <w:bCs/>
                <w:color w:val="auto"/>
                <w:kern w:val="0"/>
                <w:sz w:val="24"/>
                <w:szCs w:val="24"/>
                <w:u w:val="none"/>
                <w:lang w:val="en-US" w:eastAsia="zh-CN"/>
              </w:rPr>
              <w:t>生态环境保护规划</w:t>
            </w:r>
            <w:r>
              <w:rPr>
                <w:rFonts w:hint="default" w:ascii="Times New Roman" w:hAnsi="Times New Roman" w:eastAsia="宋体" w:cs="Times New Roman"/>
                <w:b/>
                <w:bCs/>
                <w:color w:val="auto"/>
                <w:kern w:val="0"/>
                <w:sz w:val="24"/>
                <w:szCs w:val="24"/>
                <w:u w:val="none"/>
                <w:lang w:val="en-US" w:eastAsia="zh-CN"/>
              </w:rPr>
              <w:t>》符合性分析</w:t>
            </w:r>
          </w:p>
          <w:p w14:paraId="6B5214AC">
            <w:pPr>
              <w:pStyle w:val="124"/>
              <w:keepNext w:val="0"/>
              <w:keepLines w:val="0"/>
              <w:pageBreakBefore w:val="0"/>
              <w:widowControl w:val="0"/>
              <w:kinsoku/>
              <w:wordWrap/>
              <w:overflowPunct/>
              <w:topLinePunct w:val="0"/>
              <w:autoSpaceDE/>
              <w:autoSpaceDN/>
              <w:bidi w:val="0"/>
              <w:adjustRightInd/>
              <w:snapToGrid/>
              <w:spacing w:beforeAutospacing="0" w:afterAutospacing="0"/>
              <w:ind w:firstLine="480" w:firstLineChars="200"/>
              <w:textAlignment w:val="auto"/>
              <w:rPr>
                <w:color w:val="auto"/>
                <w:u w:val="none"/>
              </w:rPr>
            </w:pPr>
            <w:r>
              <w:rPr>
                <w:color w:val="auto"/>
                <w:u w:val="none"/>
              </w:rPr>
              <w:t>根据《</w:t>
            </w:r>
            <w:r>
              <w:rPr>
                <w:rFonts w:hint="eastAsia"/>
                <w:color w:val="auto"/>
                <w:u w:val="none"/>
              </w:rPr>
              <w:t>怀化市</w:t>
            </w:r>
            <w:r>
              <w:rPr>
                <w:rFonts w:hint="eastAsia"/>
                <w:color w:val="auto"/>
                <w:u w:val="none"/>
                <w:lang w:eastAsia="zh-CN"/>
              </w:rPr>
              <w:t>“</w:t>
            </w:r>
            <w:r>
              <w:rPr>
                <w:rFonts w:hint="eastAsia"/>
                <w:color w:val="auto"/>
                <w:u w:val="none"/>
              </w:rPr>
              <w:t>十四五</w:t>
            </w:r>
            <w:r>
              <w:rPr>
                <w:rFonts w:hint="eastAsia"/>
                <w:color w:val="auto"/>
                <w:u w:val="none"/>
                <w:lang w:eastAsia="zh-CN"/>
              </w:rPr>
              <w:t>”</w:t>
            </w:r>
            <w:r>
              <w:rPr>
                <w:rFonts w:hint="eastAsia"/>
                <w:color w:val="auto"/>
                <w:u w:val="none"/>
              </w:rPr>
              <w:t>生态环境保护规划</w:t>
            </w:r>
            <w:r>
              <w:rPr>
                <w:color w:val="auto"/>
                <w:u w:val="none"/>
              </w:rPr>
              <w:t>》：</w:t>
            </w:r>
            <w:r>
              <w:rPr>
                <w:rFonts w:hint="eastAsia"/>
                <w:color w:val="auto"/>
                <w:u w:val="none"/>
                <w:lang w:eastAsia="zh-CN"/>
              </w:rPr>
              <w:t>提</w:t>
            </w:r>
            <w:r>
              <w:rPr>
                <w:rFonts w:hint="eastAsia"/>
                <w:color w:val="auto"/>
                <w:u w:val="none"/>
              </w:rPr>
              <w:t>出</w:t>
            </w:r>
            <w:r>
              <w:rPr>
                <w:rFonts w:hint="eastAsia"/>
                <w:color w:val="auto"/>
                <w:u w:val="none"/>
                <w:lang w:eastAsia="zh-CN"/>
              </w:rPr>
              <w:t>怀化</w:t>
            </w:r>
            <w:r>
              <w:rPr>
                <w:rFonts w:hint="eastAsia"/>
                <w:color w:val="auto"/>
                <w:u w:val="none"/>
              </w:rPr>
              <w:t>市</w:t>
            </w:r>
            <w:r>
              <w:rPr>
                <w:rFonts w:hint="eastAsia"/>
                <w:color w:val="auto"/>
                <w:u w:val="none"/>
                <w:lang w:eastAsia="zh-CN"/>
              </w:rPr>
              <w:t>“</w:t>
            </w:r>
            <w:r>
              <w:rPr>
                <w:rFonts w:hint="eastAsia"/>
                <w:color w:val="auto"/>
                <w:u w:val="none"/>
              </w:rPr>
              <w:t>十四五</w:t>
            </w:r>
            <w:r>
              <w:rPr>
                <w:rFonts w:hint="eastAsia"/>
                <w:color w:val="auto"/>
                <w:u w:val="none"/>
                <w:lang w:eastAsia="zh-CN"/>
              </w:rPr>
              <w:t>”</w:t>
            </w:r>
            <w:r>
              <w:rPr>
                <w:rFonts w:hint="eastAsia"/>
                <w:color w:val="auto"/>
                <w:u w:val="none"/>
              </w:rPr>
              <w:t>生态环境保护</w:t>
            </w:r>
            <w:r>
              <w:rPr>
                <w:rFonts w:hint="eastAsia"/>
                <w:color w:val="auto"/>
                <w:u w:val="none"/>
                <w:lang w:eastAsia="zh-CN"/>
              </w:rPr>
              <w:t>“</w:t>
            </w:r>
            <w:r>
              <w:rPr>
                <w:rFonts w:hint="eastAsia"/>
                <w:color w:val="auto"/>
                <w:u w:val="none"/>
              </w:rPr>
              <w:t>六项重点任务</w:t>
            </w:r>
            <w:r>
              <w:rPr>
                <w:rFonts w:hint="eastAsia"/>
                <w:color w:val="auto"/>
                <w:u w:val="none"/>
                <w:lang w:eastAsia="zh-CN"/>
              </w:rPr>
              <w:t>”</w:t>
            </w:r>
            <w:r>
              <w:rPr>
                <w:rFonts w:hint="eastAsia"/>
                <w:color w:val="auto"/>
                <w:u w:val="none"/>
              </w:rPr>
              <w:t>。一是加快高质量低碳发展，推动经济社会绿色转型；二是实施高协同减污降碳，积极主动应对气候变化；三是持续高精准科学治污，深入打好污染防治攻坚战；四是强化高水平区域保护，推进生态系统保护修复；五是坚持高标准风险防控，防范生态环境安全风险；六是完善高起点体制机制，构建现代环境治理体系</w:t>
            </w:r>
            <w:r>
              <w:rPr>
                <w:color w:val="auto"/>
                <w:u w:val="none"/>
              </w:rPr>
              <w:t>。</w:t>
            </w:r>
            <w:r>
              <w:rPr>
                <w:rFonts w:hint="eastAsia"/>
                <w:color w:val="auto"/>
                <w:u w:val="none"/>
              </w:rPr>
              <w:t>实现怀化的绿色环境之美、绿色文化之美、绿色产业之美、绿色制度之美，奋力建设</w:t>
            </w:r>
            <w:r>
              <w:rPr>
                <w:rFonts w:hint="eastAsia"/>
                <w:color w:val="auto"/>
                <w:u w:val="none"/>
                <w:lang w:eastAsia="zh-CN"/>
              </w:rPr>
              <w:t>“</w:t>
            </w:r>
            <w:r>
              <w:rPr>
                <w:rFonts w:hint="eastAsia"/>
                <w:color w:val="auto"/>
                <w:u w:val="none"/>
              </w:rPr>
              <w:t>五省边区生态文明中心城市</w:t>
            </w:r>
            <w:r>
              <w:rPr>
                <w:rFonts w:hint="eastAsia"/>
                <w:color w:val="auto"/>
                <w:u w:val="none"/>
                <w:lang w:eastAsia="zh-CN"/>
              </w:rPr>
              <w:t>”</w:t>
            </w:r>
            <w:r>
              <w:rPr>
                <w:rFonts w:hint="eastAsia"/>
                <w:color w:val="auto"/>
                <w:u w:val="none"/>
              </w:rPr>
              <w:t>。</w:t>
            </w:r>
          </w:p>
          <w:p w14:paraId="19726B26">
            <w:pPr>
              <w:pStyle w:val="124"/>
              <w:keepNext w:val="0"/>
              <w:keepLines w:val="0"/>
              <w:pageBreakBefore w:val="0"/>
              <w:widowControl w:val="0"/>
              <w:kinsoku/>
              <w:wordWrap/>
              <w:overflowPunct/>
              <w:topLinePunct w:val="0"/>
              <w:autoSpaceDE/>
              <w:autoSpaceDN/>
              <w:bidi w:val="0"/>
              <w:adjustRightInd/>
              <w:snapToGrid/>
              <w:spacing w:beforeAutospacing="0" w:afterAutospacing="0"/>
              <w:ind w:firstLine="480" w:firstLineChars="200"/>
              <w:textAlignment w:val="auto"/>
              <w:rPr>
                <w:color w:val="auto"/>
                <w:u w:val="none"/>
              </w:rPr>
            </w:pPr>
            <w:r>
              <w:rPr>
                <w:color w:val="auto"/>
                <w:u w:val="none"/>
              </w:rPr>
              <w:t>本项目</w:t>
            </w:r>
            <w:r>
              <w:rPr>
                <w:rFonts w:hint="eastAsia"/>
                <w:color w:val="auto"/>
                <w:u w:val="none"/>
                <w:lang w:eastAsia="zh-CN"/>
              </w:rPr>
              <w:t>主要为</w:t>
            </w:r>
            <w:r>
              <w:rPr>
                <w:rFonts w:hint="eastAsia" w:ascii="Times New Roman" w:hAnsi="Times New Roman" w:eastAsia="宋体" w:cs="Times New Roman"/>
                <w:color w:val="auto"/>
                <w:u w:val="none"/>
                <w:lang w:eastAsia="zh-CN"/>
              </w:rPr>
              <w:t>山银花</w:t>
            </w:r>
            <w:r>
              <w:rPr>
                <w:rFonts w:hint="eastAsia" w:cs="Times New Roman"/>
                <w:color w:val="auto"/>
                <w:u w:val="none"/>
                <w:lang w:val="en-US" w:eastAsia="zh-CN"/>
              </w:rPr>
              <w:t>等</w:t>
            </w:r>
            <w:r>
              <w:rPr>
                <w:rFonts w:hint="eastAsia" w:cs="Times New Roman"/>
                <w:color w:val="auto"/>
                <w:sz w:val="24"/>
                <w:highlight w:val="none"/>
                <w:lang w:val="en-US" w:eastAsia="zh-CN"/>
              </w:rPr>
              <w:t>中药材初加工</w:t>
            </w:r>
            <w:r>
              <w:rPr>
                <w:rFonts w:hint="eastAsia" w:cs="Times New Roman"/>
                <w:color w:val="auto"/>
                <w:u w:val="none"/>
                <w:lang w:val="en-US" w:eastAsia="zh-CN"/>
              </w:rPr>
              <w:t>并</w:t>
            </w:r>
            <w:r>
              <w:rPr>
                <w:rFonts w:hint="eastAsia" w:ascii="Times New Roman" w:hAnsi="Times New Roman" w:eastAsia="宋体" w:cs="Times New Roman"/>
                <w:color w:val="auto"/>
                <w:u w:val="none"/>
                <w:lang w:eastAsia="zh-CN"/>
              </w:rPr>
              <w:t>配套</w:t>
            </w:r>
            <w:r>
              <w:rPr>
                <w:rFonts w:hint="eastAsia"/>
                <w:color w:val="auto"/>
                <w:u w:val="none"/>
                <w:lang w:eastAsia="zh-CN"/>
              </w:rPr>
              <w:t>生物质蒸汽发生器</w:t>
            </w:r>
            <w:r>
              <w:rPr>
                <w:rFonts w:hint="eastAsia" w:cs="Times New Roman"/>
                <w:color w:val="auto"/>
                <w:kern w:val="2"/>
                <w:sz w:val="24"/>
                <w:szCs w:val="24"/>
                <w:u w:val="none" w:color="auto"/>
                <w:lang w:val="en-US" w:eastAsia="zh-CN" w:bidi="ar-SA"/>
              </w:rPr>
              <w:t>、生物质热风炉、生物质烘干机</w:t>
            </w:r>
            <w:r>
              <w:rPr>
                <w:rFonts w:hint="eastAsia" w:ascii="Times New Roman" w:hAnsi="Times New Roman" w:eastAsia="宋体" w:cs="Times New Roman"/>
                <w:color w:val="auto"/>
                <w:u w:val="none"/>
                <w:lang w:eastAsia="zh-CN"/>
              </w:rPr>
              <w:t>建设</w:t>
            </w:r>
            <w:r>
              <w:rPr>
                <w:color w:val="auto"/>
                <w:u w:val="none"/>
              </w:rPr>
              <w:t>，</w:t>
            </w:r>
            <w:r>
              <w:rPr>
                <w:rFonts w:hint="eastAsia"/>
                <w:color w:val="auto"/>
                <w:u w:val="none"/>
                <w:lang w:eastAsia="zh-CN"/>
              </w:rPr>
              <w:t>生物质蒸汽发生器</w:t>
            </w:r>
            <w:r>
              <w:rPr>
                <w:rFonts w:hint="eastAsia" w:cs="Times New Roman"/>
                <w:color w:val="auto"/>
                <w:kern w:val="2"/>
                <w:sz w:val="24"/>
                <w:szCs w:val="24"/>
                <w:u w:val="none" w:color="auto"/>
                <w:lang w:val="en-US" w:eastAsia="zh-CN" w:bidi="ar-SA"/>
              </w:rPr>
              <w:t>、热风炉、烘干机</w:t>
            </w:r>
            <w:r>
              <w:rPr>
                <w:rFonts w:hint="eastAsia"/>
                <w:color w:val="auto"/>
                <w:u w:val="none"/>
                <w:lang w:eastAsia="zh-CN"/>
              </w:rPr>
              <w:t>采用低氮燃烧方式，产生的</w:t>
            </w:r>
            <w:r>
              <w:rPr>
                <w:rFonts w:hint="eastAsia"/>
                <w:color w:val="auto"/>
                <w:u w:val="none"/>
                <w:lang w:val="en-US" w:eastAsia="zh-CN"/>
              </w:rPr>
              <w:t>生物质燃烧</w:t>
            </w:r>
            <w:r>
              <w:rPr>
                <w:rFonts w:hint="eastAsia"/>
                <w:color w:val="auto"/>
                <w:u w:val="none"/>
                <w:lang w:eastAsia="zh-CN"/>
              </w:rPr>
              <w:t>废气</w:t>
            </w:r>
            <w:r>
              <w:rPr>
                <w:rFonts w:hint="eastAsia"/>
                <w:color w:val="auto"/>
                <w:u w:val="none"/>
                <w:lang w:val="en-US" w:eastAsia="zh-CN"/>
              </w:rPr>
              <w:t>分别</w:t>
            </w:r>
            <w:r>
              <w:rPr>
                <w:rFonts w:hint="eastAsia"/>
                <w:color w:val="auto"/>
                <w:u w:val="none"/>
                <w:lang w:eastAsia="zh-CN"/>
              </w:rPr>
              <w:t>经</w:t>
            </w:r>
            <w:r>
              <w:rPr>
                <w:rFonts w:hint="eastAsia"/>
                <w:color w:val="auto"/>
                <w:u w:val="none"/>
                <w:lang w:val="en-US" w:eastAsia="zh-CN"/>
              </w:rPr>
              <w:t>配套</w:t>
            </w:r>
            <w:r>
              <w:rPr>
                <w:rFonts w:hint="eastAsia"/>
                <w:color w:val="auto"/>
                <w:u w:val="none"/>
                <w:lang w:eastAsia="zh-CN"/>
              </w:rPr>
              <w:t>布袋除尘处理后</w:t>
            </w:r>
            <w:r>
              <w:rPr>
                <w:rFonts w:hint="eastAsia"/>
                <w:color w:val="auto"/>
                <w:u w:val="none"/>
                <w:lang w:val="en-US" w:eastAsia="zh-CN"/>
              </w:rPr>
              <w:t>引至同一根15米高排气筒排放，废水经处理后排入市政管网，建设单位</w:t>
            </w:r>
            <w:r>
              <w:rPr>
                <w:rFonts w:hint="eastAsia" w:ascii="Times New Roman" w:hAnsi="Times New Roman" w:cs="Times New Roman"/>
                <w:color w:val="auto"/>
                <w:kern w:val="0"/>
                <w:szCs w:val="21"/>
                <w:u w:val="none"/>
                <w:lang w:eastAsia="zh-CN"/>
              </w:rPr>
              <w:t>在各污染方面</w:t>
            </w:r>
            <w:r>
              <w:rPr>
                <w:rFonts w:hint="eastAsia"/>
                <w:color w:val="auto"/>
                <w:u w:val="none"/>
                <w:lang w:eastAsia="zh-CN"/>
              </w:rPr>
              <w:t>加强了污染防治措施，降低对环境的影响，</w:t>
            </w:r>
            <w:r>
              <w:rPr>
                <w:color w:val="auto"/>
                <w:u w:val="none"/>
              </w:rPr>
              <w:t>符合《</w:t>
            </w:r>
            <w:r>
              <w:rPr>
                <w:rFonts w:hint="eastAsia"/>
                <w:color w:val="auto"/>
                <w:u w:val="none"/>
              </w:rPr>
              <w:t>怀化市</w:t>
            </w:r>
            <w:r>
              <w:rPr>
                <w:rFonts w:hint="eastAsia"/>
                <w:color w:val="auto"/>
                <w:u w:val="none"/>
                <w:lang w:eastAsia="zh-CN"/>
              </w:rPr>
              <w:t>“</w:t>
            </w:r>
            <w:r>
              <w:rPr>
                <w:rFonts w:hint="eastAsia"/>
                <w:color w:val="auto"/>
                <w:u w:val="none"/>
              </w:rPr>
              <w:t>十四五</w:t>
            </w:r>
            <w:r>
              <w:rPr>
                <w:rFonts w:hint="eastAsia"/>
                <w:color w:val="auto"/>
                <w:u w:val="none"/>
                <w:lang w:eastAsia="zh-CN"/>
              </w:rPr>
              <w:t>”</w:t>
            </w:r>
            <w:r>
              <w:rPr>
                <w:rFonts w:hint="eastAsia"/>
                <w:color w:val="auto"/>
                <w:u w:val="none"/>
              </w:rPr>
              <w:t>生态环境保护规划</w:t>
            </w:r>
            <w:r>
              <w:rPr>
                <w:color w:val="auto"/>
                <w:u w:val="none"/>
              </w:rPr>
              <w:t>》要求。</w:t>
            </w:r>
          </w:p>
          <w:p w14:paraId="504D3414">
            <w:pPr>
              <w:widowControl/>
              <w:numPr>
                <w:ilvl w:val="0"/>
                <w:numId w:val="0"/>
              </w:numPr>
              <w:spacing w:line="360" w:lineRule="auto"/>
              <w:ind w:left="420" w:leftChars="0"/>
              <w:jc w:val="left"/>
              <w:rPr>
                <w:rFonts w:hint="eastAsia" w:ascii="Times New Roman" w:hAnsi="Times New Roman" w:cs="Times New Roman"/>
                <w:b/>
                <w:bCs/>
                <w:color w:val="auto"/>
                <w:kern w:val="0"/>
                <w:sz w:val="24"/>
                <w:u w:val="none"/>
                <w:lang w:val="en-US" w:eastAsia="zh-CN"/>
              </w:rPr>
            </w:pPr>
            <w:r>
              <w:rPr>
                <w:rFonts w:hint="eastAsia" w:ascii="Times New Roman" w:hAnsi="Times New Roman" w:cs="Times New Roman"/>
                <w:b/>
                <w:bCs/>
                <w:color w:val="auto"/>
                <w:kern w:val="0"/>
                <w:sz w:val="24"/>
                <w:u w:val="none"/>
                <w:lang w:val="en-US" w:eastAsia="zh-CN"/>
              </w:rPr>
              <w:t>4、相关产业政策符合性</w:t>
            </w:r>
          </w:p>
          <w:p w14:paraId="3685E5F7">
            <w:pPr>
              <w:widowControl/>
              <w:numPr>
                <w:ilvl w:val="0"/>
                <w:numId w:val="0"/>
              </w:numPr>
              <w:spacing w:line="360" w:lineRule="auto"/>
              <w:ind w:left="420" w:leftChars="0"/>
              <w:jc w:val="left"/>
              <w:rPr>
                <w:rFonts w:hint="default" w:ascii="Times New Roman" w:hAnsi="Times New Roman" w:cs="Times New Roman"/>
                <w:b/>
                <w:bCs/>
                <w:color w:val="auto"/>
                <w:kern w:val="0"/>
                <w:sz w:val="24"/>
                <w:u w:val="none"/>
              </w:rPr>
            </w:pPr>
            <w:r>
              <w:rPr>
                <w:rFonts w:hint="eastAsia" w:cs="Times New Roman"/>
                <w:b/>
                <w:bCs/>
                <w:color w:val="auto"/>
                <w:kern w:val="0"/>
                <w:sz w:val="24"/>
                <w:u w:val="none"/>
                <w:lang w:eastAsia="zh-CN"/>
              </w:rPr>
              <w:t>（</w:t>
            </w:r>
            <w:r>
              <w:rPr>
                <w:rFonts w:hint="eastAsia" w:cs="Times New Roman"/>
                <w:b/>
                <w:bCs/>
                <w:color w:val="auto"/>
                <w:kern w:val="0"/>
                <w:sz w:val="24"/>
                <w:u w:val="none"/>
                <w:lang w:val="en-US" w:eastAsia="zh-CN"/>
              </w:rPr>
              <w:t>1</w:t>
            </w:r>
            <w:r>
              <w:rPr>
                <w:rFonts w:hint="eastAsia" w:cs="Times New Roman"/>
                <w:b/>
                <w:bCs/>
                <w:color w:val="auto"/>
                <w:kern w:val="0"/>
                <w:sz w:val="24"/>
                <w:u w:val="none"/>
                <w:lang w:eastAsia="zh-CN"/>
              </w:rPr>
              <w:t>）</w:t>
            </w:r>
            <w:r>
              <w:rPr>
                <w:rFonts w:hint="default" w:ascii="Times New Roman" w:hAnsi="Times New Roman" w:cs="Times New Roman"/>
                <w:b/>
                <w:bCs/>
                <w:color w:val="auto"/>
                <w:kern w:val="0"/>
                <w:sz w:val="24"/>
                <w:u w:val="none"/>
              </w:rPr>
              <w:t>产业政策符合性分析</w:t>
            </w:r>
          </w:p>
          <w:p w14:paraId="19888390">
            <w:pPr>
              <w:widowControl/>
              <w:numPr>
                <w:ilvl w:val="0"/>
                <w:numId w:val="0"/>
              </w:numPr>
              <w:spacing w:line="360" w:lineRule="auto"/>
              <w:ind w:left="420" w:leftChars="0"/>
              <w:jc w:val="left"/>
              <w:rPr>
                <w:rFonts w:hint="eastAsia" w:cs="Times New Roman"/>
                <w:b/>
                <w:bCs/>
                <w:color w:val="auto"/>
                <w:kern w:val="0"/>
                <w:sz w:val="24"/>
                <w:u w:val="none"/>
                <w:lang w:eastAsia="zh-CN"/>
              </w:rPr>
            </w:pPr>
            <w:r>
              <w:rPr>
                <w:rFonts w:hint="default" w:ascii="Times New Roman" w:hAnsi="Times New Roman" w:cs="Times New Roman"/>
                <w:color w:val="auto"/>
                <w:kern w:val="0"/>
                <w:sz w:val="24"/>
              </w:rPr>
              <w:t>根据《产业结构调整指导目录（</w:t>
            </w:r>
            <w:r>
              <w:rPr>
                <w:rFonts w:hint="eastAsia" w:ascii="Times New Roman" w:hAnsi="Times New Roman" w:cs="Times New Roman"/>
                <w:color w:val="auto"/>
                <w:kern w:val="0"/>
                <w:sz w:val="24"/>
                <w:lang w:val="en-US" w:eastAsia="zh-CN"/>
              </w:rPr>
              <w:t>2024</w:t>
            </w:r>
            <w:r>
              <w:rPr>
                <w:rFonts w:hint="default" w:ascii="Times New Roman" w:hAnsi="Times New Roman" w:cs="Times New Roman"/>
                <w:color w:val="auto"/>
                <w:kern w:val="0"/>
                <w:sz w:val="24"/>
              </w:rPr>
              <w:t>年本）》，</w:t>
            </w:r>
            <w:r>
              <w:rPr>
                <w:rFonts w:hint="eastAsia" w:ascii="Times New Roman" w:hAnsi="Times New Roman" w:cs="Times New Roman"/>
                <w:color w:val="auto"/>
                <w:kern w:val="0"/>
                <w:sz w:val="24"/>
                <w:lang w:eastAsia="zh-CN"/>
              </w:rPr>
              <w:t>本项目</w:t>
            </w:r>
            <w:r>
              <w:rPr>
                <w:rFonts w:hint="eastAsia" w:cs="Times New Roman"/>
                <w:color w:val="auto"/>
                <w:kern w:val="0"/>
                <w:sz w:val="24"/>
                <w:lang w:eastAsia="zh-CN"/>
              </w:rPr>
              <w:t>主要</w:t>
            </w:r>
            <w:r>
              <w:rPr>
                <w:rFonts w:hint="eastAsia" w:ascii="Times New Roman" w:hAnsi="Times New Roman" w:cs="Times New Roman"/>
                <w:color w:val="auto"/>
                <w:kern w:val="0"/>
                <w:sz w:val="24"/>
                <w:lang w:eastAsia="zh-CN"/>
              </w:rPr>
              <w:t>为中药加工配套生物质蒸汽发生器</w:t>
            </w:r>
            <w:r>
              <w:rPr>
                <w:rFonts w:hint="eastAsia" w:cs="Times New Roman"/>
                <w:color w:val="auto"/>
                <w:kern w:val="2"/>
                <w:sz w:val="24"/>
                <w:szCs w:val="24"/>
                <w:u w:val="none" w:color="auto"/>
                <w:lang w:val="en-US" w:eastAsia="zh-CN" w:bidi="ar-SA"/>
              </w:rPr>
              <w:t>、生物质热风炉、生物质烘干机</w:t>
            </w:r>
            <w:r>
              <w:rPr>
                <w:rFonts w:hint="eastAsia" w:ascii="Times New Roman" w:hAnsi="Times New Roman" w:cs="Times New Roman"/>
                <w:color w:val="auto"/>
                <w:kern w:val="0"/>
                <w:sz w:val="24"/>
                <w:lang w:eastAsia="zh-CN"/>
              </w:rPr>
              <w:t>建设</w:t>
            </w:r>
            <w:r>
              <w:rPr>
                <w:rFonts w:hint="default" w:ascii="Times New Roman" w:hAnsi="Times New Roman" w:cs="Times New Roman"/>
                <w:color w:val="auto"/>
                <w:kern w:val="0"/>
                <w:sz w:val="24"/>
                <w:lang w:eastAsia="zh-CN"/>
              </w:rPr>
              <w:t>，</w:t>
            </w:r>
            <w:r>
              <w:rPr>
                <w:rFonts w:hint="eastAsia" w:ascii="Times New Roman" w:hAnsi="Times New Roman" w:cs="Times New Roman"/>
                <w:color w:val="auto"/>
                <w:kern w:val="0"/>
                <w:sz w:val="24"/>
                <w:lang w:eastAsia="zh-CN"/>
              </w:rPr>
              <w:t>不属于淘汰类设备，</w:t>
            </w:r>
            <w:r>
              <w:rPr>
                <w:rFonts w:hint="default" w:ascii="Times New Roman" w:hAnsi="Times New Roman" w:cs="Times New Roman"/>
                <w:color w:val="auto"/>
                <w:kern w:val="0"/>
                <w:sz w:val="24"/>
              </w:rPr>
              <w:t>符合产业政策要求。</w:t>
            </w:r>
          </w:p>
          <w:p w14:paraId="0D8EF854">
            <w:pPr>
              <w:autoSpaceDE w:val="0"/>
              <w:autoSpaceDN w:val="0"/>
              <w:adjustRightInd w:val="0"/>
              <w:snapToGrid w:val="0"/>
              <w:spacing w:line="500" w:lineRule="exact"/>
              <w:ind w:firstLine="482" w:firstLineChars="200"/>
              <w:rPr>
                <w:rFonts w:hint="eastAsia" w:eastAsia="宋体"/>
                <w:b/>
                <w:bCs/>
                <w:color w:val="auto"/>
                <w:kern w:val="0"/>
                <w:sz w:val="24"/>
                <w:u w:val="single"/>
                <w:lang w:eastAsia="zh-CN"/>
              </w:rPr>
            </w:pPr>
            <w:r>
              <w:rPr>
                <w:b/>
                <w:bCs/>
                <w:color w:val="auto"/>
                <w:kern w:val="0"/>
                <w:sz w:val="24"/>
                <w:u w:val="single"/>
              </w:rPr>
              <w:t>（2）</w:t>
            </w:r>
            <w:r>
              <w:rPr>
                <w:rFonts w:hint="eastAsia"/>
                <w:b/>
                <w:bCs/>
                <w:color w:val="auto"/>
                <w:kern w:val="0"/>
                <w:sz w:val="24"/>
                <w:u w:val="single"/>
                <w:lang w:val="en-US" w:eastAsia="zh-CN"/>
              </w:rPr>
              <w:t>项目与《</w:t>
            </w:r>
            <w:r>
              <w:rPr>
                <w:rFonts w:hint="default"/>
                <w:b/>
                <w:bCs/>
                <w:color w:val="auto"/>
                <w:kern w:val="0"/>
                <w:sz w:val="24"/>
                <w:u w:val="single"/>
              </w:rPr>
              <w:t>湖南省规范中药材产地趁鲜切制加工指导意见的通知</w:t>
            </w:r>
            <w:r>
              <w:rPr>
                <w:rFonts w:hint="eastAsia"/>
                <w:b/>
                <w:bCs/>
                <w:color w:val="auto"/>
                <w:kern w:val="0"/>
                <w:sz w:val="24"/>
                <w:u w:val="single"/>
                <w:lang w:val="en-US" w:eastAsia="zh-CN"/>
              </w:rPr>
              <w:t>》（湘药监发〔2022〕13号）</w:t>
            </w:r>
            <w:r>
              <w:rPr>
                <w:b/>
                <w:bCs/>
                <w:color w:val="auto"/>
                <w:kern w:val="0"/>
                <w:sz w:val="24"/>
                <w:u w:val="single"/>
              </w:rPr>
              <w:t>相符性分析</w:t>
            </w:r>
          </w:p>
          <w:p w14:paraId="6154E95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b/>
                <w:bCs/>
                <w:color w:val="auto"/>
                <w:sz w:val="24"/>
                <w:szCs w:val="24"/>
                <w:u w:val="single"/>
              </w:rPr>
            </w:pPr>
            <w:r>
              <w:rPr>
                <w:b/>
                <w:bCs/>
                <w:color w:val="auto"/>
                <w:sz w:val="24"/>
                <w:szCs w:val="24"/>
                <w:u w:val="single"/>
              </w:rPr>
              <w:t>表1-</w:t>
            </w:r>
            <w:r>
              <w:rPr>
                <w:rFonts w:hint="eastAsia"/>
                <w:b/>
                <w:bCs/>
                <w:color w:val="auto"/>
                <w:sz w:val="24"/>
                <w:szCs w:val="24"/>
                <w:u w:val="single"/>
                <w:lang w:val="en-US" w:eastAsia="zh-CN"/>
              </w:rPr>
              <w:t>3</w:t>
            </w:r>
            <w:r>
              <w:rPr>
                <w:b/>
                <w:bCs/>
                <w:color w:val="auto"/>
                <w:sz w:val="24"/>
                <w:szCs w:val="24"/>
                <w:u w:val="single"/>
              </w:rPr>
              <w:t xml:space="preserve">  与</w:t>
            </w:r>
            <w:r>
              <w:rPr>
                <w:rFonts w:hint="eastAsia"/>
                <w:b/>
                <w:bCs/>
                <w:color w:val="auto"/>
                <w:kern w:val="0"/>
                <w:sz w:val="24"/>
                <w:szCs w:val="24"/>
                <w:u w:val="single"/>
                <w:lang w:val="en-US" w:eastAsia="zh-CN"/>
              </w:rPr>
              <w:t>《</w:t>
            </w:r>
            <w:r>
              <w:rPr>
                <w:rFonts w:hint="default"/>
                <w:b/>
                <w:bCs/>
                <w:color w:val="auto"/>
                <w:kern w:val="0"/>
                <w:sz w:val="24"/>
                <w:szCs w:val="24"/>
                <w:u w:val="single"/>
              </w:rPr>
              <w:t>湖南省规范中药材产地趁鲜切制加工指导意见的通知</w:t>
            </w:r>
            <w:r>
              <w:rPr>
                <w:rFonts w:hint="eastAsia"/>
                <w:b/>
                <w:bCs/>
                <w:color w:val="auto"/>
                <w:kern w:val="0"/>
                <w:sz w:val="24"/>
                <w:szCs w:val="24"/>
                <w:u w:val="single"/>
                <w:lang w:val="en-US" w:eastAsia="zh-CN"/>
              </w:rPr>
              <w:t>》</w:t>
            </w:r>
            <w:r>
              <w:rPr>
                <w:b/>
                <w:bCs/>
                <w:color w:val="auto"/>
                <w:sz w:val="24"/>
                <w:szCs w:val="24"/>
                <w:u w:val="single"/>
              </w:rPr>
              <w:t>的相符性分析</w:t>
            </w:r>
          </w:p>
          <w:tbl>
            <w:tblPr>
              <w:tblStyle w:val="32"/>
              <w:tblW w:w="5000"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42"/>
              <w:gridCol w:w="3558"/>
              <w:gridCol w:w="1672"/>
              <w:gridCol w:w="544"/>
            </w:tblGrid>
            <w:tr w14:paraId="38815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298" w:type="pct"/>
                  <w:gridSpan w:val="2"/>
                  <w:tcBorders>
                    <w:tl2br w:val="nil"/>
                    <w:tr2bl w:val="nil"/>
                  </w:tcBorders>
                  <w:shd w:val="clear" w:color="auto" w:fill="auto"/>
                  <w:noWrap w:val="0"/>
                  <w:vAlign w:val="center"/>
                </w:tcPr>
                <w:p w14:paraId="2AF3321B">
                  <w:pPr>
                    <w:pStyle w:val="105"/>
                    <w:overflowPunct w:val="0"/>
                    <w:adjustRightInd w:val="0"/>
                    <w:snapToGrid w:val="0"/>
                    <w:jc w:val="center"/>
                    <w:rPr>
                      <w:rFonts w:hint="default" w:ascii="Times New Roman" w:hAnsi="Times New Roman" w:eastAsia="宋体" w:cs="Times New Roman"/>
                      <w:b/>
                      <w:bCs/>
                      <w:color w:val="auto"/>
                      <w:kern w:val="2"/>
                      <w:sz w:val="21"/>
                      <w:szCs w:val="21"/>
                      <w:u w:val="single"/>
                      <w:lang w:eastAsia="zh-CN"/>
                    </w:rPr>
                  </w:pPr>
                  <w:r>
                    <w:rPr>
                      <w:rFonts w:hint="default" w:ascii="Times New Roman" w:hAnsi="Times New Roman" w:eastAsia="宋体" w:cs="Times New Roman"/>
                      <w:b/>
                      <w:bCs/>
                      <w:color w:val="auto"/>
                      <w:kern w:val="2"/>
                      <w:sz w:val="21"/>
                      <w:szCs w:val="21"/>
                      <w:u w:val="single"/>
                      <w:lang w:eastAsia="zh-CN"/>
                    </w:rPr>
                    <w:t>条款</w:t>
                  </w:r>
                </w:p>
              </w:tc>
              <w:tc>
                <w:tcPr>
                  <w:tcW w:w="1283" w:type="pct"/>
                  <w:tcBorders>
                    <w:tl2br w:val="nil"/>
                    <w:tr2bl w:val="nil"/>
                  </w:tcBorders>
                  <w:shd w:val="clear" w:color="auto" w:fill="auto"/>
                  <w:noWrap w:val="0"/>
                  <w:vAlign w:val="center"/>
                </w:tcPr>
                <w:p w14:paraId="4726BB19">
                  <w:pPr>
                    <w:pStyle w:val="105"/>
                    <w:overflowPunct w:val="0"/>
                    <w:adjustRightInd w:val="0"/>
                    <w:snapToGrid w:val="0"/>
                    <w:jc w:val="center"/>
                    <w:rPr>
                      <w:rFonts w:hint="default" w:ascii="Times New Roman" w:hAnsi="Times New Roman" w:eastAsia="宋体" w:cs="Times New Roman"/>
                      <w:b/>
                      <w:bCs/>
                      <w:color w:val="auto"/>
                      <w:kern w:val="2"/>
                      <w:sz w:val="21"/>
                      <w:szCs w:val="21"/>
                      <w:u w:val="single"/>
                    </w:rPr>
                  </w:pPr>
                  <w:r>
                    <w:rPr>
                      <w:rFonts w:hint="default" w:ascii="Times New Roman" w:hAnsi="Times New Roman" w:eastAsia="宋体" w:cs="Times New Roman"/>
                      <w:b/>
                      <w:bCs/>
                      <w:color w:val="auto"/>
                      <w:kern w:val="2"/>
                      <w:sz w:val="21"/>
                      <w:szCs w:val="21"/>
                      <w:u w:val="single"/>
                      <w:lang w:eastAsia="zh-CN"/>
                    </w:rPr>
                    <w:t>本项目情况</w:t>
                  </w:r>
                </w:p>
              </w:tc>
              <w:tc>
                <w:tcPr>
                  <w:tcW w:w="418" w:type="pct"/>
                  <w:tcBorders>
                    <w:tl2br w:val="nil"/>
                    <w:tr2bl w:val="nil"/>
                  </w:tcBorders>
                  <w:shd w:val="clear" w:color="auto" w:fill="auto"/>
                  <w:noWrap w:val="0"/>
                  <w:vAlign w:val="center"/>
                </w:tcPr>
                <w:p w14:paraId="59267B83">
                  <w:pPr>
                    <w:pStyle w:val="105"/>
                    <w:overflowPunct w:val="0"/>
                    <w:adjustRightInd w:val="0"/>
                    <w:snapToGrid w:val="0"/>
                    <w:jc w:val="center"/>
                    <w:rPr>
                      <w:rFonts w:hint="default" w:ascii="Times New Roman" w:hAnsi="Times New Roman" w:eastAsia="宋体" w:cs="Times New Roman"/>
                      <w:b/>
                      <w:bCs/>
                      <w:color w:val="auto"/>
                      <w:kern w:val="2"/>
                      <w:sz w:val="21"/>
                      <w:szCs w:val="21"/>
                      <w:u w:val="single"/>
                      <w:lang w:eastAsia="zh-CN"/>
                    </w:rPr>
                  </w:pPr>
                  <w:r>
                    <w:rPr>
                      <w:rFonts w:hint="default" w:ascii="Times New Roman" w:hAnsi="Times New Roman" w:eastAsia="宋体" w:cs="Times New Roman"/>
                      <w:b/>
                      <w:bCs/>
                      <w:color w:val="auto"/>
                      <w:kern w:val="2"/>
                      <w:sz w:val="21"/>
                      <w:szCs w:val="21"/>
                      <w:u w:val="single"/>
                    </w:rPr>
                    <w:t>是否符合</w:t>
                  </w:r>
                </w:p>
              </w:tc>
            </w:tr>
            <w:tr w14:paraId="7C01B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569" w:type="pct"/>
                  <w:vMerge w:val="restart"/>
                  <w:tcBorders>
                    <w:tl2br w:val="nil"/>
                    <w:tr2bl w:val="nil"/>
                  </w:tcBorders>
                  <w:shd w:val="clear" w:color="auto" w:fill="auto"/>
                  <w:noWrap w:val="0"/>
                  <w:vAlign w:val="center"/>
                </w:tcPr>
                <w:p w14:paraId="4BBB7D86">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规范产地趁鲜切制加工行为</w:t>
                  </w:r>
                </w:p>
              </w:tc>
              <w:tc>
                <w:tcPr>
                  <w:tcW w:w="2729" w:type="pct"/>
                  <w:tcBorders>
                    <w:tl2br w:val="nil"/>
                    <w:tr2bl w:val="nil"/>
                  </w:tcBorders>
                  <w:shd w:val="clear" w:color="auto" w:fill="auto"/>
                  <w:noWrap w:val="0"/>
                  <w:vAlign w:val="center"/>
                </w:tcPr>
                <w:p w14:paraId="0AA5D9B6">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1.满足加工条件。产地趁鲜切制加工企业</w:t>
                  </w:r>
                  <w:r>
                    <w:rPr>
                      <w:rFonts w:hint="eastAsia" w:ascii="Times New Roman" w:hAnsi="Times New Roman" w:eastAsia="宋体" w:cs="Times New Roman"/>
                      <w:color w:val="auto"/>
                      <w:kern w:val="2"/>
                      <w:sz w:val="21"/>
                      <w:szCs w:val="21"/>
                      <w:u w:val="single"/>
                      <w:lang w:val="en-US" w:eastAsia="zh-CN"/>
                    </w:rPr>
                    <w:t>（</w:t>
                  </w:r>
                  <w:r>
                    <w:rPr>
                      <w:rFonts w:hint="default" w:ascii="Times New Roman" w:hAnsi="Times New Roman" w:eastAsia="宋体" w:cs="Times New Roman"/>
                      <w:color w:val="auto"/>
                      <w:kern w:val="2"/>
                      <w:sz w:val="21"/>
                      <w:szCs w:val="21"/>
                      <w:u w:val="single"/>
                      <w:lang w:val="en-US" w:eastAsia="zh-CN"/>
                    </w:rPr>
                    <w:t>含药品生产企业设置的异地加工车间，下同</w:t>
                  </w:r>
                  <w:r>
                    <w:rPr>
                      <w:rFonts w:hint="eastAsia" w:ascii="Times New Roman" w:hAnsi="Times New Roman" w:eastAsia="宋体" w:cs="Times New Roman"/>
                      <w:color w:val="auto"/>
                      <w:kern w:val="2"/>
                      <w:sz w:val="21"/>
                      <w:szCs w:val="21"/>
                      <w:u w:val="single"/>
                      <w:lang w:val="en-US" w:eastAsia="zh-CN"/>
                    </w:rPr>
                    <w:t>）</w:t>
                  </w:r>
                  <w:r>
                    <w:rPr>
                      <w:rFonts w:hint="default" w:ascii="Times New Roman" w:hAnsi="Times New Roman" w:eastAsia="宋体" w:cs="Times New Roman"/>
                      <w:color w:val="auto"/>
                      <w:kern w:val="2"/>
                      <w:sz w:val="21"/>
                      <w:szCs w:val="21"/>
                      <w:u w:val="single"/>
                      <w:lang w:val="en-US" w:eastAsia="zh-CN"/>
                    </w:rPr>
                    <w:t>应当具备与加工品种、加工规模相适应的加工条件，具备健全的质量管理体系，配备足够的质量管理人员、生产技术工人和必要的清洗、分拣、切制、干燥、筛选、仓储等设施设备。</w:t>
                  </w:r>
                </w:p>
              </w:tc>
              <w:tc>
                <w:tcPr>
                  <w:tcW w:w="1283" w:type="pct"/>
                  <w:tcBorders>
                    <w:tl2br w:val="nil"/>
                    <w:tr2bl w:val="nil"/>
                  </w:tcBorders>
                  <w:shd w:val="clear" w:color="auto" w:fill="auto"/>
                  <w:noWrap w:val="0"/>
                  <w:vAlign w:val="center"/>
                </w:tcPr>
                <w:p w14:paraId="3CDA98FB">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本项目初加工基地建设冷链仓库</w:t>
                  </w:r>
                  <w:r>
                    <w:rPr>
                      <w:rFonts w:hint="default" w:ascii="Times New Roman" w:hAnsi="Times New Roman" w:eastAsia="宋体" w:cs="Times New Roman"/>
                      <w:i w:val="0"/>
                      <w:iCs w:val="0"/>
                      <w:caps w:val="0"/>
                      <w:color w:val="auto"/>
                      <w:spacing w:val="0"/>
                      <w:sz w:val="21"/>
                      <w:szCs w:val="21"/>
                      <w:u w:val="single"/>
                      <w:shd w:val="clear" w:fill="FFFFFF"/>
                    </w:rPr>
                    <w:t>、</w:t>
                  </w:r>
                  <w:r>
                    <w:rPr>
                      <w:rFonts w:hint="default" w:ascii="Times New Roman" w:hAnsi="Times New Roman" w:eastAsia="宋体" w:cs="Times New Roman"/>
                      <w:color w:val="auto"/>
                      <w:kern w:val="2"/>
                      <w:sz w:val="21"/>
                      <w:szCs w:val="21"/>
                      <w:u w:val="single"/>
                      <w:lang w:val="en-US" w:eastAsia="zh-CN"/>
                    </w:rPr>
                    <w:t>清洗</w:t>
                  </w:r>
                  <w:r>
                    <w:rPr>
                      <w:rFonts w:hint="default" w:ascii="Times New Roman" w:hAnsi="Times New Roman" w:eastAsia="宋体" w:cs="Times New Roman"/>
                      <w:i w:val="0"/>
                      <w:iCs w:val="0"/>
                      <w:caps w:val="0"/>
                      <w:color w:val="auto"/>
                      <w:spacing w:val="0"/>
                      <w:sz w:val="21"/>
                      <w:szCs w:val="21"/>
                      <w:u w:val="single"/>
                      <w:shd w:val="clear" w:fill="FFFFFF"/>
                    </w:rPr>
                    <w:t>、</w:t>
                  </w:r>
                  <w:r>
                    <w:rPr>
                      <w:rFonts w:hint="default" w:ascii="Times New Roman" w:hAnsi="Times New Roman" w:eastAsia="宋体" w:cs="Times New Roman"/>
                      <w:color w:val="auto"/>
                      <w:kern w:val="2"/>
                      <w:sz w:val="21"/>
                      <w:szCs w:val="21"/>
                      <w:u w:val="single"/>
                      <w:lang w:val="en-US" w:eastAsia="zh-CN"/>
                    </w:rPr>
                    <w:t>筛选</w:t>
                  </w:r>
                  <w:r>
                    <w:rPr>
                      <w:rFonts w:hint="default" w:ascii="Times New Roman" w:hAnsi="Times New Roman" w:eastAsia="宋体" w:cs="Times New Roman"/>
                      <w:i w:val="0"/>
                      <w:iCs w:val="0"/>
                      <w:caps w:val="0"/>
                      <w:color w:val="auto"/>
                      <w:spacing w:val="0"/>
                      <w:sz w:val="21"/>
                      <w:szCs w:val="21"/>
                      <w:u w:val="single"/>
                      <w:shd w:val="clear" w:fill="FFFFFF"/>
                    </w:rPr>
                    <w:t>、</w:t>
                  </w:r>
                  <w:r>
                    <w:rPr>
                      <w:rFonts w:hint="default" w:ascii="Times New Roman" w:hAnsi="Times New Roman" w:eastAsia="宋体" w:cs="Times New Roman"/>
                      <w:color w:val="auto"/>
                      <w:kern w:val="2"/>
                      <w:sz w:val="21"/>
                      <w:szCs w:val="21"/>
                      <w:u w:val="single"/>
                      <w:lang w:val="en-US" w:eastAsia="zh-CN"/>
                    </w:rPr>
                    <w:t>烘干等设施设备</w:t>
                  </w:r>
                </w:p>
              </w:tc>
              <w:tc>
                <w:tcPr>
                  <w:tcW w:w="418" w:type="pct"/>
                  <w:tcBorders>
                    <w:tl2br w:val="nil"/>
                    <w:tr2bl w:val="nil"/>
                  </w:tcBorders>
                  <w:shd w:val="clear" w:color="auto" w:fill="auto"/>
                  <w:noWrap w:val="0"/>
                  <w:vAlign w:val="center"/>
                </w:tcPr>
                <w:p w14:paraId="7A710DDC">
                  <w:pPr>
                    <w:pStyle w:val="105"/>
                    <w:overflowPunct w:val="0"/>
                    <w:adjustRightInd w:val="0"/>
                    <w:snapToGrid w:val="0"/>
                    <w:jc w:val="center"/>
                    <w:rPr>
                      <w:rFonts w:hint="default" w:ascii="Times New Roman" w:hAnsi="Times New Roman" w:eastAsia="宋体" w:cs="Times New Roman"/>
                      <w:color w:val="auto"/>
                      <w:kern w:val="2"/>
                      <w:sz w:val="21"/>
                      <w:szCs w:val="21"/>
                      <w:u w:val="single"/>
                    </w:rPr>
                  </w:pPr>
                  <w:r>
                    <w:rPr>
                      <w:rFonts w:hint="default" w:ascii="Times New Roman" w:hAnsi="Times New Roman" w:eastAsia="宋体" w:cs="Times New Roman"/>
                      <w:color w:val="auto"/>
                      <w:kern w:val="2"/>
                      <w:sz w:val="21"/>
                      <w:szCs w:val="21"/>
                      <w:u w:val="single"/>
                      <w:lang w:val="en-US" w:eastAsia="zh-CN"/>
                    </w:rPr>
                    <w:t>符合</w:t>
                  </w:r>
                </w:p>
              </w:tc>
            </w:tr>
            <w:tr w14:paraId="03EE7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569" w:type="pct"/>
                  <w:vMerge w:val="continue"/>
                  <w:tcBorders>
                    <w:tl2br w:val="nil"/>
                    <w:tr2bl w:val="nil"/>
                  </w:tcBorders>
                  <w:shd w:val="clear" w:color="auto" w:fill="auto"/>
                  <w:noWrap w:val="0"/>
                  <w:vAlign w:val="center"/>
                </w:tcPr>
                <w:p w14:paraId="0D437E84">
                  <w:pPr>
                    <w:pStyle w:val="105"/>
                    <w:overflowPunct w:val="0"/>
                    <w:adjustRightInd w:val="0"/>
                    <w:snapToGrid w:val="0"/>
                    <w:jc w:val="both"/>
                    <w:rPr>
                      <w:rFonts w:hint="default" w:ascii="Times New Roman" w:hAnsi="Times New Roman" w:eastAsia="宋体" w:cs="Times New Roman"/>
                      <w:color w:val="auto"/>
                      <w:kern w:val="2"/>
                      <w:sz w:val="21"/>
                      <w:szCs w:val="21"/>
                      <w:u w:val="single"/>
                      <w:lang w:eastAsia="zh-CN"/>
                    </w:rPr>
                  </w:pPr>
                </w:p>
              </w:tc>
              <w:tc>
                <w:tcPr>
                  <w:tcW w:w="2729" w:type="pct"/>
                  <w:tcBorders>
                    <w:tl2br w:val="nil"/>
                    <w:tr2bl w:val="nil"/>
                  </w:tcBorders>
                  <w:shd w:val="clear" w:color="auto" w:fill="auto"/>
                  <w:noWrap w:val="0"/>
                  <w:vAlign w:val="center"/>
                </w:tcPr>
                <w:p w14:paraId="06FBF884">
                  <w:pPr>
                    <w:pStyle w:val="105"/>
                    <w:overflowPunct w:val="0"/>
                    <w:adjustRightInd w:val="0"/>
                    <w:snapToGrid w:val="0"/>
                    <w:jc w:val="both"/>
                    <w:rPr>
                      <w:rFonts w:hint="default" w:ascii="Times New Roman" w:hAnsi="Times New Roman" w:eastAsia="宋体" w:cs="Times New Roman"/>
                      <w:color w:val="auto"/>
                      <w:kern w:val="2"/>
                      <w:sz w:val="21"/>
                      <w:szCs w:val="21"/>
                      <w:u w:val="single"/>
                      <w:lang w:eastAsia="zh-CN"/>
                    </w:rPr>
                  </w:pPr>
                  <w:r>
                    <w:rPr>
                      <w:rFonts w:hint="default" w:ascii="Times New Roman" w:hAnsi="Times New Roman" w:eastAsia="宋体" w:cs="Times New Roman"/>
                      <w:i w:val="0"/>
                      <w:iCs w:val="0"/>
                      <w:caps w:val="0"/>
                      <w:color w:val="auto"/>
                      <w:spacing w:val="0"/>
                      <w:sz w:val="21"/>
                      <w:szCs w:val="21"/>
                      <w:u w:val="single"/>
                      <w:shd w:val="clear" w:fill="FFFFFF"/>
                    </w:rPr>
                    <w:t>2.制定工艺流程。产地趁鲜切制加工企业应当按照品种制定产地趁鲜切制加工工艺流程和技术要求，并对工艺流程严格控制。工艺流程仅包括净选、切片、干燥、包装工序。加工时应当对工艺流程如实记录，并有完整准确的批生产记录。</w:t>
                  </w:r>
                </w:p>
              </w:tc>
              <w:tc>
                <w:tcPr>
                  <w:tcW w:w="1283" w:type="pct"/>
                  <w:tcBorders>
                    <w:tl2br w:val="nil"/>
                    <w:tr2bl w:val="nil"/>
                  </w:tcBorders>
                  <w:shd w:val="clear" w:color="auto" w:fill="auto"/>
                  <w:noWrap w:val="0"/>
                  <w:vAlign w:val="center"/>
                </w:tcPr>
                <w:p w14:paraId="48187DF0">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本项目初加工基地设置清洗</w:t>
                  </w:r>
                  <w:r>
                    <w:rPr>
                      <w:rFonts w:hint="default" w:ascii="Times New Roman" w:hAnsi="Times New Roman" w:eastAsia="宋体" w:cs="Times New Roman"/>
                      <w:i w:val="0"/>
                      <w:iCs w:val="0"/>
                      <w:caps w:val="0"/>
                      <w:color w:val="auto"/>
                      <w:spacing w:val="0"/>
                      <w:sz w:val="21"/>
                      <w:szCs w:val="21"/>
                      <w:u w:val="single"/>
                      <w:shd w:val="clear" w:fill="FFFFFF"/>
                    </w:rPr>
                    <w:t>、</w:t>
                  </w:r>
                  <w:r>
                    <w:rPr>
                      <w:rFonts w:hint="default" w:ascii="Times New Roman" w:hAnsi="Times New Roman" w:eastAsia="宋体" w:cs="Times New Roman"/>
                      <w:color w:val="auto"/>
                      <w:kern w:val="2"/>
                      <w:sz w:val="21"/>
                      <w:szCs w:val="21"/>
                      <w:u w:val="single"/>
                      <w:lang w:val="en-US" w:eastAsia="zh-CN"/>
                    </w:rPr>
                    <w:t>筛选</w:t>
                  </w:r>
                  <w:r>
                    <w:rPr>
                      <w:rFonts w:hint="default" w:ascii="Times New Roman" w:hAnsi="Times New Roman" w:eastAsia="宋体" w:cs="Times New Roman"/>
                      <w:i w:val="0"/>
                      <w:iCs w:val="0"/>
                      <w:caps w:val="0"/>
                      <w:color w:val="auto"/>
                      <w:spacing w:val="0"/>
                      <w:sz w:val="21"/>
                      <w:szCs w:val="21"/>
                      <w:u w:val="single"/>
                      <w:shd w:val="clear" w:fill="FFFFFF"/>
                    </w:rPr>
                    <w:t>、</w:t>
                  </w:r>
                  <w:r>
                    <w:rPr>
                      <w:rFonts w:hint="default" w:ascii="Times New Roman" w:hAnsi="Times New Roman" w:eastAsia="宋体" w:cs="Times New Roman"/>
                      <w:color w:val="auto"/>
                      <w:kern w:val="2"/>
                      <w:sz w:val="21"/>
                      <w:szCs w:val="21"/>
                      <w:u w:val="single"/>
                      <w:lang w:val="en-US" w:eastAsia="zh-CN"/>
                    </w:rPr>
                    <w:t>烘干等工艺</w:t>
                  </w:r>
                </w:p>
              </w:tc>
              <w:tc>
                <w:tcPr>
                  <w:tcW w:w="418" w:type="pct"/>
                  <w:tcBorders>
                    <w:tl2br w:val="nil"/>
                    <w:tr2bl w:val="nil"/>
                  </w:tcBorders>
                  <w:shd w:val="clear" w:color="auto" w:fill="auto"/>
                  <w:noWrap w:val="0"/>
                  <w:vAlign w:val="center"/>
                </w:tcPr>
                <w:p w14:paraId="7EE12FE6">
                  <w:pPr>
                    <w:pStyle w:val="105"/>
                    <w:overflowPunct w:val="0"/>
                    <w:adjustRightInd w:val="0"/>
                    <w:snapToGrid w:val="0"/>
                    <w:jc w:val="center"/>
                    <w:rPr>
                      <w:rFonts w:hint="default" w:ascii="Times New Roman" w:hAnsi="Times New Roman" w:eastAsia="宋体" w:cs="Times New Roman"/>
                      <w:color w:val="auto"/>
                      <w:kern w:val="2"/>
                      <w:sz w:val="21"/>
                      <w:szCs w:val="21"/>
                      <w:u w:val="single"/>
                    </w:rPr>
                  </w:pPr>
                  <w:r>
                    <w:rPr>
                      <w:rFonts w:hint="default" w:ascii="Times New Roman" w:hAnsi="Times New Roman" w:eastAsia="宋体" w:cs="Times New Roman"/>
                      <w:color w:val="auto"/>
                      <w:kern w:val="2"/>
                      <w:sz w:val="21"/>
                      <w:szCs w:val="21"/>
                      <w:u w:val="single"/>
                      <w:lang w:val="en-US" w:eastAsia="zh-CN"/>
                    </w:rPr>
                    <w:t>符合</w:t>
                  </w:r>
                </w:p>
              </w:tc>
            </w:tr>
            <w:tr w14:paraId="1D188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69" w:type="pct"/>
                  <w:vMerge w:val="continue"/>
                  <w:tcBorders>
                    <w:tl2br w:val="nil"/>
                    <w:tr2bl w:val="nil"/>
                  </w:tcBorders>
                  <w:shd w:val="clear" w:color="auto" w:fill="auto"/>
                  <w:noWrap w:val="0"/>
                  <w:vAlign w:val="center"/>
                </w:tcPr>
                <w:p w14:paraId="15CE9ED0">
                  <w:pPr>
                    <w:pStyle w:val="105"/>
                    <w:overflowPunct w:val="0"/>
                    <w:adjustRightInd w:val="0"/>
                    <w:snapToGrid w:val="0"/>
                    <w:jc w:val="both"/>
                    <w:rPr>
                      <w:rFonts w:hint="default" w:ascii="Times New Roman" w:hAnsi="Times New Roman" w:eastAsia="宋体" w:cs="Times New Roman"/>
                      <w:color w:val="auto"/>
                      <w:kern w:val="2"/>
                      <w:sz w:val="21"/>
                      <w:szCs w:val="21"/>
                      <w:u w:val="single"/>
                      <w:lang w:eastAsia="zh-CN"/>
                    </w:rPr>
                  </w:pPr>
                </w:p>
              </w:tc>
              <w:tc>
                <w:tcPr>
                  <w:tcW w:w="2729" w:type="pct"/>
                  <w:tcBorders>
                    <w:tl2br w:val="nil"/>
                    <w:tr2bl w:val="nil"/>
                  </w:tcBorders>
                  <w:shd w:val="clear" w:color="auto" w:fill="auto"/>
                  <w:noWrap w:val="0"/>
                  <w:vAlign w:val="center"/>
                </w:tcPr>
                <w:p w14:paraId="0AD93EF9">
                  <w:pPr>
                    <w:pStyle w:val="105"/>
                    <w:overflowPunct w:val="0"/>
                    <w:adjustRightInd w:val="0"/>
                    <w:snapToGrid w:val="0"/>
                    <w:jc w:val="both"/>
                    <w:rPr>
                      <w:rFonts w:hint="default" w:ascii="Times New Roman" w:hAnsi="Times New Roman" w:eastAsia="宋体" w:cs="Times New Roman"/>
                      <w:color w:val="auto"/>
                      <w:kern w:val="2"/>
                      <w:sz w:val="21"/>
                      <w:szCs w:val="21"/>
                      <w:u w:val="single"/>
                      <w:lang w:eastAsia="zh-CN"/>
                    </w:rPr>
                  </w:pPr>
                  <w:r>
                    <w:rPr>
                      <w:rFonts w:hint="default" w:ascii="Times New Roman" w:hAnsi="Times New Roman" w:eastAsia="宋体" w:cs="Times New Roman"/>
                      <w:i w:val="0"/>
                      <w:iCs w:val="0"/>
                      <w:caps w:val="0"/>
                      <w:color w:val="auto"/>
                      <w:spacing w:val="0"/>
                      <w:sz w:val="21"/>
                      <w:szCs w:val="21"/>
                      <w:u w:val="single"/>
                      <w:shd w:val="clear" w:fill="FFFFFF"/>
                    </w:rPr>
                    <w:t>3.制定质量标准。产地趁鲜切制加工企业应当制定趁鲜切制中药材质量标准，鲜切药材的基原和质量</w:t>
                  </w:r>
                  <w:r>
                    <w:rPr>
                      <w:rFonts w:hint="eastAsia" w:ascii="Times New Roman" w:hAnsi="Times New Roman" w:cs="Times New Roman"/>
                      <w:i w:val="0"/>
                      <w:iCs w:val="0"/>
                      <w:caps w:val="0"/>
                      <w:color w:val="auto"/>
                      <w:spacing w:val="0"/>
                      <w:sz w:val="21"/>
                      <w:szCs w:val="21"/>
                      <w:u w:val="single"/>
                      <w:shd w:val="clear" w:fill="FFFFFF"/>
                      <w:lang w:eastAsia="zh-CN"/>
                    </w:rPr>
                    <w:t>（</w:t>
                  </w:r>
                  <w:r>
                    <w:rPr>
                      <w:rFonts w:hint="default" w:ascii="Times New Roman" w:hAnsi="Times New Roman" w:eastAsia="宋体" w:cs="Times New Roman"/>
                      <w:i w:val="0"/>
                      <w:iCs w:val="0"/>
                      <w:caps w:val="0"/>
                      <w:color w:val="auto"/>
                      <w:spacing w:val="0"/>
                      <w:sz w:val="21"/>
                      <w:szCs w:val="21"/>
                      <w:u w:val="single"/>
                      <w:shd w:val="clear" w:fill="FFFFFF"/>
                    </w:rPr>
                    <w:t>形态除外</w:t>
                  </w:r>
                  <w:r>
                    <w:rPr>
                      <w:rFonts w:hint="eastAsia" w:ascii="Times New Roman" w:hAnsi="Times New Roman" w:cs="Times New Roman"/>
                      <w:i w:val="0"/>
                      <w:iCs w:val="0"/>
                      <w:caps w:val="0"/>
                      <w:color w:val="auto"/>
                      <w:spacing w:val="0"/>
                      <w:sz w:val="21"/>
                      <w:szCs w:val="21"/>
                      <w:u w:val="single"/>
                      <w:shd w:val="clear" w:fill="FFFFFF"/>
                      <w:lang w:eastAsia="zh-CN"/>
                    </w:rPr>
                    <w:t>）</w:t>
                  </w:r>
                  <w:r>
                    <w:rPr>
                      <w:rFonts w:hint="default" w:ascii="Times New Roman" w:hAnsi="Times New Roman" w:eastAsia="宋体" w:cs="Times New Roman"/>
                      <w:i w:val="0"/>
                      <w:iCs w:val="0"/>
                      <w:caps w:val="0"/>
                      <w:color w:val="auto"/>
                      <w:spacing w:val="0"/>
                      <w:sz w:val="21"/>
                      <w:szCs w:val="21"/>
                      <w:u w:val="single"/>
                      <w:shd w:val="clear" w:fill="FFFFFF"/>
                    </w:rPr>
                    <w:t>应当符合《中国药典》等国家药品标准或者《湖南省中药材标准》《湖南省中药饮片炮制规范》要求。鼓励研究制定高于法定标准的内控质量标准。</w:t>
                  </w:r>
                </w:p>
              </w:tc>
              <w:tc>
                <w:tcPr>
                  <w:tcW w:w="1283" w:type="pct"/>
                  <w:tcBorders>
                    <w:tl2br w:val="nil"/>
                    <w:tr2bl w:val="nil"/>
                  </w:tcBorders>
                  <w:shd w:val="clear" w:color="auto" w:fill="auto"/>
                  <w:noWrap w:val="0"/>
                  <w:vAlign w:val="center"/>
                </w:tcPr>
                <w:p w14:paraId="78BDA6F2">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本项目运营期拟制定相关质量标准</w:t>
                  </w:r>
                </w:p>
              </w:tc>
              <w:tc>
                <w:tcPr>
                  <w:tcW w:w="418" w:type="pct"/>
                  <w:tcBorders>
                    <w:tl2br w:val="nil"/>
                    <w:tr2bl w:val="nil"/>
                  </w:tcBorders>
                  <w:shd w:val="clear" w:color="auto" w:fill="auto"/>
                  <w:noWrap w:val="0"/>
                  <w:vAlign w:val="center"/>
                </w:tcPr>
                <w:p w14:paraId="6CE8AD45">
                  <w:pPr>
                    <w:pStyle w:val="105"/>
                    <w:overflowPunct w:val="0"/>
                    <w:adjustRightInd w:val="0"/>
                    <w:snapToGrid w:val="0"/>
                    <w:jc w:val="center"/>
                    <w:rPr>
                      <w:rFonts w:hint="default" w:ascii="Times New Roman" w:hAnsi="Times New Roman" w:eastAsia="宋体" w:cs="Times New Roman"/>
                      <w:color w:val="auto"/>
                      <w:kern w:val="2"/>
                      <w:sz w:val="21"/>
                      <w:szCs w:val="21"/>
                      <w:u w:val="single"/>
                    </w:rPr>
                  </w:pPr>
                  <w:r>
                    <w:rPr>
                      <w:rFonts w:hint="default" w:ascii="Times New Roman" w:hAnsi="Times New Roman" w:eastAsia="宋体" w:cs="Times New Roman"/>
                      <w:color w:val="auto"/>
                      <w:kern w:val="2"/>
                      <w:sz w:val="21"/>
                      <w:szCs w:val="21"/>
                      <w:u w:val="single"/>
                      <w:lang w:val="en-US" w:eastAsia="zh-CN"/>
                    </w:rPr>
                    <w:t>符合</w:t>
                  </w:r>
                </w:p>
              </w:tc>
            </w:tr>
            <w:tr w14:paraId="40A21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69" w:type="pct"/>
                  <w:vMerge w:val="continue"/>
                  <w:tcBorders>
                    <w:tl2br w:val="nil"/>
                    <w:tr2bl w:val="nil"/>
                  </w:tcBorders>
                  <w:shd w:val="clear" w:color="auto" w:fill="auto"/>
                  <w:noWrap w:val="0"/>
                  <w:vAlign w:val="center"/>
                </w:tcPr>
                <w:p w14:paraId="4203023C">
                  <w:pPr>
                    <w:pStyle w:val="105"/>
                    <w:overflowPunct w:val="0"/>
                    <w:adjustRightInd w:val="0"/>
                    <w:snapToGrid w:val="0"/>
                    <w:jc w:val="both"/>
                    <w:rPr>
                      <w:rFonts w:hint="default" w:ascii="Times New Roman" w:hAnsi="Times New Roman" w:eastAsia="宋体" w:cs="Times New Roman"/>
                      <w:color w:val="auto"/>
                      <w:kern w:val="2"/>
                      <w:sz w:val="21"/>
                      <w:szCs w:val="21"/>
                      <w:u w:val="single"/>
                      <w:lang w:eastAsia="zh-CN"/>
                    </w:rPr>
                  </w:pPr>
                </w:p>
              </w:tc>
              <w:tc>
                <w:tcPr>
                  <w:tcW w:w="2729" w:type="pct"/>
                  <w:tcBorders>
                    <w:tl2br w:val="nil"/>
                    <w:tr2bl w:val="nil"/>
                  </w:tcBorders>
                  <w:shd w:val="clear" w:color="auto" w:fill="auto"/>
                  <w:noWrap w:val="0"/>
                  <w:vAlign w:val="center"/>
                </w:tcPr>
                <w:p w14:paraId="47E6D119">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4.建立追溯体系。产地趁鲜切制加工企业应当开展中药材全过程追溯体系建设，追溯信息应当包括：产地地理坐标、种植面积、亩产数量、种子种苗来源、农药化肥的使用记录、种植时间、采收时间、切制加工日期、切制成品数量、成品去向等，保证中药材来源质量可溯可控。</w:t>
                  </w:r>
                </w:p>
              </w:tc>
              <w:tc>
                <w:tcPr>
                  <w:tcW w:w="1283" w:type="pct"/>
                  <w:tcBorders>
                    <w:tl2br w:val="nil"/>
                    <w:tr2bl w:val="nil"/>
                  </w:tcBorders>
                  <w:shd w:val="clear" w:color="auto" w:fill="auto"/>
                  <w:noWrap w:val="0"/>
                  <w:vAlign w:val="center"/>
                </w:tcPr>
                <w:p w14:paraId="300C06E2">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本项目山银花</w:t>
                  </w:r>
                  <w:r>
                    <w:rPr>
                      <w:rFonts w:hint="default" w:ascii="Times New Roman" w:hAnsi="Times New Roman" w:eastAsia="宋体" w:cs="Times New Roman"/>
                      <w:bCs/>
                      <w:color w:val="auto"/>
                      <w:sz w:val="21"/>
                      <w:szCs w:val="21"/>
                      <w:u w:val="single"/>
                      <w:lang w:val="en-US" w:eastAsia="zh-CN"/>
                    </w:rPr>
                    <w:t>拟在溆浦县龙潭镇4个行政村内的传统山银花种植区进行种植，其他中药材原材料均从当地农户收购，运营期拟</w:t>
                  </w:r>
                  <w:r>
                    <w:rPr>
                      <w:rFonts w:hint="default" w:ascii="Times New Roman" w:hAnsi="Times New Roman" w:eastAsia="宋体" w:cs="Times New Roman"/>
                      <w:i w:val="0"/>
                      <w:iCs w:val="0"/>
                      <w:caps w:val="0"/>
                      <w:color w:val="auto"/>
                      <w:spacing w:val="0"/>
                      <w:sz w:val="21"/>
                      <w:szCs w:val="21"/>
                      <w:u w:val="single"/>
                      <w:shd w:val="clear" w:fill="FFFFFF"/>
                    </w:rPr>
                    <w:t>建立追溯体系</w:t>
                  </w:r>
                </w:p>
              </w:tc>
              <w:tc>
                <w:tcPr>
                  <w:tcW w:w="418" w:type="pct"/>
                  <w:tcBorders>
                    <w:tl2br w:val="nil"/>
                    <w:tr2bl w:val="nil"/>
                  </w:tcBorders>
                  <w:shd w:val="clear" w:color="auto" w:fill="auto"/>
                  <w:noWrap w:val="0"/>
                  <w:vAlign w:val="center"/>
                </w:tcPr>
                <w:p w14:paraId="5CBB303A">
                  <w:pPr>
                    <w:pStyle w:val="105"/>
                    <w:overflowPunct w:val="0"/>
                    <w:adjustRightInd w:val="0"/>
                    <w:snapToGrid w:val="0"/>
                    <w:jc w:val="center"/>
                    <w:rPr>
                      <w:rFonts w:hint="default" w:ascii="Times New Roman" w:hAnsi="Times New Roman" w:eastAsia="宋体" w:cs="Times New Roman"/>
                      <w:color w:val="auto"/>
                      <w:kern w:val="2"/>
                      <w:sz w:val="21"/>
                      <w:szCs w:val="21"/>
                      <w:u w:val="single"/>
                    </w:rPr>
                  </w:pPr>
                  <w:r>
                    <w:rPr>
                      <w:rFonts w:hint="default" w:ascii="Times New Roman" w:hAnsi="Times New Roman" w:eastAsia="宋体" w:cs="Times New Roman"/>
                      <w:color w:val="auto"/>
                      <w:kern w:val="2"/>
                      <w:sz w:val="21"/>
                      <w:szCs w:val="21"/>
                      <w:u w:val="single"/>
                      <w:lang w:val="en-US" w:eastAsia="zh-CN"/>
                    </w:rPr>
                    <w:t>符合</w:t>
                  </w:r>
                </w:p>
              </w:tc>
            </w:tr>
            <w:tr w14:paraId="755A5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569" w:type="pct"/>
                  <w:vMerge w:val="continue"/>
                  <w:tcBorders>
                    <w:tl2br w:val="nil"/>
                    <w:tr2bl w:val="nil"/>
                  </w:tcBorders>
                  <w:shd w:val="clear" w:color="auto" w:fill="auto"/>
                  <w:noWrap w:val="0"/>
                  <w:vAlign w:val="center"/>
                </w:tcPr>
                <w:p w14:paraId="491B371C">
                  <w:pPr>
                    <w:pStyle w:val="105"/>
                    <w:overflowPunct w:val="0"/>
                    <w:adjustRightInd w:val="0"/>
                    <w:snapToGrid w:val="0"/>
                    <w:jc w:val="both"/>
                    <w:rPr>
                      <w:rFonts w:hint="default" w:ascii="Times New Roman" w:hAnsi="Times New Roman" w:eastAsia="宋体" w:cs="Times New Roman"/>
                      <w:color w:val="auto"/>
                      <w:kern w:val="2"/>
                      <w:sz w:val="21"/>
                      <w:szCs w:val="21"/>
                      <w:u w:val="single"/>
                      <w:lang w:eastAsia="zh-CN"/>
                    </w:rPr>
                  </w:pPr>
                </w:p>
              </w:tc>
              <w:tc>
                <w:tcPr>
                  <w:tcW w:w="2729" w:type="pct"/>
                  <w:tcBorders>
                    <w:tl2br w:val="nil"/>
                    <w:tr2bl w:val="nil"/>
                  </w:tcBorders>
                  <w:shd w:val="clear" w:color="auto" w:fill="auto"/>
                  <w:noWrap w:val="0"/>
                  <w:vAlign w:val="center"/>
                </w:tcPr>
                <w:p w14:paraId="578A486F">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5.规范采购行为。药品生产企业采购中药材趁鲜切制品时，应当对照《湖南省中药材产地趁鲜切制加工质量管理指南》（附件3，以下简称《指南》）要求，从具备健全质量管理体系的产地加工企业采购，采购的品种应当是省级以上药品监督管理部门制定的鲜切药材目录内的品种。不得从各类中药材市场或者个人等处购进中药材趁鲜切制品用于中药饮片生产，也不得将采购的中药材趁鲜切制品直接包装后作为中药饮片销售。</w:t>
                  </w:r>
                </w:p>
              </w:tc>
              <w:tc>
                <w:tcPr>
                  <w:tcW w:w="1283" w:type="pct"/>
                  <w:tcBorders>
                    <w:tl2br w:val="nil"/>
                    <w:tr2bl w:val="nil"/>
                  </w:tcBorders>
                  <w:shd w:val="clear" w:color="auto" w:fill="auto"/>
                  <w:noWrap w:val="0"/>
                  <w:vAlign w:val="center"/>
                </w:tcPr>
                <w:p w14:paraId="42ECE622">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本项目运营期</w:t>
                  </w:r>
                  <w:r>
                    <w:rPr>
                      <w:rFonts w:hint="default" w:ascii="Times New Roman" w:hAnsi="Times New Roman" w:eastAsia="宋体" w:cs="Times New Roman"/>
                      <w:i w:val="0"/>
                      <w:iCs w:val="0"/>
                      <w:caps w:val="0"/>
                      <w:color w:val="auto"/>
                      <w:spacing w:val="0"/>
                      <w:sz w:val="21"/>
                      <w:szCs w:val="21"/>
                      <w:u w:val="single"/>
                      <w:shd w:val="clear" w:fill="FFFFFF"/>
                    </w:rPr>
                    <w:t>规范采购行为</w:t>
                  </w:r>
                  <w:r>
                    <w:rPr>
                      <w:rFonts w:hint="default" w:ascii="Times New Roman" w:hAnsi="Times New Roman" w:eastAsia="宋体" w:cs="Times New Roman"/>
                      <w:i w:val="0"/>
                      <w:iCs w:val="0"/>
                      <w:caps w:val="0"/>
                      <w:color w:val="auto"/>
                      <w:spacing w:val="0"/>
                      <w:sz w:val="21"/>
                      <w:szCs w:val="21"/>
                      <w:u w:val="single"/>
                      <w:shd w:val="clear" w:fill="FFFFFF"/>
                      <w:lang w:eastAsia="zh-CN"/>
                    </w:rPr>
                    <w:t>，</w:t>
                  </w:r>
                  <w:r>
                    <w:rPr>
                      <w:rFonts w:hint="default" w:ascii="Times New Roman" w:hAnsi="Times New Roman" w:eastAsia="宋体" w:cs="Times New Roman"/>
                      <w:i w:val="0"/>
                      <w:iCs w:val="0"/>
                      <w:caps w:val="0"/>
                      <w:color w:val="auto"/>
                      <w:spacing w:val="0"/>
                      <w:sz w:val="21"/>
                      <w:szCs w:val="21"/>
                      <w:u w:val="single"/>
                      <w:shd w:val="clear" w:fill="FFFFFF"/>
                    </w:rPr>
                    <w:t>对照《湖南省中药材产地趁鲜切制加工质量管理指南》</w:t>
                  </w:r>
                  <w:r>
                    <w:rPr>
                      <w:rFonts w:hint="default" w:ascii="Times New Roman" w:hAnsi="Times New Roman" w:eastAsia="宋体" w:cs="Times New Roman"/>
                      <w:i w:val="0"/>
                      <w:iCs w:val="0"/>
                      <w:caps w:val="0"/>
                      <w:color w:val="auto"/>
                      <w:spacing w:val="0"/>
                      <w:sz w:val="21"/>
                      <w:szCs w:val="21"/>
                      <w:u w:val="single"/>
                      <w:shd w:val="clear" w:fill="FFFFFF"/>
                      <w:lang w:val="en-US" w:eastAsia="zh-CN"/>
                    </w:rPr>
                    <w:t>要求进行原材料采购</w:t>
                  </w:r>
                </w:p>
              </w:tc>
              <w:tc>
                <w:tcPr>
                  <w:tcW w:w="418" w:type="pct"/>
                  <w:tcBorders>
                    <w:tl2br w:val="nil"/>
                    <w:tr2bl w:val="nil"/>
                  </w:tcBorders>
                  <w:shd w:val="clear" w:color="auto" w:fill="auto"/>
                  <w:noWrap w:val="0"/>
                  <w:vAlign w:val="center"/>
                </w:tcPr>
                <w:p w14:paraId="0D5157C9">
                  <w:pPr>
                    <w:pStyle w:val="105"/>
                    <w:overflowPunct w:val="0"/>
                    <w:adjustRightInd w:val="0"/>
                    <w:snapToGrid w:val="0"/>
                    <w:jc w:val="center"/>
                    <w:rPr>
                      <w:rFonts w:hint="default" w:ascii="Times New Roman" w:hAnsi="Times New Roman" w:eastAsia="宋体" w:cs="Times New Roman"/>
                      <w:color w:val="auto"/>
                      <w:kern w:val="2"/>
                      <w:sz w:val="21"/>
                      <w:szCs w:val="21"/>
                      <w:u w:val="single"/>
                    </w:rPr>
                  </w:pPr>
                  <w:r>
                    <w:rPr>
                      <w:rFonts w:hint="default" w:ascii="Times New Roman" w:hAnsi="Times New Roman" w:eastAsia="宋体" w:cs="Times New Roman"/>
                      <w:color w:val="auto"/>
                      <w:kern w:val="2"/>
                      <w:sz w:val="21"/>
                      <w:szCs w:val="21"/>
                      <w:u w:val="single"/>
                      <w:lang w:val="en-US" w:eastAsia="zh-CN"/>
                    </w:rPr>
                    <w:t>符合</w:t>
                  </w:r>
                </w:p>
              </w:tc>
            </w:tr>
            <w:tr w14:paraId="62921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69" w:type="pct"/>
                  <w:vMerge w:val="restart"/>
                  <w:tcBorders>
                    <w:tl2br w:val="nil"/>
                    <w:tr2bl w:val="nil"/>
                  </w:tcBorders>
                  <w:shd w:val="clear" w:color="auto" w:fill="auto"/>
                  <w:noWrap w:val="0"/>
                  <w:vAlign w:val="center"/>
                </w:tcPr>
                <w:p w14:paraId="63A3280F">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（三）加强趁鲜切制加工质量管理</w:t>
                  </w:r>
                </w:p>
              </w:tc>
              <w:tc>
                <w:tcPr>
                  <w:tcW w:w="2729" w:type="pct"/>
                  <w:tcBorders>
                    <w:tl2br w:val="nil"/>
                    <w:tr2bl w:val="nil"/>
                  </w:tcBorders>
                  <w:shd w:val="clear" w:color="auto" w:fill="auto"/>
                  <w:noWrap w:val="0"/>
                  <w:vAlign w:val="center"/>
                </w:tcPr>
                <w:p w14:paraId="323ED831">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1.加强自收自制质量管理。药品生产企业自行开展中药材产地趁鲜切制加工，应当对照《指南》建设加工车间，并对其质量管理体系和风险管理能力进行评估后，认为符合要求的，向所在地省药品监督管理部门报告，并在药品年度报告中列明相关情况。报告内容应包括：《中药材产地趁鲜切制加工报告表》（附件4）；趁鲜切制加工品种的工艺规程和质量标准；生产企业自查报告。</w:t>
                  </w:r>
                </w:p>
              </w:tc>
              <w:tc>
                <w:tcPr>
                  <w:tcW w:w="1283" w:type="pct"/>
                  <w:tcBorders>
                    <w:tl2br w:val="nil"/>
                    <w:tr2bl w:val="nil"/>
                  </w:tcBorders>
                  <w:shd w:val="clear" w:color="auto" w:fill="auto"/>
                  <w:noWrap w:val="0"/>
                  <w:vAlign w:val="center"/>
                </w:tcPr>
                <w:p w14:paraId="745602E6">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本项目运营期拟加强质量管理</w:t>
                  </w:r>
                </w:p>
              </w:tc>
              <w:tc>
                <w:tcPr>
                  <w:tcW w:w="418" w:type="pct"/>
                  <w:tcBorders>
                    <w:tl2br w:val="nil"/>
                    <w:tr2bl w:val="nil"/>
                  </w:tcBorders>
                  <w:shd w:val="clear" w:color="auto" w:fill="auto"/>
                  <w:noWrap w:val="0"/>
                  <w:vAlign w:val="center"/>
                </w:tcPr>
                <w:p w14:paraId="23122B7B">
                  <w:pPr>
                    <w:pStyle w:val="105"/>
                    <w:overflowPunct w:val="0"/>
                    <w:adjustRightInd w:val="0"/>
                    <w:snapToGrid w:val="0"/>
                    <w:jc w:val="center"/>
                    <w:rPr>
                      <w:rFonts w:hint="default" w:ascii="Times New Roman" w:hAnsi="Times New Roman" w:eastAsia="宋体" w:cs="Times New Roman"/>
                      <w:color w:val="auto"/>
                      <w:kern w:val="2"/>
                      <w:sz w:val="21"/>
                      <w:szCs w:val="21"/>
                      <w:u w:val="single"/>
                    </w:rPr>
                  </w:pPr>
                  <w:r>
                    <w:rPr>
                      <w:rFonts w:hint="default" w:ascii="Times New Roman" w:hAnsi="Times New Roman" w:eastAsia="宋体" w:cs="Times New Roman"/>
                      <w:color w:val="auto"/>
                      <w:kern w:val="2"/>
                      <w:sz w:val="21"/>
                      <w:szCs w:val="21"/>
                      <w:u w:val="single"/>
                      <w:lang w:val="en-US" w:eastAsia="zh-CN"/>
                    </w:rPr>
                    <w:t>符合</w:t>
                  </w:r>
                </w:p>
              </w:tc>
            </w:tr>
            <w:tr w14:paraId="2A9F8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69" w:type="pct"/>
                  <w:vMerge w:val="continue"/>
                  <w:tcBorders>
                    <w:tl2br w:val="nil"/>
                    <w:tr2bl w:val="nil"/>
                  </w:tcBorders>
                  <w:shd w:val="clear" w:color="auto" w:fill="auto"/>
                  <w:noWrap w:val="0"/>
                  <w:vAlign w:val="center"/>
                </w:tcPr>
                <w:p w14:paraId="37D7BAFC">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p>
              </w:tc>
              <w:tc>
                <w:tcPr>
                  <w:tcW w:w="2729" w:type="pct"/>
                  <w:tcBorders>
                    <w:tl2br w:val="nil"/>
                    <w:tr2bl w:val="nil"/>
                  </w:tcBorders>
                  <w:shd w:val="clear" w:color="auto" w:fill="auto"/>
                  <w:noWrap w:val="0"/>
                  <w:vAlign w:val="center"/>
                </w:tcPr>
                <w:p w14:paraId="4EA79E29">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2.加强采购鲜切药材质量管理。药品生产企业采购全国各省（自治区、直辖市）药品监督管理部门公布或认可的鲜切药材用于药品生产的，应当与所采购鲜切药材产地加工企业签订购买合同和质量保证协议（附件5），并对照《指南》严格审核产地加工企业的质量管理体系，认为符合要求的，向采购方所在地省药品监督管理部门报告，并在药品年度报告中列明相关情况。报告内容同自收自制。</w:t>
                  </w:r>
                </w:p>
              </w:tc>
              <w:tc>
                <w:tcPr>
                  <w:tcW w:w="1283" w:type="pct"/>
                  <w:tcBorders>
                    <w:tl2br w:val="nil"/>
                    <w:tr2bl w:val="nil"/>
                  </w:tcBorders>
                  <w:shd w:val="clear" w:color="auto" w:fill="auto"/>
                  <w:noWrap w:val="0"/>
                  <w:vAlign w:val="center"/>
                </w:tcPr>
                <w:p w14:paraId="007B449C">
                  <w:pPr>
                    <w:pStyle w:val="105"/>
                    <w:overflowPunct w:val="0"/>
                    <w:adjustRightInd w:val="0"/>
                    <w:snapToGrid w:val="0"/>
                    <w:jc w:val="center"/>
                    <w:rPr>
                      <w:rFonts w:hint="default" w:ascii="Times New Roman" w:hAnsi="Times New Roman" w:eastAsia="宋体" w:cs="Times New Roman"/>
                      <w:color w:val="auto"/>
                      <w:kern w:val="2"/>
                      <w:sz w:val="21"/>
                      <w:szCs w:val="21"/>
                      <w:u w:val="single"/>
                      <w:lang w:eastAsia="zh-CN"/>
                    </w:rPr>
                  </w:pPr>
                  <w:r>
                    <w:rPr>
                      <w:rFonts w:hint="default" w:ascii="Times New Roman" w:hAnsi="Times New Roman" w:eastAsia="宋体" w:cs="Times New Roman"/>
                      <w:i w:val="0"/>
                      <w:iCs w:val="0"/>
                      <w:caps w:val="0"/>
                      <w:color w:val="auto"/>
                      <w:spacing w:val="0"/>
                      <w:sz w:val="21"/>
                      <w:szCs w:val="21"/>
                      <w:u w:val="single"/>
                      <w:shd w:val="clear" w:fill="FFFFFF"/>
                      <w:lang w:val="en-US" w:eastAsia="zh-CN"/>
                    </w:rPr>
                    <w:t>本项目运营期拟</w:t>
                  </w:r>
                  <w:r>
                    <w:rPr>
                      <w:rFonts w:hint="default" w:ascii="Times New Roman" w:hAnsi="Times New Roman" w:eastAsia="宋体" w:cs="Times New Roman"/>
                      <w:i w:val="0"/>
                      <w:iCs w:val="0"/>
                      <w:caps w:val="0"/>
                      <w:color w:val="auto"/>
                      <w:spacing w:val="0"/>
                      <w:sz w:val="21"/>
                      <w:szCs w:val="21"/>
                      <w:u w:val="single"/>
                      <w:shd w:val="clear" w:fill="FFFFFF"/>
                    </w:rPr>
                    <w:t>加强采购鲜切药材质量管理</w:t>
                  </w:r>
                </w:p>
              </w:tc>
              <w:tc>
                <w:tcPr>
                  <w:tcW w:w="418" w:type="pct"/>
                  <w:tcBorders>
                    <w:tl2br w:val="nil"/>
                    <w:tr2bl w:val="nil"/>
                  </w:tcBorders>
                  <w:shd w:val="clear" w:color="auto" w:fill="auto"/>
                  <w:noWrap w:val="0"/>
                  <w:vAlign w:val="center"/>
                </w:tcPr>
                <w:p w14:paraId="436E35EA">
                  <w:pPr>
                    <w:pStyle w:val="105"/>
                    <w:overflowPunct w:val="0"/>
                    <w:adjustRightInd w:val="0"/>
                    <w:snapToGrid w:val="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符合</w:t>
                  </w:r>
                </w:p>
              </w:tc>
            </w:tr>
          </w:tbl>
          <w:p w14:paraId="5715A51A">
            <w:pPr>
              <w:autoSpaceDE w:val="0"/>
              <w:autoSpaceDN w:val="0"/>
              <w:adjustRightInd w:val="0"/>
              <w:snapToGrid w:val="0"/>
              <w:spacing w:line="500" w:lineRule="exact"/>
              <w:ind w:firstLine="482" w:firstLineChars="200"/>
              <w:rPr>
                <w:b/>
                <w:bCs/>
                <w:color w:val="auto"/>
                <w:kern w:val="0"/>
                <w:sz w:val="24"/>
                <w:u w:val="single"/>
              </w:rPr>
            </w:pPr>
            <w:r>
              <w:rPr>
                <w:rFonts w:hint="eastAsia"/>
                <w:b/>
                <w:bCs/>
                <w:color w:val="auto"/>
                <w:kern w:val="0"/>
                <w:sz w:val="24"/>
                <w:u w:val="single"/>
                <w:lang w:eastAsia="zh-CN"/>
              </w:rPr>
              <w:t>（</w:t>
            </w:r>
            <w:r>
              <w:rPr>
                <w:rFonts w:hint="eastAsia"/>
                <w:b/>
                <w:bCs/>
                <w:color w:val="auto"/>
                <w:kern w:val="0"/>
                <w:sz w:val="24"/>
                <w:u w:val="single"/>
                <w:lang w:val="en-US" w:eastAsia="zh-CN"/>
              </w:rPr>
              <w:t>3）</w:t>
            </w:r>
            <w:r>
              <w:rPr>
                <w:b/>
                <w:bCs/>
                <w:color w:val="auto"/>
                <w:kern w:val="0"/>
                <w:sz w:val="24"/>
                <w:u w:val="single"/>
              </w:rPr>
              <w:t>项目与《湖南省工业炉窑大气污染综合治理实施方案》相符性分析</w:t>
            </w:r>
          </w:p>
          <w:p w14:paraId="63D4E1E5">
            <w:pPr>
              <w:jc w:val="center"/>
              <w:rPr>
                <w:b/>
                <w:bCs/>
                <w:color w:val="auto"/>
                <w:sz w:val="24"/>
                <w:szCs w:val="24"/>
                <w:u w:val="single"/>
              </w:rPr>
            </w:pPr>
            <w:r>
              <w:rPr>
                <w:b/>
                <w:bCs/>
                <w:color w:val="auto"/>
                <w:sz w:val="24"/>
                <w:szCs w:val="24"/>
                <w:u w:val="single"/>
              </w:rPr>
              <w:t>表1-4  与《湖南省工业炉窑大气污染综合治理实施方案》相符性分析</w:t>
            </w:r>
          </w:p>
          <w:tbl>
            <w:tblPr>
              <w:tblStyle w:val="32"/>
              <w:tblW w:w="5000"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52"/>
              <w:gridCol w:w="1819"/>
              <w:gridCol w:w="545"/>
            </w:tblGrid>
            <w:tr w14:paraId="6AF49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86" w:type="pct"/>
                  <w:tcBorders>
                    <w:tl2br w:val="nil"/>
                    <w:tr2bl w:val="nil"/>
                  </w:tcBorders>
                  <w:noWrap w:val="0"/>
                  <w:vAlign w:val="center"/>
                </w:tcPr>
                <w:p w14:paraId="1F224C26">
                  <w:pPr>
                    <w:pStyle w:val="105"/>
                    <w:overflowPunct w:val="0"/>
                    <w:adjustRightInd w:val="0"/>
                    <w:snapToGrid w:val="0"/>
                    <w:jc w:val="center"/>
                    <w:rPr>
                      <w:rFonts w:ascii="Times New Roman" w:hAnsi="Times New Roman" w:eastAsia="宋体"/>
                      <w:b/>
                      <w:bCs/>
                      <w:color w:val="auto"/>
                      <w:kern w:val="2"/>
                      <w:sz w:val="21"/>
                      <w:szCs w:val="21"/>
                      <w:u w:val="single"/>
                      <w:lang w:eastAsia="zh-CN"/>
                    </w:rPr>
                  </w:pPr>
                  <w:r>
                    <w:rPr>
                      <w:rFonts w:ascii="Times New Roman" w:hAnsi="Times New Roman" w:eastAsia="宋体"/>
                      <w:b/>
                      <w:bCs/>
                      <w:color w:val="auto"/>
                      <w:kern w:val="2"/>
                      <w:sz w:val="21"/>
                      <w:szCs w:val="21"/>
                      <w:u w:val="single"/>
                      <w:lang w:eastAsia="zh-CN"/>
                    </w:rPr>
                    <w:t>条款</w:t>
                  </w:r>
                </w:p>
              </w:tc>
              <w:tc>
                <w:tcPr>
                  <w:tcW w:w="1395" w:type="pct"/>
                  <w:tcBorders>
                    <w:tl2br w:val="nil"/>
                    <w:tr2bl w:val="nil"/>
                  </w:tcBorders>
                  <w:noWrap w:val="0"/>
                  <w:vAlign w:val="center"/>
                </w:tcPr>
                <w:p w14:paraId="072F64DC">
                  <w:pPr>
                    <w:pStyle w:val="105"/>
                    <w:overflowPunct w:val="0"/>
                    <w:adjustRightInd w:val="0"/>
                    <w:snapToGrid w:val="0"/>
                    <w:jc w:val="center"/>
                    <w:rPr>
                      <w:rFonts w:ascii="Times New Roman" w:hAnsi="Times New Roman" w:eastAsia="宋体"/>
                      <w:b/>
                      <w:bCs/>
                      <w:color w:val="auto"/>
                      <w:kern w:val="2"/>
                      <w:sz w:val="21"/>
                      <w:szCs w:val="21"/>
                      <w:u w:val="single"/>
                    </w:rPr>
                  </w:pPr>
                  <w:r>
                    <w:rPr>
                      <w:rFonts w:ascii="Times New Roman" w:hAnsi="Times New Roman" w:eastAsia="宋体"/>
                      <w:b/>
                      <w:bCs/>
                      <w:color w:val="auto"/>
                      <w:kern w:val="2"/>
                      <w:sz w:val="21"/>
                      <w:szCs w:val="21"/>
                      <w:u w:val="single"/>
                      <w:lang w:eastAsia="zh-CN"/>
                    </w:rPr>
                    <w:t>本项目情况</w:t>
                  </w:r>
                </w:p>
              </w:tc>
              <w:tc>
                <w:tcPr>
                  <w:tcW w:w="418" w:type="pct"/>
                  <w:tcBorders>
                    <w:tl2br w:val="nil"/>
                    <w:tr2bl w:val="nil"/>
                  </w:tcBorders>
                  <w:noWrap w:val="0"/>
                  <w:vAlign w:val="center"/>
                </w:tcPr>
                <w:p w14:paraId="611386CC">
                  <w:pPr>
                    <w:pStyle w:val="105"/>
                    <w:overflowPunct w:val="0"/>
                    <w:adjustRightInd w:val="0"/>
                    <w:snapToGrid w:val="0"/>
                    <w:jc w:val="center"/>
                    <w:rPr>
                      <w:rFonts w:ascii="Times New Roman" w:hAnsi="Times New Roman" w:eastAsia="宋体"/>
                      <w:b/>
                      <w:bCs/>
                      <w:color w:val="auto"/>
                      <w:kern w:val="2"/>
                      <w:sz w:val="21"/>
                      <w:szCs w:val="21"/>
                      <w:u w:val="single"/>
                      <w:lang w:eastAsia="zh-CN"/>
                    </w:rPr>
                  </w:pPr>
                  <w:r>
                    <w:rPr>
                      <w:rFonts w:ascii="Times New Roman" w:hAnsi="Times New Roman" w:eastAsia="宋体"/>
                      <w:b/>
                      <w:bCs/>
                      <w:color w:val="auto"/>
                      <w:kern w:val="2"/>
                      <w:sz w:val="21"/>
                      <w:szCs w:val="21"/>
                      <w:u w:val="single"/>
                    </w:rPr>
                    <w:t>是否符合</w:t>
                  </w:r>
                </w:p>
              </w:tc>
            </w:tr>
            <w:tr w14:paraId="1EF7B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86" w:type="pct"/>
                  <w:tcBorders>
                    <w:tl2br w:val="nil"/>
                    <w:tr2bl w:val="nil"/>
                  </w:tcBorders>
                  <w:noWrap w:val="0"/>
                  <w:vAlign w:val="center"/>
                </w:tcPr>
                <w:p w14:paraId="42CB2B93">
                  <w:pPr>
                    <w:pStyle w:val="105"/>
                    <w:overflowPunct w:val="0"/>
                    <w:adjustRightInd w:val="0"/>
                    <w:snapToGrid w:val="0"/>
                    <w:jc w:val="both"/>
                    <w:rPr>
                      <w:rFonts w:ascii="Times New Roman" w:hAnsi="Times New Roman" w:eastAsia="宋体"/>
                      <w:color w:val="auto"/>
                      <w:kern w:val="2"/>
                      <w:sz w:val="21"/>
                      <w:szCs w:val="21"/>
                      <w:u w:val="single"/>
                      <w:lang w:eastAsia="zh-CN"/>
                    </w:rPr>
                  </w:pPr>
                  <w:r>
                    <w:rPr>
                      <w:rFonts w:ascii="Times New Roman" w:hAnsi="Times New Roman" w:eastAsia="宋体"/>
                      <w:color w:val="auto"/>
                      <w:kern w:val="2"/>
                      <w:sz w:val="21"/>
                      <w:szCs w:val="21"/>
                      <w:u w:val="single"/>
                      <w:lang w:eastAsia="zh-CN"/>
                    </w:rPr>
                    <w:t>1.有组织排放控制要求。已有行业排放标准的工业炉窑，严格按行业排放标准执行，已发放排污许可证的，应严格执行排污许可要求。暂未制订行业排放…的工业炉窑，待地方标准出台后执行，现阶段长沙市、株洲市、湘潭市以及常德市、岳阳市、益阳市等传输通道城市按照颗粒物、二氧化硫、氮氧化物排放限值分别不高于30、200、300毫克/立方米实施改造，其中，日用玻璃、玻璃棉行业氮氧化物排放限值不高于400毫克/立方米，水泥生产企业氮氧化物排放限值不高于100毫克/立方米，铸造行业烧结、高炉工序污染排放控制按照钢铁行业相关标准要求执行（工业炉窑分行业主要大气污染物排放浓度限值见附件1）。</w:t>
                  </w:r>
                </w:p>
              </w:tc>
              <w:tc>
                <w:tcPr>
                  <w:tcW w:w="1395" w:type="pct"/>
                  <w:tcBorders>
                    <w:tl2br w:val="nil"/>
                    <w:tr2bl w:val="nil"/>
                  </w:tcBorders>
                  <w:noWrap w:val="0"/>
                  <w:vAlign w:val="center"/>
                </w:tcPr>
                <w:p w14:paraId="55C7B53B">
                  <w:pPr>
                    <w:pStyle w:val="105"/>
                    <w:overflowPunct w:val="0"/>
                    <w:adjustRightInd w:val="0"/>
                    <w:snapToGrid w:val="0"/>
                    <w:jc w:val="both"/>
                    <w:rPr>
                      <w:rFonts w:ascii="Times New Roman" w:hAnsi="Times New Roman" w:eastAsia="宋体"/>
                      <w:color w:val="auto"/>
                      <w:kern w:val="2"/>
                      <w:sz w:val="21"/>
                      <w:szCs w:val="21"/>
                      <w:u w:val="single"/>
                      <w:lang w:eastAsia="zh-CN"/>
                    </w:rPr>
                  </w:pPr>
                  <w:r>
                    <w:rPr>
                      <w:rFonts w:ascii="Times New Roman" w:hAnsi="Times New Roman" w:eastAsia="宋体"/>
                      <w:color w:val="auto"/>
                      <w:kern w:val="2"/>
                      <w:sz w:val="21"/>
                      <w:szCs w:val="21"/>
                      <w:u w:val="single"/>
                      <w:lang w:eastAsia="zh-CN"/>
                    </w:rPr>
                    <w:t>经分析，</w:t>
                  </w:r>
                  <w:r>
                    <w:rPr>
                      <w:rFonts w:hint="eastAsia" w:ascii="Times New Roman" w:hAnsi="Times New Roman"/>
                      <w:color w:val="auto"/>
                      <w:kern w:val="2"/>
                      <w:sz w:val="21"/>
                      <w:szCs w:val="21"/>
                      <w:u w:val="single"/>
                      <w:lang w:val="en-US" w:eastAsia="zh-CN"/>
                    </w:rPr>
                    <w:t>参照</w:t>
                  </w:r>
                  <w:r>
                    <w:rPr>
                      <w:rFonts w:hint="default" w:ascii="Times New Roman" w:hAnsi="Times New Roman" w:eastAsia="宋体" w:cs="Times New Roman"/>
                      <w:color w:val="FF0000"/>
                      <w:sz w:val="21"/>
                      <w:szCs w:val="21"/>
                      <w:u w:val="single"/>
                      <w:lang w:val="en-US" w:eastAsia="zh-CN"/>
                    </w:rPr>
                    <w:t>《湖南省工业炉窑大气污染综合治理实施方案》中现阶段长沙市、株洲市、湘潭市以及常德市、岳阳市、益阳市等传输通道城市</w:t>
                  </w:r>
                  <w:r>
                    <w:rPr>
                      <w:rFonts w:hint="eastAsia" w:ascii="Times New Roman" w:hAnsi="Times New Roman" w:eastAsia="宋体" w:cs="Times New Roman"/>
                      <w:color w:val="FF0000"/>
                      <w:sz w:val="21"/>
                      <w:szCs w:val="21"/>
                      <w:u w:val="single"/>
                      <w:lang w:val="en-US" w:eastAsia="zh-CN"/>
                    </w:rPr>
                    <w:t>“</w:t>
                  </w:r>
                  <w:r>
                    <w:rPr>
                      <w:rFonts w:hint="default" w:ascii="Times New Roman" w:hAnsi="Times New Roman" w:eastAsia="宋体" w:cs="Times New Roman"/>
                      <w:color w:val="FF0000"/>
                      <w:sz w:val="21"/>
                      <w:szCs w:val="21"/>
                      <w:u w:val="single"/>
                      <w:lang w:val="en-US" w:eastAsia="zh-CN"/>
                    </w:rPr>
                    <w:t>暂未制订行业排放标准的工业炉窑</w:t>
                  </w:r>
                  <w:r>
                    <w:rPr>
                      <w:rFonts w:hint="eastAsia" w:ascii="Times New Roman" w:hAnsi="Times New Roman" w:eastAsia="宋体" w:cs="Times New Roman"/>
                      <w:color w:val="FF0000"/>
                      <w:sz w:val="21"/>
                      <w:szCs w:val="21"/>
                      <w:u w:val="single"/>
                      <w:lang w:val="en-US" w:eastAsia="zh-CN"/>
                    </w:rPr>
                    <w:t>”的排放</w:t>
                  </w:r>
                  <w:r>
                    <w:rPr>
                      <w:rFonts w:hint="default" w:ascii="Times New Roman" w:hAnsi="Times New Roman" w:eastAsia="宋体" w:cs="Times New Roman"/>
                      <w:color w:val="FF0000"/>
                      <w:sz w:val="21"/>
                      <w:szCs w:val="21"/>
                      <w:u w:val="single"/>
                      <w:lang w:val="en-US" w:eastAsia="zh-CN"/>
                    </w:rPr>
                    <w:t>限值</w:t>
                  </w:r>
                  <w:r>
                    <w:rPr>
                      <w:rFonts w:hint="eastAsia" w:ascii="Times New Roman" w:hAnsi="Times New Roman" w:eastAsia="宋体" w:cs="Times New Roman"/>
                      <w:color w:val="FF0000"/>
                      <w:sz w:val="21"/>
                      <w:szCs w:val="21"/>
                      <w:u w:val="single"/>
                      <w:lang w:val="en-US" w:eastAsia="zh-CN"/>
                    </w:rPr>
                    <w:t>，</w:t>
                  </w:r>
                  <w:r>
                    <w:rPr>
                      <w:rFonts w:ascii="Times New Roman" w:hAnsi="Times New Roman" w:eastAsia="宋体"/>
                      <w:color w:val="auto"/>
                      <w:kern w:val="2"/>
                      <w:sz w:val="21"/>
                      <w:szCs w:val="21"/>
                      <w:u w:val="single"/>
                      <w:lang w:eastAsia="zh-CN"/>
                    </w:rPr>
                    <w:t>本项目</w:t>
                  </w:r>
                  <w:r>
                    <w:rPr>
                      <w:rFonts w:hint="eastAsia" w:ascii="Times New Roman" w:hAnsi="Times New Roman"/>
                      <w:color w:val="auto"/>
                      <w:kern w:val="2"/>
                      <w:sz w:val="21"/>
                      <w:szCs w:val="21"/>
                      <w:u w:val="single"/>
                      <w:lang w:val="en-US" w:eastAsia="zh-CN"/>
                    </w:rPr>
                    <w:t>热风炉</w:t>
                  </w:r>
                  <w:r>
                    <w:rPr>
                      <w:rFonts w:ascii="Times New Roman" w:hAnsi="Times New Roman" w:eastAsia="宋体"/>
                      <w:color w:val="auto"/>
                      <w:kern w:val="2"/>
                      <w:sz w:val="21"/>
                      <w:szCs w:val="21"/>
                      <w:u w:val="single"/>
                      <w:lang w:eastAsia="zh-CN"/>
                    </w:rPr>
                    <w:t>排放的颗粒物、二氧化硫、氮氧化物能</w:t>
                  </w:r>
                  <w:r>
                    <w:rPr>
                      <w:rFonts w:hint="eastAsia" w:ascii="Times New Roman" w:hAnsi="Times New Roman"/>
                      <w:color w:val="auto"/>
                      <w:kern w:val="2"/>
                      <w:sz w:val="21"/>
                      <w:szCs w:val="21"/>
                      <w:u w:val="single"/>
                      <w:lang w:val="en-US" w:eastAsia="zh-CN"/>
                    </w:rPr>
                    <w:t>满足其要求</w:t>
                  </w:r>
                  <w:r>
                    <w:rPr>
                      <w:rFonts w:ascii="Times New Roman" w:hAnsi="Times New Roman" w:eastAsia="宋体"/>
                      <w:color w:val="auto"/>
                      <w:kern w:val="2"/>
                      <w:sz w:val="21"/>
                      <w:szCs w:val="21"/>
                      <w:u w:val="single"/>
                      <w:lang w:eastAsia="zh-CN"/>
                    </w:rPr>
                    <w:t>。</w:t>
                  </w:r>
                </w:p>
              </w:tc>
              <w:tc>
                <w:tcPr>
                  <w:tcW w:w="418" w:type="pct"/>
                  <w:tcBorders>
                    <w:tl2br w:val="nil"/>
                    <w:tr2bl w:val="nil"/>
                  </w:tcBorders>
                  <w:noWrap w:val="0"/>
                  <w:vAlign w:val="center"/>
                </w:tcPr>
                <w:p w14:paraId="5FF5D0E0">
                  <w:pPr>
                    <w:pStyle w:val="105"/>
                    <w:overflowPunct w:val="0"/>
                    <w:adjustRightInd w:val="0"/>
                    <w:snapToGrid w:val="0"/>
                    <w:jc w:val="center"/>
                    <w:rPr>
                      <w:rFonts w:ascii="Times New Roman" w:hAnsi="Times New Roman" w:eastAsia="宋体"/>
                      <w:color w:val="auto"/>
                      <w:kern w:val="2"/>
                      <w:sz w:val="21"/>
                      <w:szCs w:val="21"/>
                      <w:u w:val="single"/>
                    </w:rPr>
                  </w:pPr>
                  <w:r>
                    <w:rPr>
                      <w:rFonts w:ascii="Times New Roman" w:hAnsi="Times New Roman" w:eastAsia="宋体"/>
                      <w:color w:val="auto"/>
                      <w:kern w:val="2"/>
                      <w:sz w:val="21"/>
                      <w:szCs w:val="21"/>
                      <w:u w:val="single"/>
                      <w:lang w:eastAsia="zh-CN"/>
                    </w:rPr>
                    <w:t>是</w:t>
                  </w:r>
                </w:p>
              </w:tc>
            </w:tr>
            <w:tr w14:paraId="4BE77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86" w:type="pct"/>
                  <w:tcBorders>
                    <w:tl2br w:val="nil"/>
                    <w:tr2bl w:val="nil"/>
                  </w:tcBorders>
                  <w:noWrap w:val="0"/>
                  <w:vAlign w:val="center"/>
                </w:tcPr>
                <w:p w14:paraId="4B261EC3">
                  <w:pPr>
                    <w:pStyle w:val="105"/>
                    <w:overflowPunct w:val="0"/>
                    <w:adjustRightInd w:val="0"/>
                    <w:snapToGrid w:val="0"/>
                    <w:jc w:val="both"/>
                    <w:rPr>
                      <w:rFonts w:ascii="Times New Roman" w:hAnsi="Times New Roman" w:eastAsia="宋体"/>
                      <w:color w:val="auto"/>
                      <w:kern w:val="2"/>
                      <w:sz w:val="21"/>
                      <w:szCs w:val="21"/>
                      <w:u w:val="single"/>
                      <w:lang w:eastAsia="zh-CN"/>
                    </w:rPr>
                  </w:pPr>
                  <w:r>
                    <w:rPr>
                      <w:rFonts w:ascii="Times New Roman" w:hAnsi="Times New Roman" w:eastAsia="宋体"/>
                      <w:color w:val="auto"/>
                      <w:kern w:val="2"/>
                      <w:sz w:val="21"/>
                      <w:szCs w:val="21"/>
                      <w:u w:val="single"/>
                      <w:lang w:eastAsia="zh-CN"/>
                    </w:rPr>
                    <w:t>2.无组织排放控制要求。严格控制工业炉窑生产过程及相关物料储存、输送等无组织排放，在保障生产安全的前提下，</w:t>
                  </w:r>
                  <w:r>
                    <w:rPr>
                      <w:rFonts w:hint="eastAsia" w:ascii="Times New Roman" w:hAnsi="Times New Roman"/>
                      <w:color w:val="auto"/>
                      <w:kern w:val="2"/>
                      <w:sz w:val="21"/>
                      <w:szCs w:val="21"/>
                      <w:u w:val="single"/>
                      <w:lang w:eastAsia="zh-CN"/>
                    </w:rPr>
                    <w:t>采取</w:t>
                  </w:r>
                  <w:r>
                    <w:rPr>
                      <w:rFonts w:ascii="Times New Roman" w:hAnsi="Times New Roman" w:eastAsia="宋体"/>
                      <w:color w:val="auto"/>
                      <w:kern w:val="2"/>
                      <w:sz w:val="21"/>
                      <w:szCs w:val="21"/>
                      <w:u w:val="single"/>
                      <w:lang w:eastAsia="zh-CN"/>
                    </w:rPr>
                    <w:t>密闭、封闭等有效措施，有效提高废气收集率，产尘点及车间不得有可见烟粉尘外逸。生产工艺产尘点（装置）应</w:t>
                  </w:r>
                  <w:r>
                    <w:rPr>
                      <w:rFonts w:hint="eastAsia" w:ascii="Times New Roman" w:hAnsi="Times New Roman"/>
                      <w:color w:val="auto"/>
                      <w:kern w:val="2"/>
                      <w:sz w:val="21"/>
                      <w:szCs w:val="21"/>
                      <w:u w:val="single"/>
                      <w:lang w:eastAsia="zh-CN"/>
                    </w:rPr>
                    <w:t>采取</w:t>
                  </w:r>
                  <w:r>
                    <w:rPr>
                      <w:rFonts w:ascii="Times New Roman" w:hAnsi="Times New Roman" w:eastAsia="宋体"/>
                      <w:color w:val="auto"/>
                      <w:kern w:val="2"/>
                      <w:sz w:val="21"/>
                      <w:szCs w:val="21"/>
                      <w:u w:val="single"/>
                      <w:lang w:eastAsia="zh-CN"/>
                    </w:rPr>
                    <w:t>密闭、封闭或设置集气罩等措施。煤粉、粉煤灰、石灰、除尘灰、脱硫灰等粉状物料应密闭或封闭储存，</w:t>
                  </w:r>
                  <w:r>
                    <w:rPr>
                      <w:rFonts w:hint="eastAsia" w:ascii="Times New Roman" w:hAnsi="Times New Roman"/>
                      <w:color w:val="auto"/>
                      <w:kern w:val="2"/>
                      <w:sz w:val="21"/>
                      <w:szCs w:val="21"/>
                      <w:u w:val="single"/>
                      <w:lang w:eastAsia="zh-CN"/>
                    </w:rPr>
                    <w:t>采用</w:t>
                  </w:r>
                  <w:r>
                    <w:rPr>
                      <w:rFonts w:ascii="Times New Roman" w:hAnsi="Times New Roman" w:eastAsia="宋体"/>
                      <w:color w:val="auto"/>
                      <w:kern w:val="2"/>
                      <w:sz w:val="21"/>
                      <w:szCs w:val="21"/>
                      <w:u w:val="single"/>
                      <w:lang w:eastAsia="zh-CN"/>
                    </w:rPr>
                    <w:t>密闭皮带、封闭通廊、管状带式输送机或密闭车厢、真空罐车、气力输送等方式输送。粒状、块状物料应</w:t>
                  </w:r>
                  <w:r>
                    <w:rPr>
                      <w:rFonts w:hint="eastAsia" w:ascii="Times New Roman" w:hAnsi="Times New Roman"/>
                      <w:color w:val="auto"/>
                      <w:kern w:val="2"/>
                      <w:sz w:val="21"/>
                      <w:szCs w:val="21"/>
                      <w:u w:val="single"/>
                      <w:lang w:eastAsia="zh-CN"/>
                    </w:rPr>
                    <w:t>采用</w:t>
                  </w:r>
                  <w:r>
                    <w:rPr>
                      <w:rFonts w:ascii="Times New Roman" w:hAnsi="Times New Roman" w:eastAsia="宋体"/>
                      <w:color w:val="auto"/>
                      <w:kern w:val="2"/>
                      <w:sz w:val="21"/>
                      <w:szCs w:val="21"/>
                      <w:u w:val="single"/>
                      <w:lang w:eastAsia="zh-CN"/>
                    </w:rPr>
                    <w:t>入棚入仓或建设防风抑尘网等方式进行储存，粒状物料</w:t>
                  </w:r>
                  <w:r>
                    <w:rPr>
                      <w:rFonts w:hint="eastAsia" w:ascii="Times New Roman" w:hAnsi="Times New Roman"/>
                      <w:color w:val="auto"/>
                      <w:kern w:val="2"/>
                      <w:sz w:val="21"/>
                      <w:szCs w:val="21"/>
                      <w:u w:val="single"/>
                      <w:lang w:eastAsia="zh-CN"/>
                    </w:rPr>
                    <w:t>采</w:t>
                  </w:r>
                  <w:r>
                    <w:rPr>
                      <w:rFonts w:ascii="Times New Roman" w:hAnsi="Times New Roman" w:eastAsia="宋体"/>
                      <w:color w:val="auto"/>
                      <w:kern w:val="2"/>
                      <w:sz w:val="21"/>
                      <w:szCs w:val="21"/>
                      <w:u w:val="single"/>
                      <w:lang w:eastAsia="zh-CN"/>
                    </w:rPr>
                    <w:t>用密闭、封闭等方式输送。物料输送过程中产尘点应采取有效抑尘措施（工业炉窑分行业主要大气污染物无组织排放浓度限值见附件2）。</w:t>
                  </w:r>
                </w:p>
              </w:tc>
              <w:tc>
                <w:tcPr>
                  <w:tcW w:w="1395" w:type="pct"/>
                  <w:tcBorders>
                    <w:tl2br w:val="nil"/>
                    <w:tr2bl w:val="nil"/>
                  </w:tcBorders>
                  <w:noWrap w:val="0"/>
                  <w:vAlign w:val="center"/>
                </w:tcPr>
                <w:p w14:paraId="71038E13">
                  <w:pPr>
                    <w:pStyle w:val="105"/>
                    <w:overflowPunct w:val="0"/>
                    <w:adjustRightInd w:val="0"/>
                    <w:snapToGrid w:val="0"/>
                    <w:jc w:val="both"/>
                    <w:rPr>
                      <w:rFonts w:ascii="Times New Roman" w:hAnsi="Times New Roman" w:eastAsia="宋体"/>
                      <w:color w:val="auto"/>
                      <w:kern w:val="2"/>
                      <w:sz w:val="21"/>
                      <w:szCs w:val="21"/>
                      <w:u w:val="single"/>
                      <w:lang w:eastAsia="zh-CN"/>
                    </w:rPr>
                  </w:pPr>
                  <w:r>
                    <w:rPr>
                      <w:rFonts w:ascii="Times New Roman" w:hAnsi="Times New Roman" w:eastAsia="宋体"/>
                      <w:color w:val="auto"/>
                      <w:kern w:val="2"/>
                      <w:sz w:val="21"/>
                      <w:szCs w:val="21"/>
                      <w:u w:val="single"/>
                      <w:lang w:eastAsia="zh-CN"/>
                    </w:rPr>
                    <w:t>本项目使用的炉窑为</w:t>
                  </w:r>
                  <w:r>
                    <w:rPr>
                      <w:rFonts w:hint="eastAsia" w:ascii="Times New Roman" w:hAnsi="Times New Roman"/>
                      <w:color w:val="auto"/>
                      <w:kern w:val="2"/>
                      <w:sz w:val="21"/>
                      <w:szCs w:val="21"/>
                      <w:u w:val="single"/>
                      <w:lang w:eastAsia="zh-CN"/>
                    </w:rPr>
                    <w:t>热风炉</w:t>
                  </w:r>
                  <w:r>
                    <w:rPr>
                      <w:rFonts w:ascii="Times New Roman" w:hAnsi="Times New Roman" w:eastAsia="宋体"/>
                      <w:color w:val="auto"/>
                      <w:kern w:val="2"/>
                      <w:sz w:val="21"/>
                      <w:szCs w:val="21"/>
                      <w:u w:val="single"/>
                      <w:lang w:eastAsia="zh-CN"/>
                    </w:rPr>
                    <w:t>，为封闭式。粉状物料均采取密闭贮存，</w:t>
                  </w:r>
                  <w:r>
                    <w:rPr>
                      <w:rFonts w:hint="eastAsia" w:ascii="Times New Roman" w:hAnsi="Times New Roman"/>
                      <w:color w:val="auto"/>
                      <w:kern w:val="2"/>
                      <w:sz w:val="21"/>
                      <w:szCs w:val="21"/>
                      <w:u w:val="single"/>
                      <w:lang w:eastAsia="zh-CN"/>
                    </w:rPr>
                    <w:t>采用</w:t>
                  </w:r>
                  <w:r>
                    <w:rPr>
                      <w:rFonts w:ascii="Times New Roman" w:hAnsi="Times New Roman" w:eastAsia="宋体"/>
                      <w:color w:val="auto"/>
                      <w:kern w:val="2"/>
                      <w:sz w:val="21"/>
                      <w:szCs w:val="21"/>
                      <w:u w:val="single"/>
                      <w:lang w:eastAsia="zh-CN"/>
                    </w:rPr>
                    <w:t>密闭皮带、气力输送的方式输送。原料及燃煤均在封闭式贮存场所内贮存。</w:t>
                  </w:r>
                </w:p>
              </w:tc>
              <w:tc>
                <w:tcPr>
                  <w:tcW w:w="418" w:type="pct"/>
                  <w:tcBorders>
                    <w:tl2br w:val="nil"/>
                    <w:tr2bl w:val="nil"/>
                  </w:tcBorders>
                  <w:noWrap w:val="0"/>
                  <w:vAlign w:val="center"/>
                </w:tcPr>
                <w:p w14:paraId="01E22308">
                  <w:pPr>
                    <w:pStyle w:val="105"/>
                    <w:overflowPunct w:val="0"/>
                    <w:adjustRightInd w:val="0"/>
                    <w:snapToGrid w:val="0"/>
                    <w:jc w:val="center"/>
                    <w:rPr>
                      <w:rFonts w:ascii="Times New Roman" w:hAnsi="Times New Roman" w:eastAsia="宋体"/>
                      <w:color w:val="auto"/>
                      <w:kern w:val="2"/>
                      <w:sz w:val="21"/>
                      <w:szCs w:val="21"/>
                      <w:u w:val="single"/>
                      <w:lang w:eastAsia="zh-CN"/>
                    </w:rPr>
                  </w:pPr>
                  <w:r>
                    <w:rPr>
                      <w:rFonts w:ascii="Times New Roman" w:hAnsi="Times New Roman" w:eastAsia="宋体"/>
                      <w:color w:val="auto"/>
                      <w:kern w:val="2"/>
                      <w:sz w:val="21"/>
                      <w:szCs w:val="21"/>
                      <w:u w:val="single"/>
                      <w:lang w:eastAsia="zh-CN"/>
                    </w:rPr>
                    <w:t>是</w:t>
                  </w:r>
                </w:p>
              </w:tc>
            </w:tr>
          </w:tbl>
          <w:p w14:paraId="42769601">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left="0" w:leftChars="0" w:firstLine="480" w:firstLineChars="200"/>
              <w:jc w:val="left"/>
              <w:textAlignment w:val="auto"/>
              <w:rPr>
                <w:rFonts w:hint="eastAsia" w:cs="Times New Roman"/>
                <w:b/>
                <w:bCs/>
                <w:color w:val="auto"/>
                <w:kern w:val="0"/>
                <w:sz w:val="24"/>
                <w:szCs w:val="24"/>
                <w:u w:val="single"/>
                <w:lang w:eastAsia="zh-CN"/>
              </w:rPr>
            </w:pPr>
            <w:r>
              <w:rPr>
                <w:color w:val="auto"/>
                <w:kern w:val="0"/>
                <w:sz w:val="24"/>
                <w:szCs w:val="24"/>
                <w:u w:val="single"/>
              </w:rPr>
              <w:t>通过上表分析，项目符合《湖南省工业炉窑大气污染综合治理实施方案》中相关规定要求。</w:t>
            </w:r>
          </w:p>
          <w:p w14:paraId="5EAF5B33">
            <w:pPr>
              <w:widowControl/>
              <w:autoSpaceDE w:val="0"/>
              <w:autoSpaceDN w:val="0"/>
              <w:adjustRightInd w:val="0"/>
              <w:snapToGrid w:val="0"/>
              <w:spacing w:after="240" w:afterLines="100" w:line="500" w:lineRule="exact"/>
              <w:ind w:firstLine="482" w:firstLineChars="200"/>
              <w:rPr>
                <w:b/>
                <w:bCs/>
                <w:color w:val="auto"/>
                <w:sz w:val="24"/>
                <w:szCs w:val="32"/>
                <w:u w:val="single"/>
              </w:rPr>
            </w:pPr>
            <w:r>
              <w:rPr>
                <w:b/>
                <w:bCs/>
                <w:color w:val="auto"/>
                <w:sz w:val="24"/>
                <w:szCs w:val="32"/>
                <w:u w:val="single"/>
              </w:rPr>
              <w:t>（</w:t>
            </w:r>
            <w:r>
              <w:rPr>
                <w:rFonts w:hint="eastAsia"/>
                <w:b/>
                <w:bCs/>
                <w:color w:val="auto"/>
                <w:sz w:val="24"/>
                <w:szCs w:val="32"/>
                <w:u w:val="single"/>
                <w:lang w:val="en-US" w:eastAsia="zh-CN"/>
              </w:rPr>
              <w:t>4</w:t>
            </w:r>
            <w:r>
              <w:rPr>
                <w:b/>
                <w:bCs/>
                <w:color w:val="auto"/>
                <w:sz w:val="24"/>
                <w:szCs w:val="32"/>
                <w:u w:val="single"/>
              </w:rPr>
              <w:t>）项目与《长江经济带发展负面清单指南（试行，2022年版）》符合性分析</w:t>
            </w:r>
          </w:p>
          <w:p w14:paraId="7B3F805E">
            <w:pPr>
              <w:jc w:val="center"/>
              <w:rPr>
                <w:rFonts w:ascii="Times New Roman" w:hAnsi="Times New Roman" w:eastAsia="宋体" w:cs="Times New Roman"/>
                <w:b/>
                <w:bCs/>
                <w:color w:val="auto"/>
                <w:sz w:val="24"/>
                <w:szCs w:val="24"/>
                <w:u w:val="single"/>
              </w:rPr>
            </w:pPr>
            <w:r>
              <w:rPr>
                <w:rFonts w:ascii="Times New Roman" w:hAnsi="Times New Roman" w:eastAsia="宋体" w:cs="Times New Roman"/>
                <w:b/>
                <w:bCs/>
                <w:color w:val="auto"/>
                <w:sz w:val="24"/>
                <w:szCs w:val="24"/>
                <w:u w:val="single"/>
              </w:rPr>
              <w:t>表1-</w:t>
            </w:r>
            <w:r>
              <w:rPr>
                <w:rFonts w:hint="eastAsia" w:ascii="Times New Roman" w:hAnsi="Times New Roman" w:eastAsia="宋体" w:cs="Times New Roman"/>
                <w:b/>
                <w:bCs/>
                <w:color w:val="auto"/>
                <w:sz w:val="24"/>
                <w:szCs w:val="24"/>
                <w:u w:val="single"/>
                <w:lang w:val="en-US" w:eastAsia="zh-CN"/>
              </w:rPr>
              <w:t>5</w:t>
            </w:r>
            <w:r>
              <w:rPr>
                <w:rFonts w:ascii="Times New Roman" w:hAnsi="Times New Roman" w:eastAsia="宋体" w:cs="Times New Roman"/>
                <w:b/>
                <w:bCs/>
                <w:color w:val="auto"/>
                <w:sz w:val="24"/>
                <w:szCs w:val="24"/>
                <w:u w:val="single"/>
              </w:rPr>
              <w:t xml:space="preserve">  本项目与《长江经济带发展负面清单指南（试行，2022年版）》符合性分析</w:t>
            </w:r>
          </w:p>
          <w:tbl>
            <w:tblPr>
              <w:tblStyle w:val="32"/>
              <w:tblW w:w="6587" w:type="dxa"/>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2391"/>
              <w:gridCol w:w="684"/>
            </w:tblGrid>
            <w:tr w14:paraId="6AA14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665" w:type="pct"/>
                  <w:tcBorders>
                    <w:tl2br w:val="nil"/>
                    <w:tr2bl w:val="nil"/>
                  </w:tcBorders>
                  <w:noWrap w:val="0"/>
                  <w:vAlign w:val="center"/>
                </w:tcPr>
                <w:p w14:paraId="34CACF43">
                  <w:pPr>
                    <w:widowControl/>
                    <w:jc w:val="center"/>
                    <w:rPr>
                      <w:b/>
                      <w:color w:val="auto"/>
                      <w:kern w:val="0"/>
                      <w:szCs w:val="21"/>
                      <w:u w:val="single"/>
                    </w:rPr>
                  </w:pPr>
                  <w:r>
                    <w:rPr>
                      <w:b/>
                      <w:color w:val="auto"/>
                      <w:kern w:val="0"/>
                      <w:szCs w:val="21"/>
                      <w:u w:val="single"/>
                    </w:rPr>
                    <w:t>指南要求</w:t>
                  </w:r>
                </w:p>
              </w:tc>
              <w:tc>
                <w:tcPr>
                  <w:tcW w:w="1814" w:type="pct"/>
                  <w:tcBorders>
                    <w:tl2br w:val="nil"/>
                    <w:tr2bl w:val="nil"/>
                  </w:tcBorders>
                  <w:noWrap w:val="0"/>
                  <w:vAlign w:val="center"/>
                </w:tcPr>
                <w:p w14:paraId="1B37689E">
                  <w:pPr>
                    <w:widowControl/>
                    <w:jc w:val="center"/>
                    <w:rPr>
                      <w:b/>
                      <w:color w:val="auto"/>
                      <w:kern w:val="0"/>
                      <w:szCs w:val="21"/>
                      <w:u w:val="single"/>
                    </w:rPr>
                  </w:pPr>
                  <w:r>
                    <w:rPr>
                      <w:b/>
                      <w:color w:val="auto"/>
                      <w:kern w:val="0"/>
                      <w:szCs w:val="21"/>
                      <w:u w:val="single"/>
                    </w:rPr>
                    <w:t>本项目情况</w:t>
                  </w:r>
                </w:p>
              </w:tc>
              <w:tc>
                <w:tcPr>
                  <w:tcW w:w="519" w:type="pct"/>
                  <w:tcBorders>
                    <w:tl2br w:val="nil"/>
                    <w:tr2bl w:val="nil"/>
                  </w:tcBorders>
                  <w:noWrap w:val="0"/>
                  <w:vAlign w:val="center"/>
                </w:tcPr>
                <w:p w14:paraId="4BF8BDEA">
                  <w:pPr>
                    <w:widowControl/>
                    <w:jc w:val="center"/>
                    <w:rPr>
                      <w:b/>
                      <w:color w:val="auto"/>
                      <w:kern w:val="0"/>
                      <w:szCs w:val="21"/>
                      <w:u w:val="single"/>
                    </w:rPr>
                  </w:pPr>
                  <w:r>
                    <w:rPr>
                      <w:b/>
                      <w:color w:val="auto"/>
                      <w:kern w:val="0"/>
                      <w:szCs w:val="21"/>
                      <w:u w:val="single"/>
                    </w:rPr>
                    <w:t>是否符合</w:t>
                  </w:r>
                </w:p>
              </w:tc>
            </w:tr>
            <w:tr w14:paraId="18C0B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5" w:type="pct"/>
                  <w:tcBorders>
                    <w:tl2br w:val="nil"/>
                    <w:tr2bl w:val="nil"/>
                  </w:tcBorders>
                  <w:noWrap w:val="0"/>
                  <w:vAlign w:val="center"/>
                </w:tcPr>
                <w:p w14:paraId="6709BCDE">
                  <w:pPr>
                    <w:widowControl/>
                    <w:ind w:firstLine="420" w:firstLineChars="200"/>
                    <w:rPr>
                      <w:color w:val="auto"/>
                      <w:kern w:val="0"/>
                      <w:szCs w:val="21"/>
                      <w:u w:val="single"/>
                    </w:rPr>
                  </w:pPr>
                  <w:r>
                    <w:rPr>
                      <w:color w:val="auto"/>
                      <w:kern w:val="0"/>
                      <w:szCs w:val="21"/>
                      <w:u w:val="single"/>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814" w:type="pct"/>
                  <w:tcBorders>
                    <w:tl2br w:val="nil"/>
                    <w:tr2bl w:val="nil"/>
                  </w:tcBorders>
                  <w:noWrap w:val="0"/>
                  <w:vAlign w:val="center"/>
                </w:tcPr>
                <w:p w14:paraId="7F2DAB8F">
                  <w:pPr>
                    <w:widowControl/>
                    <w:jc w:val="center"/>
                    <w:rPr>
                      <w:color w:val="auto"/>
                      <w:kern w:val="0"/>
                      <w:szCs w:val="21"/>
                      <w:u w:val="single"/>
                    </w:rPr>
                  </w:pPr>
                  <w:r>
                    <w:rPr>
                      <w:color w:val="auto"/>
                      <w:kern w:val="0"/>
                      <w:szCs w:val="21"/>
                      <w:u w:val="single"/>
                    </w:rPr>
                    <w:t>不涉及</w:t>
                  </w:r>
                </w:p>
              </w:tc>
              <w:tc>
                <w:tcPr>
                  <w:tcW w:w="519" w:type="pct"/>
                  <w:tcBorders>
                    <w:tl2br w:val="nil"/>
                    <w:tr2bl w:val="nil"/>
                  </w:tcBorders>
                  <w:noWrap w:val="0"/>
                  <w:vAlign w:val="center"/>
                </w:tcPr>
                <w:p w14:paraId="1E6AC878">
                  <w:pPr>
                    <w:widowControl/>
                    <w:jc w:val="center"/>
                    <w:rPr>
                      <w:color w:val="auto"/>
                      <w:kern w:val="0"/>
                      <w:szCs w:val="21"/>
                      <w:u w:val="single"/>
                    </w:rPr>
                  </w:pPr>
                  <w:r>
                    <w:rPr>
                      <w:color w:val="auto"/>
                      <w:kern w:val="0"/>
                      <w:szCs w:val="21"/>
                      <w:u w:val="single"/>
                    </w:rPr>
                    <w:t>/</w:t>
                  </w:r>
                </w:p>
              </w:tc>
            </w:tr>
            <w:tr w14:paraId="520AF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5" w:type="pct"/>
                  <w:tcBorders>
                    <w:tl2br w:val="nil"/>
                    <w:tr2bl w:val="nil"/>
                  </w:tcBorders>
                  <w:noWrap w:val="0"/>
                  <w:vAlign w:val="center"/>
                </w:tcPr>
                <w:p w14:paraId="7BF75E34">
                  <w:pPr>
                    <w:widowControl/>
                    <w:ind w:firstLine="420" w:firstLineChars="200"/>
                    <w:rPr>
                      <w:color w:val="auto"/>
                      <w:kern w:val="0"/>
                      <w:szCs w:val="21"/>
                      <w:u w:val="single"/>
                    </w:rPr>
                  </w:pPr>
                  <w:r>
                    <w:rPr>
                      <w:color w:val="auto"/>
                      <w:kern w:val="0"/>
                      <w:szCs w:val="21"/>
                      <w:u w:val="single"/>
                    </w:rPr>
                    <w:t>禁止在合规园区外新建、扩建钢铁、石化、化工、焦化、建材、有色、制浆造纸等高污染项目。</w:t>
                  </w:r>
                </w:p>
              </w:tc>
              <w:tc>
                <w:tcPr>
                  <w:tcW w:w="1814" w:type="pct"/>
                  <w:tcBorders>
                    <w:tl2br w:val="nil"/>
                    <w:tr2bl w:val="nil"/>
                  </w:tcBorders>
                  <w:noWrap w:val="0"/>
                  <w:vAlign w:val="center"/>
                </w:tcPr>
                <w:p w14:paraId="308EE750">
                  <w:pPr>
                    <w:widowControl/>
                    <w:jc w:val="center"/>
                    <w:rPr>
                      <w:rFonts w:hint="default" w:eastAsia="宋体"/>
                      <w:color w:val="auto"/>
                      <w:kern w:val="0"/>
                      <w:szCs w:val="21"/>
                      <w:u w:val="single"/>
                      <w:lang w:val="en-US" w:eastAsia="zh-CN"/>
                    </w:rPr>
                  </w:pPr>
                  <w:r>
                    <w:rPr>
                      <w:color w:val="auto"/>
                      <w:kern w:val="0"/>
                      <w:szCs w:val="21"/>
                      <w:u w:val="single"/>
                    </w:rPr>
                    <w:t>本项目</w:t>
                  </w:r>
                  <w:r>
                    <w:rPr>
                      <w:rFonts w:hint="eastAsia"/>
                      <w:color w:val="auto"/>
                      <w:kern w:val="0"/>
                      <w:szCs w:val="21"/>
                      <w:u w:val="single"/>
                      <w:lang w:val="en-US" w:eastAsia="zh-CN"/>
                    </w:rPr>
                    <w:t>不属于高污染项目</w:t>
                  </w:r>
                </w:p>
              </w:tc>
              <w:tc>
                <w:tcPr>
                  <w:tcW w:w="519" w:type="pct"/>
                  <w:tcBorders>
                    <w:tl2br w:val="nil"/>
                    <w:tr2bl w:val="nil"/>
                  </w:tcBorders>
                  <w:noWrap w:val="0"/>
                  <w:vAlign w:val="center"/>
                </w:tcPr>
                <w:p w14:paraId="7022793A">
                  <w:pPr>
                    <w:widowControl/>
                    <w:jc w:val="center"/>
                    <w:rPr>
                      <w:color w:val="auto"/>
                      <w:kern w:val="0"/>
                      <w:szCs w:val="21"/>
                      <w:u w:val="single"/>
                    </w:rPr>
                  </w:pPr>
                  <w:r>
                    <w:rPr>
                      <w:color w:val="auto"/>
                      <w:kern w:val="0"/>
                      <w:szCs w:val="21"/>
                      <w:u w:val="single"/>
                    </w:rPr>
                    <w:t>符合</w:t>
                  </w:r>
                </w:p>
              </w:tc>
            </w:tr>
            <w:tr w14:paraId="1BA8B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5" w:type="pct"/>
                  <w:tcBorders>
                    <w:tl2br w:val="nil"/>
                    <w:tr2bl w:val="nil"/>
                  </w:tcBorders>
                  <w:noWrap w:val="0"/>
                  <w:vAlign w:val="center"/>
                </w:tcPr>
                <w:p w14:paraId="3DE96826">
                  <w:pPr>
                    <w:widowControl/>
                    <w:ind w:firstLine="420" w:firstLineChars="200"/>
                    <w:rPr>
                      <w:color w:val="auto"/>
                      <w:kern w:val="0"/>
                      <w:szCs w:val="21"/>
                      <w:u w:val="single"/>
                    </w:rPr>
                  </w:pPr>
                  <w:r>
                    <w:rPr>
                      <w:color w:val="auto"/>
                      <w:kern w:val="0"/>
                      <w:szCs w:val="21"/>
                      <w:u w:val="single"/>
                    </w:rPr>
                    <w:t>禁止新建、扩建不符合国家石化、现代煤化工等产业布局规划的项目。</w:t>
                  </w:r>
                </w:p>
              </w:tc>
              <w:tc>
                <w:tcPr>
                  <w:tcW w:w="1814" w:type="pct"/>
                  <w:tcBorders>
                    <w:tl2br w:val="nil"/>
                    <w:tr2bl w:val="nil"/>
                  </w:tcBorders>
                  <w:noWrap w:val="0"/>
                  <w:vAlign w:val="center"/>
                </w:tcPr>
                <w:p w14:paraId="6E17AD14">
                  <w:pPr>
                    <w:widowControl/>
                    <w:jc w:val="center"/>
                    <w:rPr>
                      <w:color w:val="auto"/>
                      <w:kern w:val="0"/>
                      <w:szCs w:val="21"/>
                      <w:u w:val="single"/>
                    </w:rPr>
                  </w:pPr>
                  <w:r>
                    <w:rPr>
                      <w:color w:val="auto"/>
                      <w:kern w:val="0"/>
                      <w:szCs w:val="21"/>
                      <w:u w:val="single"/>
                    </w:rPr>
                    <w:t>不涉及</w:t>
                  </w:r>
                </w:p>
              </w:tc>
              <w:tc>
                <w:tcPr>
                  <w:tcW w:w="519" w:type="pct"/>
                  <w:tcBorders>
                    <w:tl2br w:val="nil"/>
                    <w:tr2bl w:val="nil"/>
                  </w:tcBorders>
                  <w:noWrap w:val="0"/>
                  <w:vAlign w:val="center"/>
                </w:tcPr>
                <w:p w14:paraId="6942D798">
                  <w:pPr>
                    <w:widowControl/>
                    <w:jc w:val="center"/>
                    <w:rPr>
                      <w:color w:val="auto"/>
                      <w:kern w:val="0"/>
                      <w:szCs w:val="21"/>
                      <w:u w:val="single"/>
                    </w:rPr>
                  </w:pPr>
                  <w:r>
                    <w:rPr>
                      <w:color w:val="auto"/>
                      <w:kern w:val="0"/>
                      <w:szCs w:val="21"/>
                      <w:u w:val="single"/>
                    </w:rPr>
                    <w:t>/</w:t>
                  </w:r>
                </w:p>
              </w:tc>
            </w:tr>
            <w:tr w14:paraId="0AF5E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5" w:type="pct"/>
                  <w:tcBorders>
                    <w:tl2br w:val="nil"/>
                    <w:tr2bl w:val="nil"/>
                  </w:tcBorders>
                  <w:noWrap w:val="0"/>
                  <w:vAlign w:val="center"/>
                </w:tcPr>
                <w:p w14:paraId="04F3F213">
                  <w:pPr>
                    <w:widowControl/>
                    <w:ind w:firstLine="420" w:firstLineChars="200"/>
                    <w:rPr>
                      <w:color w:val="auto"/>
                      <w:kern w:val="0"/>
                      <w:szCs w:val="21"/>
                      <w:u w:val="single"/>
                    </w:rPr>
                  </w:pPr>
                  <w:r>
                    <w:rPr>
                      <w:color w:val="auto"/>
                      <w:kern w:val="0"/>
                      <w:szCs w:val="21"/>
                      <w:u w:val="single"/>
                    </w:rPr>
                    <w:t>禁止新建、扩建法律法规和相关政策明令禁止的落后产能项目。禁止新建、扩建不符合国家产能置换要求的严重过剩产能行业的项目。禁止新建、扩建不符合要求的高耗能高排放项目。</w:t>
                  </w:r>
                </w:p>
              </w:tc>
              <w:tc>
                <w:tcPr>
                  <w:tcW w:w="1814" w:type="pct"/>
                  <w:tcBorders>
                    <w:tl2br w:val="nil"/>
                    <w:tr2bl w:val="nil"/>
                  </w:tcBorders>
                  <w:noWrap w:val="0"/>
                  <w:vAlign w:val="center"/>
                </w:tcPr>
                <w:p w14:paraId="6811A1CC">
                  <w:pPr>
                    <w:widowControl/>
                    <w:rPr>
                      <w:color w:val="auto"/>
                      <w:kern w:val="0"/>
                      <w:szCs w:val="21"/>
                      <w:u w:val="single"/>
                    </w:rPr>
                  </w:pPr>
                  <w:r>
                    <w:rPr>
                      <w:color w:val="auto"/>
                      <w:kern w:val="0"/>
                      <w:szCs w:val="21"/>
                      <w:u w:val="single"/>
                    </w:rPr>
                    <w:t>本项目不属于《产业结构调整指导目录（2024年本）》中鼓励类、限制类、淘汰类项目，属于允许类。</w:t>
                  </w:r>
                </w:p>
              </w:tc>
              <w:tc>
                <w:tcPr>
                  <w:tcW w:w="519" w:type="pct"/>
                  <w:tcBorders>
                    <w:tl2br w:val="nil"/>
                    <w:tr2bl w:val="nil"/>
                  </w:tcBorders>
                  <w:noWrap w:val="0"/>
                  <w:vAlign w:val="center"/>
                </w:tcPr>
                <w:p w14:paraId="40521DF4">
                  <w:pPr>
                    <w:widowControl/>
                    <w:jc w:val="center"/>
                    <w:rPr>
                      <w:color w:val="auto"/>
                      <w:kern w:val="0"/>
                      <w:szCs w:val="21"/>
                      <w:u w:val="single"/>
                    </w:rPr>
                  </w:pPr>
                  <w:r>
                    <w:rPr>
                      <w:color w:val="auto"/>
                      <w:kern w:val="0"/>
                      <w:szCs w:val="21"/>
                      <w:u w:val="single"/>
                    </w:rPr>
                    <w:t>符合</w:t>
                  </w:r>
                </w:p>
              </w:tc>
            </w:tr>
            <w:tr w14:paraId="7CF97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5" w:type="pct"/>
                  <w:tcBorders>
                    <w:tl2br w:val="nil"/>
                    <w:tr2bl w:val="nil"/>
                  </w:tcBorders>
                  <w:noWrap w:val="0"/>
                  <w:vAlign w:val="center"/>
                </w:tcPr>
                <w:p w14:paraId="49CEA88C">
                  <w:pPr>
                    <w:widowControl/>
                    <w:ind w:firstLine="420" w:firstLineChars="200"/>
                    <w:rPr>
                      <w:color w:val="auto"/>
                      <w:kern w:val="0"/>
                      <w:szCs w:val="21"/>
                      <w:u w:val="single"/>
                    </w:rPr>
                  </w:pPr>
                  <w:r>
                    <w:rPr>
                      <w:color w:val="auto"/>
                      <w:kern w:val="0"/>
                      <w:szCs w:val="21"/>
                      <w:u w:val="single"/>
                    </w:rPr>
                    <w:t>法律法规及相关政策文件有更加严格规定的从其规定。</w:t>
                  </w:r>
                </w:p>
              </w:tc>
              <w:tc>
                <w:tcPr>
                  <w:tcW w:w="1814" w:type="pct"/>
                  <w:tcBorders>
                    <w:tl2br w:val="nil"/>
                    <w:tr2bl w:val="nil"/>
                  </w:tcBorders>
                  <w:noWrap w:val="0"/>
                  <w:vAlign w:val="center"/>
                </w:tcPr>
                <w:p w14:paraId="05A8879E">
                  <w:pPr>
                    <w:widowControl/>
                    <w:ind w:firstLine="420" w:firstLineChars="200"/>
                    <w:rPr>
                      <w:color w:val="auto"/>
                      <w:kern w:val="0"/>
                      <w:szCs w:val="21"/>
                      <w:u w:val="single"/>
                    </w:rPr>
                  </w:pPr>
                  <w:r>
                    <w:rPr>
                      <w:color w:val="auto"/>
                      <w:kern w:val="0"/>
                      <w:szCs w:val="21"/>
                      <w:u w:val="single"/>
                    </w:rPr>
                    <w:t>本项目建设符合国家法律法规及相关政策。</w:t>
                  </w:r>
                </w:p>
              </w:tc>
              <w:tc>
                <w:tcPr>
                  <w:tcW w:w="519" w:type="pct"/>
                  <w:tcBorders>
                    <w:tl2br w:val="nil"/>
                    <w:tr2bl w:val="nil"/>
                  </w:tcBorders>
                  <w:noWrap w:val="0"/>
                  <w:vAlign w:val="center"/>
                </w:tcPr>
                <w:p w14:paraId="38906868">
                  <w:pPr>
                    <w:widowControl/>
                    <w:jc w:val="center"/>
                    <w:rPr>
                      <w:color w:val="auto"/>
                      <w:kern w:val="0"/>
                      <w:szCs w:val="21"/>
                      <w:u w:val="single"/>
                    </w:rPr>
                  </w:pPr>
                  <w:r>
                    <w:rPr>
                      <w:color w:val="auto"/>
                      <w:kern w:val="0"/>
                      <w:szCs w:val="21"/>
                      <w:u w:val="single"/>
                    </w:rPr>
                    <w:t>符合</w:t>
                  </w:r>
                </w:p>
              </w:tc>
            </w:tr>
          </w:tbl>
          <w:p w14:paraId="68A36204">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left="0" w:leftChars="0" w:firstLine="480" w:firstLineChars="200"/>
              <w:jc w:val="left"/>
              <w:textAlignment w:val="auto"/>
              <w:rPr>
                <w:rFonts w:hint="eastAsia" w:ascii="Times New Roman" w:hAnsi="Times New Roman" w:eastAsia="宋体" w:cs="Times New Roman"/>
                <w:color w:val="auto"/>
                <w:kern w:val="0"/>
                <w:sz w:val="24"/>
                <w:szCs w:val="24"/>
                <w:u w:val="single"/>
                <w:lang w:eastAsia="zh-CN"/>
              </w:rPr>
            </w:pPr>
            <w:r>
              <w:rPr>
                <w:rFonts w:ascii="Times New Roman" w:hAnsi="Times New Roman" w:eastAsia="宋体" w:cs="Times New Roman"/>
                <w:color w:val="auto"/>
                <w:kern w:val="0"/>
                <w:sz w:val="24"/>
                <w:szCs w:val="24"/>
                <w:u w:val="single"/>
              </w:rPr>
              <w:t>通过上表分析，项目基本符合《长江经济带发展负面清单指南（试行，2022年版）》的相关要求。</w:t>
            </w:r>
          </w:p>
          <w:p w14:paraId="6301D61D">
            <w:pPr>
              <w:widowControl/>
              <w:numPr>
                <w:ilvl w:val="0"/>
                <w:numId w:val="0"/>
              </w:numPr>
              <w:spacing w:line="360" w:lineRule="auto"/>
              <w:ind w:left="420" w:leftChars="0"/>
              <w:jc w:val="left"/>
              <w:rPr>
                <w:rFonts w:hint="default" w:ascii="Times New Roman" w:hAnsi="Times New Roman" w:cs="Times New Roman"/>
                <w:b/>
                <w:bCs/>
                <w:color w:val="auto"/>
                <w:kern w:val="0"/>
                <w:sz w:val="24"/>
                <w:u w:val="none"/>
              </w:rPr>
            </w:pPr>
            <w:r>
              <w:rPr>
                <w:rFonts w:hint="eastAsia" w:ascii="Times New Roman" w:hAnsi="Times New Roman" w:cs="Times New Roman"/>
                <w:b/>
                <w:bCs/>
                <w:color w:val="auto"/>
                <w:kern w:val="0"/>
                <w:sz w:val="24"/>
                <w:u w:val="none"/>
                <w:lang w:val="en-US" w:eastAsia="zh-CN"/>
              </w:rPr>
              <w:t>5</w:t>
            </w:r>
            <w:r>
              <w:rPr>
                <w:rFonts w:hint="eastAsia" w:cs="Times New Roman"/>
                <w:b/>
                <w:bCs/>
                <w:color w:val="auto"/>
                <w:kern w:val="0"/>
                <w:sz w:val="24"/>
                <w:u w:val="none"/>
                <w:lang w:eastAsia="zh-CN"/>
              </w:rPr>
              <w:t>、</w:t>
            </w:r>
            <w:r>
              <w:rPr>
                <w:rFonts w:hint="default" w:ascii="Times New Roman" w:hAnsi="Times New Roman" w:cs="Times New Roman"/>
                <w:b/>
                <w:bCs/>
                <w:color w:val="auto"/>
                <w:kern w:val="0"/>
                <w:sz w:val="24"/>
                <w:u w:val="none"/>
                <w:lang w:eastAsia="zh-CN"/>
              </w:rPr>
              <w:t>选址</w:t>
            </w:r>
            <w:r>
              <w:rPr>
                <w:rFonts w:hint="eastAsia" w:ascii="Times New Roman" w:hAnsi="Times New Roman" w:cs="Times New Roman"/>
                <w:b/>
                <w:bCs/>
                <w:color w:val="auto"/>
                <w:kern w:val="0"/>
                <w:sz w:val="24"/>
                <w:u w:val="none"/>
                <w:lang w:eastAsia="zh-CN"/>
              </w:rPr>
              <w:t>合理性</w:t>
            </w:r>
            <w:r>
              <w:rPr>
                <w:rFonts w:hint="default" w:ascii="Times New Roman" w:hAnsi="Times New Roman" w:cs="Times New Roman"/>
                <w:b/>
                <w:bCs/>
                <w:color w:val="auto"/>
                <w:kern w:val="0"/>
                <w:sz w:val="24"/>
                <w:u w:val="none"/>
              </w:rPr>
              <w:t>分析</w:t>
            </w:r>
          </w:p>
          <w:p w14:paraId="02D0CAC4">
            <w:pPr>
              <w:widowControl/>
              <w:spacing w:line="360" w:lineRule="auto"/>
              <w:ind w:firstLine="480" w:firstLineChars="200"/>
              <w:jc w:val="left"/>
              <w:rPr>
                <w:rFonts w:hint="default" w:ascii="Times New Roman" w:hAnsi="Times New Roman" w:cs="Times New Roman"/>
                <w:color w:val="auto"/>
                <w:sz w:val="24"/>
                <w:u w:val="none"/>
                <w:lang w:val="en-US" w:eastAsia="zh-CN"/>
              </w:rPr>
            </w:pPr>
            <w:r>
              <w:rPr>
                <w:rFonts w:hint="eastAsia" w:cs="Times New Roman"/>
                <w:color w:val="auto"/>
                <w:sz w:val="24"/>
                <w:u w:val="none"/>
                <w:lang w:eastAsia="zh-CN"/>
              </w:rPr>
              <w:t>（</w:t>
            </w:r>
            <w:r>
              <w:rPr>
                <w:rFonts w:hint="eastAsia" w:cs="Times New Roman"/>
                <w:color w:val="auto"/>
                <w:sz w:val="24"/>
                <w:u w:val="none"/>
                <w:lang w:val="en-US" w:eastAsia="zh-CN"/>
              </w:rPr>
              <w:t>1</w:t>
            </w:r>
            <w:r>
              <w:rPr>
                <w:rFonts w:hint="eastAsia" w:cs="Times New Roman"/>
                <w:color w:val="auto"/>
                <w:sz w:val="24"/>
                <w:u w:val="none"/>
                <w:lang w:eastAsia="zh-CN"/>
              </w:rPr>
              <w:t>）</w:t>
            </w:r>
            <w:r>
              <w:rPr>
                <w:rFonts w:hint="eastAsia" w:cs="Times New Roman"/>
                <w:color w:val="auto"/>
                <w:sz w:val="24"/>
                <w:u w:val="none"/>
                <w:lang w:val="en-US" w:eastAsia="zh-CN"/>
              </w:rPr>
              <w:t>项目用地符合性分析</w:t>
            </w:r>
          </w:p>
          <w:p w14:paraId="554C0C8C">
            <w:pPr>
              <w:widowControl/>
              <w:spacing w:line="360" w:lineRule="auto"/>
              <w:ind w:firstLine="480" w:firstLineChars="200"/>
              <w:jc w:val="left"/>
              <w:rPr>
                <w:rFonts w:hint="eastAsia" w:cs="Times New Roman"/>
                <w:color w:val="auto"/>
                <w:sz w:val="24"/>
                <w:u w:val="none"/>
                <w:lang w:eastAsia="zh-CN"/>
              </w:rPr>
            </w:pPr>
            <w:r>
              <w:rPr>
                <w:rFonts w:hint="default" w:ascii="Times New Roman" w:hAnsi="Times New Roman" w:cs="Times New Roman"/>
                <w:color w:val="auto"/>
                <w:sz w:val="24"/>
                <w:u w:val="none"/>
                <w:lang w:eastAsia="zh-CN"/>
              </w:rPr>
              <w:t>本项目</w:t>
            </w:r>
            <w:r>
              <w:rPr>
                <w:rFonts w:hint="eastAsia" w:cs="Times New Roman"/>
                <w:color w:val="auto"/>
                <w:sz w:val="24"/>
                <w:u w:val="none"/>
                <w:lang w:eastAsia="zh-CN"/>
              </w:rPr>
              <w:t>属于</w:t>
            </w:r>
            <w:r>
              <w:rPr>
                <w:rFonts w:hint="eastAsia" w:cs="Times New Roman"/>
                <w:color w:val="auto"/>
                <w:sz w:val="24"/>
                <w:u w:val="none"/>
                <w:lang w:val="en-US" w:eastAsia="zh-CN"/>
              </w:rPr>
              <w:t>中药</w:t>
            </w:r>
            <w:r>
              <w:rPr>
                <w:rFonts w:hint="eastAsia" w:cs="Times New Roman"/>
                <w:color w:val="auto"/>
                <w:sz w:val="24"/>
                <w:u w:val="none"/>
                <w:lang w:eastAsia="zh-CN"/>
              </w:rPr>
              <w:t>加工项目，</w:t>
            </w:r>
            <w:r>
              <w:rPr>
                <w:rFonts w:hint="default" w:ascii="Times New Roman" w:hAnsi="Times New Roman" w:cs="Times New Roman"/>
                <w:color w:val="auto"/>
                <w:sz w:val="24"/>
                <w:u w:val="none"/>
                <w:lang w:eastAsia="zh-CN"/>
              </w:rPr>
              <w:t>位于</w:t>
            </w:r>
            <w:r>
              <w:rPr>
                <w:rFonts w:hint="default" w:ascii="Times New Roman" w:hAnsi="Times New Roman" w:cs="Times New Roman"/>
                <w:color w:val="auto"/>
                <w:sz w:val="24"/>
                <w:u w:val="none"/>
              </w:rPr>
              <w:t>溆浦县</w:t>
            </w:r>
            <w:r>
              <w:rPr>
                <w:rFonts w:hint="eastAsia" w:cs="Times New Roman"/>
                <w:color w:val="auto"/>
                <w:sz w:val="24"/>
                <w:u w:val="none"/>
                <w:lang w:eastAsia="zh-CN"/>
              </w:rPr>
              <w:t>龙潭镇岩板村和营盘村交界处、紧邻S312省道</w:t>
            </w:r>
            <w:r>
              <w:rPr>
                <w:rFonts w:hint="default" w:ascii="Times New Roman" w:hAnsi="Times New Roman" w:cs="Times New Roman"/>
                <w:color w:val="auto"/>
                <w:sz w:val="24"/>
                <w:u w:val="none"/>
                <w:lang w:val="en-US" w:eastAsia="zh-CN"/>
              </w:rPr>
              <w:t>。</w:t>
            </w:r>
            <w:r>
              <w:rPr>
                <w:rFonts w:hint="eastAsia" w:cs="Times New Roman"/>
                <w:color w:val="auto"/>
                <w:sz w:val="24"/>
                <w:u w:val="none"/>
                <w:lang w:eastAsia="zh-CN"/>
              </w:rPr>
              <w:t>根据</w:t>
            </w:r>
            <w:r>
              <w:rPr>
                <w:rFonts w:hint="eastAsia" w:cs="Times New Roman"/>
                <w:color w:val="auto"/>
                <w:sz w:val="24"/>
                <w:u w:val="none"/>
                <w:lang w:val="en-US" w:eastAsia="zh-CN"/>
              </w:rPr>
              <w:t>项目建设单位</w:t>
            </w:r>
            <w:r>
              <w:rPr>
                <w:rFonts w:hint="eastAsia" w:cs="Times New Roman"/>
                <w:color w:val="auto"/>
                <w:sz w:val="24"/>
                <w:u w:val="none"/>
                <w:lang w:eastAsia="zh-CN"/>
              </w:rPr>
              <w:t>已取得的不动产权证（湘（</w:t>
            </w:r>
            <w:r>
              <w:rPr>
                <w:rFonts w:hint="eastAsia" w:cs="Times New Roman"/>
                <w:color w:val="auto"/>
                <w:sz w:val="24"/>
                <w:u w:val="none"/>
                <w:lang w:val="en-US" w:eastAsia="zh-CN"/>
              </w:rPr>
              <w:t>2025</w:t>
            </w:r>
            <w:r>
              <w:rPr>
                <w:rFonts w:hint="eastAsia" w:cs="Times New Roman"/>
                <w:color w:val="auto"/>
                <w:sz w:val="24"/>
                <w:u w:val="none"/>
                <w:lang w:eastAsia="zh-CN"/>
              </w:rPr>
              <w:t>）溆浦县不动产权第</w:t>
            </w:r>
            <w:r>
              <w:rPr>
                <w:rFonts w:hint="eastAsia" w:cs="Times New Roman"/>
                <w:color w:val="auto"/>
                <w:sz w:val="24"/>
                <w:u w:val="none"/>
                <w:lang w:val="en-US" w:eastAsia="zh-CN"/>
              </w:rPr>
              <w:t>0005902号</w:t>
            </w:r>
            <w:r>
              <w:rPr>
                <w:rFonts w:hint="eastAsia" w:cs="Times New Roman"/>
                <w:color w:val="auto"/>
                <w:sz w:val="24"/>
                <w:u w:val="none"/>
                <w:lang w:eastAsia="zh-CN"/>
              </w:rPr>
              <w:t>），</w:t>
            </w:r>
            <w:r>
              <w:rPr>
                <w:rFonts w:hint="eastAsia" w:cs="Times New Roman"/>
                <w:color w:val="auto"/>
                <w:sz w:val="24"/>
                <w:u w:val="none"/>
                <w:lang w:val="en-US" w:eastAsia="zh-CN"/>
              </w:rPr>
              <w:t>项目用地属于工业用地（详见附件4），且本项目</w:t>
            </w:r>
            <w:r>
              <w:rPr>
                <w:rFonts w:hint="eastAsia" w:cs="Times New Roman"/>
                <w:color w:val="auto"/>
                <w:sz w:val="24"/>
                <w:u w:val="none"/>
                <w:lang w:eastAsia="zh-CN"/>
              </w:rPr>
              <w:t>不属于高污染项目，</w:t>
            </w:r>
            <w:r>
              <w:rPr>
                <w:rFonts w:hint="default" w:ascii="Times New Roman" w:hAnsi="Times New Roman" w:cs="Times New Roman"/>
                <w:color w:val="auto"/>
                <w:sz w:val="24"/>
                <w:u w:val="none"/>
                <w:lang w:eastAsia="zh-CN"/>
              </w:rPr>
              <w:t>项目周边居住环境简单、主要为居民、商铺</w:t>
            </w:r>
            <w:r>
              <w:rPr>
                <w:rFonts w:hint="eastAsia" w:cs="Times New Roman"/>
                <w:color w:val="auto"/>
                <w:sz w:val="24"/>
                <w:u w:val="none"/>
                <w:lang w:eastAsia="zh-CN"/>
              </w:rPr>
              <w:t>，</w:t>
            </w:r>
            <w:r>
              <w:rPr>
                <w:rFonts w:hint="eastAsia" w:ascii="Times New Roman" w:hAnsi="Times New Roman" w:cs="Times New Roman"/>
                <w:color w:val="auto"/>
                <w:sz w:val="24"/>
                <w:u w:val="none"/>
                <w:lang w:eastAsia="zh-CN"/>
              </w:rPr>
              <w:t>拟建项目</w:t>
            </w:r>
            <w:r>
              <w:rPr>
                <w:rFonts w:hint="default" w:ascii="Times New Roman" w:hAnsi="Times New Roman" w:cs="Times New Roman"/>
                <w:color w:val="auto"/>
                <w:sz w:val="24"/>
                <w:u w:val="none"/>
                <w:lang w:eastAsia="zh-CN"/>
              </w:rPr>
              <w:t>废气、废水、噪声均能达标排放，固体废物等得到合理处置，对周边环境影响较小</w:t>
            </w:r>
            <w:r>
              <w:rPr>
                <w:rFonts w:hint="eastAsia" w:cs="Times New Roman"/>
                <w:color w:val="auto"/>
                <w:sz w:val="24"/>
                <w:u w:val="none"/>
                <w:lang w:eastAsia="zh-CN"/>
              </w:rPr>
              <w:t>。</w:t>
            </w:r>
          </w:p>
          <w:p w14:paraId="6B018190">
            <w:pPr>
              <w:widowControl/>
              <w:spacing w:line="360" w:lineRule="auto"/>
              <w:ind w:firstLine="480" w:firstLineChars="200"/>
              <w:jc w:val="left"/>
              <w:rPr>
                <w:rFonts w:hint="eastAsia" w:cs="Times New Roman"/>
                <w:color w:val="auto"/>
                <w:sz w:val="24"/>
                <w:u w:val="single"/>
                <w:lang w:val="en-US" w:eastAsia="zh-CN"/>
              </w:rPr>
            </w:pPr>
            <w:r>
              <w:rPr>
                <w:rFonts w:hint="eastAsia" w:cs="Times New Roman"/>
                <w:color w:val="auto"/>
                <w:sz w:val="24"/>
                <w:u w:val="single"/>
                <w:lang w:val="en-US" w:eastAsia="zh-CN"/>
              </w:rPr>
              <w:t>（2）项目与溆浦县龙潭镇国土空间规划（2021-2035年）符合性分析</w:t>
            </w:r>
          </w:p>
          <w:p w14:paraId="63979319">
            <w:pPr>
              <w:widowControl/>
              <w:spacing w:line="360" w:lineRule="auto"/>
              <w:ind w:firstLine="480" w:firstLineChars="200"/>
              <w:jc w:val="both"/>
              <w:rPr>
                <w:rFonts w:hint="default" w:cs="Times New Roman"/>
                <w:color w:val="auto"/>
                <w:sz w:val="24"/>
                <w:szCs w:val="24"/>
                <w:u w:val="single"/>
                <w:lang w:val="en-US" w:eastAsia="zh-CN"/>
              </w:rPr>
            </w:pPr>
            <w:r>
              <w:rPr>
                <w:rFonts w:hint="eastAsia" w:cs="Times New Roman"/>
                <w:color w:val="auto"/>
                <w:sz w:val="24"/>
                <w:szCs w:val="24"/>
                <w:u w:val="single"/>
                <w:lang w:val="en-US" w:eastAsia="zh-CN"/>
              </w:rPr>
              <w:t>根据《溆浦县龙潭镇国土空间规划》（2021-2035年）</w:t>
            </w:r>
            <w:r>
              <w:rPr>
                <w:rFonts w:hint="eastAsia" w:cs="Times New Roman"/>
                <w:color w:val="auto"/>
                <w:sz w:val="24"/>
                <w:szCs w:val="24"/>
                <w:u w:val="single"/>
                <w:lang w:eastAsia="zh-CN"/>
              </w:rPr>
              <w:t>，</w:t>
            </w:r>
            <w:r>
              <w:rPr>
                <w:rFonts w:hint="eastAsia" w:cs="Times New Roman"/>
                <w:color w:val="auto"/>
                <w:sz w:val="24"/>
                <w:szCs w:val="24"/>
                <w:u w:val="single"/>
                <w:lang w:val="en-US" w:eastAsia="zh-CN"/>
              </w:rPr>
              <w:t>规划龙潭镇为文旅融合型乡镇。将龙潭镇建设成溆浦县域的文化名镇和大龙潭地区的重点镇，区域服务型城镇，以农副产品加工、石材加工、药材加工、文化旅游等为主导产业的旅游、商贸综合型城镇。本项目为中药材加工项目，符合《溆浦县龙潭镇国土空间规划》（2021-2035年）。</w:t>
            </w:r>
          </w:p>
          <w:p w14:paraId="249D5A88">
            <w:pPr>
              <w:widowControl/>
              <w:spacing w:line="360" w:lineRule="auto"/>
              <w:ind w:firstLine="480" w:firstLineChars="200"/>
              <w:jc w:val="both"/>
              <w:rPr>
                <w:rFonts w:hint="eastAsia" w:cs="Times New Roman"/>
                <w:color w:val="auto"/>
                <w:sz w:val="24"/>
                <w:szCs w:val="24"/>
                <w:u w:val="none"/>
                <w:lang w:eastAsia="zh-CN"/>
              </w:rPr>
            </w:pPr>
            <w:r>
              <w:rPr>
                <w:rFonts w:hint="default" w:ascii="Times New Roman" w:hAnsi="Times New Roman" w:cs="Times New Roman"/>
                <w:color w:val="auto"/>
                <w:sz w:val="24"/>
                <w:szCs w:val="24"/>
                <w:u w:val="none"/>
                <w:lang w:eastAsia="zh-CN"/>
              </w:rPr>
              <w:t>综上，本项目选址合理。</w:t>
            </w:r>
          </w:p>
          <w:p w14:paraId="49E25AC3">
            <w:pPr>
              <w:spacing w:line="360" w:lineRule="auto"/>
              <w:rPr>
                <w:rFonts w:hint="eastAsia" w:ascii="Times New Roman" w:hAnsi="Times New Roman" w:eastAsia="宋体" w:cs="Times New Roman"/>
                <w:color w:val="auto"/>
                <w:sz w:val="24"/>
                <w:szCs w:val="24"/>
                <w:u w:val="none"/>
                <w:lang w:eastAsia="zh-CN"/>
              </w:rPr>
            </w:pPr>
          </w:p>
          <w:p w14:paraId="774DCA70">
            <w:pPr>
              <w:spacing w:line="360" w:lineRule="auto"/>
              <w:rPr>
                <w:rFonts w:hint="eastAsia" w:ascii="Times New Roman" w:hAnsi="Times New Roman" w:eastAsia="宋体" w:cs="Times New Roman"/>
                <w:color w:val="auto"/>
                <w:sz w:val="24"/>
                <w:szCs w:val="24"/>
                <w:u w:val="none"/>
                <w:lang w:eastAsia="zh-CN"/>
              </w:rPr>
            </w:pPr>
          </w:p>
          <w:p w14:paraId="481030B4">
            <w:pPr>
              <w:spacing w:line="360" w:lineRule="auto"/>
              <w:rPr>
                <w:rFonts w:hint="eastAsia" w:ascii="Times New Roman" w:hAnsi="Times New Roman" w:eastAsia="宋体" w:cs="Times New Roman"/>
                <w:color w:val="auto"/>
                <w:sz w:val="24"/>
                <w:szCs w:val="24"/>
                <w:u w:val="none"/>
                <w:lang w:eastAsia="zh-CN"/>
              </w:rPr>
            </w:pPr>
          </w:p>
          <w:p w14:paraId="31474C54">
            <w:pPr>
              <w:spacing w:line="360" w:lineRule="auto"/>
              <w:rPr>
                <w:rFonts w:hint="eastAsia" w:ascii="Times New Roman" w:hAnsi="Times New Roman" w:eastAsia="宋体" w:cs="Times New Roman"/>
                <w:color w:val="auto"/>
                <w:sz w:val="24"/>
                <w:szCs w:val="24"/>
                <w:u w:val="none"/>
                <w:lang w:eastAsia="zh-CN"/>
              </w:rPr>
            </w:pPr>
          </w:p>
          <w:p w14:paraId="5D175772">
            <w:pPr>
              <w:spacing w:line="360" w:lineRule="auto"/>
              <w:rPr>
                <w:rFonts w:hint="eastAsia" w:ascii="Times New Roman" w:hAnsi="Times New Roman" w:eastAsia="宋体" w:cs="Times New Roman"/>
                <w:color w:val="auto"/>
                <w:sz w:val="24"/>
                <w:szCs w:val="24"/>
                <w:u w:val="none"/>
                <w:lang w:eastAsia="zh-CN"/>
              </w:rPr>
            </w:pPr>
          </w:p>
          <w:p w14:paraId="3662EAB9">
            <w:pPr>
              <w:spacing w:line="360" w:lineRule="auto"/>
              <w:rPr>
                <w:rFonts w:hint="eastAsia"/>
                <w:color w:val="auto"/>
                <w:lang w:eastAsia="zh-CN"/>
              </w:rPr>
            </w:pPr>
          </w:p>
          <w:p w14:paraId="7E977724">
            <w:pPr>
              <w:spacing w:line="360" w:lineRule="auto"/>
              <w:rPr>
                <w:rFonts w:hint="eastAsia" w:ascii="Times New Roman" w:hAnsi="Times New Roman" w:eastAsia="宋体" w:cs="Times New Roman"/>
                <w:color w:val="auto"/>
                <w:lang w:eastAsia="zh-CN"/>
              </w:rPr>
            </w:pPr>
          </w:p>
          <w:p w14:paraId="0AEC1EBA">
            <w:pPr>
              <w:spacing w:line="360" w:lineRule="auto"/>
              <w:rPr>
                <w:rFonts w:hint="eastAsia" w:ascii="Times New Roman" w:hAnsi="Times New Roman" w:eastAsia="宋体" w:cs="Times New Roman"/>
                <w:color w:val="auto"/>
                <w:lang w:eastAsia="zh-CN"/>
              </w:rPr>
            </w:pPr>
          </w:p>
          <w:p w14:paraId="69739288">
            <w:pPr>
              <w:spacing w:line="360" w:lineRule="auto"/>
              <w:rPr>
                <w:rFonts w:hint="eastAsia" w:ascii="Times New Roman" w:hAnsi="Times New Roman" w:eastAsia="宋体" w:cs="Times New Roman"/>
                <w:color w:val="auto"/>
                <w:lang w:eastAsia="zh-CN"/>
              </w:rPr>
            </w:pPr>
          </w:p>
          <w:p w14:paraId="03879025">
            <w:pPr>
              <w:spacing w:line="360" w:lineRule="auto"/>
              <w:rPr>
                <w:rFonts w:hint="eastAsia" w:ascii="Times New Roman" w:hAnsi="Times New Roman" w:eastAsia="宋体" w:cs="Times New Roman"/>
                <w:color w:val="auto"/>
                <w:lang w:eastAsia="zh-CN"/>
              </w:rPr>
            </w:pPr>
          </w:p>
          <w:p w14:paraId="53A24147">
            <w:pPr>
              <w:spacing w:line="360" w:lineRule="auto"/>
              <w:rPr>
                <w:rFonts w:hint="eastAsia" w:ascii="Times New Roman" w:hAnsi="Times New Roman" w:eastAsia="宋体" w:cs="Times New Roman"/>
                <w:color w:val="auto"/>
                <w:lang w:eastAsia="zh-CN"/>
              </w:rPr>
            </w:pPr>
          </w:p>
          <w:p w14:paraId="2222FF9B">
            <w:pPr>
              <w:spacing w:line="360" w:lineRule="auto"/>
              <w:rPr>
                <w:rFonts w:hint="eastAsia" w:ascii="Times New Roman" w:hAnsi="Times New Roman" w:eastAsia="宋体" w:cs="Times New Roman"/>
                <w:color w:val="auto"/>
                <w:lang w:eastAsia="zh-CN"/>
              </w:rPr>
            </w:pPr>
          </w:p>
          <w:p w14:paraId="224D5EBA">
            <w:pPr>
              <w:spacing w:line="360" w:lineRule="auto"/>
              <w:rPr>
                <w:rFonts w:hint="eastAsia" w:ascii="Times New Roman" w:hAnsi="Times New Roman" w:eastAsia="宋体" w:cs="Times New Roman"/>
                <w:color w:val="auto"/>
                <w:lang w:eastAsia="zh-CN"/>
              </w:rPr>
            </w:pPr>
          </w:p>
          <w:p w14:paraId="35C46119">
            <w:pPr>
              <w:spacing w:line="360" w:lineRule="auto"/>
              <w:rPr>
                <w:rFonts w:hint="eastAsia" w:ascii="Times New Roman" w:hAnsi="Times New Roman" w:eastAsia="宋体" w:cs="Times New Roman"/>
                <w:color w:val="auto"/>
                <w:lang w:eastAsia="zh-CN"/>
              </w:rPr>
            </w:pPr>
          </w:p>
          <w:p w14:paraId="6C3C8853">
            <w:pPr>
              <w:spacing w:line="360" w:lineRule="auto"/>
              <w:rPr>
                <w:rFonts w:hint="eastAsia" w:ascii="Times New Roman" w:hAnsi="Times New Roman" w:eastAsia="宋体" w:cs="Times New Roman"/>
                <w:color w:val="auto"/>
                <w:lang w:eastAsia="zh-CN"/>
              </w:rPr>
            </w:pPr>
          </w:p>
          <w:p w14:paraId="3E763066">
            <w:pPr>
              <w:widowControl/>
              <w:spacing w:line="360" w:lineRule="auto"/>
              <w:ind w:firstLine="480" w:firstLineChars="200"/>
              <w:jc w:val="left"/>
              <w:rPr>
                <w:rFonts w:hint="default" w:cs="Times New Roman"/>
                <w:color w:val="auto"/>
                <w:sz w:val="24"/>
                <w:u w:val="none"/>
                <w:lang w:eastAsia="zh-CN"/>
              </w:rPr>
            </w:pPr>
          </w:p>
        </w:tc>
      </w:tr>
    </w:tbl>
    <w:p w14:paraId="62989C0A">
      <w:pPr>
        <w:spacing w:line="360" w:lineRule="auto"/>
        <w:rPr>
          <w:rFonts w:hint="default" w:ascii="Times New Roman" w:hAnsi="Times New Roman" w:eastAsia="黑体" w:cs="Times New Roman"/>
          <w:color w:val="auto"/>
          <w:sz w:val="30"/>
        </w:rPr>
        <w:sectPr>
          <w:footerReference r:id="rId4" w:type="default"/>
          <w:pgSz w:w="11905" w:h="16838"/>
          <w:pgMar w:top="1440" w:right="1803" w:bottom="1440" w:left="1803"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p>
    <w:p w14:paraId="59D7006D">
      <w:pPr>
        <w:pStyle w:val="2"/>
        <w:bidi w:val="0"/>
        <w:jc w:val="center"/>
        <w:rPr>
          <w:rFonts w:hint="default" w:asciiTheme="majorEastAsia" w:hAnsiTheme="majorEastAsia" w:eastAsiaTheme="majorEastAsia" w:cstheme="majorEastAsia"/>
          <w:b/>
          <w:bCs/>
          <w:color w:val="auto"/>
        </w:rPr>
      </w:pPr>
      <w:bookmarkStart w:id="25" w:name="_Toc3456"/>
      <w:bookmarkStart w:id="26" w:name="_Toc15888"/>
      <w:bookmarkStart w:id="27" w:name="_Toc23135"/>
      <w:bookmarkStart w:id="28" w:name="_Toc26327"/>
      <w:r>
        <w:rPr>
          <w:rFonts w:hint="default" w:asciiTheme="majorEastAsia" w:hAnsiTheme="majorEastAsia" w:eastAsiaTheme="majorEastAsia" w:cstheme="majorEastAsia"/>
          <w:b/>
          <w:bCs/>
          <w:color w:val="auto"/>
        </w:rPr>
        <w:t>二、建设项目工程分析</w:t>
      </w:r>
      <w:bookmarkEnd w:id="25"/>
      <w:bookmarkEnd w:id="26"/>
      <w:bookmarkEnd w:id="27"/>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66"/>
      </w:tblGrid>
      <w:tr w14:paraId="2209A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pct"/>
            <w:vAlign w:val="center"/>
          </w:tcPr>
          <w:p w14:paraId="7FFA5231">
            <w:pPr>
              <w:pStyle w:val="27"/>
              <w:adjustRightInd w:val="0"/>
              <w:snapToGrid w:val="0"/>
              <w:spacing w:before="0" w:beforeAutospacing="0" w:after="0" w:afterAutospacing="0"/>
              <w:jc w:val="center"/>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Cs w:val="24"/>
                <w:lang w:val="en-US" w:eastAsia="zh-CN"/>
              </w:rPr>
              <w:t>建设内容</w:t>
            </w:r>
          </w:p>
        </w:tc>
        <w:tc>
          <w:tcPr>
            <w:tcW w:w="4560" w:type="pct"/>
          </w:tcPr>
          <w:p w14:paraId="10038CA2">
            <w:pPr>
              <w:pStyle w:val="82"/>
              <w:keepNext w:val="0"/>
              <w:keepLines w:val="0"/>
              <w:pageBreakBefore w:val="0"/>
              <w:widowControl w:val="0"/>
              <w:kinsoku/>
              <w:wordWrap/>
              <w:overflowPunct/>
              <w:topLinePunct w:val="0"/>
              <w:autoSpaceDE/>
              <w:autoSpaceDN/>
              <w:bidi w:val="0"/>
              <w:adjustRightInd/>
              <w:snapToGrid/>
              <w:spacing w:before="157" w:beforeLines="50"/>
              <w:ind w:firstLine="482"/>
              <w:jc w:val="left"/>
              <w:textAlignment w:val="auto"/>
              <w:rPr>
                <w:rFonts w:hint="default" w:ascii="Times New Roman" w:hAnsi="Times New Roman" w:cs="Times New Roman"/>
                <w:bCs/>
                <w:color w:val="auto"/>
              </w:rPr>
            </w:pPr>
            <w:r>
              <w:rPr>
                <w:rFonts w:hint="default" w:ascii="Times New Roman" w:hAnsi="Times New Roman" w:cs="Times New Roman"/>
                <w:b/>
                <w:color w:val="auto"/>
              </w:rPr>
              <w:t>1、项目由来</w:t>
            </w:r>
          </w:p>
          <w:p w14:paraId="35FE8325">
            <w:pPr>
              <w:pStyle w:val="82"/>
              <w:jc w:val="both"/>
              <w:rPr>
                <w:rFonts w:hint="eastAsia" w:ascii="Times New Roman" w:hAnsi="Times New Roman" w:eastAsia="宋体" w:cs="Times New Roman"/>
                <w:color w:val="auto"/>
                <w:szCs w:val="24"/>
                <w:u w:val="single"/>
                <w:lang w:val="en-US" w:eastAsia="zh-CN"/>
              </w:rPr>
            </w:pPr>
            <w:r>
              <w:rPr>
                <w:rFonts w:hint="eastAsia" w:cs="Times New Roman"/>
                <w:color w:val="auto"/>
                <w:sz w:val="24"/>
                <w:lang w:eastAsia="zh-CN"/>
              </w:rPr>
              <w:t>湖南正生山银花农业科技有限责任公司</w:t>
            </w:r>
            <w:r>
              <w:rPr>
                <w:color w:val="auto"/>
                <w:kern w:val="0"/>
                <w:sz w:val="24"/>
                <w:lang w:bidi="ar"/>
              </w:rPr>
              <w:t>拟</w:t>
            </w:r>
            <w:r>
              <w:rPr>
                <w:rFonts w:hint="eastAsia"/>
                <w:color w:val="auto"/>
                <w:kern w:val="0"/>
                <w:sz w:val="24"/>
                <w:lang w:bidi="ar"/>
              </w:rPr>
              <w:t>在</w:t>
            </w:r>
            <w:r>
              <w:rPr>
                <w:rFonts w:hint="default" w:ascii="Times New Roman" w:hAnsi="Times New Roman" w:cs="Times New Roman"/>
                <w:color w:val="auto"/>
                <w:sz w:val="24"/>
              </w:rPr>
              <w:t>湖南省怀化市溆浦县</w:t>
            </w:r>
            <w:r>
              <w:rPr>
                <w:rFonts w:hint="eastAsia" w:cs="Times New Roman"/>
                <w:color w:val="auto"/>
                <w:sz w:val="24"/>
                <w:lang w:eastAsia="zh-CN"/>
              </w:rPr>
              <w:t>龙潭镇岩板村和营盘村交界处、紧邻S312省道</w:t>
            </w:r>
            <w:r>
              <w:rPr>
                <w:color w:val="auto"/>
                <w:kern w:val="0"/>
                <w:sz w:val="24"/>
                <w:lang w:bidi="ar"/>
              </w:rPr>
              <w:t>建设</w:t>
            </w:r>
            <w:r>
              <w:rPr>
                <w:rFonts w:hint="eastAsia" w:cs="Times New Roman"/>
                <w:color w:val="auto"/>
                <w:sz w:val="24"/>
                <w:lang w:eastAsia="zh-CN"/>
              </w:rPr>
              <w:t>湖南正生山银花示范种植基地及加工集散交易中心建设项目</w:t>
            </w:r>
            <w:r>
              <w:rPr>
                <w:rFonts w:hint="eastAsia"/>
                <w:color w:val="auto"/>
                <w:sz w:val="24"/>
              </w:rPr>
              <w:t>（以下简称</w:t>
            </w:r>
            <w:r>
              <w:rPr>
                <w:rFonts w:hint="eastAsia"/>
                <w:color w:val="auto"/>
                <w:sz w:val="24"/>
                <w:lang w:eastAsia="zh-CN"/>
              </w:rPr>
              <w:t>“</w:t>
            </w:r>
            <w:r>
              <w:rPr>
                <w:rFonts w:hint="eastAsia"/>
                <w:color w:val="auto"/>
                <w:sz w:val="24"/>
              </w:rPr>
              <w:t>本项目</w:t>
            </w:r>
            <w:r>
              <w:rPr>
                <w:rFonts w:hint="eastAsia"/>
                <w:color w:val="auto"/>
                <w:sz w:val="24"/>
                <w:lang w:eastAsia="zh-CN"/>
              </w:rPr>
              <w:t>”</w:t>
            </w:r>
            <w:r>
              <w:rPr>
                <w:rFonts w:hint="eastAsia"/>
                <w:color w:val="auto"/>
                <w:sz w:val="24"/>
              </w:rPr>
              <w:t>）</w:t>
            </w:r>
            <w:r>
              <w:rPr>
                <w:rFonts w:hint="eastAsia"/>
                <w:color w:val="auto"/>
                <w:kern w:val="0"/>
                <w:sz w:val="24"/>
                <w:lang w:eastAsia="zh-CN" w:bidi="ar"/>
              </w:rPr>
              <w:t>。</w:t>
            </w:r>
            <w:r>
              <w:rPr>
                <w:color w:val="auto"/>
                <w:kern w:val="0"/>
                <w:sz w:val="24"/>
                <w:u w:val="single"/>
              </w:rPr>
              <w:t>本项目</w:t>
            </w:r>
            <w:r>
              <w:rPr>
                <w:rFonts w:hint="eastAsia"/>
                <w:color w:val="auto"/>
                <w:kern w:val="0"/>
                <w:sz w:val="24"/>
                <w:u w:val="single"/>
                <w:lang w:val="en-US" w:eastAsia="zh-CN" w:bidi="ar"/>
              </w:rPr>
              <w:t>拟</w:t>
            </w:r>
            <w:r>
              <w:rPr>
                <w:rFonts w:hint="eastAsia" w:ascii="Times New Roman" w:hAnsi="Times New Roman" w:cs="Times New Roman"/>
                <w:bCs/>
                <w:color w:val="auto"/>
                <w:u w:val="single"/>
                <w:lang w:val="en-US" w:eastAsia="zh-CN"/>
              </w:rPr>
              <w:t>在溆浦县</w:t>
            </w:r>
            <w:r>
              <w:rPr>
                <w:rFonts w:hint="eastAsia" w:cs="Times New Roman"/>
                <w:bCs/>
                <w:color w:val="auto"/>
                <w:u w:val="single"/>
                <w:lang w:val="en-US" w:eastAsia="zh-CN"/>
              </w:rPr>
              <w:t>龙潭</w:t>
            </w:r>
            <w:r>
              <w:rPr>
                <w:rFonts w:hint="eastAsia" w:ascii="Times New Roman" w:hAnsi="Times New Roman" w:cs="Times New Roman"/>
                <w:bCs/>
                <w:color w:val="auto"/>
                <w:u w:val="single"/>
                <w:lang w:val="en-US" w:eastAsia="zh-CN"/>
              </w:rPr>
              <w:t>镇</w:t>
            </w:r>
            <w:r>
              <w:rPr>
                <w:rFonts w:hint="eastAsia" w:cs="Times New Roman"/>
                <w:bCs/>
                <w:color w:val="auto"/>
                <w:u w:val="single"/>
                <w:lang w:val="en-US" w:eastAsia="zh-CN"/>
              </w:rPr>
              <w:t>4</w:t>
            </w:r>
            <w:r>
              <w:rPr>
                <w:rFonts w:hint="eastAsia" w:ascii="Times New Roman" w:hAnsi="Times New Roman" w:cs="Times New Roman"/>
                <w:bCs/>
                <w:color w:val="auto"/>
                <w:u w:val="single"/>
                <w:lang w:val="en-US" w:eastAsia="zh-CN"/>
              </w:rPr>
              <w:t>个行政村内的传统山银花种植区</w:t>
            </w:r>
            <w:r>
              <w:rPr>
                <w:rFonts w:hint="eastAsia" w:cs="Times New Roman"/>
                <w:bCs/>
                <w:color w:val="auto"/>
                <w:u w:val="single"/>
                <w:lang w:val="en-US" w:eastAsia="zh-CN"/>
              </w:rPr>
              <w:t>设5000亩的山银花种植基地，进行山银花种植；在</w:t>
            </w:r>
            <w:r>
              <w:rPr>
                <w:rFonts w:hint="default" w:ascii="Times New Roman" w:hAnsi="Times New Roman" w:cs="Times New Roman"/>
                <w:bCs/>
                <w:color w:val="auto"/>
                <w:u w:val="single"/>
              </w:rPr>
              <w:t>溆浦县</w:t>
            </w:r>
            <w:r>
              <w:rPr>
                <w:rFonts w:hint="eastAsia" w:cs="Times New Roman"/>
                <w:bCs/>
                <w:color w:val="auto"/>
                <w:u w:val="single"/>
                <w:lang w:eastAsia="zh-CN"/>
              </w:rPr>
              <w:t>龙潭镇岩板村和营盘村交界处、紧邻S312省道</w:t>
            </w:r>
            <w:r>
              <w:rPr>
                <w:rFonts w:hint="eastAsia" w:cs="Times New Roman"/>
                <w:bCs/>
                <w:color w:val="auto"/>
                <w:u w:val="single"/>
                <w:lang w:val="en-US" w:eastAsia="zh-CN"/>
              </w:rPr>
              <w:t>建设初加工基地，初加工基地</w:t>
            </w:r>
            <w:r>
              <w:rPr>
                <w:color w:val="auto"/>
                <w:kern w:val="0"/>
                <w:sz w:val="24"/>
                <w:u w:val="single"/>
              </w:rPr>
              <w:t>用地面积</w:t>
            </w:r>
            <w:r>
              <w:rPr>
                <w:rFonts w:hint="eastAsia"/>
                <w:color w:val="auto"/>
                <w:kern w:val="0"/>
                <w:sz w:val="24"/>
                <w:u w:val="single"/>
                <w:lang w:val="en-US" w:eastAsia="zh-CN"/>
              </w:rPr>
              <w:t>约</w:t>
            </w:r>
            <w:r>
              <w:rPr>
                <w:color w:val="auto"/>
                <w:kern w:val="0"/>
                <w:sz w:val="24"/>
                <w:u w:val="single"/>
              </w:rPr>
              <w:t>为</w:t>
            </w:r>
            <w:r>
              <w:rPr>
                <w:rFonts w:hint="eastAsia" w:cs="Times New Roman"/>
                <w:color w:val="auto"/>
                <w:sz w:val="24"/>
                <w:u w:val="single"/>
                <w:lang w:val="en-US" w:eastAsia="zh-CN"/>
              </w:rPr>
              <w:t>5959.9m</w:t>
            </w:r>
            <w:r>
              <w:rPr>
                <w:color w:val="auto"/>
                <w:kern w:val="0"/>
                <w:sz w:val="24"/>
                <w:u w:val="single"/>
                <w:vertAlign w:val="superscript"/>
              </w:rPr>
              <w:t>2</w:t>
            </w:r>
            <w:r>
              <w:rPr>
                <w:rFonts w:hint="eastAsia"/>
                <w:color w:val="auto"/>
                <w:kern w:val="0"/>
                <w:sz w:val="24"/>
                <w:u w:val="single"/>
              </w:rPr>
              <w:t>，建筑面积</w:t>
            </w:r>
            <w:r>
              <w:rPr>
                <w:rFonts w:hint="eastAsia"/>
                <w:color w:val="auto"/>
                <w:kern w:val="0"/>
                <w:sz w:val="24"/>
                <w:u w:val="single"/>
                <w:lang w:val="en-US" w:eastAsia="zh-CN"/>
              </w:rPr>
              <w:t>5157.53</w:t>
            </w:r>
            <w:r>
              <w:rPr>
                <w:color w:val="auto"/>
                <w:kern w:val="0"/>
                <w:sz w:val="24"/>
                <w:u w:val="single"/>
              </w:rPr>
              <w:t>m</w:t>
            </w:r>
            <w:r>
              <w:rPr>
                <w:color w:val="auto"/>
                <w:kern w:val="0"/>
                <w:sz w:val="24"/>
                <w:u w:val="single"/>
                <w:vertAlign w:val="superscript"/>
              </w:rPr>
              <w:t>2</w:t>
            </w:r>
            <w:r>
              <w:rPr>
                <w:color w:val="auto"/>
                <w:kern w:val="0"/>
                <w:sz w:val="24"/>
                <w:u w:val="single"/>
              </w:rPr>
              <w:t>。</w:t>
            </w:r>
          </w:p>
          <w:p w14:paraId="4BE40F28">
            <w:pPr>
              <w:pStyle w:val="82"/>
              <w:jc w:val="left"/>
              <w:rPr>
                <w:rFonts w:hint="default" w:ascii="Times New Roman" w:hAnsi="Times New Roman" w:cs="Times New Roman"/>
                <w:bCs/>
                <w:color w:val="auto"/>
              </w:rPr>
            </w:pPr>
            <w:r>
              <w:rPr>
                <w:rFonts w:hint="default" w:ascii="Times New Roman" w:hAnsi="Times New Roman" w:cs="Times New Roman"/>
                <w:bCs/>
                <w:color w:val="auto"/>
              </w:rPr>
              <w:t>对照《中华人民共和国环境影响评价法》、《建设项目环境保护管理条例》及《建设项目环境影响评价分类管理名录（2021年版）》等的相关规定，</w:t>
            </w:r>
            <w:r>
              <w:rPr>
                <w:rFonts w:hint="default" w:ascii="Times New Roman" w:hAnsi="Times New Roman" w:cs="Times New Roman"/>
                <w:bCs/>
                <w:color w:val="auto"/>
                <w:u w:val="single"/>
              </w:rPr>
              <w:t>项目</w:t>
            </w:r>
            <w:r>
              <w:rPr>
                <w:rFonts w:hint="eastAsia" w:cs="Times New Roman"/>
                <w:bCs/>
                <w:color w:val="auto"/>
                <w:u w:val="single"/>
                <w:lang w:val="en-US" w:eastAsia="zh-CN"/>
              </w:rPr>
              <w:t>山银花种植基地</w:t>
            </w:r>
            <w:r>
              <w:rPr>
                <w:rFonts w:hint="default" w:ascii="Times New Roman" w:hAnsi="Times New Roman" w:cs="Times New Roman"/>
                <w:bCs/>
                <w:color w:val="auto"/>
                <w:u w:val="single"/>
              </w:rPr>
              <w:t>属于</w:t>
            </w:r>
            <w:r>
              <w:rPr>
                <w:rFonts w:hint="eastAsia" w:cs="Times New Roman"/>
                <w:bCs/>
                <w:color w:val="auto"/>
                <w:u w:val="single"/>
                <w:lang w:eastAsia="zh-CN"/>
              </w:rPr>
              <w:t>“一、农业</w:t>
            </w:r>
            <w:r>
              <w:rPr>
                <w:rFonts w:hint="eastAsia" w:cs="Times New Roman"/>
                <w:bCs/>
                <w:color w:val="auto"/>
                <w:u w:val="single"/>
                <w:lang w:val="en-US" w:eastAsia="zh-CN"/>
              </w:rPr>
              <w:t>01、林业02 1.农产品基地项目（含药材基地）</w:t>
            </w:r>
            <w:r>
              <w:rPr>
                <w:rFonts w:hint="eastAsia" w:cs="Times New Roman"/>
                <w:bCs/>
                <w:color w:val="auto"/>
                <w:u w:val="single"/>
                <w:lang w:eastAsia="zh-CN"/>
              </w:rPr>
              <w:t>”</w:t>
            </w:r>
            <w:r>
              <w:rPr>
                <w:rFonts w:hint="eastAsia" w:cs="Times New Roman"/>
                <w:bCs/>
                <w:color w:val="auto"/>
                <w:u w:val="single"/>
                <w:lang w:val="en-US" w:eastAsia="zh-CN"/>
              </w:rPr>
              <w:t>中“其他”需进行环评登记</w:t>
            </w:r>
            <w:r>
              <w:rPr>
                <w:rFonts w:hint="eastAsia" w:cs="Times New Roman"/>
                <w:bCs/>
                <w:color w:val="auto"/>
                <w:u w:val="single"/>
                <w:lang w:eastAsia="zh-CN"/>
              </w:rPr>
              <w:t>，</w:t>
            </w:r>
            <w:r>
              <w:rPr>
                <w:rFonts w:hint="eastAsia" w:cs="Times New Roman"/>
                <w:bCs/>
                <w:color w:val="auto"/>
                <w:u w:val="single"/>
                <w:lang w:val="en-US" w:eastAsia="zh-CN"/>
              </w:rPr>
              <w:t>初加工基地属于“</w:t>
            </w:r>
            <w:r>
              <w:rPr>
                <w:rFonts w:hint="eastAsia" w:cs="Times New Roman"/>
                <w:color w:val="auto"/>
                <w:sz w:val="24"/>
                <w:u w:val="single"/>
                <w:lang w:val="en-US" w:eastAsia="zh-CN"/>
              </w:rPr>
              <w:t>二十四、医药制造业</w:t>
            </w:r>
            <w:r>
              <w:rPr>
                <w:rFonts w:hint="eastAsia" w:cs="Times New Roman"/>
                <w:bCs/>
                <w:color w:val="auto"/>
                <w:u w:val="single"/>
                <w:lang w:val="en-US" w:eastAsia="zh-CN"/>
              </w:rPr>
              <w:t>”中</w:t>
            </w:r>
            <w:r>
              <w:rPr>
                <w:rFonts w:hint="eastAsia" w:cs="Times New Roman"/>
                <w:color w:val="auto"/>
                <w:sz w:val="24"/>
                <w:u w:val="single"/>
                <w:lang w:val="en-US" w:eastAsia="zh-CN"/>
              </w:rPr>
              <w:t>“其他（单纯切片、制干、打包的除外）”，</w:t>
            </w:r>
            <w:r>
              <w:rPr>
                <w:rFonts w:hint="eastAsia" w:cs="Times New Roman"/>
                <w:bCs/>
                <w:color w:val="auto"/>
                <w:u w:val="single"/>
                <w:lang w:val="en-US" w:eastAsia="zh-CN"/>
              </w:rPr>
              <w:t>初加工基地</w:t>
            </w:r>
            <w:r>
              <w:rPr>
                <w:rFonts w:hint="eastAsia"/>
                <w:color w:val="auto"/>
                <w:kern w:val="0"/>
                <w:sz w:val="24"/>
                <w:u w:val="single"/>
                <w:lang w:val="en-US" w:eastAsia="zh-CN"/>
              </w:rPr>
              <w:t>配套设施属于</w:t>
            </w:r>
            <w:r>
              <w:rPr>
                <w:rFonts w:hint="eastAsia" w:cs="Times New Roman"/>
                <w:bCs/>
                <w:color w:val="auto"/>
                <w:highlight w:val="none"/>
                <w:u w:val="single"/>
                <w:lang w:eastAsia="zh-CN"/>
              </w:rPr>
              <w:t>“</w:t>
            </w:r>
            <w:r>
              <w:rPr>
                <w:rFonts w:hint="default" w:ascii="Times New Roman" w:hAnsi="Times New Roman" w:cs="Times New Roman"/>
                <w:bCs/>
                <w:color w:val="auto"/>
                <w:highlight w:val="none"/>
                <w:u w:val="single"/>
              </w:rPr>
              <w:t>四十</w:t>
            </w:r>
            <w:r>
              <w:rPr>
                <w:rFonts w:hint="eastAsia" w:ascii="Times New Roman" w:hAnsi="Times New Roman" w:cs="Times New Roman"/>
                <w:bCs/>
                <w:color w:val="auto"/>
                <w:highlight w:val="none"/>
                <w:u w:val="single"/>
                <w:lang w:eastAsia="zh-CN"/>
              </w:rPr>
              <w:t>一</w:t>
            </w:r>
            <w:r>
              <w:rPr>
                <w:rFonts w:hint="default" w:ascii="Times New Roman" w:hAnsi="Times New Roman" w:cs="Times New Roman"/>
                <w:bCs/>
                <w:color w:val="auto"/>
                <w:highlight w:val="none"/>
                <w:u w:val="single"/>
              </w:rPr>
              <w:t>、</w:t>
            </w:r>
            <w:r>
              <w:rPr>
                <w:rFonts w:hint="eastAsia" w:ascii="Times New Roman" w:hAnsi="Times New Roman" w:cs="Times New Roman"/>
                <w:bCs/>
                <w:color w:val="auto"/>
                <w:highlight w:val="none"/>
                <w:u w:val="single"/>
                <w:lang w:eastAsia="zh-CN"/>
              </w:rPr>
              <w:t>电力、热力生产和供应业</w:t>
            </w:r>
            <w:r>
              <w:rPr>
                <w:rFonts w:hint="eastAsia" w:cs="Times New Roman"/>
                <w:bCs/>
                <w:color w:val="auto"/>
                <w:highlight w:val="none"/>
                <w:u w:val="single"/>
                <w:lang w:eastAsia="zh-CN"/>
              </w:rPr>
              <w:t>”</w:t>
            </w:r>
            <w:r>
              <w:rPr>
                <w:rFonts w:hint="eastAsia" w:ascii="Times New Roman" w:hAnsi="Times New Roman" w:cs="Times New Roman"/>
                <w:bCs/>
                <w:color w:val="auto"/>
                <w:highlight w:val="none"/>
                <w:u w:val="single"/>
                <w:lang w:eastAsia="zh-CN"/>
              </w:rPr>
              <w:t>中</w:t>
            </w:r>
            <w:r>
              <w:rPr>
                <w:rFonts w:hint="eastAsia" w:ascii="Times New Roman" w:hAnsi="Times New Roman" w:cs="Times New Roman"/>
                <w:bCs/>
                <w:color w:val="auto"/>
                <w:highlight w:val="none"/>
                <w:u w:val="single"/>
                <w:lang w:val="en-US" w:eastAsia="zh-CN"/>
              </w:rPr>
              <w:t>91热力生产和供应工程（包括建设单位自建自用的供热工程），</w:t>
            </w:r>
            <w:r>
              <w:rPr>
                <w:rFonts w:hint="eastAsia" w:cs="Times New Roman"/>
                <w:bCs/>
                <w:color w:val="auto"/>
                <w:highlight w:val="none"/>
                <w:u w:val="single"/>
                <w:lang w:val="en-US" w:eastAsia="zh-CN"/>
              </w:rPr>
              <w:t>需</w:t>
            </w:r>
            <w:r>
              <w:rPr>
                <w:rFonts w:hint="default" w:ascii="Times New Roman" w:hAnsi="Times New Roman" w:cs="Times New Roman"/>
                <w:bCs/>
                <w:color w:val="auto"/>
                <w:u w:val="single"/>
              </w:rPr>
              <w:t>编制环境影响报告表</w:t>
            </w:r>
            <w:r>
              <w:rPr>
                <w:rFonts w:hint="eastAsia" w:cs="Times New Roman"/>
                <w:bCs/>
                <w:color w:val="auto"/>
                <w:highlight w:val="none"/>
                <w:u w:val="single"/>
                <w:lang w:val="en-US" w:eastAsia="zh-CN"/>
              </w:rPr>
              <w:t>，故本项目</w:t>
            </w:r>
            <w:r>
              <w:rPr>
                <w:rFonts w:hint="default" w:ascii="Times New Roman" w:hAnsi="Times New Roman" w:cs="Times New Roman"/>
                <w:bCs/>
                <w:color w:val="auto"/>
                <w:u w:val="single"/>
              </w:rPr>
              <w:t>需编制环境影响报告表。</w:t>
            </w:r>
            <w:r>
              <w:rPr>
                <w:rFonts w:hint="default" w:ascii="Times New Roman" w:hAnsi="Times New Roman" w:cs="Times New Roman"/>
                <w:bCs/>
                <w:color w:val="auto"/>
              </w:rPr>
              <w:t>为此，</w:t>
            </w:r>
            <w:r>
              <w:rPr>
                <w:rFonts w:hint="eastAsia" w:cs="Times New Roman"/>
                <w:color w:val="auto"/>
                <w:szCs w:val="24"/>
                <w:u w:val="none"/>
                <w:lang w:eastAsia="zh-CN"/>
              </w:rPr>
              <w:t>湖南正生山银花农业科技有限责任公司</w:t>
            </w:r>
            <w:r>
              <w:rPr>
                <w:rFonts w:hint="default" w:ascii="Times New Roman" w:hAnsi="Times New Roman" w:cs="Times New Roman"/>
                <w:bCs/>
                <w:color w:val="auto"/>
              </w:rPr>
              <w:t>委托我公司承担该项目的环境影响评价工作，在接受委托后，我公司组织技术人员进行实地踏勘和调研，收集和核实了有关材料，按照国家对建设项目环境影响评价的有关规定和有关环保政策、技术规范，编制了该项目的环境影响报告表。</w:t>
            </w:r>
          </w:p>
          <w:p w14:paraId="05F4A7C1">
            <w:pPr>
              <w:pStyle w:val="82"/>
              <w:ind w:firstLine="482"/>
              <w:jc w:val="left"/>
              <w:rPr>
                <w:rFonts w:hint="default" w:ascii="Times New Roman" w:hAnsi="Times New Roman" w:cs="Times New Roman"/>
                <w:b/>
                <w:color w:val="auto"/>
              </w:rPr>
            </w:pPr>
            <w:r>
              <w:rPr>
                <w:rFonts w:hint="default" w:ascii="Times New Roman" w:hAnsi="Times New Roman" w:cs="Times New Roman"/>
                <w:b/>
                <w:color w:val="auto"/>
              </w:rPr>
              <w:t>2、项目概况</w:t>
            </w:r>
          </w:p>
          <w:p w14:paraId="12ADBC66">
            <w:pPr>
              <w:pStyle w:val="82"/>
              <w:jc w:val="left"/>
              <w:rPr>
                <w:rFonts w:hint="default" w:ascii="Times New Roman" w:hAnsi="Times New Roman" w:cs="Times New Roman"/>
                <w:bCs/>
                <w:color w:val="auto"/>
              </w:rPr>
            </w:pPr>
            <w:r>
              <w:rPr>
                <w:rFonts w:hint="default" w:ascii="Times New Roman" w:hAnsi="Times New Roman" w:cs="Times New Roman"/>
                <w:bCs/>
                <w:color w:val="auto"/>
              </w:rPr>
              <w:t>项目名称：</w:t>
            </w:r>
            <w:r>
              <w:rPr>
                <w:rFonts w:hint="eastAsia" w:cs="Times New Roman"/>
                <w:color w:val="auto"/>
                <w:sz w:val="24"/>
                <w:lang w:eastAsia="zh-CN"/>
              </w:rPr>
              <w:t>湖南正生山银花示范种植基地及加工集散交易中心建设项目</w:t>
            </w:r>
            <w:r>
              <w:rPr>
                <w:rFonts w:hint="default" w:ascii="Times New Roman" w:hAnsi="Times New Roman" w:cs="Times New Roman"/>
                <w:bCs/>
                <w:color w:val="auto"/>
              </w:rPr>
              <w:t>；</w:t>
            </w:r>
          </w:p>
          <w:p w14:paraId="06CA786D">
            <w:pPr>
              <w:pStyle w:val="82"/>
              <w:jc w:val="left"/>
              <w:rPr>
                <w:rFonts w:hint="default" w:ascii="Times New Roman" w:hAnsi="Times New Roman" w:cs="Times New Roman"/>
                <w:bCs/>
                <w:color w:val="auto"/>
              </w:rPr>
            </w:pPr>
            <w:r>
              <w:rPr>
                <w:rFonts w:hint="default" w:ascii="Times New Roman" w:hAnsi="Times New Roman" w:cs="Times New Roman"/>
                <w:bCs/>
                <w:color w:val="auto"/>
              </w:rPr>
              <w:t>建设性质：</w:t>
            </w:r>
            <w:r>
              <w:rPr>
                <w:rFonts w:hint="default" w:ascii="Times New Roman" w:hAnsi="Times New Roman" w:cs="Times New Roman"/>
                <w:color w:val="auto"/>
                <w:szCs w:val="24"/>
                <w:lang w:eastAsia="zh-CN"/>
              </w:rPr>
              <w:t>新建</w:t>
            </w:r>
            <w:r>
              <w:rPr>
                <w:rFonts w:hint="default" w:ascii="Times New Roman" w:hAnsi="Times New Roman" w:cs="Times New Roman"/>
                <w:bCs/>
                <w:color w:val="auto"/>
              </w:rPr>
              <w:t>；</w:t>
            </w:r>
          </w:p>
          <w:p w14:paraId="05C0ED00">
            <w:pPr>
              <w:pStyle w:val="82"/>
              <w:jc w:val="left"/>
              <w:rPr>
                <w:rFonts w:hint="eastAsia" w:ascii="Times New Roman" w:hAnsi="Times New Roman" w:eastAsia="宋体" w:cs="Times New Roman"/>
                <w:bCs/>
                <w:color w:val="auto"/>
                <w:lang w:val="en-US" w:eastAsia="zh-CN"/>
              </w:rPr>
            </w:pPr>
            <w:r>
              <w:rPr>
                <w:rFonts w:hint="default" w:ascii="Times New Roman" w:hAnsi="Times New Roman" w:cs="Times New Roman"/>
                <w:bCs/>
                <w:color w:val="auto"/>
              </w:rPr>
              <w:t>建设地点：</w:t>
            </w:r>
            <w:r>
              <w:rPr>
                <w:rFonts w:hint="eastAsia" w:cs="Times New Roman"/>
                <w:bCs/>
                <w:color w:val="auto"/>
                <w:lang w:val="en-US" w:eastAsia="zh-CN"/>
              </w:rPr>
              <w:t>初加工基地选址于</w:t>
            </w:r>
            <w:r>
              <w:rPr>
                <w:rFonts w:hint="default" w:ascii="Times New Roman" w:hAnsi="Times New Roman" w:cs="Times New Roman"/>
                <w:bCs/>
                <w:color w:val="auto"/>
              </w:rPr>
              <w:t>溆浦县</w:t>
            </w:r>
            <w:r>
              <w:rPr>
                <w:rFonts w:hint="eastAsia" w:cs="Times New Roman"/>
                <w:bCs/>
                <w:color w:val="auto"/>
                <w:lang w:eastAsia="zh-CN"/>
              </w:rPr>
              <w:t>龙潭镇岩板村和营盘村交界处、紧邻S312省道</w:t>
            </w:r>
            <w:r>
              <w:rPr>
                <w:rFonts w:hint="default" w:ascii="Times New Roman" w:hAnsi="Times New Roman" w:cs="Times New Roman"/>
                <w:bCs/>
                <w:color w:val="auto"/>
              </w:rPr>
              <w:t>；</w:t>
            </w:r>
            <w:r>
              <w:rPr>
                <w:rFonts w:hint="eastAsia" w:ascii="Times New Roman" w:hAnsi="Times New Roman" w:cs="Times New Roman"/>
                <w:bCs/>
                <w:color w:val="auto"/>
                <w:u w:val="none"/>
                <w:lang w:val="en-US" w:eastAsia="zh-CN"/>
              </w:rPr>
              <w:t>种植基地</w:t>
            </w:r>
            <w:r>
              <w:rPr>
                <w:rFonts w:hint="eastAsia" w:cs="Times New Roman"/>
                <w:bCs/>
                <w:color w:val="auto"/>
                <w:lang w:val="en-US" w:eastAsia="zh-CN"/>
              </w:rPr>
              <w:t>位于溆浦县龙潭镇</w:t>
            </w:r>
            <w:r>
              <w:rPr>
                <w:rFonts w:hint="default" w:cs="Times New Roman"/>
                <w:bCs/>
                <w:color w:val="auto"/>
                <w:lang w:eastAsia="zh-CN"/>
              </w:rPr>
              <w:t>红岩村</w:t>
            </w:r>
            <w:r>
              <w:rPr>
                <w:rFonts w:hint="eastAsia" w:cs="Times New Roman"/>
                <w:bCs/>
                <w:color w:val="auto"/>
                <w:lang w:eastAsia="zh-CN"/>
              </w:rPr>
              <w:t>、</w:t>
            </w:r>
            <w:r>
              <w:rPr>
                <w:rFonts w:hint="default" w:cs="Times New Roman"/>
                <w:bCs/>
                <w:color w:val="auto"/>
                <w:lang w:eastAsia="zh-CN"/>
              </w:rPr>
              <w:t>红岭村</w:t>
            </w:r>
            <w:r>
              <w:rPr>
                <w:rFonts w:hint="eastAsia" w:cs="Times New Roman"/>
                <w:bCs/>
                <w:color w:val="auto"/>
                <w:lang w:eastAsia="zh-CN"/>
              </w:rPr>
              <w:t>、</w:t>
            </w:r>
            <w:r>
              <w:rPr>
                <w:rFonts w:hint="default" w:cs="Times New Roman"/>
                <w:bCs/>
                <w:color w:val="auto"/>
                <w:lang w:eastAsia="zh-CN"/>
              </w:rPr>
              <w:t>梁家洞村</w:t>
            </w:r>
            <w:r>
              <w:rPr>
                <w:rFonts w:hint="eastAsia" w:cs="Times New Roman"/>
                <w:bCs/>
                <w:color w:val="auto"/>
                <w:lang w:eastAsia="zh-CN"/>
              </w:rPr>
              <w:t>、</w:t>
            </w:r>
            <w:r>
              <w:rPr>
                <w:rFonts w:hint="default" w:cs="Times New Roman"/>
                <w:bCs/>
                <w:color w:val="auto"/>
                <w:lang w:eastAsia="zh-CN"/>
              </w:rPr>
              <w:t>栗山村</w:t>
            </w:r>
            <w:r>
              <w:rPr>
                <w:rFonts w:hint="eastAsia" w:cs="Times New Roman"/>
                <w:bCs/>
                <w:color w:val="auto"/>
                <w:lang w:eastAsia="zh-CN"/>
              </w:rPr>
              <w:t>；</w:t>
            </w:r>
          </w:p>
          <w:p w14:paraId="03B6FF8E">
            <w:pPr>
              <w:pStyle w:val="82"/>
              <w:jc w:val="left"/>
              <w:rPr>
                <w:rFonts w:hint="default" w:ascii="Times New Roman" w:hAnsi="Times New Roman" w:cs="Times New Roman"/>
                <w:bCs/>
                <w:color w:val="auto"/>
              </w:rPr>
            </w:pPr>
            <w:r>
              <w:rPr>
                <w:rFonts w:hint="default" w:ascii="Times New Roman" w:hAnsi="Times New Roman" w:cs="Times New Roman"/>
                <w:bCs/>
                <w:color w:val="auto"/>
              </w:rPr>
              <w:t>建设单位：</w:t>
            </w:r>
            <w:r>
              <w:rPr>
                <w:rFonts w:hint="eastAsia" w:cs="Times New Roman"/>
                <w:color w:val="auto"/>
                <w:szCs w:val="24"/>
                <w:u w:val="none"/>
                <w:lang w:eastAsia="zh-CN"/>
              </w:rPr>
              <w:t>湖南正生山银花农业科技有限责任公司</w:t>
            </w:r>
            <w:r>
              <w:rPr>
                <w:rFonts w:hint="default" w:ascii="Times New Roman" w:hAnsi="Times New Roman" w:cs="Times New Roman"/>
                <w:bCs/>
                <w:color w:val="auto"/>
              </w:rPr>
              <w:t>；</w:t>
            </w:r>
          </w:p>
          <w:p w14:paraId="117DA24E">
            <w:pPr>
              <w:pStyle w:val="82"/>
              <w:jc w:val="left"/>
              <w:rPr>
                <w:rFonts w:hint="default" w:ascii="Times New Roman" w:hAnsi="Times New Roman" w:cs="Times New Roman"/>
                <w:bCs/>
                <w:color w:val="auto"/>
                <w:highlight w:val="none"/>
              </w:rPr>
            </w:pPr>
            <w:r>
              <w:rPr>
                <w:rFonts w:hint="eastAsia" w:cs="Times New Roman"/>
                <w:bCs/>
                <w:color w:val="auto"/>
                <w:lang w:val="en-US" w:eastAsia="zh-CN"/>
              </w:rPr>
              <w:t>项目</w:t>
            </w:r>
            <w:r>
              <w:rPr>
                <w:rFonts w:hint="default" w:ascii="Times New Roman" w:hAnsi="Times New Roman" w:cs="Times New Roman"/>
                <w:bCs/>
                <w:color w:val="auto"/>
              </w:rPr>
              <w:t>总投资</w:t>
            </w:r>
            <w:r>
              <w:rPr>
                <w:rFonts w:hint="eastAsia" w:cs="Times New Roman"/>
                <w:bCs/>
                <w:color w:val="auto"/>
                <w:lang w:val="en-US" w:eastAsia="zh-CN"/>
              </w:rPr>
              <w:t>5000</w:t>
            </w:r>
            <w:r>
              <w:rPr>
                <w:rFonts w:hint="default" w:ascii="Times New Roman" w:hAnsi="Times New Roman" w:cs="Times New Roman"/>
                <w:bCs/>
                <w:color w:val="auto"/>
              </w:rPr>
              <w:t>万元</w:t>
            </w:r>
            <w:r>
              <w:rPr>
                <w:rFonts w:hint="default" w:ascii="Times New Roman" w:hAnsi="Times New Roman" w:cs="Times New Roman"/>
                <w:bCs/>
                <w:color w:val="auto"/>
                <w:highlight w:val="none"/>
              </w:rPr>
              <w:t>，</w:t>
            </w:r>
            <w:r>
              <w:rPr>
                <w:rFonts w:hint="default" w:ascii="Times New Roman" w:hAnsi="Times New Roman" w:cs="Times New Roman"/>
                <w:color w:val="auto"/>
                <w:kern w:val="44"/>
                <w:lang w:eastAsia="zh-CN"/>
              </w:rPr>
              <w:t>环保投资</w:t>
            </w:r>
            <w:r>
              <w:rPr>
                <w:rFonts w:hint="eastAsia" w:cs="Times New Roman"/>
                <w:color w:val="auto"/>
                <w:kern w:val="44"/>
                <w:lang w:val="en-US" w:eastAsia="zh-CN"/>
              </w:rPr>
              <w:t>100</w:t>
            </w:r>
            <w:r>
              <w:rPr>
                <w:rFonts w:hint="default" w:ascii="Times New Roman" w:hAnsi="Times New Roman" w:cs="Times New Roman"/>
                <w:color w:val="auto"/>
                <w:kern w:val="44"/>
                <w:lang w:eastAsia="zh-CN"/>
              </w:rPr>
              <w:t>万元</w:t>
            </w:r>
            <w:r>
              <w:rPr>
                <w:rFonts w:hint="default" w:ascii="Times New Roman" w:hAnsi="Times New Roman" w:cs="Times New Roman"/>
                <w:color w:val="auto"/>
                <w:kern w:val="44"/>
                <w:lang w:val="en-US" w:eastAsia="zh-CN"/>
              </w:rPr>
              <w:t>，</w:t>
            </w:r>
            <w:r>
              <w:rPr>
                <w:rFonts w:hint="default" w:ascii="Times New Roman" w:hAnsi="Times New Roman" w:cs="Times New Roman"/>
                <w:color w:val="auto"/>
                <w:kern w:val="44"/>
              </w:rPr>
              <w:t>占总投资的</w:t>
            </w:r>
            <w:r>
              <w:rPr>
                <w:rFonts w:hint="eastAsia" w:cs="Times New Roman"/>
                <w:color w:val="auto"/>
                <w:kern w:val="44"/>
                <w:lang w:val="en-US" w:eastAsia="zh-CN"/>
              </w:rPr>
              <w:t>2</w:t>
            </w:r>
            <w:r>
              <w:rPr>
                <w:rFonts w:hint="default" w:ascii="Times New Roman" w:hAnsi="Times New Roman" w:cs="Times New Roman"/>
                <w:color w:val="auto"/>
                <w:kern w:val="44"/>
              </w:rPr>
              <w:t>%</w:t>
            </w:r>
            <w:r>
              <w:rPr>
                <w:rFonts w:hint="default" w:ascii="Times New Roman" w:hAnsi="Times New Roman" w:cs="Times New Roman"/>
                <w:bCs/>
                <w:color w:val="auto"/>
                <w:highlight w:val="none"/>
              </w:rPr>
              <w:t>；</w:t>
            </w:r>
          </w:p>
          <w:p w14:paraId="67CB5266">
            <w:pPr>
              <w:pStyle w:val="82"/>
              <w:jc w:val="left"/>
              <w:rPr>
                <w:rFonts w:hint="eastAsia" w:cs="Times New Roman"/>
                <w:bCs/>
                <w:color w:val="auto"/>
                <w:lang w:val="en-US" w:eastAsia="zh-CN"/>
              </w:rPr>
            </w:pPr>
            <w:r>
              <w:rPr>
                <w:rFonts w:hint="default" w:cs="Times New Roman"/>
                <w:bCs/>
                <w:color w:val="auto"/>
                <w:lang w:val="en-US" w:eastAsia="zh-CN"/>
              </w:rPr>
              <w:t>工作制度：</w:t>
            </w:r>
            <w:r>
              <w:rPr>
                <w:rFonts w:hint="eastAsia" w:cs="Times New Roman"/>
                <w:bCs/>
                <w:color w:val="auto"/>
                <w:lang w:val="en-US" w:eastAsia="zh-CN"/>
              </w:rPr>
              <w:t>冷库年运营约300天；中药材加工属于季节性生产，</w:t>
            </w:r>
            <w:r>
              <w:rPr>
                <w:rFonts w:hint="default" w:cs="Times New Roman"/>
                <w:bCs/>
                <w:color w:val="auto"/>
                <w:lang w:val="en-US" w:eastAsia="zh-CN"/>
              </w:rPr>
              <w:t>年工作</w:t>
            </w:r>
            <w:r>
              <w:rPr>
                <w:rFonts w:hint="eastAsia" w:cs="Times New Roman"/>
                <w:bCs/>
                <w:color w:val="auto"/>
                <w:lang w:val="en-US" w:eastAsia="zh-CN"/>
              </w:rPr>
              <w:t>60</w:t>
            </w:r>
            <w:r>
              <w:rPr>
                <w:rFonts w:hint="default" w:cs="Times New Roman"/>
                <w:bCs/>
                <w:color w:val="auto"/>
                <w:lang w:val="en-US" w:eastAsia="zh-CN"/>
              </w:rPr>
              <w:t>天，</w:t>
            </w:r>
            <w:r>
              <w:rPr>
                <w:rFonts w:hint="eastAsia" w:cs="Times New Roman"/>
                <w:bCs/>
                <w:color w:val="auto"/>
                <w:lang w:val="en-US" w:eastAsia="zh-CN"/>
              </w:rPr>
              <w:t>两</w:t>
            </w:r>
            <w:r>
              <w:rPr>
                <w:rFonts w:hint="default" w:cs="Times New Roman"/>
                <w:bCs/>
                <w:color w:val="auto"/>
                <w:lang w:val="en-US" w:eastAsia="zh-CN"/>
              </w:rPr>
              <w:t>班制生产，每班</w:t>
            </w:r>
            <w:r>
              <w:rPr>
                <w:rFonts w:hint="eastAsia" w:cs="Times New Roman"/>
                <w:bCs/>
                <w:color w:val="auto"/>
                <w:lang w:val="en-US" w:eastAsia="zh-CN"/>
              </w:rPr>
              <w:t>10</w:t>
            </w:r>
            <w:r>
              <w:rPr>
                <w:rFonts w:hint="default" w:cs="Times New Roman"/>
                <w:bCs/>
                <w:color w:val="auto"/>
                <w:lang w:val="en-US" w:eastAsia="zh-CN"/>
              </w:rPr>
              <w:t>小时</w:t>
            </w:r>
            <w:r>
              <w:rPr>
                <w:rFonts w:hint="eastAsia" w:cs="Times New Roman"/>
                <w:bCs/>
                <w:color w:val="auto"/>
                <w:lang w:val="en-US" w:eastAsia="zh-CN"/>
              </w:rPr>
              <w:t>；</w:t>
            </w:r>
          </w:p>
          <w:p w14:paraId="1379D715">
            <w:pPr>
              <w:pStyle w:val="82"/>
              <w:jc w:val="left"/>
              <w:rPr>
                <w:rFonts w:hint="default" w:ascii="Times New Roman" w:hAnsi="Times New Roman" w:cs="Times New Roman"/>
                <w:bCs/>
                <w:color w:val="auto"/>
              </w:rPr>
            </w:pPr>
            <w:r>
              <w:rPr>
                <w:rFonts w:hint="default" w:ascii="Times New Roman" w:hAnsi="Times New Roman" w:cs="Times New Roman"/>
                <w:bCs/>
                <w:color w:val="auto"/>
              </w:rPr>
              <w:t>劳动定员：</w:t>
            </w:r>
            <w:r>
              <w:rPr>
                <w:rFonts w:hint="eastAsia" w:cs="Times New Roman"/>
                <w:bCs/>
                <w:color w:val="auto"/>
                <w:lang w:val="en-US" w:eastAsia="zh-CN"/>
              </w:rPr>
              <w:t>1</w:t>
            </w:r>
            <w:r>
              <w:rPr>
                <w:rFonts w:hint="eastAsia" w:ascii="Times New Roman" w:hAnsi="Times New Roman" w:cs="Times New Roman"/>
                <w:bCs/>
                <w:color w:val="auto"/>
                <w:lang w:val="en-US" w:eastAsia="zh-CN"/>
              </w:rPr>
              <w:t>0人，</w:t>
            </w:r>
            <w:r>
              <w:rPr>
                <w:rFonts w:hint="eastAsia" w:cs="Times New Roman"/>
                <w:bCs/>
                <w:color w:val="auto"/>
                <w:lang w:val="en-US" w:eastAsia="zh-CN"/>
              </w:rPr>
              <w:t>厂区不设置员工食堂、宿舍</w:t>
            </w:r>
            <w:r>
              <w:rPr>
                <w:rFonts w:hint="default" w:ascii="Times New Roman" w:hAnsi="Times New Roman" w:cs="Times New Roman"/>
                <w:bCs/>
                <w:color w:val="auto"/>
              </w:rPr>
              <w:t>。</w:t>
            </w:r>
          </w:p>
          <w:p w14:paraId="5B84DE4B">
            <w:pPr>
              <w:pStyle w:val="82"/>
              <w:ind w:firstLine="482"/>
              <w:jc w:val="left"/>
              <w:rPr>
                <w:rFonts w:hint="eastAsia" w:ascii="Times New Roman" w:hAnsi="Times New Roman" w:eastAsia="宋体" w:cs="Times New Roman"/>
                <w:b/>
                <w:color w:val="auto"/>
                <w:lang w:eastAsia="zh-CN"/>
              </w:rPr>
            </w:pPr>
            <w:r>
              <w:rPr>
                <w:rFonts w:hint="eastAsia" w:ascii="Times New Roman" w:hAnsi="Times New Roman" w:eastAsia="宋体" w:cs="Times New Roman"/>
                <w:b/>
                <w:color w:val="auto"/>
                <w:lang w:val="en-US" w:eastAsia="zh-CN"/>
              </w:rPr>
              <w:t>3、</w:t>
            </w:r>
            <w:r>
              <w:rPr>
                <w:rFonts w:hint="eastAsia" w:cs="Times New Roman"/>
                <w:b/>
                <w:color w:val="auto"/>
                <w:lang w:val="en-US" w:eastAsia="zh-CN"/>
              </w:rPr>
              <w:t>项目</w:t>
            </w:r>
            <w:r>
              <w:rPr>
                <w:rFonts w:hint="eastAsia" w:ascii="Times New Roman" w:hAnsi="Times New Roman" w:eastAsia="宋体" w:cs="Times New Roman"/>
                <w:b/>
                <w:color w:val="auto"/>
                <w:lang w:eastAsia="zh-CN"/>
              </w:rPr>
              <w:t>建设内容</w:t>
            </w:r>
          </w:p>
          <w:p w14:paraId="738A1762">
            <w:pPr>
              <w:pStyle w:val="82"/>
              <w:jc w:val="left"/>
              <w:rPr>
                <w:rFonts w:hint="eastAsia" w:ascii="Times New Roman" w:hAnsi="Times New Roman" w:cs="Times New Roman"/>
                <w:bCs/>
                <w:color w:val="auto"/>
                <w:u w:val="none"/>
                <w:lang w:val="en-US" w:eastAsia="zh-CN"/>
              </w:rPr>
            </w:pPr>
            <w:r>
              <w:rPr>
                <w:rFonts w:hint="eastAsia" w:cs="Times New Roman"/>
                <w:bCs/>
                <w:color w:val="auto"/>
                <w:u w:val="none"/>
                <w:lang w:val="en-US" w:eastAsia="zh-CN"/>
              </w:rPr>
              <w:t>（1）</w:t>
            </w:r>
            <w:r>
              <w:rPr>
                <w:rFonts w:hint="eastAsia" w:ascii="Times New Roman" w:hAnsi="Times New Roman" w:cs="Times New Roman"/>
                <w:bCs/>
                <w:color w:val="auto"/>
                <w:u w:val="none"/>
                <w:lang w:val="en-US" w:eastAsia="zh-CN"/>
              </w:rPr>
              <w:t>种植基地建设内容</w:t>
            </w:r>
          </w:p>
          <w:p w14:paraId="3DE28309">
            <w:pPr>
              <w:pStyle w:val="82"/>
              <w:jc w:val="left"/>
              <w:rPr>
                <w:rFonts w:hint="eastAsia" w:cs="Times New Roman"/>
                <w:color w:val="auto"/>
                <w:sz w:val="24"/>
                <w:lang w:val="en-US" w:eastAsia="zh-CN"/>
              </w:rPr>
            </w:pPr>
            <w:r>
              <w:rPr>
                <w:rFonts w:hint="eastAsia" w:cs="Times New Roman"/>
                <w:bCs/>
                <w:color w:val="auto"/>
                <w:u w:val="single"/>
                <w:lang w:val="en-US" w:eastAsia="zh-CN"/>
              </w:rPr>
              <w:t>本项目拟</w:t>
            </w:r>
            <w:r>
              <w:rPr>
                <w:rFonts w:hint="eastAsia" w:ascii="Times New Roman" w:hAnsi="Times New Roman" w:cs="Times New Roman"/>
                <w:bCs/>
                <w:color w:val="auto"/>
                <w:u w:val="single"/>
                <w:lang w:val="en-US" w:eastAsia="zh-CN"/>
              </w:rPr>
              <w:t>在溆浦县</w:t>
            </w:r>
            <w:r>
              <w:rPr>
                <w:rFonts w:hint="eastAsia" w:cs="Times New Roman"/>
                <w:bCs/>
                <w:color w:val="auto"/>
                <w:u w:val="single"/>
                <w:lang w:val="en-US" w:eastAsia="zh-CN"/>
              </w:rPr>
              <w:t>龙潭</w:t>
            </w:r>
            <w:r>
              <w:rPr>
                <w:rFonts w:hint="eastAsia" w:ascii="Times New Roman" w:hAnsi="Times New Roman" w:cs="Times New Roman"/>
                <w:bCs/>
                <w:color w:val="auto"/>
                <w:u w:val="single"/>
                <w:lang w:val="en-US" w:eastAsia="zh-CN"/>
              </w:rPr>
              <w:t>镇</w:t>
            </w:r>
            <w:r>
              <w:rPr>
                <w:rFonts w:hint="eastAsia" w:cs="Times New Roman"/>
                <w:bCs/>
                <w:color w:val="auto"/>
                <w:u w:val="single"/>
                <w:lang w:val="en-US" w:eastAsia="zh-CN"/>
              </w:rPr>
              <w:t>4</w:t>
            </w:r>
            <w:r>
              <w:rPr>
                <w:rFonts w:hint="eastAsia" w:ascii="Times New Roman" w:hAnsi="Times New Roman" w:cs="Times New Roman"/>
                <w:bCs/>
                <w:color w:val="auto"/>
                <w:u w:val="single"/>
                <w:lang w:val="en-US" w:eastAsia="zh-CN"/>
              </w:rPr>
              <w:t>个行政村内</w:t>
            </w:r>
            <w:r>
              <w:rPr>
                <w:rFonts w:hint="eastAsia" w:cs="Times New Roman"/>
                <w:bCs/>
                <w:color w:val="auto"/>
                <w:u w:val="single"/>
                <w:lang w:val="en-US" w:eastAsia="zh-CN"/>
              </w:rPr>
              <w:t>流转5000亩土地用于山银花示范基地的建设，流转土地为</w:t>
            </w:r>
            <w:r>
              <w:rPr>
                <w:rFonts w:hint="eastAsia" w:ascii="Times New Roman" w:hAnsi="Times New Roman" w:cs="Times New Roman"/>
                <w:bCs/>
                <w:color w:val="auto"/>
                <w:u w:val="single"/>
                <w:lang w:val="en-US" w:eastAsia="zh-CN"/>
              </w:rPr>
              <w:t>传统山银花种植区</w:t>
            </w:r>
            <w:r>
              <w:rPr>
                <w:rFonts w:hint="eastAsia" w:cs="Times New Roman"/>
                <w:bCs/>
                <w:color w:val="auto"/>
                <w:u w:val="single"/>
                <w:lang w:val="en-US" w:eastAsia="zh-CN"/>
              </w:rPr>
              <w:t>。本项目初加工基地生产使用的新鲜山银花由项目山银花示范基地进行种植，其他中药材原材料均从当地农户收购。</w:t>
            </w:r>
            <w:r>
              <w:rPr>
                <w:rFonts w:hint="eastAsia" w:cs="Times New Roman"/>
                <w:bCs/>
                <w:color w:val="auto"/>
                <w:u w:val="none"/>
                <w:lang w:val="en-US" w:eastAsia="zh-CN"/>
              </w:rPr>
              <w:t>山银花种植基地</w:t>
            </w:r>
            <w:r>
              <w:rPr>
                <w:rFonts w:hint="eastAsia" w:ascii="Times New Roman" w:hAnsi="Times New Roman" w:cs="Times New Roman"/>
                <w:bCs/>
                <w:color w:val="auto"/>
                <w:u w:val="none"/>
                <w:lang w:val="en-US" w:eastAsia="zh-CN"/>
              </w:rPr>
              <w:t>主要建设内容包括梯田修复、苗木更换、合理施肥、修剪更新、除草清杂、农药喷洒等，涉及行政村</w:t>
            </w:r>
            <w:r>
              <w:rPr>
                <w:rFonts w:hint="eastAsia" w:cs="Times New Roman"/>
                <w:bCs/>
                <w:color w:val="auto"/>
                <w:u w:val="none"/>
                <w:lang w:val="en-US" w:eastAsia="zh-CN"/>
              </w:rPr>
              <w:t>包括</w:t>
            </w:r>
            <w:r>
              <w:rPr>
                <w:rFonts w:hint="eastAsia" w:ascii="Times New Roman" w:hAnsi="Times New Roman" w:cs="Times New Roman"/>
                <w:bCs/>
                <w:color w:val="auto"/>
                <w:u w:val="none"/>
                <w:lang w:val="en-US" w:eastAsia="zh-CN"/>
              </w:rPr>
              <w:t>：红岩村、红岭村、梁家洞村、栗山村</w:t>
            </w:r>
            <w:r>
              <w:rPr>
                <w:rFonts w:hint="eastAsia" w:cs="Times New Roman"/>
                <w:bCs/>
                <w:color w:val="auto"/>
                <w:u w:val="none"/>
                <w:lang w:val="en-US" w:eastAsia="zh-CN"/>
              </w:rPr>
              <w:t>共</w:t>
            </w:r>
            <w:r>
              <w:rPr>
                <w:rFonts w:hint="eastAsia" w:cs="Times New Roman"/>
                <w:color w:val="auto"/>
                <w:sz w:val="24"/>
                <w:lang w:val="en-US" w:eastAsia="zh-CN"/>
              </w:rPr>
              <w:t>5000亩。</w:t>
            </w:r>
          </w:p>
          <w:p w14:paraId="65FB6BCD">
            <w:pPr>
              <w:pStyle w:val="82"/>
              <w:spacing w:line="240" w:lineRule="auto"/>
              <w:jc w:val="center"/>
              <w:rPr>
                <w:rFonts w:hint="eastAsia" w:ascii="Times New Roman" w:hAnsi="Times New Roman" w:eastAsia="宋体" w:cs="Times New Roman"/>
                <w:b/>
                <w:bCs/>
                <w:color w:val="auto"/>
                <w:kern w:val="2"/>
                <w:sz w:val="24"/>
                <w:szCs w:val="24"/>
                <w:u w:val="none"/>
                <w:lang w:val="en-US" w:eastAsia="zh-CN" w:bidi="en-US"/>
              </w:rPr>
            </w:pPr>
            <w:r>
              <w:rPr>
                <w:rFonts w:hint="eastAsia" w:ascii="Times New Roman" w:hAnsi="Times New Roman" w:eastAsia="宋体" w:cs="Times New Roman"/>
                <w:b/>
                <w:bCs/>
                <w:color w:val="auto"/>
                <w:kern w:val="2"/>
                <w:sz w:val="24"/>
                <w:szCs w:val="24"/>
                <w:u w:val="none"/>
                <w:lang w:val="en-US" w:eastAsia="zh-CN" w:bidi="en-US"/>
              </w:rPr>
              <w:t>表2-1</w:t>
            </w:r>
            <w:r>
              <w:rPr>
                <w:rFonts w:hint="eastAsia" w:cs="Times New Roman"/>
                <w:b/>
                <w:bCs/>
                <w:color w:val="auto"/>
                <w:kern w:val="2"/>
                <w:sz w:val="24"/>
                <w:szCs w:val="24"/>
                <w:u w:val="none"/>
                <w:lang w:val="en-US" w:eastAsia="zh-CN" w:bidi="en-US"/>
              </w:rPr>
              <w:t xml:space="preserve">  </w:t>
            </w:r>
            <w:r>
              <w:rPr>
                <w:rFonts w:hint="eastAsia" w:ascii="Times New Roman" w:hAnsi="Times New Roman" w:eastAsia="宋体" w:cs="Times New Roman"/>
                <w:b/>
                <w:bCs/>
                <w:color w:val="auto"/>
                <w:kern w:val="2"/>
                <w:sz w:val="24"/>
                <w:szCs w:val="24"/>
                <w:u w:val="none"/>
                <w:lang w:val="en-US" w:eastAsia="zh-CN" w:bidi="en-US"/>
              </w:rPr>
              <w:t xml:space="preserve"> 种植分布区域</w:t>
            </w:r>
          </w:p>
          <w:tbl>
            <w:tblPr>
              <w:tblStyle w:val="126"/>
              <w:tblW w:w="4998" w:type="pct"/>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907"/>
              <w:gridCol w:w="3234"/>
              <w:gridCol w:w="2376"/>
            </w:tblGrid>
            <w:tr w14:paraId="2E252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8" w:type="pct"/>
                  <w:tcBorders>
                    <w:tl2br w:val="nil"/>
                    <w:tr2bl w:val="nil"/>
                  </w:tcBorders>
                  <w:vAlign w:val="center"/>
                </w:tcPr>
                <w:p w14:paraId="3D09D8C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乡镇</w:t>
                  </w:r>
                </w:p>
              </w:tc>
              <w:tc>
                <w:tcPr>
                  <w:tcW w:w="2151" w:type="pct"/>
                  <w:tcBorders>
                    <w:tl2br w:val="nil"/>
                    <w:tr2bl w:val="nil"/>
                  </w:tcBorders>
                  <w:vAlign w:val="center"/>
                </w:tcPr>
                <w:p w14:paraId="3DD17771">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村落</w:t>
                  </w:r>
                </w:p>
              </w:tc>
              <w:tc>
                <w:tcPr>
                  <w:tcW w:w="1580" w:type="pct"/>
                  <w:tcBorders>
                    <w:tl2br w:val="nil"/>
                    <w:tr2bl w:val="nil"/>
                  </w:tcBorders>
                  <w:vAlign w:val="center"/>
                </w:tcPr>
                <w:p w14:paraId="71852F11">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7"/>
                      <w:sz w:val="21"/>
                      <w:szCs w:val="21"/>
                    </w:rPr>
                    <w:t>面积</w:t>
                  </w:r>
                  <w:r>
                    <w:rPr>
                      <w:rFonts w:hint="default" w:ascii="Times New Roman" w:hAnsi="Times New Roman" w:eastAsia="宋体" w:cs="Times New Roman"/>
                      <w:color w:val="auto"/>
                      <w:spacing w:val="-7"/>
                      <w:sz w:val="21"/>
                      <w:szCs w:val="21"/>
                      <w:lang w:eastAsia="zh-CN"/>
                    </w:rPr>
                    <w:t>（单位：亩）</w:t>
                  </w:r>
                </w:p>
              </w:tc>
            </w:tr>
            <w:tr w14:paraId="21AE38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8" w:type="pct"/>
                  <w:vMerge w:val="restart"/>
                  <w:tcBorders>
                    <w:tl2br w:val="nil"/>
                    <w:tr2bl w:val="nil"/>
                  </w:tcBorders>
                  <w:vAlign w:val="center"/>
                </w:tcPr>
                <w:p w14:paraId="3237D0F8">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龙潭镇</w:t>
                  </w:r>
                </w:p>
              </w:tc>
              <w:tc>
                <w:tcPr>
                  <w:tcW w:w="2151" w:type="pct"/>
                  <w:tcBorders>
                    <w:tl2br w:val="nil"/>
                    <w:tr2bl w:val="nil"/>
                  </w:tcBorders>
                  <w:vAlign w:val="center"/>
                </w:tcPr>
                <w:p w14:paraId="0C67C26E">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红岩村</w:t>
                  </w:r>
                </w:p>
              </w:tc>
              <w:tc>
                <w:tcPr>
                  <w:tcW w:w="1580" w:type="pct"/>
                  <w:tcBorders>
                    <w:tl2br w:val="nil"/>
                    <w:tr2bl w:val="nil"/>
                  </w:tcBorders>
                  <w:vAlign w:val="center"/>
                </w:tcPr>
                <w:p w14:paraId="4470982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2300</w:t>
                  </w:r>
                </w:p>
              </w:tc>
            </w:tr>
            <w:tr w14:paraId="5FDDD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8" w:type="pct"/>
                  <w:vMerge w:val="continue"/>
                  <w:tcBorders>
                    <w:tl2br w:val="nil"/>
                    <w:tr2bl w:val="nil"/>
                  </w:tcBorders>
                  <w:vAlign w:val="center"/>
                </w:tcPr>
                <w:p w14:paraId="24E313B3">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pacing w:val="-5"/>
                      <w:sz w:val="21"/>
                      <w:szCs w:val="21"/>
                    </w:rPr>
                  </w:pPr>
                </w:p>
              </w:tc>
              <w:tc>
                <w:tcPr>
                  <w:tcW w:w="2151" w:type="pct"/>
                  <w:tcBorders>
                    <w:tl2br w:val="nil"/>
                    <w:tr2bl w:val="nil"/>
                  </w:tcBorders>
                  <w:shd w:val="clear" w:color="auto" w:fill="auto"/>
                  <w:vAlign w:val="center"/>
                </w:tcPr>
                <w:p w14:paraId="7758E114">
                  <w:pPr>
                    <w:pStyle w:val="1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3"/>
                      <w:sz w:val="21"/>
                      <w:szCs w:val="21"/>
                    </w:rPr>
                    <w:t>红岭村</w:t>
                  </w:r>
                </w:p>
              </w:tc>
              <w:tc>
                <w:tcPr>
                  <w:tcW w:w="1580" w:type="pct"/>
                  <w:tcBorders>
                    <w:tl2br w:val="nil"/>
                    <w:tr2bl w:val="nil"/>
                  </w:tcBorders>
                  <w:shd w:val="clear" w:color="auto" w:fill="auto"/>
                  <w:vAlign w:val="center"/>
                </w:tcPr>
                <w:p w14:paraId="2FA2240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1200</w:t>
                  </w:r>
                </w:p>
              </w:tc>
            </w:tr>
            <w:tr w14:paraId="3C4E98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8" w:type="pct"/>
                  <w:vMerge w:val="continue"/>
                  <w:tcBorders>
                    <w:tl2br w:val="nil"/>
                    <w:tr2bl w:val="nil"/>
                  </w:tcBorders>
                  <w:vAlign w:val="center"/>
                </w:tcPr>
                <w:p w14:paraId="7D2AE05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p>
              </w:tc>
              <w:tc>
                <w:tcPr>
                  <w:tcW w:w="2151" w:type="pct"/>
                  <w:tcBorders>
                    <w:tl2br w:val="nil"/>
                    <w:tr2bl w:val="nil"/>
                  </w:tcBorders>
                  <w:vAlign w:val="center"/>
                </w:tcPr>
                <w:p w14:paraId="0C257CCB">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梁家洞村</w:t>
                  </w:r>
                </w:p>
              </w:tc>
              <w:tc>
                <w:tcPr>
                  <w:tcW w:w="1580" w:type="pct"/>
                  <w:tcBorders>
                    <w:tl2br w:val="nil"/>
                    <w:tr2bl w:val="nil"/>
                  </w:tcBorders>
                  <w:vAlign w:val="center"/>
                </w:tcPr>
                <w:p w14:paraId="413A7D8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1000</w:t>
                  </w:r>
                </w:p>
              </w:tc>
            </w:tr>
            <w:tr w14:paraId="53CD39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8" w:type="pct"/>
                  <w:vMerge w:val="continue"/>
                  <w:tcBorders>
                    <w:tl2br w:val="nil"/>
                    <w:tr2bl w:val="nil"/>
                  </w:tcBorders>
                  <w:vAlign w:val="center"/>
                </w:tcPr>
                <w:p w14:paraId="0FC3027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p>
              </w:tc>
              <w:tc>
                <w:tcPr>
                  <w:tcW w:w="2151" w:type="pct"/>
                  <w:tcBorders>
                    <w:tl2br w:val="nil"/>
                    <w:tr2bl w:val="nil"/>
                  </w:tcBorders>
                  <w:vAlign w:val="center"/>
                </w:tcPr>
                <w:p w14:paraId="7F1E30E0">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栗山村</w:t>
                  </w:r>
                </w:p>
              </w:tc>
              <w:tc>
                <w:tcPr>
                  <w:tcW w:w="1580" w:type="pct"/>
                  <w:tcBorders>
                    <w:tl2br w:val="nil"/>
                    <w:tr2bl w:val="nil"/>
                  </w:tcBorders>
                  <w:vAlign w:val="center"/>
                </w:tcPr>
                <w:p w14:paraId="6B80776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500</w:t>
                  </w:r>
                </w:p>
              </w:tc>
            </w:tr>
            <w:tr w14:paraId="1DC45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8" w:type="pct"/>
                  <w:vMerge w:val="continue"/>
                  <w:tcBorders>
                    <w:tl2br w:val="nil"/>
                    <w:tr2bl w:val="nil"/>
                  </w:tcBorders>
                  <w:vAlign w:val="center"/>
                </w:tcPr>
                <w:p w14:paraId="6C7E58E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rPr>
                  </w:pPr>
                </w:p>
              </w:tc>
              <w:tc>
                <w:tcPr>
                  <w:tcW w:w="2151" w:type="pct"/>
                  <w:tcBorders>
                    <w:tl2br w:val="nil"/>
                    <w:tr2bl w:val="nil"/>
                  </w:tcBorders>
                  <w:vAlign w:val="center"/>
                </w:tcPr>
                <w:p w14:paraId="4E83AAAD">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auto"/>
                      <w:spacing w:val="-5"/>
                      <w:sz w:val="21"/>
                      <w:szCs w:val="21"/>
                    </w:rPr>
                  </w:pPr>
                  <w:r>
                    <w:rPr>
                      <w:rFonts w:hint="default" w:ascii="Times New Roman" w:hAnsi="Times New Roman" w:eastAsia="宋体" w:cs="Times New Roman"/>
                      <w:b/>
                      <w:bCs/>
                      <w:color w:val="auto"/>
                      <w:spacing w:val="-5"/>
                      <w:sz w:val="21"/>
                      <w:szCs w:val="21"/>
                    </w:rPr>
                    <w:t>合计</w:t>
                  </w:r>
                </w:p>
              </w:tc>
              <w:tc>
                <w:tcPr>
                  <w:tcW w:w="1580" w:type="pct"/>
                  <w:tcBorders>
                    <w:tl2br w:val="nil"/>
                    <w:tr2bl w:val="nil"/>
                  </w:tcBorders>
                  <w:vAlign w:val="center"/>
                </w:tcPr>
                <w:p w14:paraId="3820D474">
                  <w:pPr>
                    <w:pStyle w:val="12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auto"/>
                      <w:spacing w:val="-5"/>
                      <w:sz w:val="21"/>
                      <w:szCs w:val="21"/>
                      <w:lang w:val="en-US" w:eastAsia="zh-CN"/>
                    </w:rPr>
                  </w:pPr>
                  <w:r>
                    <w:rPr>
                      <w:rFonts w:hint="default" w:ascii="Times New Roman" w:hAnsi="Times New Roman" w:eastAsia="宋体" w:cs="Times New Roman"/>
                      <w:b/>
                      <w:bCs/>
                      <w:color w:val="auto"/>
                      <w:spacing w:val="-5"/>
                      <w:sz w:val="21"/>
                      <w:szCs w:val="21"/>
                      <w:lang w:val="en-US" w:eastAsia="zh-CN"/>
                    </w:rPr>
                    <w:t>5000</w:t>
                  </w:r>
                </w:p>
              </w:tc>
            </w:tr>
          </w:tbl>
          <w:p w14:paraId="40F85D13">
            <w:pPr>
              <w:pStyle w:val="8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Times New Roman"/>
                <w:b/>
                <w:bCs/>
                <w:color w:val="auto"/>
                <w:kern w:val="2"/>
                <w:sz w:val="24"/>
                <w:szCs w:val="24"/>
                <w:u w:val="none"/>
                <w:lang w:val="en-US" w:eastAsia="zh-CN" w:bidi="en-US"/>
              </w:rPr>
            </w:pPr>
            <w:r>
              <w:rPr>
                <w:rFonts w:hint="eastAsia" w:ascii="Times New Roman" w:hAnsi="Times New Roman" w:eastAsia="宋体" w:cs="Times New Roman"/>
                <w:b/>
                <w:bCs/>
                <w:color w:val="auto"/>
                <w:kern w:val="2"/>
                <w:sz w:val="24"/>
                <w:szCs w:val="24"/>
                <w:u w:val="none"/>
                <w:lang w:val="en-US" w:eastAsia="zh-CN" w:bidi="en-US"/>
              </w:rPr>
              <w:t xml:space="preserve">表2-2 </w:t>
            </w:r>
            <w:r>
              <w:rPr>
                <w:rFonts w:hint="eastAsia" w:cs="Times New Roman"/>
                <w:b/>
                <w:bCs/>
                <w:color w:val="auto"/>
                <w:kern w:val="2"/>
                <w:sz w:val="24"/>
                <w:szCs w:val="24"/>
                <w:u w:val="none"/>
                <w:lang w:val="en-US" w:eastAsia="zh-CN" w:bidi="en-US"/>
              </w:rPr>
              <w:t xml:space="preserve">  </w:t>
            </w:r>
            <w:r>
              <w:rPr>
                <w:rFonts w:hint="eastAsia" w:ascii="Times New Roman" w:hAnsi="Times New Roman" w:eastAsia="宋体" w:cs="Times New Roman"/>
                <w:b/>
                <w:bCs/>
                <w:color w:val="auto"/>
                <w:kern w:val="2"/>
                <w:sz w:val="24"/>
                <w:szCs w:val="24"/>
                <w:u w:val="none"/>
                <w:lang w:val="en-US" w:eastAsia="zh-CN" w:bidi="en-US"/>
              </w:rPr>
              <w:t>种植基地主要建设内容</w:t>
            </w:r>
          </w:p>
          <w:tbl>
            <w:tblPr>
              <w:tblStyle w:val="126"/>
              <w:tblW w:w="4998" w:type="pct"/>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06"/>
              <w:gridCol w:w="4006"/>
              <w:gridCol w:w="1044"/>
              <w:gridCol w:w="1661"/>
            </w:tblGrid>
            <w:tr w14:paraId="0DCBAE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00" w:type="pct"/>
                  <w:gridSpan w:val="4"/>
                  <w:tcBorders>
                    <w:tl2br w:val="nil"/>
                    <w:tr2bl w:val="nil"/>
                  </w:tcBorders>
                  <w:vAlign w:val="center"/>
                </w:tcPr>
                <w:p w14:paraId="291327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主要技术指标表</w:t>
                  </w:r>
                </w:p>
              </w:tc>
            </w:tr>
            <w:tr w14:paraId="3E46B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5FBBDF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664" w:type="pct"/>
                  <w:tcBorders>
                    <w:tl2br w:val="nil"/>
                    <w:tr2bl w:val="nil"/>
                  </w:tcBorders>
                  <w:vAlign w:val="center"/>
                </w:tcPr>
                <w:p w14:paraId="2A23CA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工程名称</w:t>
                  </w:r>
                </w:p>
              </w:tc>
              <w:tc>
                <w:tcPr>
                  <w:tcW w:w="694" w:type="pct"/>
                  <w:tcBorders>
                    <w:tl2br w:val="nil"/>
                    <w:tr2bl w:val="nil"/>
                  </w:tcBorders>
                  <w:vAlign w:val="center"/>
                </w:tcPr>
                <w:p w14:paraId="654F22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104" w:type="pct"/>
                  <w:tcBorders>
                    <w:tl2br w:val="nil"/>
                    <w:tr2bl w:val="nil"/>
                  </w:tcBorders>
                  <w:vAlign w:val="center"/>
                </w:tcPr>
                <w:p w14:paraId="31E063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工程量</w:t>
                  </w:r>
                </w:p>
              </w:tc>
            </w:tr>
            <w:tr w14:paraId="3CB53C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1196B7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w:t>
                  </w:r>
                </w:p>
              </w:tc>
              <w:tc>
                <w:tcPr>
                  <w:tcW w:w="2664" w:type="pct"/>
                  <w:tcBorders>
                    <w:tl2br w:val="nil"/>
                    <w:tr2bl w:val="nil"/>
                  </w:tcBorders>
                  <w:vAlign w:val="center"/>
                </w:tcPr>
                <w:p w14:paraId="09BB08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工程</w:t>
                  </w:r>
                  <w:r>
                    <w:rPr>
                      <w:rFonts w:hint="default" w:ascii="Times New Roman" w:hAnsi="Times New Roman" w:eastAsia="宋体" w:cs="Times New Roman"/>
                      <w:color w:val="auto"/>
                      <w:sz w:val="21"/>
                      <w:szCs w:val="21"/>
                      <w:lang w:eastAsia="zh-CN"/>
                    </w:rPr>
                    <w:t>内容</w:t>
                  </w:r>
                </w:p>
              </w:tc>
              <w:tc>
                <w:tcPr>
                  <w:tcW w:w="694" w:type="pct"/>
                  <w:tcBorders>
                    <w:tl2br w:val="nil"/>
                    <w:tr2bl w:val="nil"/>
                  </w:tcBorders>
                  <w:vAlign w:val="center"/>
                </w:tcPr>
                <w:p w14:paraId="3E304F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6835EF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r>
            <w:tr w14:paraId="0D7C5A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63FC75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w:t>
                  </w:r>
                </w:p>
              </w:tc>
              <w:tc>
                <w:tcPr>
                  <w:tcW w:w="2664" w:type="pct"/>
                  <w:tcBorders>
                    <w:tl2br w:val="nil"/>
                    <w:tr2bl w:val="nil"/>
                  </w:tcBorders>
                  <w:vAlign w:val="center"/>
                </w:tcPr>
                <w:p w14:paraId="369B80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山银花种植园地</w:t>
                  </w:r>
                </w:p>
              </w:tc>
              <w:tc>
                <w:tcPr>
                  <w:tcW w:w="694" w:type="pct"/>
                  <w:tcBorders>
                    <w:tl2br w:val="nil"/>
                    <w:tr2bl w:val="nil"/>
                  </w:tcBorders>
                  <w:vAlign w:val="center"/>
                </w:tcPr>
                <w:p w14:paraId="14130B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453A1E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21C57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5E5ABB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664" w:type="pct"/>
                  <w:tcBorders>
                    <w:tl2br w:val="nil"/>
                    <w:tr2bl w:val="nil"/>
                  </w:tcBorders>
                  <w:vAlign w:val="center"/>
                </w:tcPr>
                <w:p w14:paraId="6E5995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抚育改造部分</w:t>
                  </w:r>
                </w:p>
              </w:tc>
              <w:tc>
                <w:tcPr>
                  <w:tcW w:w="694" w:type="pct"/>
                  <w:tcBorders>
                    <w:tl2br w:val="nil"/>
                    <w:tr2bl w:val="nil"/>
                  </w:tcBorders>
                  <w:vAlign w:val="center"/>
                </w:tcPr>
                <w:p w14:paraId="577B3B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20E5D6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5E13E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74D14D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2664" w:type="pct"/>
                  <w:tcBorders>
                    <w:tl2br w:val="nil"/>
                    <w:tr2bl w:val="nil"/>
                  </w:tcBorders>
                  <w:vAlign w:val="center"/>
                </w:tcPr>
                <w:p w14:paraId="235D0F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土地平整、梯田修正与垦复</w:t>
                  </w:r>
                </w:p>
              </w:tc>
              <w:tc>
                <w:tcPr>
                  <w:tcW w:w="694" w:type="pct"/>
                  <w:tcBorders>
                    <w:tl2br w:val="nil"/>
                    <w:tr2bl w:val="nil"/>
                  </w:tcBorders>
                  <w:vAlign w:val="center"/>
                </w:tcPr>
                <w:p w14:paraId="52F182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65E00F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69A79D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01C3F1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64" w:type="pct"/>
                  <w:tcBorders>
                    <w:tl2br w:val="nil"/>
                    <w:tr2bl w:val="nil"/>
                  </w:tcBorders>
                  <w:vAlign w:val="center"/>
                </w:tcPr>
                <w:p w14:paraId="70EF2E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苗木更换（茶苗、开户苗）</w:t>
                  </w:r>
                </w:p>
              </w:tc>
              <w:tc>
                <w:tcPr>
                  <w:tcW w:w="694" w:type="pct"/>
                  <w:tcBorders>
                    <w:tl2br w:val="nil"/>
                    <w:tr2bl w:val="nil"/>
                  </w:tcBorders>
                  <w:vAlign w:val="center"/>
                </w:tcPr>
                <w:p w14:paraId="6816DA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4F4D87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577AC8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10A5A6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2664" w:type="pct"/>
                  <w:tcBorders>
                    <w:tl2br w:val="nil"/>
                    <w:tr2bl w:val="nil"/>
                  </w:tcBorders>
                  <w:vAlign w:val="center"/>
                </w:tcPr>
                <w:p w14:paraId="726B74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合理施肥、提高地力</w:t>
                  </w:r>
                </w:p>
              </w:tc>
              <w:tc>
                <w:tcPr>
                  <w:tcW w:w="694" w:type="pct"/>
                  <w:tcBorders>
                    <w:tl2br w:val="nil"/>
                    <w:tr2bl w:val="nil"/>
                  </w:tcBorders>
                  <w:vAlign w:val="center"/>
                </w:tcPr>
                <w:p w14:paraId="1FF7A6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08EEE5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567065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5F89A3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2664" w:type="pct"/>
                  <w:tcBorders>
                    <w:tl2br w:val="nil"/>
                    <w:tr2bl w:val="nil"/>
                  </w:tcBorders>
                  <w:vAlign w:val="center"/>
                </w:tcPr>
                <w:p w14:paraId="4C3559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更换苗木40%底肥</w:t>
                  </w:r>
                </w:p>
              </w:tc>
              <w:tc>
                <w:tcPr>
                  <w:tcW w:w="694" w:type="pct"/>
                  <w:tcBorders>
                    <w:tl2br w:val="nil"/>
                    <w:tr2bl w:val="nil"/>
                  </w:tcBorders>
                  <w:vAlign w:val="center"/>
                </w:tcPr>
                <w:p w14:paraId="5E128D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1104" w:type="pct"/>
                  <w:tcBorders>
                    <w:tl2br w:val="nil"/>
                    <w:tr2bl w:val="nil"/>
                  </w:tcBorders>
                  <w:vAlign w:val="center"/>
                </w:tcPr>
                <w:p w14:paraId="045567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134872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5C3E17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2664" w:type="pct"/>
                  <w:tcBorders>
                    <w:tl2br w:val="nil"/>
                    <w:tr2bl w:val="nil"/>
                  </w:tcBorders>
                  <w:vAlign w:val="center"/>
                </w:tcPr>
                <w:p w14:paraId="7E0C65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抚育改造60%有机肥</w:t>
                  </w:r>
                </w:p>
              </w:tc>
              <w:tc>
                <w:tcPr>
                  <w:tcW w:w="694" w:type="pct"/>
                  <w:tcBorders>
                    <w:tl2br w:val="nil"/>
                    <w:tr2bl w:val="nil"/>
                  </w:tcBorders>
                  <w:vAlign w:val="center"/>
                </w:tcPr>
                <w:p w14:paraId="3CA39C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1104" w:type="pct"/>
                  <w:tcBorders>
                    <w:tl2br w:val="nil"/>
                    <w:tr2bl w:val="nil"/>
                  </w:tcBorders>
                  <w:vAlign w:val="center"/>
                </w:tcPr>
                <w:p w14:paraId="784788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6A0CFC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6C74F5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2664" w:type="pct"/>
                  <w:tcBorders>
                    <w:tl2br w:val="nil"/>
                    <w:tr2bl w:val="nil"/>
                  </w:tcBorders>
                  <w:vAlign w:val="center"/>
                </w:tcPr>
                <w:p w14:paraId="400CF0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修剪更新、优化整形</w:t>
                  </w:r>
                </w:p>
              </w:tc>
              <w:tc>
                <w:tcPr>
                  <w:tcW w:w="694" w:type="pct"/>
                  <w:tcBorders>
                    <w:tl2br w:val="nil"/>
                    <w:tr2bl w:val="nil"/>
                  </w:tcBorders>
                  <w:vAlign w:val="center"/>
                </w:tcPr>
                <w:p w14:paraId="766E3B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43FCF3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2F302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3DA25F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664" w:type="pct"/>
                  <w:tcBorders>
                    <w:tl2br w:val="nil"/>
                    <w:tr2bl w:val="nil"/>
                  </w:tcBorders>
                  <w:vAlign w:val="center"/>
                </w:tcPr>
                <w:p w14:paraId="21123C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除草清杂（含人工喷洒农药）</w:t>
                  </w:r>
                </w:p>
              </w:tc>
              <w:tc>
                <w:tcPr>
                  <w:tcW w:w="694" w:type="pct"/>
                  <w:tcBorders>
                    <w:tl2br w:val="nil"/>
                    <w:tr2bl w:val="nil"/>
                  </w:tcBorders>
                  <w:vAlign w:val="center"/>
                </w:tcPr>
                <w:p w14:paraId="7D6AA7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0AD872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4C025A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2C65C0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2664" w:type="pct"/>
                  <w:tcBorders>
                    <w:tl2br w:val="nil"/>
                    <w:tr2bl w:val="nil"/>
                  </w:tcBorders>
                  <w:vAlign w:val="center"/>
                </w:tcPr>
                <w:p w14:paraId="2353F0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灌溉与排水</w:t>
                  </w:r>
                </w:p>
              </w:tc>
              <w:tc>
                <w:tcPr>
                  <w:tcW w:w="694" w:type="pct"/>
                  <w:tcBorders>
                    <w:tl2br w:val="nil"/>
                    <w:tr2bl w:val="nil"/>
                  </w:tcBorders>
                  <w:vAlign w:val="center"/>
                </w:tcPr>
                <w:p w14:paraId="42DB12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7E26C7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r w14:paraId="1E331D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6" w:type="pct"/>
                  <w:tcBorders>
                    <w:tl2br w:val="nil"/>
                    <w:tr2bl w:val="nil"/>
                  </w:tcBorders>
                  <w:vAlign w:val="center"/>
                </w:tcPr>
                <w:p w14:paraId="1840226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w:t>
                  </w:r>
                  <w:r>
                    <w:rPr>
                      <w:rFonts w:hint="eastAsia" w:cs="Times New Roman"/>
                      <w:color w:val="auto"/>
                      <w:sz w:val="21"/>
                      <w:szCs w:val="21"/>
                      <w:lang w:val="en-US" w:eastAsia="zh-CN"/>
                    </w:rPr>
                    <w:t>7</w:t>
                  </w:r>
                </w:p>
              </w:tc>
              <w:tc>
                <w:tcPr>
                  <w:tcW w:w="2664" w:type="pct"/>
                  <w:tcBorders>
                    <w:tl2br w:val="nil"/>
                    <w:tr2bl w:val="nil"/>
                  </w:tcBorders>
                  <w:vAlign w:val="center"/>
                </w:tcPr>
                <w:p w14:paraId="1D956F4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病虫</w:t>
                  </w:r>
                  <w:r>
                    <w:rPr>
                      <w:rFonts w:hint="eastAsia" w:cs="Times New Roman"/>
                      <w:color w:val="auto"/>
                      <w:sz w:val="21"/>
                      <w:szCs w:val="21"/>
                      <w:lang w:val="en-US" w:eastAsia="zh-CN"/>
                    </w:rPr>
                    <w:t>防治</w:t>
                  </w:r>
                </w:p>
              </w:tc>
              <w:tc>
                <w:tcPr>
                  <w:tcW w:w="694" w:type="pct"/>
                  <w:tcBorders>
                    <w:tl2br w:val="nil"/>
                    <w:tr2bl w:val="nil"/>
                  </w:tcBorders>
                  <w:vAlign w:val="center"/>
                </w:tcPr>
                <w:p w14:paraId="70C390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亩</w:t>
                  </w:r>
                </w:p>
              </w:tc>
              <w:tc>
                <w:tcPr>
                  <w:tcW w:w="1104" w:type="pct"/>
                  <w:tcBorders>
                    <w:tl2br w:val="nil"/>
                    <w:tr2bl w:val="nil"/>
                  </w:tcBorders>
                  <w:vAlign w:val="center"/>
                </w:tcPr>
                <w:p w14:paraId="51B14A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r>
          </w:tbl>
          <w:p w14:paraId="7F87F0D7">
            <w:pPr>
              <w:pStyle w:val="82"/>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Times New Roman" w:hAnsi="Times New Roman" w:cs="Times New Roman"/>
                <w:bCs/>
                <w:color w:val="auto"/>
                <w:u w:val="none"/>
                <w:lang w:val="en-US" w:eastAsia="zh-CN"/>
              </w:rPr>
            </w:pPr>
            <w:r>
              <w:rPr>
                <w:rFonts w:hint="eastAsia" w:cs="Times New Roman"/>
                <w:bCs/>
                <w:color w:val="auto"/>
                <w:u w:val="none"/>
                <w:lang w:val="en-US" w:eastAsia="zh-CN"/>
              </w:rPr>
              <w:t>（2）初加工基地建设内容</w:t>
            </w:r>
          </w:p>
          <w:p w14:paraId="0A251364">
            <w:pPr>
              <w:spacing w:line="360" w:lineRule="auto"/>
              <w:ind w:firstLine="480" w:firstLineChars="200"/>
              <w:rPr>
                <w:rFonts w:hint="default" w:ascii="Times New Roman" w:hAnsi="Times New Roman" w:cs="Times New Roman"/>
                <w:bCs/>
                <w:color w:val="auto"/>
                <w:u w:val="none"/>
                <w:lang w:val="en-US" w:eastAsia="zh-CN"/>
              </w:rPr>
            </w:pPr>
            <w:r>
              <w:rPr>
                <w:rFonts w:hint="eastAsia"/>
                <w:color w:val="auto"/>
                <w:kern w:val="0"/>
                <w:sz w:val="24"/>
                <w:u w:val="single"/>
                <w:lang w:val="en-US" w:eastAsia="zh-CN"/>
              </w:rPr>
              <w:t>本项目初加工基地用地</w:t>
            </w:r>
            <w:r>
              <w:rPr>
                <w:color w:val="auto"/>
                <w:kern w:val="0"/>
                <w:sz w:val="24"/>
                <w:u w:val="single"/>
              </w:rPr>
              <w:t>面积</w:t>
            </w:r>
            <w:r>
              <w:rPr>
                <w:rFonts w:hint="eastAsia"/>
                <w:color w:val="auto"/>
                <w:kern w:val="0"/>
                <w:sz w:val="24"/>
                <w:u w:val="single"/>
                <w:lang w:val="en-US" w:eastAsia="zh-CN"/>
              </w:rPr>
              <w:t>约</w:t>
            </w:r>
            <w:r>
              <w:rPr>
                <w:color w:val="auto"/>
                <w:kern w:val="0"/>
                <w:sz w:val="24"/>
                <w:u w:val="single"/>
              </w:rPr>
              <w:t>为</w:t>
            </w:r>
            <w:r>
              <w:rPr>
                <w:rFonts w:hint="eastAsia" w:cs="Times New Roman"/>
                <w:color w:val="auto"/>
                <w:sz w:val="24"/>
                <w:u w:val="single"/>
                <w:lang w:val="en-US" w:eastAsia="zh-CN"/>
              </w:rPr>
              <w:t>5959.9m</w:t>
            </w:r>
            <w:r>
              <w:rPr>
                <w:color w:val="auto"/>
                <w:kern w:val="0"/>
                <w:sz w:val="24"/>
                <w:u w:val="single"/>
                <w:vertAlign w:val="superscript"/>
              </w:rPr>
              <w:t>2</w:t>
            </w:r>
            <w:r>
              <w:rPr>
                <w:rFonts w:hint="eastAsia"/>
                <w:color w:val="auto"/>
                <w:kern w:val="0"/>
                <w:sz w:val="24"/>
                <w:u w:val="single"/>
              </w:rPr>
              <w:t>，建筑面积</w:t>
            </w:r>
            <w:r>
              <w:rPr>
                <w:rFonts w:hint="eastAsia"/>
                <w:color w:val="auto"/>
                <w:kern w:val="0"/>
                <w:sz w:val="24"/>
                <w:u w:val="single"/>
                <w:lang w:val="en-US" w:eastAsia="zh-CN"/>
              </w:rPr>
              <w:t>5157.53</w:t>
            </w:r>
            <w:r>
              <w:rPr>
                <w:color w:val="auto"/>
                <w:kern w:val="0"/>
                <w:sz w:val="24"/>
                <w:u w:val="single"/>
              </w:rPr>
              <w:t>m</w:t>
            </w:r>
            <w:r>
              <w:rPr>
                <w:color w:val="auto"/>
                <w:kern w:val="0"/>
                <w:sz w:val="24"/>
                <w:u w:val="single"/>
                <w:vertAlign w:val="superscript"/>
              </w:rPr>
              <w:t>2</w:t>
            </w:r>
            <w:r>
              <w:rPr>
                <w:rFonts w:hint="eastAsia"/>
                <w:color w:val="auto"/>
                <w:kern w:val="0"/>
                <w:sz w:val="24"/>
                <w:lang w:val="en-US" w:eastAsia="zh-CN"/>
              </w:rPr>
              <w:t>，主要建设内容包括冷链仓库、原料区、清洗区、筛选区、烘干区、生物质颗粒暂存区、办公区等。</w:t>
            </w:r>
            <w:r>
              <w:rPr>
                <w:color w:val="auto"/>
                <w:kern w:val="0"/>
                <w:sz w:val="24"/>
              </w:rPr>
              <w:t>项目具体建设内容及规模见下表。</w:t>
            </w:r>
          </w:p>
          <w:p w14:paraId="29F9AC3A">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表2-</w:t>
            </w:r>
            <w:r>
              <w:rPr>
                <w:rFonts w:hint="eastAsia" w:cs="Times New Roman"/>
                <w:color w:val="auto"/>
                <w:sz w:val="24"/>
                <w:szCs w:val="24"/>
                <w:u w:val="none"/>
                <w:lang w:val="en-US" w:eastAsia="zh-CN"/>
              </w:rPr>
              <w:t xml:space="preserve">3 </w:t>
            </w:r>
            <w:r>
              <w:rPr>
                <w:rFonts w:hint="default" w:ascii="Times New Roman" w:hAnsi="Times New Roman" w:cs="Times New Roman"/>
                <w:color w:val="auto"/>
                <w:sz w:val="24"/>
                <w:szCs w:val="24"/>
                <w:u w:val="none"/>
              </w:rPr>
              <w:t xml:space="preserve">  </w:t>
            </w:r>
            <w:r>
              <w:rPr>
                <w:rFonts w:hint="eastAsia" w:cs="Times New Roman"/>
                <w:color w:val="auto"/>
                <w:sz w:val="24"/>
                <w:szCs w:val="24"/>
                <w:u w:val="none"/>
                <w:lang w:val="en-US" w:eastAsia="zh-CN"/>
              </w:rPr>
              <w:t>项目</w:t>
            </w:r>
            <w:r>
              <w:rPr>
                <w:rFonts w:hint="default" w:ascii="Times New Roman" w:hAnsi="Times New Roman" w:cs="Times New Roman"/>
                <w:color w:val="auto"/>
                <w:sz w:val="24"/>
                <w:szCs w:val="24"/>
                <w:u w:val="none"/>
              </w:rPr>
              <w:t>主要建设内容一览表</w:t>
            </w:r>
          </w:p>
          <w:tbl>
            <w:tblPr>
              <w:tblStyle w:val="32"/>
              <w:tblW w:w="765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1" w:type="dxa"/>
                <w:bottom w:w="0" w:type="dxa"/>
                <w:right w:w="51" w:type="dxa"/>
              </w:tblCellMar>
            </w:tblPr>
            <w:tblGrid>
              <w:gridCol w:w="570"/>
              <w:gridCol w:w="379"/>
              <w:gridCol w:w="1063"/>
              <w:gridCol w:w="4024"/>
              <w:gridCol w:w="1621"/>
            </w:tblGrid>
            <w:tr w14:paraId="7AED8D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noWrap w:val="0"/>
                  <w:vAlign w:val="center"/>
                </w:tcPr>
                <w:p w14:paraId="2AB7890E">
                  <w:pPr>
                    <w:keepNext w:val="0"/>
                    <w:keepLines w:val="0"/>
                    <w:pageBreakBefore w:val="0"/>
                    <w:widowControl w:val="0"/>
                    <w:kinsoku/>
                    <w:wordWrap/>
                    <w:overflowPunct/>
                    <w:topLinePunct w:val="0"/>
                    <w:autoSpaceDE/>
                    <w:autoSpaceDN w:val="0"/>
                    <w:bidi w:val="0"/>
                    <w:adjustRightInd/>
                    <w:ind w:right="0" w:firstLineChars="0"/>
                    <w:jc w:val="center"/>
                    <w:textAlignment w:val="center"/>
                    <w:rPr>
                      <w:color w:val="auto"/>
                      <w:szCs w:val="21"/>
                    </w:rPr>
                  </w:pPr>
                  <w:r>
                    <w:rPr>
                      <w:rFonts w:hint="eastAsia" w:hAnsi="宋体"/>
                      <w:color w:val="auto"/>
                      <w:szCs w:val="21"/>
                    </w:rPr>
                    <w:t>分类</w:t>
                  </w:r>
                </w:p>
              </w:tc>
              <w:tc>
                <w:tcPr>
                  <w:tcW w:w="941" w:type="pct"/>
                  <w:gridSpan w:val="2"/>
                  <w:noWrap w:val="0"/>
                  <w:vAlign w:val="center"/>
                </w:tcPr>
                <w:p w14:paraId="4486BA5F">
                  <w:pPr>
                    <w:keepNext w:val="0"/>
                    <w:keepLines w:val="0"/>
                    <w:pageBreakBefore w:val="0"/>
                    <w:widowControl w:val="0"/>
                    <w:kinsoku/>
                    <w:wordWrap/>
                    <w:overflowPunct/>
                    <w:topLinePunct w:val="0"/>
                    <w:autoSpaceDE/>
                    <w:autoSpaceDN w:val="0"/>
                    <w:bidi w:val="0"/>
                    <w:adjustRightInd/>
                    <w:ind w:right="0" w:firstLineChars="0"/>
                    <w:jc w:val="center"/>
                    <w:textAlignment w:val="center"/>
                    <w:rPr>
                      <w:color w:val="auto"/>
                      <w:szCs w:val="21"/>
                    </w:rPr>
                  </w:pPr>
                  <w:r>
                    <w:rPr>
                      <w:rFonts w:hint="eastAsia" w:hAnsi="宋体"/>
                      <w:color w:val="auto"/>
                      <w:szCs w:val="21"/>
                    </w:rPr>
                    <w:t>项目组成</w:t>
                  </w:r>
                </w:p>
              </w:tc>
              <w:tc>
                <w:tcPr>
                  <w:tcW w:w="2627" w:type="pct"/>
                  <w:noWrap w:val="0"/>
                  <w:vAlign w:val="center"/>
                </w:tcPr>
                <w:p w14:paraId="2550B15E">
                  <w:pPr>
                    <w:keepNext w:val="0"/>
                    <w:keepLines w:val="0"/>
                    <w:pageBreakBefore w:val="0"/>
                    <w:widowControl w:val="0"/>
                    <w:kinsoku/>
                    <w:wordWrap/>
                    <w:overflowPunct/>
                    <w:topLinePunct w:val="0"/>
                    <w:autoSpaceDE/>
                    <w:autoSpaceDN w:val="0"/>
                    <w:bidi w:val="0"/>
                    <w:adjustRightInd/>
                    <w:ind w:right="0" w:firstLineChars="0"/>
                    <w:jc w:val="center"/>
                    <w:textAlignment w:val="center"/>
                    <w:rPr>
                      <w:color w:val="auto"/>
                      <w:szCs w:val="21"/>
                    </w:rPr>
                  </w:pPr>
                  <w:r>
                    <w:rPr>
                      <w:rFonts w:hint="eastAsia"/>
                      <w:color w:val="auto"/>
                      <w:szCs w:val="21"/>
                    </w:rPr>
                    <w:t>建设内容和规模</w:t>
                  </w:r>
                </w:p>
              </w:tc>
              <w:tc>
                <w:tcPr>
                  <w:tcW w:w="1058" w:type="pct"/>
                  <w:noWrap w:val="0"/>
                  <w:vAlign w:val="center"/>
                </w:tcPr>
                <w:p w14:paraId="03ADD6F6">
                  <w:pPr>
                    <w:keepNext w:val="0"/>
                    <w:keepLines w:val="0"/>
                    <w:pageBreakBefore w:val="0"/>
                    <w:widowControl w:val="0"/>
                    <w:kinsoku/>
                    <w:wordWrap/>
                    <w:overflowPunct/>
                    <w:topLinePunct w:val="0"/>
                    <w:autoSpaceDE/>
                    <w:autoSpaceDN w:val="0"/>
                    <w:bidi w:val="0"/>
                    <w:adjustRightInd/>
                    <w:ind w:right="0" w:firstLineChars="0"/>
                    <w:jc w:val="center"/>
                    <w:textAlignment w:val="center"/>
                    <w:rPr>
                      <w:color w:val="auto"/>
                      <w:szCs w:val="21"/>
                    </w:rPr>
                  </w:pPr>
                  <w:r>
                    <w:rPr>
                      <w:rFonts w:hAnsi="宋体"/>
                      <w:color w:val="auto"/>
                      <w:szCs w:val="21"/>
                    </w:rPr>
                    <w:t>备注</w:t>
                  </w:r>
                </w:p>
              </w:tc>
            </w:tr>
            <w:tr w14:paraId="78842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restart"/>
                  <w:noWrap w:val="0"/>
                  <w:vAlign w:val="center"/>
                </w:tcPr>
                <w:p w14:paraId="7A1072D1">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r>
                    <w:rPr>
                      <w:rFonts w:hint="eastAsia"/>
                      <w:color w:val="auto"/>
                    </w:rPr>
                    <w:t>主体工程</w:t>
                  </w:r>
                </w:p>
              </w:tc>
              <w:tc>
                <w:tcPr>
                  <w:tcW w:w="941" w:type="pct"/>
                  <w:gridSpan w:val="2"/>
                  <w:noWrap w:val="0"/>
                  <w:vAlign w:val="center"/>
                </w:tcPr>
                <w:p w14:paraId="1B390783">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hAnsi="宋体"/>
                      <w:color w:val="auto"/>
                      <w:szCs w:val="21"/>
                      <w:lang w:val="en-US"/>
                    </w:rPr>
                  </w:pPr>
                  <w:r>
                    <w:rPr>
                      <w:rFonts w:hint="eastAsia"/>
                      <w:color w:val="auto"/>
                      <w:lang w:val="en-US" w:eastAsia="zh-CN"/>
                    </w:rPr>
                    <w:t>生产车间</w:t>
                  </w:r>
                </w:p>
              </w:tc>
              <w:tc>
                <w:tcPr>
                  <w:tcW w:w="2627" w:type="pct"/>
                  <w:noWrap w:val="0"/>
                  <w:vAlign w:val="center"/>
                </w:tcPr>
                <w:p w14:paraId="41ACFCE4">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hAnsi="宋体" w:eastAsia="宋体"/>
                      <w:color w:val="auto"/>
                      <w:szCs w:val="21"/>
                      <w:lang w:val="en-US" w:eastAsia="zh-CN"/>
                    </w:rPr>
                  </w:pPr>
                  <w:r>
                    <w:rPr>
                      <w:rFonts w:hint="eastAsia" w:hAnsi="宋体"/>
                      <w:color w:val="auto"/>
                      <w:szCs w:val="21"/>
                      <w:lang w:val="en-US" w:eastAsia="zh-CN"/>
                    </w:rPr>
                    <w:t>位于2#厂房，</w:t>
                  </w:r>
                  <w:r>
                    <w:rPr>
                      <w:rFonts w:hint="eastAsia"/>
                      <w:color w:val="auto"/>
                      <w:lang w:val="en-US" w:eastAsia="zh-CN"/>
                    </w:rPr>
                    <w:t>1F（层高8m），砖混结构，</w:t>
                  </w:r>
                  <w:r>
                    <w:rPr>
                      <w:rFonts w:hint="eastAsia" w:hAnsi="宋体"/>
                      <w:color w:val="auto"/>
                      <w:szCs w:val="21"/>
                      <w:lang w:val="en-US" w:eastAsia="zh-CN"/>
                    </w:rPr>
                    <w:t>建筑面积约2101.53m</w:t>
                  </w:r>
                  <w:r>
                    <w:rPr>
                      <w:rFonts w:hint="eastAsia" w:hAnsi="宋体"/>
                      <w:color w:val="auto"/>
                      <w:szCs w:val="21"/>
                      <w:vertAlign w:val="superscript"/>
                      <w:lang w:val="en-US" w:eastAsia="zh-CN"/>
                    </w:rPr>
                    <w:t>2</w:t>
                  </w:r>
                  <w:r>
                    <w:rPr>
                      <w:rFonts w:hint="eastAsia" w:hAnsi="宋体"/>
                      <w:color w:val="auto"/>
                      <w:szCs w:val="21"/>
                      <w:lang w:val="en-US" w:eastAsia="zh-CN"/>
                    </w:rPr>
                    <w:t>，设筛分区、原料区、清洗区、杀青区、烘干区、包装区等</w:t>
                  </w:r>
                </w:p>
              </w:tc>
              <w:tc>
                <w:tcPr>
                  <w:tcW w:w="1058" w:type="pct"/>
                  <w:noWrap w:val="0"/>
                  <w:vAlign w:val="center"/>
                </w:tcPr>
                <w:p w14:paraId="4D12D24F">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hAnsi="宋体" w:eastAsia="宋体"/>
                      <w:color w:val="auto"/>
                      <w:szCs w:val="21"/>
                      <w:lang w:val="en-US" w:eastAsia="zh-CN"/>
                    </w:rPr>
                  </w:pPr>
                  <w:r>
                    <w:rPr>
                      <w:rFonts w:hint="eastAsia" w:hAnsi="宋体"/>
                      <w:color w:val="auto"/>
                      <w:szCs w:val="21"/>
                      <w:lang w:val="en-US" w:eastAsia="zh-CN"/>
                    </w:rPr>
                    <w:t>含</w:t>
                  </w:r>
                  <w:r>
                    <w:rPr>
                      <w:rFonts w:hint="eastAsia" w:cs="Times New Roman"/>
                      <w:color w:val="auto"/>
                      <w:szCs w:val="21"/>
                      <w:u w:val="none"/>
                      <w:lang w:val="en-US" w:eastAsia="zh-CN"/>
                    </w:rPr>
                    <w:t>生物质蒸汽发生器</w:t>
                  </w:r>
                  <w:r>
                    <w:rPr>
                      <w:rFonts w:hint="default" w:ascii="Times New Roman" w:hAnsi="Times New Roman" w:cs="Times New Roman"/>
                      <w:color w:val="auto"/>
                      <w:szCs w:val="21"/>
                      <w:u w:val="none"/>
                      <w:lang w:eastAsia="zh-CN"/>
                    </w:rPr>
                    <w:t>房</w:t>
                  </w:r>
                  <w:r>
                    <w:rPr>
                      <w:rFonts w:hint="eastAsia" w:ascii="Times New Roman" w:hAnsi="Times New Roman" w:cs="Times New Roman"/>
                      <w:color w:val="auto"/>
                      <w:szCs w:val="21"/>
                      <w:u w:val="none"/>
                      <w:lang w:eastAsia="zh-CN"/>
                    </w:rPr>
                    <w:t>、</w:t>
                  </w:r>
                  <w:r>
                    <w:rPr>
                      <w:rFonts w:hint="eastAsia" w:cs="Times New Roman"/>
                      <w:color w:val="auto"/>
                      <w:szCs w:val="21"/>
                      <w:u w:val="none"/>
                      <w:lang w:val="en-US" w:eastAsia="zh-CN"/>
                    </w:rPr>
                    <w:t>热风炉房、</w:t>
                  </w:r>
                  <w:r>
                    <w:rPr>
                      <w:rFonts w:hint="eastAsia"/>
                      <w:color w:val="auto"/>
                      <w:lang w:val="en-US" w:eastAsia="zh-CN"/>
                    </w:rPr>
                    <w:t>生物质燃料暂存区等</w:t>
                  </w:r>
                </w:p>
              </w:tc>
            </w:tr>
            <w:tr w14:paraId="522ECD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42CC4BAD">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941" w:type="pct"/>
                  <w:gridSpan w:val="2"/>
                  <w:noWrap w:val="0"/>
                  <w:vAlign w:val="center"/>
                </w:tcPr>
                <w:p w14:paraId="4436E440">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color w:val="auto"/>
                      <w:szCs w:val="21"/>
                      <w:lang w:val="en-US"/>
                    </w:rPr>
                  </w:pPr>
                  <w:r>
                    <w:rPr>
                      <w:rFonts w:hint="eastAsia" w:eastAsia="宋体"/>
                      <w:color w:val="auto"/>
                      <w:lang w:val="en-US" w:eastAsia="zh-CN"/>
                    </w:rPr>
                    <w:t>冷链仓库</w:t>
                  </w:r>
                </w:p>
              </w:tc>
              <w:tc>
                <w:tcPr>
                  <w:tcW w:w="2627" w:type="pct"/>
                  <w:noWrap w:val="0"/>
                  <w:vAlign w:val="center"/>
                </w:tcPr>
                <w:p w14:paraId="1A39390B">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hAnsi="宋体" w:eastAsia="宋体"/>
                      <w:color w:val="auto"/>
                      <w:szCs w:val="21"/>
                      <w:lang w:val="en-US" w:eastAsia="zh-CN"/>
                    </w:rPr>
                  </w:pPr>
                  <w:r>
                    <w:rPr>
                      <w:rFonts w:hint="eastAsia" w:hAnsi="宋体"/>
                      <w:color w:val="auto"/>
                      <w:szCs w:val="21"/>
                      <w:lang w:val="en-US" w:eastAsia="zh-CN"/>
                    </w:rPr>
                    <w:t>位于1#仓库，</w:t>
                  </w:r>
                  <w:r>
                    <w:rPr>
                      <w:rFonts w:hint="eastAsia"/>
                      <w:color w:val="auto"/>
                      <w:lang w:val="en-US" w:eastAsia="zh-CN"/>
                    </w:rPr>
                    <w:t>1F（层高8m），砖混结构，</w:t>
                  </w:r>
                  <w:r>
                    <w:rPr>
                      <w:rFonts w:hint="eastAsia" w:hAnsi="宋体"/>
                      <w:color w:val="auto"/>
                      <w:szCs w:val="21"/>
                      <w:lang w:val="en-US" w:eastAsia="zh-CN"/>
                    </w:rPr>
                    <w:t>建筑面积约3056m</w:t>
                  </w:r>
                  <w:r>
                    <w:rPr>
                      <w:rFonts w:hint="eastAsia" w:hAnsi="宋体"/>
                      <w:color w:val="auto"/>
                      <w:szCs w:val="21"/>
                      <w:vertAlign w:val="superscript"/>
                      <w:lang w:val="en-US" w:eastAsia="zh-CN"/>
                    </w:rPr>
                    <w:t>2</w:t>
                  </w:r>
                </w:p>
              </w:tc>
              <w:tc>
                <w:tcPr>
                  <w:tcW w:w="1058" w:type="pct"/>
                  <w:noWrap w:val="0"/>
                  <w:vAlign w:val="center"/>
                </w:tcPr>
                <w:p w14:paraId="0C747C9B">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eastAsia" w:hAnsi="宋体"/>
                      <w:color w:val="auto"/>
                      <w:szCs w:val="21"/>
                    </w:rPr>
                  </w:pPr>
                  <w:r>
                    <w:rPr>
                      <w:rFonts w:hint="eastAsia" w:hAnsi="宋体"/>
                      <w:color w:val="auto"/>
                      <w:szCs w:val="21"/>
                      <w:u w:val="single"/>
                      <w:lang w:val="en-US" w:eastAsia="zh-CN"/>
                    </w:rPr>
                    <w:t>2-8℃</w:t>
                  </w:r>
                  <w:r>
                    <w:rPr>
                      <w:rFonts w:hint="eastAsia" w:ascii="Times New Roman" w:hAnsi="宋体" w:eastAsia="宋体" w:cs="Times New Roman"/>
                      <w:color w:val="auto"/>
                      <w:szCs w:val="21"/>
                      <w:u w:val="single"/>
                      <w:lang w:val="en-US" w:eastAsia="zh-CN"/>
                    </w:rPr>
                    <w:t>冷库；螺杆式机组制冷剂采用环保型制冷剂R134a</w:t>
                  </w:r>
                </w:p>
              </w:tc>
            </w:tr>
            <w:tr w14:paraId="167675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restart"/>
                  <w:noWrap w:val="0"/>
                  <w:vAlign w:val="center"/>
                </w:tcPr>
                <w:p w14:paraId="2F393977">
                  <w:pPr>
                    <w:keepNext w:val="0"/>
                    <w:keepLines w:val="0"/>
                    <w:pageBreakBefore w:val="0"/>
                    <w:widowControl w:val="0"/>
                    <w:kinsoku/>
                    <w:wordWrap/>
                    <w:overflowPunct/>
                    <w:topLinePunct w:val="0"/>
                    <w:autoSpaceDE/>
                    <w:autoSpaceDN w:val="0"/>
                    <w:bidi w:val="0"/>
                    <w:adjustRightInd/>
                    <w:ind w:right="0" w:firstLineChars="0"/>
                    <w:jc w:val="center"/>
                    <w:textAlignment w:val="center"/>
                    <w:rPr>
                      <w:color w:val="auto"/>
                    </w:rPr>
                  </w:pPr>
                  <w:r>
                    <w:rPr>
                      <w:rFonts w:hint="eastAsia"/>
                      <w:color w:val="auto"/>
                      <w:szCs w:val="21"/>
                    </w:rPr>
                    <w:t>辅助工程</w:t>
                  </w:r>
                </w:p>
              </w:tc>
              <w:tc>
                <w:tcPr>
                  <w:tcW w:w="941" w:type="pct"/>
                  <w:gridSpan w:val="2"/>
                  <w:shd w:val="clear" w:color="auto" w:fill="auto"/>
                  <w:noWrap w:val="0"/>
                  <w:vAlign w:val="center"/>
                </w:tcPr>
                <w:p w14:paraId="66B33679">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szCs w:val="21"/>
                      <w:u w:val="none"/>
                      <w:lang w:val="en-US" w:eastAsia="zh-CN"/>
                    </w:rPr>
                    <w:t>生物质蒸汽发生器</w:t>
                  </w:r>
                  <w:r>
                    <w:rPr>
                      <w:rFonts w:hint="default" w:ascii="Times New Roman" w:hAnsi="Times New Roman" w:cs="Times New Roman"/>
                      <w:color w:val="auto"/>
                      <w:szCs w:val="21"/>
                      <w:u w:val="none"/>
                      <w:lang w:eastAsia="zh-CN"/>
                    </w:rPr>
                    <w:t>房</w:t>
                  </w:r>
                </w:p>
              </w:tc>
              <w:tc>
                <w:tcPr>
                  <w:tcW w:w="2627" w:type="pct"/>
                  <w:shd w:val="clear" w:color="auto" w:fill="auto"/>
                  <w:noWrap w:val="0"/>
                  <w:vAlign w:val="center"/>
                </w:tcPr>
                <w:p w14:paraId="77DBE83D">
                  <w:pPr>
                    <w:keepNext w:val="0"/>
                    <w:keepLines w:val="0"/>
                    <w:pageBreakBefore w:val="0"/>
                    <w:kinsoku/>
                    <w:wordWrap/>
                    <w:overflowPunct/>
                    <w:topLinePunct w:val="0"/>
                    <w:autoSpaceDE/>
                    <w:bidi w:val="0"/>
                    <w:adjustRightInd/>
                    <w:spacing w:line="240" w:lineRule="atLeast"/>
                    <w:ind w:right="0"/>
                    <w:jc w:val="center"/>
                    <w:rPr>
                      <w:rFonts w:hint="default" w:ascii="Times New Roman" w:hAnsi="Times New Roman" w:eastAsia="宋体" w:cs="Times New Roman"/>
                      <w:color w:val="auto"/>
                      <w:kern w:val="2"/>
                      <w:sz w:val="21"/>
                      <w:szCs w:val="24"/>
                      <w:u w:val="none"/>
                      <w:lang w:val="en-US" w:eastAsia="zh-CN" w:bidi="ar-SA"/>
                    </w:rPr>
                  </w:pPr>
                  <w:r>
                    <w:rPr>
                      <w:rFonts w:hint="eastAsia" w:hAnsi="宋体"/>
                      <w:color w:val="auto"/>
                      <w:szCs w:val="21"/>
                      <w:lang w:val="en-US" w:eastAsia="zh-CN"/>
                    </w:rPr>
                    <w:t>位于2#厂房西北角</w:t>
                  </w:r>
                  <w:r>
                    <w:rPr>
                      <w:rFonts w:hint="default" w:ascii="Times New Roman" w:hAnsi="Times New Roman" w:cs="Times New Roman"/>
                      <w:color w:val="auto"/>
                      <w:u w:val="none"/>
                      <w:vertAlign w:val="baseline"/>
                      <w:lang w:val="en-US" w:eastAsia="zh-CN"/>
                    </w:rPr>
                    <w:t>；设1台</w:t>
                  </w:r>
                  <w:r>
                    <w:rPr>
                      <w:rFonts w:hint="eastAsia"/>
                      <w:color w:val="auto"/>
                      <w:lang w:val="en-US" w:eastAsia="zh-CN"/>
                    </w:rPr>
                    <w:t>2.5t/h</w:t>
                  </w:r>
                  <w:r>
                    <w:rPr>
                      <w:rFonts w:hint="default" w:ascii="Times New Roman" w:hAnsi="Times New Roman" w:cs="Times New Roman"/>
                      <w:color w:val="auto"/>
                      <w:u w:val="none"/>
                      <w:vertAlign w:val="baseline"/>
                      <w:lang w:val="en-US" w:eastAsia="zh-CN"/>
                    </w:rPr>
                    <w:t>生物质真空低氮</w:t>
                  </w:r>
                  <w:r>
                    <w:rPr>
                      <w:rFonts w:hint="eastAsia" w:ascii="Times New Roman" w:hAnsi="Times New Roman" w:cs="Times New Roman"/>
                      <w:color w:val="auto"/>
                      <w:u w:val="none"/>
                      <w:vertAlign w:val="baseline"/>
                      <w:lang w:val="en-US" w:eastAsia="zh-CN"/>
                    </w:rPr>
                    <w:t>蒸汽</w:t>
                  </w:r>
                  <w:r>
                    <w:rPr>
                      <w:rFonts w:hint="eastAsia" w:cs="Times New Roman"/>
                      <w:color w:val="auto"/>
                      <w:szCs w:val="21"/>
                      <w:u w:val="none"/>
                      <w:lang w:val="en-US" w:eastAsia="zh-CN"/>
                    </w:rPr>
                    <w:t>发生器</w:t>
                  </w:r>
                  <w:r>
                    <w:rPr>
                      <w:rFonts w:hint="default" w:ascii="Times New Roman" w:hAnsi="Times New Roman" w:cs="Times New Roman"/>
                      <w:color w:val="auto"/>
                      <w:u w:val="none"/>
                      <w:vertAlign w:val="baseline"/>
                      <w:lang w:val="en-US" w:eastAsia="zh-CN"/>
                    </w:rPr>
                    <w:t>，</w:t>
                  </w:r>
                  <w:r>
                    <w:rPr>
                      <w:rFonts w:hint="eastAsia" w:cs="Times New Roman"/>
                      <w:color w:val="auto"/>
                      <w:u w:val="none"/>
                      <w:vertAlign w:val="baseline"/>
                      <w:lang w:val="en-US" w:eastAsia="zh-CN"/>
                    </w:rPr>
                    <w:t>杀青</w:t>
                  </w:r>
                  <w:r>
                    <w:rPr>
                      <w:rFonts w:hint="eastAsia" w:ascii="Times New Roman" w:hAnsi="Times New Roman" w:cs="Times New Roman"/>
                      <w:color w:val="auto"/>
                      <w:u w:val="none"/>
                      <w:vertAlign w:val="baseline"/>
                      <w:lang w:val="en-US" w:eastAsia="zh-CN"/>
                    </w:rPr>
                    <w:t>用</w:t>
                  </w:r>
                </w:p>
              </w:tc>
              <w:tc>
                <w:tcPr>
                  <w:tcW w:w="1058" w:type="pct"/>
                  <w:shd w:val="clear" w:color="auto" w:fill="auto"/>
                  <w:noWrap w:val="0"/>
                  <w:vAlign w:val="center"/>
                </w:tcPr>
                <w:p w14:paraId="18AA4926">
                  <w:pPr>
                    <w:keepNext w:val="0"/>
                    <w:keepLines w:val="0"/>
                    <w:pageBreakBefore w:val="0"/>
                    <w:kinsoku/>
                    <w:wordWrap/>
                    <w:overflowPunct/>
                    <w:topLinePunct w:val="0"/>
                    <w:autoSpaceDE/>
                    <w:bidi w:val="0"/>
                    <w:adjustRightInd/>
                    <w:ind w:right="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u w:val="none"/>
                      <w:lang w:val="en-US" w:eastAsia="zh-CN"/>
                    </w:rPr>
                    <w:t>/</w:t>
                  </w:r>
                </w:p>
              </w:tc>
            </w:tr>
            <w:tr w14:paraId="15A89E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31AFDEFA">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color w:val="auto"/>
                      <w:szCs w:val="21"/>
                    </w:rPr>
                  </w:pPr>
                </w:p>
              </w:tc>
              <w:tc>
                <w:tcPr>
                  <w:tcW w:w="941" w:type="pct"/>
                  <w:gridSpan w:val="2"/>
                  <w:shd w:val="clear" w:color="auto" w:fill="auto"/>
                  <w:noWrap w:val="0"/>
                  <w:vAlign w:val="center"/>
                </w:tcPr>
                <w:p w14:paraId="6F556A47">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szCs w:val="21"/>
                      <w:u w:val="none"/>
                      <w:lang w:val="en-US" w:eastAsia="zh-CN"/>
                    </w:rPr>
                    <w:t>生物质热风炉房</w:t>
                  </w:r>
                </w:p>
              </w:tc>
              <w:tc>
                <w:tcPr>
                  <w:tcW w:w="2627" w:type="pct"/>
                  <w:shd w:val="clear" w:color="auto" w:fill="auto"/>
                  <w:noWrap w:val="0"/>
                  <w:vAlign w:val="center"/>
                </w:tcPr>
                <w:p w14:paraId="48789B6F">
                  <w:pPr>
                    <w:keepNext w:val="0"/>
                    <w:keepLines w:val="0"/>
                    <w:pageBreakBefore w:val="0"/>
                    <w:kinsoku/>
                    <w:wordWrap/>
                    <w:overflowPunct/>
                    <w:topLinePunct w:val="0"/>
                    <w:autoSpaceDE/>
                    <w:bidi w:val="0"/>
                    <w:adjustRightInd/>
                    <w:spacing w:line="240" w:lineRule="atLeast"/>
                    <w:ind w:right="0"/>
                    <w:jc w:val="center"/>
                    <w:rPr>
                      <w:rFonts w:hint="eastAsia" w:ascii="Times New Roman" w:hAnsi="宋体" w:eastAsia="宋体" w:cs="Times New Roman"/>
                      <w:color w:val="auto"/>
                      <w:kern w:val="2"/>
                      <w:sz w:val="21"/>
                      <w:szCs w:val="21"/>
                      <w:lang w:val="en-US" w:eastAsia="zh-CN" w:bidi="ar-SA"/>
                    </w:rPr>
                  </w:pPr>
                  <w:r>
                    <w:rPr>
                      <w:rFonts w:hint="eastAsia" w:hAnsi="宋体"/>
                      <w:color w:val="auto"/>
                      <w:szCs w:val="21"/>
                      <w:lang w:val="en-US" w:eastAsia="zh-CN"/>
                    </w:rPr>
                    <w:t>位于2#厂房西南角</w:t>
                  </w:r>
                  <w:r>
                    <w:rPr>
                      <w:rFonts w:hint="default" w:ascii="Times New Roman" w:hAnsi="Times New Roman" w:cs="Times New Roman"/>
                      <w:color w:val="auto"/>
                      <w:u w:val="none"/>
                      <w:vertAlign w:val="baseline"/>
                      <w:lang w:val="en-US" w:eastAsia="zh-CN"/>
                    </w:rPr>
                    <w:t>；设1台</w:t>
                  </w:r>
                  <w:r>
                    <w:rPr>
                      <w:rFonts w:hint="eastAsia" w:cs="Times New Roman"/>
                      <w:color w:val="auto"/>
                      <w:szCs w:val="21"/>
                      <w:u w:val="none"/>
                      <w:lang w:val="en-US" w:eastAsia="zh-CN"/>
                    </w:rPr>
                    <w:t>生物质热风炉房</w:t>
                  </w:r>
                  <w:r>
                    <w:rPr>
                      <w:rFonts w:hint="default" w:ascii="Times New Roman" w:hAnsi="Times New Roman" w:cs="Times New Roman"/>
                      <w:color w:val="auto"/>
                      <w:u w:val="none"/>
                      <w:vertAlign w:val="baseline"/>
                      <w:lang w:val="en-US" w:eastAsia="zh-CN"/>
                    </w:rPr>
                    <w:t>，</w:t>
                  </w:r>
                  <w:r>
                    <w:rPr>
                      <w:rFonts w:hint="eastAsia" w:ascii="Times New Roman" w:hAnsi="Times New Roman" w:cs="Times New Roman"/>
                      <w:color w:val="auto"/>
                      <w:u w:val="none"/>
                      <w:vertAlign w:val="baseline"/>
                      <w:lang w:val="en-US" w:eastAsia="zh-CN"/>
                    </w:rPr>
                    <w:t>烘干用</w:t>
                  </w:r>
                </w:p>
              </w:tc>
              <w:tc>
                <w:tcPr>
                  <w:tcW w:w="1058" w:type="pct"/>
                  <w:shd w:val="clear" w:color="auto" w:fill="auto"/>
                  <w:noWrap w:val="0"/>
                  <w:vAlign w:val="center"/>
                </w:tcPr>
                <w:p w14:paraId="379BF91B">
                  <w:pPr>
                    <w:keepNext w:val="0"/>
                    <w:keepLines w:val="0"/>
                    <w:pageBreakBefore w:val="0"/>
                    <w:kinsoku/>
                    <w:wordWrap/>
                    <w:overflowPunct/>
                    <w:topLinePunct w:val="0"/>
                    <w:autoSpaceDE/>
                    <w:bidi w:val="0"/>
                    <w:adjustRightInd/>
                    <w:ind w:right="0"/>
                    <w:jc w:val="center"/>
                    <w:rPr>
                      <w:rFonts w:hint="eastAsia" w:ascii="Times New Roman" w:hAnsi="Times New Roman" w:eastAsia="宋体" w:cs="Times New Roman"/>
                      <w:color w:val="auto"/>
                      <w:kern w:val="2"/>
                      <w:sz w:val="21"/>
                      <w:szCs w:val="24"/>
                      <w:u w:val="none"/>
                      <w:lang w:val="en-US" w:eastAsia="zh-CN" w:bidi="ar-SA"/>
                    </w:rPr>
                  </w:pPr>
                  <w:r>
                    <w:rPr>
                      <w:rFonts w:hint="eastAsia" w:cs="Times New Roman"/>
                      <w:color w:val="auto"/>
                      <w:u w:val="none"/>
                      <w:lang w:val="en-US" w:eastAsia="zh-CN"/>
                    </w:rPr>
                    <w:t>/</w:t>
                  </w:r>
                </w:p>
              </w:tc>
            </w:tr>
            <w:tr w14:paraId="483345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55EA9BDF">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color w:val="auto"/>
                      <w:szCs w:val="21"/>
                    </w:rPr>
                  </w:pPr>
                </w:p>
              </w:tc>
              <w:tc>
                <w:tcPr>
                  <w:tcW w:w="941" w:type="pct"/>
                  <w:gridSpan w:val="2"/>
                  <w:shd w:val="clear" w:color="auto" w:fill="auto"/>
                  <w:noWrap w:val="0"/>
                  <w:vAlign w:val="center"/>
                </w:tcPr>
                <w:p w14:paraId="36887BBF">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生物质颗粒暂存区</w:t>
                  </w:r>
                </w:p>
              </w:tc>
              <w:tc>
                <w:tcPr>
                  <w:tcW w:w="2627" w:type="pct"/>
                  <w:shd w:val="clear" w:color="auto" w:fill="auto"/>
                  <w:noWrap w:val="0"/>
                  <w:vAlign w:val="center"/>
                </w:tcPr>
                <w:p w14:paraId="064B2E51">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ascii="Times New Roman" w:hAnsi="宋体" w:eastAsia="宋体" w:cs="Times New Roman"/>
                      <w:color w:val="auto"/>
                      <w:kern w:val="2"/>
                      <w:sz w:val="21"/>
                      <w:szCs w:val="21"/>
                      <w:lang w:val="en-US" w:eastAsia="zh-CN" w:bidi="ar-SA"/>
                    </w:rPr>
                  </w:pPr>
                  <w:r>
                    <w:rPr>
                      <w:rFonts w:hint="eastAsia" w:hAnsi="宋体"/>
                      <w:color w:val="auto"/>
                      <w:szCs w:val="21"/>
                      <w:lang w:val="en-US" w:eastAsia="zh-CN"/>
                    </w:rPr>
                    <w:t>位于2#厂房东北角</w:t>
                  </w:r>
                </w:p>
              </w:tc>
              <w:tc>
                <w:tcPr>
                  <w:tcW w:w="1058" w:type="pct"/>
                  <w:shd w:val="clear" w:color="auto" w:fill="auto"/>
                  <w:noWrap w:val="0"/>
                  <w:vAlign w:val="center"/>
                </w:tcPr>
                <w:p w14:paraId="254BA68F">
                  <w:pPr>
                    <w:keepNext w:val="0"/>
                    <w:keepLines w:val="0"/>
                    <w:pageBreakBefore w:val="0"/>
                    <w:widowControl w:val="0"/>
                    <w:kinsoku/>
                    <w:wordWrap/>
                    <w:overflowPunct/>
                    <w:topLinePunct w:val="0"/>
                    <w:autoSpaceDE/>
                    <w:autoSpaceDN w:val="0"/>
                    <w:bidi w:val="0"/>
                    <w:adjustRightInd/>
                    <w:ind w:right="0" w:firstLine="0" w:firstLineChars="0"/>
                    <w:jc w:val="center"/>
                    <w:textAlignment w:val="center"/>
                    <w:rPr>
                      <w:rFonts w:hint="default" w:ascii="Times New Roman" w:hAnsi="宋体" w:eastAsia="宋体" w:cs="Times New Roman"/>
                      <w:color w:val="auto"/>
                      <w:kern w:val="2"/>
                      <w:sz w:val="21"/>
                      <w:szCs w:val="21"/>
                      <w:lang w:val="en-US" w:eastAsia="zh-CN" w:bidi="ar-SA"/>
                    </w:rPr>
                  </w:pPr>
                  <w:r>
                    <w:rPr>
                      <w:rFonts w:hint="eastAsia" w:ascii="Times New Roman" w:hAnsi="宋体" w:cs="Times New Roman"/>
                      <w:color w:val="auto"/>
                      <w:kern w:val="2"/>
                      <w:sz w:val="21"/>
                      <w:szCs w:val="21"/>
                      <w:lang w:val="en-US" w:eastAsia="zh-CN" w:bidi="ar-SA"/>
                    </w:rPr>
                    <w:t>/</w:t>
                  </w:r>
                </w:p>
              </w:tc>
            </w:tr>
            <w:tr w14:paraId="24486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restart"/>
                  <w:noWrap w:val="0"/>
                  <w:vAlign w:val="center"/>
                </w:tcPr>
                <w:p w14:paraId="65898971">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r>
                    <w:rPr>
                      <w:rFonts w:hint="eastAsia" w:hAnsi="宋体"/>
                      <w:color w:val="auto"/>
                      <w:szCs w:val="21"/>
                    </w:rPr>
                    <w:t>公用工程</w:t>
                  </w:r>
                </w:p>
              </w:tc>
              <w:tc>
                <w:tcPr>
                  <w:tcW w:w="941" w:type="pct"/>
                  <w:gridSpan w:val="2"/>
                  <w:noWrap w:val="0"/>
                  <w:vAlign w:val="center"/>
                </w:tcPr>
                <w:p w14:paraId="3E11C2FC">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color w:val="auto"/>
                    </w:rPr>
                  </w:pPr>
                  <w:r>
                    <w:rPr>
                      <w:rFonts w:hint="eastAsia"/>
                      <w:color w:val="auto"/>
                      <w:sz w:val="21"/>
                      <w:szCs w:val="21"/>
                    </w:rPr>
                    <w:t>供电</w:t>
                  </w:r>
                </w:p>
              </w:tc>
              <w:tc>
                <w:tcPr>
                  <w:tcW w:w="2627" w:type="pct"/>
                  <w:noWrap w:val="0"/>
                  <w:vAlign w:val="center"/>
                </w:tcPr>
                <w:p w14:paraId="2017C485">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default" w:eastAsia="宋体"/>
                      <w:color w:val="auto"/>
                      <w:lang w:val="en-US" w:eastAsia="zh-CN"/>
                    </w:rPr>
                  </w:pPr>
                  <w:r>
                    <w:rPr>
                      <w:rFonts w:hint="eastAsia" w:eastAsia="宋体"/>
                      <w:color w:val="auto"/>
                      <w:lang w:val="en-US" w:eastAsia="zh-CN"/>
                    </w:rPr>
                    <w:t>变压器增加60kw/h容量及相关新增设备配电系统</w:t>
                  </w:r>
                </w:p>
              </w:tc>
              <w:tc>
                <w:tcPr>
                  <w:tcW w:w="1058" w:type="pct"/>
                  <w:noWrap w:val="0"/>
                  <w:vAlign w:val="center"/>
                </w:tcPr>
                <w:p w14:paraId="17E13328">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default" w:hAnsi="宋体" w:eastAsia="宋体"/>
                      <w:color w:val="auto"/>
                      <w:szCs w:val="21"/>
                      <w:lang w:val="en-US" w:eastAsia="zh-CN"/>
                    </w:rPr>
                  </w:pPr>
                  <w:r>
                    <w:rPr>
                      <w:rFonts w:hint="eastAsia" w:ascii="Times New Roman" w:hAnsi="宋体" w:cs="Times New Roman"/>
                      <w:color w:val="auto"/>
                      <w:kern w:val="2"/>
                      <w:sz w:val="21"/>
                      <w:szCs w:val="21"/>
                      <w:lang w:val="en-US" w:eastAsia="zh-CN" w:bidi="ar-SA"/>
                    </w:rPr>
                    <w:t>/</w:t>
                  </w:r>
                </w:p>
              </w:tc>
            </w:tr>
            <w:tr w14:paraId="74DC46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7FFE5464">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941" w:type="pct"/>
                  <w:gridSpan w:val="2"/>
                  <w:noWrap w:val="0"/>
                  <w:vAlign w:val="center"/>
                </w:tcPr>
                <w:p w14:paraId="0F337466">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color w:val="auto"/>
                    </w:rPr>
                  </w:pPr>
                  <w:r>
                    <w:rPr>
                      <w:rFonts w:hint="eastAsia"/>
                      <w:color w:val="auto"/>
                      <w:sz w:val="21"/>
                      <w:szCs w:val="21"/>
                    </w:rPr>
                    <w:t>供水</w:t>
                  </w:r>
                </w:p>
              </w:tc>
              <w:tc>
                <w:tcPr>
                  <w:tcW w:w="2627" w:type="pct"/>
                  <w:noWrap w:val="0"/>
                  <w:vAlign w:val="center"/>
                </w:tcPr>
                <w:p w14:paraId="04E9F194">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default" w:eastAsia="宋体"/>
                      <w:color w:val="auto"/>
                      <w:lang w:val="en-US" w:eastAsia="zh-CN"/>
                    </w:rPr>
                  </w:pPr>
                  <w:r>
                    <w:rPr>
                      <w:rFonts w:hint="eastAsia"/>
                      <w:color w:val="auto"/>
                      <w:lang w:val="en-US" w:eastAsia="zh-CN"/>
                    </w:rPr>
                    <w:t>生产车间屋顶设5m</w:t>
                  </w:r>
                  <w:r>
                    <w:rPr>
                      <w:rFonts w:hint="eastAsia"/>
                      <w:color w:val="auto"/>
                      <w:vertAlign w:val="superscript"/>
                      <w:lang w:val="en-US" w:eastAsia="zh-CN"/>
                    </w:rPr>
                    <w:t>3</w:t>
                  </w:r>
                  <w:r>
                    <w:rPr>
                      <w:rFonts w:hint="eastAsia"/>
                      <w:color w:val="auto"/>
                      <w:lang w:val="en-US" w:eastAsia="zh-CN"/>
                    </w:rPr>
                    <w:t>消防水箱；建设用水管网、室外消火栓等</w:t>
                  </w:r>
                </w:p>
              </w:tc>
              <w:tc>
                <w:tcPr>
                  <w:tcW w:w="1058" w:type="pct"/>
                  <w:noWrap w:val="0"/>
                  <w:vAlign w:val="center"/>
                </w:tcPr>
                <w:p w14:paraId="2D700D05">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hAnsi="宋体"/>
                      <w:color w:val="auto"/>
                      <w:szCs w:val="21"/>
                    </w:rPr>
                  </w:pPr>
                  <w:r>
                    <w:rPr>
                      <w:rFonts w:hint="eastAsia" w:ascii="Times New Roman" w:hAnsi="宋体" w:cs="Times New Roman"/>
                      <w:color w:val="auto"/>
                      <w:kern w:val="2"/>
                      <w:sz w:val="21"/>
                      <w:szCs w:val="21"/>
                      <w:lang w:val="en-US" w:eastAsia="zh-CN" w:bidi="ar-SA"/>
                    </w:rPr>
                    <w:t>/</w:t>
                  </w:r>
                </w:p>
              </w:tc>
            </w:tr>
            <w:tr w14:paraId="07517E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restart"/>
                  <w:noWrap w:val="0"/>
                  <w:vAlign w:val="center"/>
                </w:tcPr>
                <w:p w14:paraId="79168CAD">
                  <w:pPr>
                    <w:keepNext w:val="0"/>
                    <w:keepLines w:val="0"/>
                    <w:pageBreakBefore w:val="0"/>
                    <w:widowControl w:val="0"/>
                    <w:kinsoku/>
                    <w:wordWrap/>
                    <w:overflowPunct/>
                    <w:topLinePunct w:val="0"/>
                    <w:autoSpaceDE/>
                    <w:autoSpaceDN w:val="0"/>
                    <w:bidi w:val="0"/>
                    <w:adjustRightInd/>
                    <w:ind w:right="0" w:firstLineChars="0"/>
                    <w:jc w:val="center"/>
                    <w:textAlignment w:val="center"/>
                    <w:rPr>
                      <w:color w:val="auto"/>
                    </w:rPr>
                  </w:pPr>
                  <w:r>
                    <w:rPr>
                      <w:rFonts w:hint="eastAsia"/>
                      <w:color w:val="auto"/>
                    </w:rPr>
                    <w:t>环保工程</w:t>
                  </w:r>
                </w:p>
              </w:tc>
              <w:tc>
                <w:tcPr>
                  <w:tcW w:w="247" w:type="pct"/>
                  <w:vMerge w:val="restart"/>
                  <w:noWrap w:val="0"/>
                  <w:vAlign w:val="center"/>
                </w:tcPr>
                <w:p w14:paraId="3C4425E7">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bCs/>
                      <w:color w:val="auto"/>
                      <w:sz w:val="21"/>
                      <w:szCs w:val="21"/>
                    </w:rPr>
                  </w:pPr>
                  <w:r>
                    <w:rPr>
                      <w:rFonts w:hint="eastAsia"/>
                      <w:bCs/>
                      <w:color w:val="auto"/>
                      <w:sz w:val="21"/>
                      <w:szCs w:val="21"/>
                    </w:rPr>
                    <w:t>废水</w:t>
                  </w:r>
                </w:p>
              </w:tc>
              <w:tc>
                <w:tcPr>
                  <w:tcW w:w="694" w:type="pct"/>
                  <w:noWrap w:val="0"/>
                  <w:vAlign w:val="center"/>
                </w:tcPr>
                <w:p w14:paraId="54E45EB3">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default"/>
                      <w:color w:val="auto"/>
                      <w:kern w:val="0"/>
                      <w:sz w:val="21"/>
                      <w:szCs w:val="21"/>
                      <w:lang w:val="en-US" w:eastAsia="zh-CN" w:bidi="ar-SA"/>
                    </w:rPr>
                  </w:pPr>
                  <w:r>
                    <w:rPr>
                      <w:rFonts w:hint="eastAsia"/>
                      <w:color w:val="auto"/>
                      <w:kern w:val="0"/>
                      <w:sz w:val="21"/>
                      <w:szCs w:val="21"/>
                      <w:lang w:val="en-US" w:eastAsia="zh-CN" w:bidi="ar-SA"/>
                    </w:rPr>
                    <w:t>生活污水</w:t>
                  </w:r>
                </w:p>
              </w:tc>
              <w:tc>
                <w:tcPr>
                  <w:tcW w:w="2627" w:type="pct"/>
                  <w:noWrap w:val="0"/>
                  <w:vAlign w:val="center"/>
                </w:tcPr>
                <w:p w14:paraId="32128AB7">
                  <w:pPr>
                    <w:keepNext w:val="0"/>
                    <w:keepLines w:val="0"/>
                    <w:pageBreakBefore w:val="0"/>
                    <w:widowControl w:val="0"/>
                    <w:kinsoku/>
                    <w:wordWrap/>
                    <w:overflowPunct/>
                    <w:topLinePunct w:val="0"/>
                    <w:autoSpaceDE/>
                    <w:bidi w:val="0"/>
                    <w:adjustRightInd/>
                    <w:snapToGrid w:val="0"/>
                    <w:spacing w:after="0" w:line="240" w:lineRule="auto"/>
                    <w:ind w:right="0" w:firstLine="0" w:firstLineChars="0"/>
                    <w:jc w:val="center"/>
                    <w:rPr>
                      <w:rFonts w:hint="default" w:eastAsia="宋体"/>
                      <w:color w:val="auto"/>
                      <w:kern w:val="0"/>
                      <w:sz w:val="21"/>
                      <w:szCs w:val="21"/>
                      <w:lang w:val="en-US" w:eastAsia="zh-CN" w:bidi="ar-SA"/>
                    </w:rPr>
                  </w:pPr>
                  <w:r>
                    <w:rPr>
                      <w:rFonts w:hint="eastAsia"/>
                      <w:color w:val="auto"/>
                      <w:kern w:val="0"/>
                      <w:sz w:val="21"/>
                      <w:szCs w:val="21"/>
                      <w:lang w:val="en-US" w:eastAsia="zh-CN" w:bidi="ar-SA"/>
                    </w:rPr>
                    <w:t>生活污水经化粪池预处理后通过市政污水管网排入</w:t>
                  </w:r>
                  <w:r>
                    <w:rPr>
                      <w:rFonts w:hint="eastAsia" w:ascii="Times New Roman" w:hAnsi="Times New Roman" w:eastAsia="宋体" w:cs="Times New Roman"/>
                      <w:color w:val="auto"/>
                      <w:sz w:val="21"/>
                      <w:szCs w:val="21"/>
                      <w:highlight w:val="none"/>
                      <w:u w:val="none" w:color="auto"/>
                      <w:lang w:val="en-US" w:eastAsia="zh-CN"/>
                    </w:rPr>
                    <w:t>龙潭镇污水处理厂综合处理</w:t>
                  </w:r>
                </w:p>
              </w:tc>
              <w:tc>
                <w:tcPr>
                  <w:tcW w:w="1058" w:type="pct"/>
                  <w:noWrap w:val="0"/>
                  <w:vAlign w:val="center"/>
                </w:tcPr>
                <w:p w14:paraId="406EEB21">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default" w:hAnsi="宋体" w:eastAsia="宋体"/>
                      <w:color w:val="auto"/>
                      <w:szCs w:val="21"/>
                      <w:lang w:val="en-US" w:eastAsia="zh-CN"/>
                    </w:rPr>
                  </w:pPr>
                  <w:r>
                    <w:rPr>
                      <w:rFonts w:hint="eastAsia" w:ascii="Times New Roman" w:hAnsi="宋体" w:cs="Times New Roman"/>
                      <w:color w:val="auto"/>
                      <w:kern w:val="2"/>
                      <w:sz w:val="21"/>
                      <w:szCs w:val="21"/>
                      <w:lang w:val="en-US" w:eastAsia="zh-CN" w:bidi="ar-SA"/>
                    </w:rPr>
                    <w:t>/</w:t>
                  </w:r>
                </w:p>
              </w:tc>
            </w:tr>
            <w:tr w14:paraId="155D2D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1BE89E66">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color w:val="auto"/>
                    </w:rPr>
                  </w:pPr>
                </w:p>
              </w:tc>
              <w:tc>
                <w:tcPr>
                  <w:tcW w:w="247" w:type="pct"/>
                  <w:vMerge w:val="continue"/>
                  <w:noWrap w:val="0"/>
                  <w:vAlign w:val="center"/>
                </w:tcPr>
                <w:p w14:paraId="647FD1AF">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bCs/>
                      <w:color w:val="auto"/>
                      <w:sz w:val="21"/>
                      <w:szCs w:val="21"/>
                    </w:rPr>
                  </w:pPr>
                </w:p>
              </w:tc>
              <w:tc>
                <w:tcPr>
                  <w:tcW w:w="694" w:type="pct"/>
                  <w:noWrap w:val="0"/>
                  <w:vAlign w:val="center"/>
                </w:tcPr>
                <w:p w14:paraId="6749E0F1">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default"/>
                      <w:color w:val="auto"/>
                      <w:kern w:val="0"/>
                      <w:sz w:val="21"/>
                      <w:szCs w:val="21"/>
                      <w:lang w:val="en-US" w:eastAsia="zh-CN" w:bidi="ar-SA"/>
                    </w:rPr>
                  </w:pPr>
                  <w:r>
                    <w:rPr>
                      <w:rFonts w:hint="eastAsia"/>
                      <w:color w:val="auto"/>
                      <w:kern w:val="0"/>
                      <w:sz w:val="21"/>
                      <w:szCs w:val="21"/>
                      <w:lang w:val="en-US" w:eastAsia="zh-CN" w:bidi="ar-SA"/>
                    </w:rPr>
                    <w:t>生产废水</w:t>
                  </w:r>
                </w:p>
              </w:tc>
              <w:tc>
                <w:tcPr>
                  <w:tcW w:w="2627" w:type="pct"/>
                  <w:tcBorders>
                    <w:bottom w:val="single" w:color="auto" w:sz="4" w:space="0"/>
                  </w:tcBorders>
                  <w:noWrap w:val="0"/>
                  <w:vAlign w:val="center"/>
                </w:tcPr>
                <w:p w14:paraId="3712CF9F">
                  <w:pPr>
                    <w:pStyle w:val="30"/>
                    <w:keepNext w:val="0"/>
                    <w:keepLines w:val="0"/>
                    <w:pageBreakBefore w:val="0"/>
                    <w:widowControl w:val="0"/>
                    <w:kinsoku/>
                    <w:wordWrap/>
                    <w:overflowPunct/>
                    <w:topLinePunct w:val="0"/>
                    <w:autoSpaceDE/>
                    <w:bidi w:val="0"/>
                    <w:adjustRightInd/>
                    <w:snapToGrid w:val="0"/>
                    <w:spacing w:before="0" w:after="0" w:line="240" w:lineRule="auto"/>
                    <w:ind w:right="0" w:firstLine="0" w:firstLineChars="0"/>
                    <w:jc w:val="center"/>
                    <w:rPr>
                      <w:rFonts w:hint="default"/>
                      <w:color w:val="auto"/>
                      <w:kern w:val="0"/>
                      <w:sz w:val="21"/>
                      <w:szCs w:val="21"/>
                      <w:lang w:val="en-US" w:eastAsia="zh-CN" w:bidi="ar-SA"/>
                    </w:rPr>
                  </w:pPr>
                  <w:r>
                    <w:rPr>
                      <w:rFonts w:hint="eastAsia" w:hAnsi="宋体"/>
                      <w:color w:val="auto"/>
                      <w:szCs w:val="21"/>
                      <w:lang w:val="en-US" w:eastAsia="zh-CN"/>
                    </w:rPr>
                    <w:t>制软水尾水、原材料</w:t>
                  </w:r>
                  <w:r>
                    <w:rPr>
                      <w:rFonts w:hint="eastAsia" w:hAnsi="宋体" w:eastAsia="宋体"/>
                      <w:color w:val="auto"/>
                      <w:szCs w:val="21"/>
                      <w:lang w:val="en-US" w:eastAsia="zh-CN"/>
                    </w:rPr>
                    <w:t>清洗</w:t>
                  </w:r>
                  <w:r>
                    <w:rPr>
                      <w:rFonts w:hint="eastAsia" w:hAnsi="宋体"/>
                      <w:color w:val="auto"/>
                      <w:szCs w:val="21"/>
                      <w:lang w:val="en-US" w:eastAsia="zh-CN"/>
                    </w:rPr>
                    <w:t>废</w:t>
                  </w:r>
                  <w:r>
                    <w:rPr>
                      <w:rFonts w:hint="eastAsia" w:hAnsi="宋体" w:eastAsia="宋体"/>
                      <w:color w:val="auto"/>
                      <w:szCs w:val="21"/>
                      <w:lang w:val="en-US" w:eastAsia="zh-CN"/>
                    </w:rPr>
                    <w:t>水</w:t>
                  </w:r>
                  <w:r>
                    <w:rPr>
                      <w:rFonts w:hint="eastAsia" w:hAnsi="宋体"/>
                      <w:color w:val="auto"/>
                      <w:szCs w:val="21"/>
                      <w:lang w:val="en-US" w:eastAsia="zh-CN"/>
                    </w:rPr>
                    <w:t>、地面清洁废水经三级沉淀池处理后</w:t>
                  </w:r>
                  <w:r>
                    <w:rPr>
                      <w:rFonts w:hint="eastAsia" w:ascii="Times New Roman" w:hAnsi="宋体" w:eastAsia="宋体" w:cs="Times New Roman"/>
                      <w:color w:val="auto"/>
                      <w:szCs w:val="21"/>
                      <w:lang w:val="en-US" w:eastAsia="zh-CN"/>
                    </w:rPr>
                    <w:t>经市政管网排放至龙潭镇污水处理厂</w:t>
                  </w:r>
                </w:p>
              </w:tc>
              <w:tc>
                <w:tcPr>
                  <w:tcW w:w="1058" w:type="pct"/>
                  <w:tcBorders>
                    <w:bottom w:val="single" w:color="auto" w:sz="4" w:space="0"/>
                  </w:tcBorders>
                  <w:noWrap w:val="0"/>
                  <w:vAlign w:val="center"/>
                </w:tcPr>
                <w:p w14:paraId="6DD7BFDC">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default" w:hAnsi="宋体" w:eastAsia="宋体"/>
                      <w:color w:val="auto"/>
                      <w:szCs w:val="21"/>
                      <w:lang w:val="en-US" w:eastAsia="zh-CN"/>
                    </w:rPr>
                  </w:pPr>
                  <w:r>
                    <w:rPr>
                      <w:rFonts w:hint="eastAsia" w:ascii="Times New Roman" w:hAnsi="宋体" w:cs="Times New Roman"/>
                      <w:color w:val="auto"/>
                      <w:kern w:val="2"/>
                      <w:sz w:val="21"/>
                      <w:szCs w:val="21"/>
                      <w:lang w:val="en-US" w:eastAsia="zh-CN" w:bidi="ar-SA"/>
                    </w:rPr>
                    <w:t>/</w:t>
                  </w:r>
                </w:p>
              </w:tc>
            </w:tr>
            <w:tr w14:paraId="51E761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13" w:hRule="atLeast"/>
                <w:jc w:val="center"/>
              </w:trPr>
              <w:tc>
                <w:tcPr>
                  <w:tcW w:w="372" w:type="pct"/>
                  <w:vMerge w:val="continue"/>
                  <w:noWrap w:val="0"/>
                  <w:vAlign w:val="center"/>
                </w:tcPr>
                <w:p w14:paraId="62BE8087">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color w:val="auto"/>
                    </w:rPr>
                  </w:pPr>
                </w:p>
              </w:tc>
              <w:tc>
                <w:tcPr>
                  <w:tcW w:w="247" w:type="pct"/>
                  <w:vMerge w:val="restart"/>
                  <w:noWrap w:val="0"/>
                  <w:vAlign w:val="center"/>
                </w:tcPr>
                <w:p w14:paraId="23BD09B4">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bCs/>
                      <w:color w:val="auto"/>
                      <w:sz w:val="21"/>
                      <w:szCs w:val="21"/>
                    </w:rPr>
                  </w:pPr>
                  <w:r>
                    <w:rPr>
                      <w:rFonts w:hint="eastAsia"/>
                      <w:bCs/>
                      <w:color w:val="auto"/>
                      <w:sz w:val="21"/>
                      <w:szCs w:val="21"/>
                    </w:rPr>
                    <w:t>废气</w:t>
                  </w:r>
                </w:p>
              </w:tc>
              <w:tc>
                <w:tcPr>
                  <w:tcW w:w="694" w:type="pct"/>
                  <w:tcBorders>
                    <w:bottom w:val="single" w:color="auto" w:sz="4" w:space="0"/>
                  </w:tcBorders>
                  <w:noWrap w:val="0"/>
                  <w:vAlign w:val="center"/>
                </w:tcPr>
                <w:p w14:paraId="489AC4BD">
                  <w:pPr>
                    <w:pStyle w:val="30"/>
                    <w:keepNext w:val="0"/>
                    <w:keepLines w:val="0"/>
                    <w:pageBreakBefore w:val="0"/>
                    <w:widowControl w:val="0"/>
                    <w:kinsoku/>
                    <w:wordWrap/>
                    <w:overflowPunct/>
                    <w:topLinePunct w:val="0"/>
                    <w:autoSpaceDE/>
                    <w:bidi w:val="0"/>
                    <w:adjustRightInd/>
                    <w:snapToGrid w:val="0"/>
                    <w:spacing w:before="0" w:after="0" w:line="240" w:lineRule="auto"/>
                    <w:ind w:right="0" w:firstLine="0" w:firstLineChars="0"/>
                    <w:jc w:val="center"/>
                    <w:rPr>
                      <w:rFonts w:hint="default" w:ascii="Times New Roman" w:hAnsi="宋体" w:eastAsia="宋体" w:cs="Times New Roman"/>
                      <w:color w:val="auto"/>
                      <w:szCs w:val="21"/>
                      <w:u w:val="single"/>
                      <w:lang w:val="en-US" w:eastAsia="zh-CN"/>
                    </w:rPr>
                  </w:pPr>
                  <w:r>
                    <w:rPr>
                      <w:rFonts w:hint="eastAsia" w:ascii="Times New Roman" w:hAnsi="宋体" w:eastAsia="宋体" w:cs="Times New Roman"/>
                      <w:color w:val="auto"/>
                      <w:szCs w:val="21"/>
                      <w:u w:val="single"/>
                      <w:lang w:val="en-US" w:eastAsia="zh-CN"/>
                    </w:rPr>
                    <w:t>蒸汽发生器废气</w:t>
                  </w:r>
                </w:p>
              </w:tc>
              <w:tc>
                <w:tcPr>
                  <w:tcW w:w="2627" w:type="pct"/>
                  <w:tcBorders>
                    <w:bottom w:val="single" w:color="auto" w:sz="4" w:space="0"/>
                  </w:tcBorders>
                  <w:noWrap w:val="0"/>
                  <w:vAlign w:val="center"/>
                </w:tcPr>
                <w:p w14:paraId="39994E1E">
                  <w:pPr>
                    <w:pStyle w:val="30"/>
                    <w:keepNext w:val="0"/>
                    <w:keepLines w:val="0"/>
                    <w:pageBreakBefore w:val="0"/>
                    <w:widowControl w:val="0"/>
                    <w:kinsoku/>
                    <w:wordWrap/>
                    <w:overflowPunct/>
                    <w:topLinePunct w:val="0"/>
                    <w:autoSpaceDE/>
                    <w:bidi w:val="0"/>
                    <w:adjustRightInd/>
                    <w:snapToGrid w:val="0"/>
                    <w:spacing w:before="0" w:after="0" w:line="240" w:lineRule="auto"/>
                    <w:ind w:right="0" w:firstLine="0" w:firstLineChars="0"/>
                    <w:jc w:val="center"/>
                    <w:rPr>
                      <w:rFonts w:hint="default" w:ascii="Times New Roman" w:hAnsi="宋体" w:eastAsia="宋体" w:cs="Times New Roman"/>
                      <w:color w:val="auto"/>
                      <w:szCs w:val="21"/>
                      <w:u w:val="single"/>
                      <w:lang w:val="en-US" w:eastAsia="zh-CN"/>
                    </w:rPr>
                  </w:pPr>
                  <w:r>
                    <w:rPr>
                      <w:rFonts w:hint="default" w:ascii="Times New Roman" w:hAnsi="宋体" w:eastAsia="宋体" w:cs="Times New Roman"/>
                      <w:color w:val="auto"/>
                      <w:szCs w:val="21"/>
                      <w:u w:val="single"/>
                      <w:lang w:val="en-US" w:eastAsia="zh-CN"/>
                    </w:rPr>
                    <w:t>低氮燃烧装置、</w:t>
                  </w:r>
                  <w:r>
                    <w:rPr>
                      <w:rFonts w:hint="eastAsia" w:ascii="Times New Roman" w:hAnsi="宋体" w:eastAsia="宋体" w:cs="Times New Roman"/>
                      <w:color w:val="auto"/>
                      <w:szCs w:val="21"/>
                      <w:u w:val="single"/>
                      <w:lang w:val="en-US" w:eastAsia="zh-CN"/>
                    </w:rPr>
                    <w:t>布袋</w:t>
                  </w:r>
                  <w:r>
                    <w:rPr>
                      <w:rFonts w:hint="default" w:ascii="Times New Roman" w:hAnsi="宋体" w:eastAsia="宋体" w:cs="Times New Roman"/>
                      <w:color w:val="auto"/>
                      <w:szCs w:val="21"/>
                      <w:u w:val="single"/>
                      <w:lang w:val="en-US" w:eastAsia="zh-CN"/>
                    </w:rPr>
                    <w:t>除尘处理后+</w:t>
                  </w:r>
                  <w:r>
                    <w:rPr>
                      <w:rFonts w:hint="eastAsia" w:ascii="Times New Roman" w:hAnsi="宋体" w:eastAsia="宋体" w:cs="Times New Roman"/>
                      <w:color w:val="auto"/>
                      <w:szCs w:val="21"/>
                      <w:u w:val="single"/>
                      <w:lang w:val="en-US" w:eastAsia="zh-CN"/>
                    </w:rPr>
                    <w:t>1</w:t>
                  </w:r>
                  <w:r>
                    <w:rPr>
                      <w:rFonts w:hint="default" w:ascii="Times New Roman" w:hAnsi="宋体" w:eastAsia="宋体" w:cs="Times New Roman"/>
                      <w:color w:val="auto"/>
                      <w:szCs w:val="21"/>
                      <w:u w:val="single"/>
                      <w:lang w:val="en-US" w:eastAsia="zh-CN"/>
                    </w:rPr>
                    <w:t>5m高排气筒</w:t>
                  </w:r>
                  <w:r>
                    <w:rPr>
                      <w:rFonts w:hint="eastAsia" w:ascii="Times New Roman" w:hAnsi="宋体" w:eastAsia="宋体" w:cs="Times New Roman"/>
                      <w:color w:val="auto"/>
                      <w:szCs w:val="21"/>
                      <w:u w:val="single"/>
                      <w:lang w:val="en-US" w:eastAsia="zh-CN"/>
                    </w:rPr>
                    <w:t>（DA001）</w:t>
                  </w:r>
                  <w:r>
                    <w:rPr>
                      <w:rFonts w:hint="default" w:ascii="Times New Roman" w:hAnsi="宋体" w:eastAsia="宋体" w:cs="Times New Roman"/>
                      <w:color w:val="auto"/>
                      <w:szCs w:val="21"/>
                      <w:u w:val="single"/>
                      <w:lang w:val="en-US" w:eastAsia="zh-CN"/>
                    </w:rPr>
                    <w:t>排放</w:t>
                  </w:r>
                </w:p>
              </w:tc>
              <w:tc>
                <w:tcPr>
                  <w:tcW w:w="1058" w:type="pct"/>
                  <w:vMerge w:val="restart"/>
                  <w:noWrap w:val="0"/>
                  <w:vAlign w:val="center"/>
                </w:tcPr>
                <w:p w14:paraId="49C11965">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default" w:hAnsi="宋体"/>
                      <w:color w:val="auto"/>
                      <w:szCs w:val="21"/>
                      <w:u w:val="none"/>
                      <w:lang w:val="en-US"/>
                    </w:rPr>
                  </w:pPr>
                  <w:r>
                    <w:rPr>
                      <w:rFonts w:hint="eastAsia" w:ascii="Times New Roman" w:hAnsi="宋体" w:cs="Times New Roman"/>
                      <w:color w:val="auto"/>
                      <w:kern w:val="2"/>
                      <w:sz w:val="21"/>
                      <w:szCs w:val="21"/>
                      <w:lang w:val="en-US" w:eastAsia="zh-CN" w:bidi="ar-SA"/>
                    </w:rPr>
                    <w:t>/</w:t>
                  </w:r>
                </w:p>
              </w:tc>
            </w:tr>
            <w:tr w14:paraId="56A8B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14" w:hRule="atLeast"/>
                <w:jc w:val="center"/>
              </w:trPr>
              <w:tc>
                <w:tcPr>
                  <w:tcW w:w="372" w:type="pct"/>
                  <w:vMerge w:val="continue"/>
                  <w:noWrap w:val="0"/>
                  <w:vAlign w:val="center"/>
                </w:tcPr>
                <w:p w14:paraId="506E5CFB">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color w:val="auto"/>
                    </w:rPr>
                  </w:pPr>
                </w:p>
              </w:tc>
              <w:tc>
                <w:tcPr>
                  <w:tcW w:w="247" w:type="pct"/>
                  <w:vMerge w:val="continue"/>
                  <w:noWrap w:val="0"/>
                  <w:vAlign w:val="center"/>
                </w:tcPr>
                <w:p w14:paraId="32682C2C">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bCs/>
                      <w:color w:val="auto"/>
                      <w:sz w:val="21"/>
                      <w:szCs w:val="21"/>
                    </w:rPr>
                  </w:pPr>
                </w:p>
              </w:tc>
              <w:tc>
                <w:tcPr>
                  <w:tcW w:w="694" w:type="pct"/>
                  <w:tcBorders>
                    <w:top w:val="single" w:color="auto" w:sz="4" w:space="0"/>
                    <w:bottom w:val="single" w:color="auto" w:sz="4" w:space="0"/>
                  </w:tcBorders>
                  <w:noWrap w:val="0"/>
                  <w:vAlign w:val="center"/>
                </w:tcPr>
                <w:p w14:paraId="7B1CE754">
                  <w:pPr>
                    <w:pStyle w:val="30"/>
                    <w:keepNext w:val="0"/>
                    <w:keepLines w:val="0"/>
                    <w:pageBreakBefore w:val="0"/>
                    <w:widowControl w:val="0"/>
                    <w:kinsoku/>
                    <w:wordWrap/>
                    <w:overflowPunct/>
                    <w:topLinePunct w:val="0"/>
                    <w:autoSpaceDE/>
                    <w:bidi w:val="0"/>
                    <w:adjustRightInd/>
                    <w:snapToGrid w:val="0"/>
                    <w:spacing w:before="0" w:after="0" w:line="240" w:lineRule="auto"/>
                    <w:ind w:right="0" w:firstLine="0" w:firstLineChars="0"/>
                    <w:jc w:val="center"/>
                    <w:rPr>
                      <w:rFonts w:hint="eastAsia" w:ascii="Times New Roman" w:hAnsi="宋体" w:eastAsia="宋体" w:cs="Times New Roman"/>
                      <w:color w:val="auto"/>
                      <w:szCs w:val="21"/>
                      <w:u w:val="single"/>
                      <w:lang w:val="en-US" w:eastAsia="zh-CN"/>
                    </w:rPr>
                  </w:pPr>
                  <w:r>
                    <w:rPr>
                      <w:rFonts w:hint="eastAsia" w:ascii="Times New Roman" w:hAnsi="宋体" w:eastAsia="宋体" w:cs="Times New Roman"/>
                      <w:color w:val="auto"/>
                      <w:szCs w:val="21"/>
                      <w:u w:val="single"/>
                      <w:lang w:val="en-US" w:eastAsia="zh-CN"/>
                    </w:rPr>
                    <w:t>热风炉废气</w:t>
                  </w:r>
                </w:p>
              </w:tc>
              <w:tc>
                <w:tcPr>
                  <w:tcW w:w="2627" w:type="pct"/>
                  <w:tcBorders>
                    <w:top w:val="single" w:color="auto" w:sz="4" w:space="0"/>
                    <w:bottom w:val="single" w:color="auto" w:sz="4" w:space="0"/>
                  </w:tcBorders>
                  <w:noWrap w:val="0"/>
                  <w:vAlign w:val="center"/>
                </w:tcPr>
                <w:p w14:paraId="098332E7">
                  <w:pPr>
                    <w:pStyle w:val="30"/>
                    <w:keepNext w:val="0"/>
                    <w:keepLines w:val="0"/>
                    <w:pageBreakBefore w:val="0"/>
                    <w:widowControl w:val="0"/>
                    <w:kinsoku/>
                    <w:wordWrap/>
                    <w:overflowPunct/>
                    <w:topLinePunct w:val="0"/>
                    <w:autoSpaceDE/>
                    <w:bidi w:val="0"/>
                    <w:adjustRightInd/>
                    <w:snapToGrid w:val="0"/>
                    <w:spacing w:before="0" w:after="0" w:line="240" w:lineRule="auto"/>
                    <w:ind w:right="0" w:firstLine="0" w:firstLineChars="0"/>
                    <w:jc w:val="center"/>
                    <w:rPr>
                      <w:rFonts w:hint="eastAsia" w:ascii="Times New Roman" w:hAnsi="宋体" w:eastAsia="宋体" w:cs="Times New Roman"/>
                      <w:color w:val="auto"/>
                      <w:szCs w:val="21"/>
                      <w:u w:val="single"/>
                      <w:lang w:val="en-US" w:eastAsia="zh-CN"/>
                    </w:rPr>
                  </w:pPr>
                  <w:r>
                    <w:rPr>
                      <w:rFonts w:hint="default" w:ascii="Times New Roman" w:hAnsi="宋体" w:eastAsia="宋体" w:cs="Times New Roman"/>
                      <w:color w:val="auto"/>
                      <w:szCs w:val="21"/>
                      <w:u w:val="single"/>
                      <w:lang w:val="en-US" w:eastAsia="zh-CN"/>
                    </w:rPr>
                    <w:t>低氮燃烧、</w:t>
                  </w:r>
                  <w:r>
                    <w:rPr>
                      <w:rFonts w:hint="eastAsia" w:hAnsi="宋体" w:cs="Times New Roman"/>
                      <w:color w:val="auto"/>
                      <w:szCs w:val="21"/>
                      <w:u w:val="single"/>
                      <w:lang w:val="en-US" w:eastAsia="zh-CN"/>
                    </w:rPr>
                    <w:t>“</w:t>
                  </w:r>
                  <w:r>
                    <w:rPr>
                      <w:rFonts w:hint="eastAsia" w:ascii="Times New Roman" w:hAnsi="宋体" w:eastAsia="宋体" w:cs="Times New Roman"/>
                      <w:color w:val="auto"/>
                      <w:szCs w:val="21"/>
                      <w:u w:val="single"/>
                      <w:lang w:val="en-US" w:eastAsia="zh-CN"/>
                    </w:rPr>
                    <w:t>布袋除尘+</w:t>
                  </w:r>
                  <w:r>
                    <w:rPr>
                      <w:rFonts w:hint="eastAsia" w:hAnsi="宋体" w:cs="Times New Roman"/>
                      <w:color w:val="auto"/>
                      <w:szCs w:val="21"/>
                      <w:u w:val="single"/>
                      <w:lang w:val="en-US" w:eastAsia="zh-CN"/>
                    </w:rPr>
                    <w:t>活性炭”</w:t>
                  </w:r>
                  <w:r>
                    <w:rPr>
                      <w:rFonts w:hint="default" w:ascii="Times New Roman" w:hAnsi="宋体" w:eastAsia="宋体" w:cs="Times New Roman"/>
                      <w:color w:val="auto"/>
                      <w:szCs w:val="21"/>
                      <w:u w:val="single"/>
                      <w:lang w:val="en-US" w:eastAsia="zh-CN"/>
                    </w:rPr>
                    <w:t>+15m排气筒</w:t>
                  </w:r>
                  <w:r>
                    <w:rPr>
                      <w:rFonts w:hint="eastAsia" w:ascii="Times New Roman" w:hAnsi="宋体" w:eastAsia="宋体" w:cs="Times New Roman"/>
                      <w:color w:val="auto"/>
                      <w:szCs w:val="21"/>
                      <w:u w:val="single"/>
                      <w:lang w:val="en-US" w:eastAsia="zh-CN"/>
                    </w:rPr>
                    <w:t>（DA002）</w:t>
                  </w:r>
                  <w:r>
                    <w:rPr>
                      <w:rFonts w:hint="default" w:ascii="Times New Roman" w:hAnsi="宋体" w:eastAsia="宋体" w:cs="Times New Roman"/>
                      <w:color w:val="auto"/>
                      <w:szCs w:val="21"/>
                      <w:u w:val="single"/>
                      <w:lang w:val="en-US" w:eastAsia="zh-CN"/>
                    </w:rPr>
                    <w:t>高空排放</w:t>
                  </w:r>
                </w:p>
              </w:tc>
              <w:tc>
                <w:tcPr>
                  <w:tcW w:w="1058" w:type="pct"/>
                  <w:vMerge w:val="continue"/>
                  <w:tcBorders>
                    <w:bottom w:val="single" w:color="auto" w:sz="4" w:space="0"/>
                  </w:tcBorders>
                  <w:noWrap w:val="0"/>
                  <w:vAlign w:val="center"/>
                </w:tcPr>
                <w:p w14:paraId="488B02A2">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ascii="Times New Roman" w:hAnsi="宋体" w:cs="Times New Roman"/>
                      <w:color w:val="auto"/>
                      <w:kern w:val="2"/>
                      <w:sz w:val="21"/>
                      <w:szCs w:val="21"/>
                      <w:lang w:val="en-US" w:eastAsia="zh-CN" w:bidi="ar-SA"/>
                    </w:rPr>
                  </w:pPr>
                </w:p>
              </w:tc>
            </w:tr>
            <w:tr w14:paraId="57F84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1590CBE5">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color w:val="auto"/>
                    </w:rPr>
                  </w:pPr>
                </w:p>
              </w:tc>
              <w:tc>
                <w:tcPr>
                  <w:tcW w:w="941" w:type="pct"/>
                  <w:gridSpan w:val="2"/>
                  <w:noWrap w:val="0"/>
                  <w:vAlign w:val="center"/>
                </w:tcPr>
                <w:p w14:paraId="6C63994A">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default" w:eastAsia="宋体"/>
                      <w:color w:val="auto"/>
                      <w:sz w:val="21"/>
                      <w:szCs w:val="21"/>
                      <w:u w:val="none"/>
                      <w:lang w:val="en-US" w:eastAsia="zh-CN"/>
                    </w:rPr>
                  </w:pPr>
                  <w:r>
                    <w:rPr>
                      <w:rFonts w:hint="eastAsia"/>
                      <w:color w:val="auto"/>
                      <w:sz w:val="21"/>
                      <w:szCs w:val="21"/>
                      <w:u w:val="none"/>
                      <w:lang w:val="en-US" w:eastAsia="zh-CN"/>
                    </w:rPr>
                    <w:t>噪声</w:t>
                  </w:r>
                </w:p>
              </w:tc>
              <w:tc>
                <w:tcPr>
                  <w:tcW w:w="2627" w:type="pct"/>
                  <w:tcBorders>
                    <w:top w:val="single" w:color="auto" w:sz="4" w:space="0"/>
                  </w:tcBorders>
                  <w:noWrap w:val="0"/>
                  <w:vAlign w:val="center"/>
                </w:tcPr>
                <w:p w14:paraId="22867B8B">
                  <w:pPr>
                    <w:pStyle w:val="30"/>
                    <w:keepNext w:val="0"/>
                    <w:keepLines w:val="0"/>
                    <w:pageBreakBefore w:val="0"/>
                    <w:widowControl w:val="0"/>
                    <w:kinsoku/>
                    <w:wordWrap/>
                    <w:overflowPunct/>
                    <w:topLinePunct w:val="0"/>
                    <w:autoSpaceDE/>
                    <w:bidi w:val="0"/>
                    <w:adjustRightInd/>
                    <w:snapToGrid w:val="0"/>
                    <w:spacing w:before="0" w:after="0" w:line="240" w:lineRule="auto"/>
                    <w:ind w:right="0" w:firstLine="0" w:firstLineChars="0"/>
                    <w:jc w:val="center"/>
                    <w:rPr>
                      <w:rFonts w:hint="default" w:hAnsi="宋体" w:eastAsia="宋体"/>
                      <w:color w:val="auto"/>
                      <w:sz w:val="21"/>
                      <w:szCs w:val="21"/>
                      <w:u w:val="none"/>
                      <w:lang w:val="en-US" w:eastAsia="zh-CN"/>
                    </w:rPr>
                  </w:pPr>
                  <w:r>
                    <w:rPr>
                      <w:rFonts w:hint="default" w:ascii="Times New Roman" w:hAnsi="Times New Roman" w:cs="Times New Roman"/>
                      <w:color w:val="auto"/>
                      <w:kern w:val="0"/>
                      <w:szCs w:val="21"/>
                      <w:u w:val="none"/>
                    </w:rPr>
                    <w:t>产噪设备基础安装减震垫</w:t>
                  </w:r>
                </w:p>
              </w:tc>
              <w:tc>
                <w:tcPr>
                  <w:tcW w:w="1058" w:type="pct"/>
                  <w:tcBorders>
                    <w:top w:val="single" w:color="auto" w:sz="4" w:space="0"/>
                  </w:tcBorders>
                  <w:noWrap w:val="0"/>
                  <w:vAlign w:val="center"/>
                </w:tcPr>
                <w:p w14:paraId="2A3AF582">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hAnsi="宋体"/>
                      <w:color w:val="auto"/>
                      <w:szCs w:val="21"/>
                      <w:u w:val="none"/>
                    </w:rPr>
                  </w:pPr>
                  <w:r>
                    <w:rPr>
                      <w:rFonts w:hint="eastAsia" w:cs="Times New Roman"/>
                      <w:color w:val="auto"/>
                      <w:u w:val="none"/>
                      <w:lang w:val="en-US" w:eastAsia="zh-CN"/>
                    </w:rPr>
                    <w:t>/</w:t>
                  </w:r>
                </w:p>
              </w:tc>
            </w:tr>
            <w:tr w14:paraId="7B2162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4E3EDD45">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restart"/>
                  <w:noWrap w:val="0"/>
                  <w:vAlign w:val="center"/>
                </w:tcPr>
                <w:p w14:paraId="5BFC5F54">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Ansi="宋体"/>
                      <w:color w:val="auto"/>
                      <w:sz w:val="21"/>
                      <w:szCs w:val="34"/>
                      <w:u w:val="none"/>
                    </w:rPr>
                  </w:pPr>
                  <w:r>
                    <w:rPr>
                      <w:rFonts w:hint="eastAsia" w:hAnsi="宋体"/>
                      <w:color w:val="auto"/>
                      <w:sz w:val="21"/>
                      <w:szCs w:val="34"/>
                      <w:u w:val="none"/>
                    </w:rPr>
                    <w:t>固废</w:t>
                  </w:r>
                </w:p>
              </w:tc>
              <w:tc>
                <w:tcPr>
                  <w:tcW w:w="694" w:type="pct"/>
                  <w:tcBorders>
                    <w:bottom w:val="single" w:color="auto" w:sz="4" w:space="0"/>
                  </w:tcBorders>
                  <w:noWrap w:val="0"/>
                  <w:vAlign w:val="center"/>
                </w:tcPr>
                <w:p w14:paraId="7FF08D10">
                  <w:pPr>
                    <w:keepNext w:val="0"/>
                    <w:keepLines w:val="0"/>
                    <w:pageBreakBefore w:val="0"/>
                    <w:widowControl/>
                    <w:kinsoku/>
                    <w:wordWrap/>
                    <w:overflowPunct/>
                    <w:topLinePunct w:val="0"/>
                    <w:autoSpaceDE/>
                    <w:bidi w:val="0"/>
                    <w:adjustRightInd/>
                    <w:spacing w:line="240" w:lineRule="atLeast"/>
                    <w:ind w:right="0"/>
                    <w:jc w:val="center"/>
                    <w:textAlignment w:val="center"/>
                    <w:rPr>
                      <w:rFonts w:hint="default" w:hAnsi="宋体" w:eastAsia="宋体"/>
                      <w:color w:val="auto"/>
                      <w:sz w:val="21"/>
                      <w:szCs w:val="34"/>
                      <w:u w:val="none"/>
                      <w:lang w:val="en-US" w:eastAsia="zh-CN"/>
                    </w:rPr>
                  </w:pPr>
                  <w:r>
                    <w:rPr>
                      <w:rFonts w:hint="default" w:ascii="Times New Roman" w:hAnsi="Times New Roman" w:cs="Times New Roman"/>
                      <w:color w:val="auto"/>
                      <w:kern w:val="0"/>
                      <w:szCs w:val="21"/>
                      <w:u w:val="none"/>
                    </w:rPr>
                    <w:t>生活垃圾</w:t>
                  </w:r>
                </w:p>
              </w:tc>
              <w:tc>
                <w:tcPr>
                  <w:tcW w:w="2627" w:type="pct"/>
                  <w:tcBorders>
                    <w:bottom w:val="single" w:color="auto" w:sz="4" w:space="0"/>
                  </w:tcBorders>
                  <w:noWrap w:val="0"/>
                  <w:vAlign w:val="center"/>
                </w:tcPr>
                <w:p w14:paraId="00690B61">
                  <w:pPr>
                    <w:keepNext w:val="0"/>
                    <w:keepLines w:val="0"/>
                    <w:pageBreakBefore w:val="0"/>
                    <w:kinsoku/>
                    <w:wordWrap/>
                    <w:overflowPunct/>
                    <w:topLinePunct w:val="0"/>
                    <w:autoSpaceDE/>
                    <w:bidi w:val="0"/>
                    <w:adjustRightInd/>
                    <w:spacing w:line="240" w:lineRule="atLeast"/>
                    <w:ind w:right="0"/>
                    <w:jc w:val="center"/>
                    <w:rPr>
                      <w:rFonts w:hint="eastAsia" w:hAnsi="宋体" w:eastAsia="宋体"/>
                      <w:color w:val="auto"/>
                      <w:sz w:val="21"/>
                      <w:szCs w:val="34"/>
                      <w:u w:val="none"/>
                      <w:lang w:val="en-US" w:eastAsia="zh-CN"/>
                    </w:rPr>
                  </w:pPr>
                  <w:r>
                    <w:rPr>
                      <w:rFonts w:hint="default" w:ascii="Times New Roman" w:hAnsi="Times New Roman" w:cs="Times New Roman"/>
                      <w:color w:val="auto"/>
                      <w:kern w:val="0"/>
                      <w:szCs w:val="21"/>
                      <w:u w:val="none"/>
                    </w:rPr>
                    <w:t>交给环卫部门清运</w:t>
                  </w:r>
                </w:p>
              </w:tc>
              <w:tc>
                <w:tcPr>
                  <w:tcW w:w="1058" w:type="pct"/>
                  <w:tcBorders>
                    <w:bottom w:val="single" w:color="auto" w:sz="4" w:space="0"/>
                  </w:tcBorders>
                  <w:noWrap w:val="0"/>
                  <w:vAlign w:val="center"/>
                </w:tcPr>
                <w:p w14:paraId="7C407EB2">
                  <w:pPr>
                    <w:keepNext w:val="0"/>
                    <w:keepLines w:val="0"/>
                    <w:pageBreakBefore w:val="0"/>
                    <w:kinsoku/>
                    <w:wordWrap/>
                    <w:overflowPunct/>
                    <w:topLinePunct w:val="0"/>
                    <w:autoSpaceDE/>
                    <w:bidi w:val="0"/>
                    <w:adjustRightInd/>
                    <w:spacing w:line="240" w:lineRule="atLeast"/>
                    <w:ind w:right="0"/>
                    <w:jc w:val="center"/>
                    <w:rPr>
                      <w:rFonts w:hint="eastAsia" w:hAnsi="宋体"/>
                      <w:color w:val="auto"/>
                      <w:szCs w:val="21"/>
                      <w:u w:val="none"/>
                    </w:rPr>
                  </w:pPr>
                  <w:r>
                    <w:rPr>
                      <w:rFonts w:hint="eastAsia" w:cs="Times New Roman"/>
                      <w:color w:val="auto"/>
                      <w:u w:val="none"/>
                      <w:lang w:val="en-US" w:eastAsia="zh-CN"/>
                    </w:rPr>
                    <w:t>/</w:t>
                  </w:r>
                </w:p>
              </w:tc>
            </w:tr>
            <w:tr w14:paraId="49DCD5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507B0F44">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5E6B1BE6">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u w:val="none"/>
                    </w:rPr>
                  </w:pPr>
                </w:p>
              </w:tc>
              <w:tc>
                <w:tcPr>
                  <w:tcW w:w="694" w:type="pct"/>
                  <w:tcBorders>
                    <w:bottom w:val="single" w:color="auto" w:sz="4" w:space="0"/>
                  </w:tcBorders>
                  <w:noWrap w:val="0"/>
                  <w:vAlign w:val="center"/>
                </w:tcPr>
                <w:p w14:paraId="4201F79D">
                  <w:pPr>
                    <w:keepNext w:val="0"/>
                    <w:keepLines w:val="0"/>
                    <w:pageBreakBefore w:val="0"/>
                    <w:kinsoku/>
                    <w:wordWrap/>
                    <w:overflowPunct/>
                    <w:topLinePunct w:val="0"/>
                    <w:autoSpaceDE/>
                    <w:bidi w:val="0"/>
                    <w:adjustRightInd/>
                    <w:spacing w:line="240" w:lineRule="atLeast"/>
                    <w:ind w:right="0"/>
                    <w:jc w:val="center"/>
                    <w:rPr>
                      <w:rFonts w:hint="eastAsia" w:hAnsi="宋体"/>
                      <w:color w:val="auto"/>
                      <w:sz w:val="21"/>
                      <w:szCs w:val="34"/>
                      <w:u w:val="none"/>
                      <w:lang w:val="en-US" w:eastAsia="zh-CN"/>
                    </w:rPr>
                  </w:pPr>
                  <w:r>
                    <w:rPr>
                      <w:rFonts w:hint="eastAsia" w:ascii="Times New Roman" w:hAnsi="Times New Roman" w:cs="Times New Roman"/>
                      <w:color w:val="auto"/>
                      <w:kern w:val="0"/>
                      <w:szCs w:val="21"/>
                      <w:u w:val="none"/>
                      <w:lang w:eastAsia="zh-CN"/>
                    </w:rPr>
                    <w:t>废包装袋</w:t>
                  </w:r>
                </w:p>
              </w:tc>
              <w:tc>
                <w:tcPr>
                  <w:tcW w:w="2627" w:type="pct"/>
                  <w:tcBorders>
                    <w:bottom w:val="single" w:color="auto" w:sz="4" w:space="0"/>
                  </w:tcBorders>
                  <w:noWrap w:val="0"/>
                  <w:vAlign w:val="center"/>
                </w:tcPr>
                <w:p w14:paraId="4E96F4E1">
                  <w:pPr>
                    <w:keepNext w:val="0"/>
                    <w:keepLines w:val="0"/>
                    <w:pageBreakBefore w:val="0"/>
                    <w:kinsoku/>
                    <w:wordWrap/>
                    <w:overflowPunct/>
                    <w:topLinePunct w:val="0"/>
                    <w:autoSpaceDE/>
                    <w:bidi w:val="0"/>
                    <w:adjustRightInd/>
                    <w:spacing w:line="240" w:lineRule="atLeast"/>
                    <w:ind w:right="0"/>
                    <w:jc w:val="center"/>
                    <w:rPr>
                      <w:rFonts w:hint="eastAsia" w:hAnsi="宋体"/>
                      <w:color w:val="auto"/>
                      <w:sz w:val="21"/>
                      <w:szCs w:val="34"/>
                      <w:u w:val="none"/>
                      <w:lang w:val="en-US" w:eastAsia="zh-CN"/>
                    </w:rPr>
                  </w:pPr>
                  <w:r>
                    <w:rPr>
                      <w:rFonts w:hint="eastAsia" w:ascii="Times New Roman" w:hAnsi="Times New Roman" w:eastAsia="宋体" w:cs="Times New Roman"/>
                      <w:color w:val="auto"/>
                      <w:kern w:val="0"/>
                      <w:szCs w:val="21"/>
                      <w:u w:val="none"/>
                      <w:lang w:eastAsia="zh-CN"/>
                    </w:rPr>
                    <w:t>外售物资回收公司</w:t>
                  </w:r>
                </w:p>
              </w:tc>
              <w:tc>
                <w:tcPr>
                  <w:tcW w:w="1058" w:type="pct"/>
                  <w:tcBorders>
                    <w:bottom w:val="single" w:color="auto" w:sz="4" w:space="0"/>
                  </w:tcBorders>
                  <w:noWrap w:val="0"/>
                  <w:vAlign w:val="center"/>
                </w:tcPr>
                <w:p w14:paraId="3A24D649">
                  <w:pPr>
                    <w:keepNext w:val="0"/>
                    <w:keepLines w:val="0"/>
                    <w:pageBreakBefore w:val="0"/>
                    <w:kinsoku/>
                    <w:wordWrap/>
                    <w:overflowPunct/>
                    <w:topLinePunct w:val="0"/>
                    <w:autoSpaceDE/>
                    <w:bidi w:val="0"/>
                    <w:adjustRightInd/>
                    <w:spacing w:line="240" w:lineRule="atLeast"/>
                    <w:ind w:right="0"/>
                    <w:jc w:val="center"/>
                    <w:rPr>
                      <w:rFonts w:hint="eastAsia" w:hAnsi="宋体"/>
                      <w:color w:val="auto"/>
                      <w:szCs w:val="21"/>
                      <w:u w:val="none"/>
                    </w:rPr>
                  </w:pPr>
                  <w:r>
                    <w:rPr>
                      <w:rFonts w:hint="eastAsia" w:ascii="Times New Roman" w:hAnsi="Times New Roman" w:eastAsia="宋体" w:cs="Times New Roman"/>
                      <w:color w:val="auto"/>
                      <w:u w:val="none"/>
                      <w:lang w:val="en-US" w:eastAsia="zh-CN"/>
                    </w:rPr>
                    <w:t>/</w:t>
                  </w:r>
                </w:p>
              </w:tc>
            </w:tr>
            <w:tr w14:paraId="32A89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4C119779">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15386769">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u w:val="none"/>
                    </w:rPr>
                  </w:pPr>
                </w:p>
              </w:tc>
              <w:tc>
                <w:tcPr>
                  <w:tcW w:w="694" w:type="pct"/>
                  <w:tcBorders>
                    <w:bottom w:val="single" w:color="auto" w:sz="4" w:space="0"/>
                  </w:tcBorders>
                  <w:noWrap w:val="0"/>
                  <w:vAlign w:val="center"/>
                </w:tcPr>
                <w:p w14:paraId="0D60FD0F">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cs="Times New Roman"/>
                      <w:color w:val="auto"/>
                      <w:kern w:val="0"/>
                      <w:szCs w:val="21"/>
                      <w:u w:val="none"/>
                      <w:lang w:eastAsia="zh-CN"/>
                    </w:rPr>
                  </w:pPr>
                  <w:r>
                    <w:rPr>
                      <w:rFonts w:hint="eastAsia" w:ascii="Times New Roman" w:hAnsi="Times New Roman" w:cs="Times New Roman"/>
                      <w:snapToGrid w:val="0"/>
                      <w:color w:val="auto"/>
                      <w:sz w:val="21"/>
                      <w:szCs w:val="21"/>
                      <w:u w:val="none"/>
                      <w:lang w:eastAsia="zh-CN"/>
                    </w:rPr>
                    <w:t>筛选废弃叶子、树枝</w:t>
                  </w:r>
                </w:p>
              </w:tc>
              <w:tc>
                <w:tcPr>
                  <w:tcW w:w="2627" w:type="pct"/>
                  <w:tcBorders>
                    <w:bottom w:val="single" w:color="auto" w:sz="4" w:space="0"/>
                  </w:tcBorders>
                  <w:noWrap w:val="0"/>
                  <w:vAlign w:val="center"/>
                </w:tcPr>
                <w:p w14:paraId="221ABFFA">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0"/>
                      <w:szCs w:val="21"/>
                      <w:u w:val="none"/>
                      <w:lang w:eastAsia="zh-CN"/>
                    </w:rPr>
                  </w:pPr>
                  <w:r>
                    <w:rPr>
                      <w:rFonts w:hint="eastAsia" w:ascii="Times New Roman" w:hAnsi="Times New Roman" w:eastAsia="宋体" w:cs="Times New Roman"/>
                      <w:color w:val="auto"/>
                      <w:kern w:val="0"/>
                      <w:szCs w:val="21"/>
                      <w:u w:val="none"/>
                      <w:lang w:eastAsia="zh-CN"/>
                    </w:rPr>
                    <w:t>外售物资回收公司</w:t>
                  </w:r>
                </w:p>
              </w:tc>
              <w:tc>
                <w:tcPr>
                  <w:tcW w:w="1058" w:type="pct"/>
                  <w:tcBorders>
                    <w:bottom w:val="single" w:color="auto" w:sz="4" w:space="0"/>
                  </w:tcBorders>
                  <w:noWrap w:val="0"/>
                  <w:vAlign w:val="center"/>
                </w:tcPr>
                <w:p w14:paraId="0931DB7A">
                  <w:pPr>
                    <w:keepNext w:val="0"/>
                    <w:keepLines w:val="0"/>
                    <w:pageBreakBefore w:val="0"/>
                    <w:kinsoku/>
                    <w:wordWrap/>
                    <w:overflowPunct/>
                    <w:topLinePunct w:val="0"/>
                    <w:autoSpaceDE/>
                    <w:bidi w:val="0"/>
                    <w:adjustRightInd/>
                    <w:spacing w:line="240" w:lineRule="atLeast"/>
                    <w:ind w:right="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w:t>
                  </w:r>
                </w:p>
              </w:tc>
            </w:tr>
            <w:tr w14:paraId="2567EF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1D1C2CDF">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2E5C06DF">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u w:val="none"/>
                    </w:rPr>
                  </w:pPr>
                </w:p>
              </w:tc>
              <w:tc>
                <w:tcPr>
                  <w:tcW w:w="694" w:type="pct"/>
                  <w:tcBorders>
                    <w:bottom w:val="single" w:color="auto" w:sz="4" w:space="0"/>
                  </w:tcBorders>
                  <w:noWrap w:val="0"/>
                  <w:vAlign w:val="center"/>
                </w:tcPr>
                <w:p w14:paraId="0F212438">
                  <w:pPr>
                    <w:keepNext w:val="0"/>
                    <w:keepLines w:val="0"/>
                    <w:pageBreakBefore w:val="0"/>
                    <w:kinsoku/>
                    <w:wordWrap/>
                    <w:overflowPunct/>
                    <w:topLinePunct w:val="0"/>
                    <w:autoSpaceDE/>
                    <w:bidi w:val="0"/>
                    <w:adjustRightInd/>
                    <w:spacing w:line="240" w:lineRule="atLeast"/>
                    <w:ind w:right="0"/>
                    <w:jc w:val="center"/>
                    <w:rPr>
                      <w:rFonts w:hint="eastAsia" w:hAnsi="宋体"/>
                      <w:color w:val="auto"/>
                      <w:sz w:val="21"/>
                      <w:szCs w:val="34"/>
                      <w:u w:val="none"/>
                      <w:lang w:val="en-US" w:eastAsia="zh-CN"/>
                    </w:rPr>
                  </w:pPr>
                  <w:r>
                    <w:rPr>
                      <w:rFonts w:hint="eastAsia" w:cs="Times New Roman"/>
                      <w:color w:val="auto"/>
                      <w:kern w:val="0"/>
                      <w:szCs w:val="21"/>
                      <w:u w:val="none"/>
                      <w:lang w:val="en-US" w:eastAsia="zh-CN"/>
                    </w:rPr>
                    <w:t>灰渣</w:t>
                  </w:r>
                </w:p>
              </w:tc>
              <w:tc>
                <w:tcPr>
                  <w:tcW w:w="2627" w:type="pct"/>
                  <w:tcBorders>
                    <w:bottom w:val="single" w:color="auto" w:sz="4" w:space="0"/>
                  </w:tcBorders>
                  <w:noWrap w:val="0"/>
                  <w:vAlign w:val="center"/>
                </w:tcPr>
                <w:p w14:paraId="3045B214">
                  <w:pPr>
                    <w:keepNext w:val="0"/>
                    <w:keepLines w:val="0"/>
                    <w:pageBreakBefore w:val="0"/>
                    <w:kinsoku/>
                    <w:wordWrap/>
                    <w:overflowPunct/>
                    <w:topLinePunct w:val="0"/>
                    <w:autoSpaceDE/>
                    <w:bidi w:val="0"/>
                    <w:adjustRightInd/>
                    <w:spacing w:line="240" w:lineRule="atLeast"/>
                    <w:ind w:right="0"/>
                    <w:jc w:val="center"/>
                    <w:rPr>
                      <w:rFonts w:hint="eastAsia" w:hAnsi="宋体"/>
                      <w:color w:val="auto"/>
                      <w:sz w:val="21"/>
                      <w:szCs w:val="34"/>
                      <w:u w:val="none"/>
                      <w:lang w:val="en-US" w:eastAsia="zh-CN"/>
                    </w:rPr>
                  </w:pPr>
                  <w:r>
                    <w:rPr>
                      <w:rFonts w:hint="eastAsia" w:ascii="Times New Roman" w:hAnsi="Times New Roman" w:eastAsia="宋体" w:cs="Times New Roman"/>
                      <w:color w:val="auto"/>
                      <w:kern w:val="0"/>
                      <w:szCs w:val="21"/>
                      <w:u w:val="none"/>
                      <w:lang w:eastAsia="zh-CN"/>
                    </w:rPr>
                    <w:t>外售物资回收公司</w:t>
                  </w:r>
                </w:p>
              </w:tc>
              <w:tc>
                <w:tcPr>
                  <w:tcW w:w="1058" w:type="pct"/>
                  <w:tcBorders>
                    <w:bottom w:val="single" w:color="auto" w:sz="4" w:space="0"/>
                  </w:tcBorders>
                  <w:noWrap w:val="0"/>
                  <w:vAlign w:val="center"/>
                </w:tcPr>
                <w:p w14:paraId="50D7BF95">
                  <w:pPr>
                    <w:keepNext w:val="0"/>
                    <w:keepLines w:val="0"/>
                    <w:pageBreakBefore w:val="0"/>
                    <w:kinsoku/>
                    <w:wordWrap/>
                    <w:overflowPunct/>
                    <w:topLinePunct w:val="0"/>
                    <w:autoSpaceDE/>
                    <w:bidi w:val="0"/>
                    <w:adjustRightInd/>
                    <w:spacing w:line="240" w:lineRule="atLeast"/>
                    <w:ind w:right="0"/>
                    <w:jc w:val="center"/>
                    <w:rPr>
                      <w:rFonts w:hint="eastAsia" w:hAnsi="宋体"/>
                      <w:color w:val="auto"/>
                      <w:szCs w:val="21"/>
                      <w:u w:val="none"/>
                    </w:rPr>
                  </w:pPr>
                  <w:r>
                    <w:rPr>
                      <w:rFonts w:hint="eastAsia" w:cs="Times New Roman"/>
                      <w:color w:val="auto"/>
                      <w:u w:val="none"/>
                      <w:lang w:val="en-US" w:eastAsia="zh-CN"/>
                    </w:rPr>
                    <w:t>/</w:t>
                  </w:r>
                </w:p>
              </w:tc>
            </w:tr>
            <w:tr w14:paraId="1EE1E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2669FC07">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4B7A2965">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rPr>
                  </w:pPr>
                </w:p>
              </w:tc>
              <w:tc>
                <w:tcPr>
                  <w:tcW w:w="694" w:type="pct"/>
                  <w:tcBorders>
                    <w:bottom w:val="single" w:color="auto" w:sz="4" w:space="0"/>
                  </w:tcBorders>
                  <w:noWrap w:val="0"/>
                  <w:vAlign w:val="center"/>
                </w:tcPr>
                <w:p w14:paraId="7F8FD2BD">
                  <w:pPr>
                    <w:keepNext w:val="0"/>
                    <w:keepLines w:val="0"/>
                    <w:pageBreakBefore w:val="0"/>
                    <w:kinsoku/>
                    <w:wordWrap/>
                    <w:overflowPunct/>
                    <w:topLinePunct w:val="0"/>
                    <w:autoSpaceDE/>
                    <w:bidi w:val="0"/>
                    <w:adjustRightInd/>
                    <w:spacing w:line="240" w:lineRule="atLeast"/>
                    <w:ind w:right="0"/>
                    <w:jc w:val="center"/>
                    <w:rPr>
                      <w:rFonts w:hint="default" w:ascii="Times New Roman" w:hAnsi="宋体" w:eastAsia="宋体" w:cs="Times New Roman"/>
                      <w:color w:val="auto"/>
                      <w:kern w:val="2"/>
                      <w:sz w:val="21"/>
                      <w:szCs w:val="34"/>
                      <w:lang w:val="en-US" w:eastAsia="zh-CN" w:bidi="ar-SA"/>
                    </w:rPr>
                  </w:pPr>
                  <w:r>
                    <w:rPr>
                      <w:rFonts w:hint="eastAsia" w:hAnsi="宋体" w:cs="Times New Roman"/>
                      <w:color w:val="auto"/>
                      <w:kern w:val="2"/>
                      <w:sz w:val="21"/>
                      <w:szCs w:val="34"/>
                      <w:lang w:val="en-US" w:eastAsia="zh-CN" w:bidi="ar-SA"/>
                    </w:rPr>
                    <w:t>废弃</w:t>
                  </w:r>
                  <w:r>
                    <w:rPr>
                      <w:rFonts w:hint="eastAsia" w:ascii="Times New Roman" w:hAnsi="宋体" w:eastAsia="宋体" w:cs="Times New Roman"/>
                      <w:color w:val="auto"/>
                      <w:kern w:val="2"/>
                      <w:sz w:val="21"/>
                      <w:szCs w:val="34"/>
                      <w:lang w:val="en-US" w:eastAsia="zh-CN" w:bidi="ar-SA"/>
                    </w:rPr>
                    <w:t>泥土</w:t>
                  </w:r>
                </w:p>
              </w:tc>
              <w:tc>
                <w:tcPr>
                  <w:tcW w:w="2627" w:type="pct"/>
                  <w:tcBorders>
                    <w:bottom w:val="single" w:color="auto" w:sz="4" w:space="0"/>
                  </w:tcBorders>
                  <w:noWrap w:val="0"/>
                  <w:vAlign w:val="center"/>
                </w:tcPr>
                <w:p w14:paraId="7CBC24E6">
                  <w:pPr>
                    <w:keepNext w:val="0"/>
                    <w:keepLines w:val="0"/>
                    <w:pageBreakBefore w:val="0"/>
                    <w:kinsoku/>
                    <w:wordWrap/>
                    <w:overflowPunct/>
                    <w:topLinePunct w:val="0"/>
                    <w:autoSpaceDE/>
                    <w:bidi w:val="0"/>
                    <w:adjustRightInd/>
                    <w:spacing w:line="240" w:lineRule="atLeast"/>
                    <w:ind w:right="0"/>
                    <w:jc w:val="center"/>
                    <w:rPr>
                      <w:rFonts w:hint="default" w:ascii="Times New Roman" w:hAnsi="宋体" w:eastAsia="宋体" w:cs="Times New Roman"/>
                      <w:color w:val="auto"/>
                      <w:kern w:val="2"/>
                      <w:sz w:val="21"/>
                      <w:szCs w:val="34"/>
                      <w:lang w:val="en-US" w:eastAsia="zh-CN" w:bidi="ar-SA"/>
                    </w:rPr>
                  </w:pPr>
                  <w:r>
                    <w:rPr>
                      <w:rFonts w:hint="eastAsia" w:ascii="Times New Roman" w:hAnsi="Times New Roman" w:eastAsia="宋体" w:cs="Times New Roman"/>
                      <w:color w:val="auto"/>
                      <w:kern w:val="0"/>
                      <w:szCs w:val="21"/>
                      <w:u w:val="none"/>
                      <w:lang w:eastAsia="zh-CN"/>
                    </w:rPr>
                    <w:t>外售物资回收公司</w:t>
                  </w:r>
                </w:p>
              </w:tc>
              <w:tc>
                <w:tcPr>
                  <w:tcW w:w="1058" w:type="pct"/>
                  <w:tcBorders>
                    <w:bottom w:val="single" w:color="auto" w:sz="4" w:space="0"/>
                  </w:tcBorders>
                  <w:noWrap w:val="0"/>
                  <w:vAlign w:val="center"/>
                </w:tcPr>
                <w:p w14:paraId="2F6576B5">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r>
            <w:tr w14:paraId="1EAD05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340819D1">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4083C4B5">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rPr>
                  </w:pPr>
                </w:p>
              </w:tc>
              <w:tc>
                <w:tcPr>
                  <w:tcW w:w="694" w:type="pct"/>
                  <w:tcBorders>
                    <w:bottom w:val="single" w:color="auto" w:sz="4" w:space="0"/>
                  </w:tcBorders>
                  <w:shd w:val="clear" w:color="auto" w:fill="auto"/>
                  <w:noWrap w:val="0"/>
                  <w:vAlign w:val="center"/>
                </w:tcPr>
                <w:p w14:paraId="0BE0947B">
                  <w:pPr>
                    <w:pStyle w:val="136"/>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Cs w:val="21"/>
                      <w:u w:val="single"/>
                      <w:lang w:val="en-US" w:eastAsia="zh-CN"/>
                    </w:rPr>
                    <w:t>废离子交换树脂</w:t>
                  </w:r>
                </w:p>
              </w:tc>
              <w:tc>
                <w:tcPr>
                  <w:tcW w:w="2627" w:type="pct"/>
                  <w:tcBorders>
                    <w:bottom w:val="single" w:color="auto" w:sz="4" w:space="0"/>
                  </w:tcBorders>
                  <w:noWrap w:val="0"/>
                  <w:vAlign w:val="center"/>
                </w:tcPr>
                <w:p w14:paraId="78E31C6B">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0"/>
                      <w:szCs w:val="21"/>
                      <w:u w:val="single"/>
                      <w:lang w:eastAsia="zh-CN"/>
                    </w:rPr>
                  </w:pPr>
                  <w:r>
                    <w:rPr>
                      <w:rFonts w:hint="eastAsia" w:ascii="Times New Roman" w:hAnsi="Times New Roman" w:eastAsia="宋体" w:cs="Times New Roman"/>
                      <w:color w:val="auto"/>
                      <w:kern w:val="0"/>
                      <w:szCs w:val="21"/>
                      <w:u w:val="single"/>
                      <w:lang w:eastAsia="zh-CN"/>
                    </w:rPr>
                    <w:t>外售物资回收公司</w:t>
                  </w:r>
                </w:p>
              </w:tc>
              <w:tc>
                <w:tcPr>
                  <w:tcW w:w="1058" w:type="pct"/>
                  <w:tcBorders>
                    <w:bottom w:val="single" w:color="auto" w:sz="4" w:space="0"/>
                  </w:tcBorders>
                  <w:noWrap w:val="0"/>
                  <w:vAlign w:val="center"/>
                </w:tcPr>
                <w:p w14:paraId="2136E20D">
                  <w:pPr>
                    <w:keepNext w:val="0"/>
                    <w:keepLines w:val="0"/>
                    <w:pageBreakBefore w:val="0"/>
                    <w:kinsoku/>
                    <w:wordWrap/>
                    <w:overflowPunct/>
                    <w:topLinePunct w:val="0"/>
                    <w:autoSpaceDE/>
                    <w:bidi w:val="0"/>
                    <w:adjustRightInd/>
                    <w:spacing w:line="240" w:lineRule="atLeast"/>
                    <w:ind w:right="0"/>
                    <w:jc w:val="center"/>
                    <w:rPr>
                      <w:rFonts w:hint="default" w:cs="Times New Roman"/>
                      <w:color w:val="auto"/>
                      <w:u w:val="none"/>
                      <w:lang w:val="en-US" w:eastAsia="zh-CN"/>
                    </w:rPr>
                  </w:pPr>
                  <w:r>
                    <w:rPr>
                      <w:rFonts w:hint="eastAsia" w:cs="Times New Roman"/>
                      <w:color w:val="auto"/>
                      <w:u w:val="none"/>
                      <w:lang w:val="en-US" w:eastAsia="zh-CN"/>
                    </w:rPr>
                    <w:t>/</w:t>
                  </w:r>
                </w:p>
              </w:tc>
            </w:tr>
            <w:tr w14:paraId="2B1CC8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0E863026">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111F356A">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rPr>
                  </w:pPr>
                </w:p>
              </w:tc>
              <w:tc>
                <w:tcPr>
                  <w:tcW w:w="694" w:type="pct"/>
                  <w:tcBorders>
                    <w:bottom w:val="single" w:color="auto" w:sz="4" w:space="0"/>
                  </w:tcBorders>
                  <w:shd w:val="clear" w:color="auto" w:fill="auto"/>
                  <w:noWrap w:val="0"/>
                  <w:vAlign w:val="center"/>
                </w:tcPr>
                <w:p w14:paraId="622EAAA8">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废润滑油</w:t>
                  </w:r>
                </w:p>
              </w:tc>
              <w:tc>
                <w:tcPr>
                  <w:tcW w:w="2627" w:type="pct"/>
                  <w:vMerge w:val="restart"/>
                  <w:noWrap w:val="0"/>
                  <w:vAlign w:val="center"/>
                </w:tcPr>
                <w:p w14:paraId="0C79EFE2">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0"/>
                      <w:szCs w:val="21"/>
                      <w:u w:val="single"/>
                      <w:lang w:eastAsia="zh-CN"/>
                    </w:rPr>
                  </w:pPr>
                  <w:r>
                    <w:rPr>
                      <w:rFonts w:hint="eastAsia" w:ascii="Times New Roman" w:hAnsi="Times New Roman" w:eastAsia="宋体" w:cs="Times New Roman"/>
                      <w:color w:val="FF0000"/>
                      <w:sz w:val="21"/>
                      <w:szCs w:val="21"/>
                      <w:u w:val="single"/>
                      <w:lang w:val="en-US" w:eastAsia="zh-CN"/>
                    </w:rPr>
                    <w:t>分类暂存于危险废物暂存间，定期交由有资质单位处置</w:t>
                  </w:r>
                </w:p>
              </w:tc>
              <w:tc>
                <w:tcPr>
                  <w:tcW w:w="1058" w:type="pct"/>
                  <w:tcBorders>
                    <w:bottom w:val="single" w:color="auto" w:sz="4" w:space="0"/>
                  </w:tcBorders>
                  <w:noWrap w:val="0"/>
                  <w:vAlign w:val="center"/>
                </w:tcPr>
                <w:p w14:paraId="166B5AB1">
                  <w:pPr>
                    <w:keepNext w:val="0"/>
                    <w:keepLines w:val="0"/>
                    <w:pageBreakBefore w:val="0"/>
                    <w:kinsoku/>
                    <w:wordWrap/>
                    <w:overflowPunct/>
                    <w:topLinePunct w:val="0"/>
                    <w:autoSpaceDE/>
                    <w:bidi w:val="0"/>
                    <w:adjustRightInd/>
                    <w:spacing w:line="240" w:lineRule="atLeast"/>
                    <w:ind w:right="0"/>
                    <w:jc w:val="center"/>
                    <w:rPr>
                      <w:rFonts w:hint="default" w:cs="Times New Roman"/>
                      <w:color w:val="auto"/>
                      <w:u w:val="none"/>
                      <w:lang w:val="en-US" w:eastAsia="zh-CN"/>
                    </w:rPr>
                  </w:pPr>
                  <w:r>
                    <w:rPr>
                      <w:rFonts w:hint="eastAsia" w:cs="Times New Roman"/>
                      <w:color w:val="auto"/>
                      <w:u w:val="none"/>
                      <w:lang w:val="en-US" w:eastAsia="zh-CN"/>
                    </w:rPr>
                    <w:t>/</w:t>
                  </w:r>
                </w:p>
              </w:tc>
            </w:tr>
            <w:tr w14:paraId="523B13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64017C49">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2FE5C132">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rPr>
                  </w:pPr>
                </w:p>
              </w:tc>
              <w:tc>
                <w:tcPr>
                  <w:tcW w:w="694" w:type="pct"/>
                  <w:tcBorders>
                    <w:bottom w:val="single" w:color="auto" w:sz="4" w:space="0"/>
                  </w:tcBorders>
                  <w:shd w:val="clear" w:color="auto" w:fill="auto"/>
                  <w:noWrap w:val="0"/>
                  <w:vAlign w:val="center"/>
                </w:tcPr>
                <w:p w14:paraId="49FC503A">
                  <w:pPr>
                    <w:pStyle w:val="136"/>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含油抹布及手套</w:t>
                  </w:r>
                </w:p>
              </w:tc>
              <w:tc>
                <w:tcPr>
                  <w:tcW w:w="2627" w:type="pct"/>
                  <w:vMerge w:val="continue"/>
                  <w:tcBorders>
                    <w:bottom w:val="single" w:color="auto" w:sz="4" w:space="0"/>
                  </w:tcBorders>
                  <w:noWrap w:val="0"/>
                  <w:vAlign w:val="center"/>
                </w:tcPr>
                <w:p w14:paraId="0F47F6E3">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0"/>
                      <w:szCs w:val="21"/>
                      <w:u w:val="none"/>
                      <w:lang w:eastAsia="zh-CN"/>
                    </w:rPr>
                  </w:pPr>
                </w:p>
              </w:tc>
              <w:tc>
                <w:tcPr>
                  <w:tcW w:w="1058" w:type="pct"/>
                  <w:tcBorders>
                    <w:bottom w:val="single" w:color="auto" w:sz="4" w:space="0"/>
                  </w:tcBorders>
                  <w:noWrap w:val="0"/>
                  <w:vAlign w:val="center"/>
                </w:tcPr>
                <w:p w14:paraId="0F41A38C">
                  <w:pPr>
                    <w:keepNext w:val="0"/>
                    <w:keepLines w:val="0"/>
                    <w:pageBreakBefore w:val="0"/>
                    <w:kinsoku/>
                    <w:wordWrap/>
                    <w:overflowPunct/>
                    <w:topLinePunct w:val="0"/>
                    <w:autoSpaceDE/>
                    <w:bidi w:val="0"/>
                    <w:adjustRightInd/>
                    <w:spacing w:line="240" w:lineRule="atLeast"/>
                    <w:ind w:right="0"/>
                    <w:jc w:val="center"/>
                    <w:rPr>
                      <w:rFonts w:hint="default" w:cs="Times New Roman"/>
                      <w:color w:val="auto"/>
                      <w:u w:val="none"/>
                      <w:lang w:val="en-US" w:eastAsia="zh-CN"/>
                    </w:rPr>
                  </w:pPr>
                  <w:r>
                    <w:rPr>
                      <w:rFonts w:hint="eastAsia" w:cs="Times New Roman"/>
                      <w:color w:val="auto"/>
                      <w:u w:val="none"/>
                      <w:lang w:val="en-US" w:eastAsia="zh-CN"/>
                    </w:rPr>
                    <w:t>/</w:t>
                  </w:r>
                </w:p>
              </w:tc>
            </w:tr>
            <w:tr w14:paraId="1EE701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216B10BD">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2A201099">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rPr>
                  </w:pPr>
                </w:p>
              </w:tc>
              <w:tc>
                <w:tcPr>
                  <w:tcW w:w="694" w:type="pct"/>
                  <w:tcBorders>
                    <w:bottom w:val="single" w:color="auto" w:sz="4" w:space="0"/>
                  </w:tcBorders>
                  <w:shd w:val="clear" w:color="auto" w:fill="auto"/>
                  <w:noWrap w:val="0"/>
                  <w:vAlign w:val="center"/>
                </w:tcPr>
                <w:p w14:paraId="14906ACC">
                  <w:pPr>
                    <w:pStyle w:val="136"/>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FF0000"/>
                      <w:sz w:val="21"/>
                      <w:szCs w:val="21"/>
                      <w:u w:val="single"/>
                      <w:lang w:val="en-US" w:eastAsia="zh-CN"/>
                    </w:rPr>
                    <w:t>废活性炭</w:t>
                  </w:r>
                </w:p>
              </w:tc>
              <w:tc>
                <w:tcPr>
                  <w:tcW w:w="2627" w:type="pct"/>
                  <w:vMerge w:val="continue"/>
                  <w:tcBorders>
                    <w:bottom w:val="single" w:color="auto" w:sz="4" w:space="0"/>
                  </w:tcBorders>
                  <w:noWrap w:val="0"/>
                  <w:vAlign w:val="center"/>
                </w:tcPr>
                <w:p w14:paraId="5C7A459D">
                  <w:pPr>
                    <w:keepNext w:val="0"/>
                    <w:keepLines w:val="0"/>
                    <w:pageBreakBefore w:val="0"/>
                    <w:kinsoku/>
                    <w:wordWrap/>
                    <w:overflowPunct/>
                    <w:topLinePunct w:val="0"/>
                    <w:autoSpaceDE/>
                    <w:bidi w:val="0"/>
                    <w:adjustRightInd/>
                    <w:spacing w:line="240" w:lineRule="atLeast"/>
                    <w:ind w:right="0"/>
                    <w:jc w:val="center"/>
                    <w:rPr>
                      <w:rFonts w:hint="eastAsia" w:ascii="Times New Roman" w:hAnsi="Times New Roman" w:eastAsia="宋体" w:cs="Times New Roman"/>
                      <w:color w:val="auto"/>
                      <w:kern w:val="0"/>
                      <w:szCs w:val="21"/>
                      <w:u w:val="none"/>
                      <w:lang w:eastAsia="zh-CN"/>
                    </w:rPr>
                  </w:pPr>
                </w:p>
              </w:tc>
              <w:tc>
                <w:tcPr>
                  <w:tcW w:w="1058" w:type="pct"/>
                  <w:tcBorders>
                    <w:bottom w:val="single" w:color="auto" w:sz="4" w:space="0"/>
                  </w:tcBorders>
                  <w:noWrap w:val="0"/>
                  <w:vAlign w:val="center"/>
                </w:tcPr>
                <w:p w14:paraId="16A750E3">
                  <w:pPr>
                    <w:keepNext w:val="0"/>
                    <w:keepLines w:val="0"/>
                    <w:pageBreakBefore w:val="0"/>
                    <w:kinsoku/>
                    <w:wordWrap/>
                    <w:overflowPunct/>
                    <w:topLinePunct w:val="0"/>
                    <w:autoSpaceDE/>
                    <w:bidi w:val="0"/>
                    <w:adjustRightInd/>
                    <w:spacing w:line="240" w:lineRule="atLeast"/>
                    <w:ind w:right="0"/>
                    <w:jc w:val="center"/>
                    <w:rPr>
                      <w:rFonts w:hint="default" w:cs="Times New Roman"/>
                      <w:color w:val="auto"/>
                      <w:u w:val="none"/>
                      <w:lang w:val="en-US" w:eastAsia="zh-CN"/>
                    </w:rPr>
                  </w:pPr>
                  <w:r>
                    <w:rPr>
                      <w:rFonts w:hint="eastAsia" w:cs="Times New Roman"/>
                      <w:color w:val="auto"/>
                      <w:u w:val="none"/>
                      <w:lang w:val="en-US" w:eastAsia="zh-CN"/>
                    </w:rPr>
                    <w:t>/</w:t>
                  </w:r>
                </w:p>
              </w:tc>
            </w:tr>
            <w:tr w14:paraId="1498DF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97" w:hRule="atLeast"/>
                <w:jc w:val="center"/>
              </w:trPr>
              <w:tc>
                <w:tcPr>
                  <w:tcW w:w="372" w:type="pct"/>
                  <w:vMerge w:val="continue"/>
                  <w:noWrap w:val="0"/>
                  <w:vAlign w:val="center"/>
                </w:tcPr>
                <w:p w14:paraId="6485AEB1">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Ansi="宋体"/>
                      <w:color w:val="auto"/>
                      <w:szCs w:val="21"/>
                    </w:rPr>
                  </w:pPr>
                </w:p>
              </w:tc>
              <w:tc>
                <w:tcPr>
                  <w:tcW w:w="247" w:type="pct"/>
                  <w:vMerge w:val="continue"/>
                  <w:noWrap w:val="0"/>
                  <w:vAlign w:val="center"/>
                </w:tcPr>
                <w:p w14:paraId="0D47EA6D">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eastAsia" w:hAnsi="宋体"/>
                      <w:color w:val="auto"/>
                      <w:sz w:val="21"/>
                      <w:szCs w:val="34"/>
                    </w:rPr>
                  </w:pPr>
                </w:p>
              </w:tc>
              <w:tc>
                <w:tcPr>
                  <w:tcW w:w="694" w:type="pct"/>
                  <w:tcBorders>
                    <w:top w:val="single" w:color="auto" w:sz="4" w:space="0"/>
                  </w:tcBorders>
                  <w:noWrap w:val="0"/>
                  <w:vAlign w:val="center"/>
                </w:tcPr>
                <w:p w14:paraId="6DA28404">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default" w:hAnsi="宋体" w:eastAsia="宋体"/>
                      <w:color w:val="auto"/>
                      <w:sz w:val="21"/>
                      <w:szCs w:val="34"/>
                      <w:lang w:val="en-US" w:eastAsia="zh-CN"/>
                    </w:rPr>
                  </w:pPr>
                  <w:r>
                    <w:rPr>
                      <w:rFonts w:hint="eastAsia" w:hAnsi="宋体"/>
                      <w:color w:val="auto"/>
                      <w:sz w:val="21"/>
                      <w:szCs w:val="34"/>
                      <w:lang w:val="en-US" w:eastAsia="zh-CN"/>
                    </w:rPr>
                    <w:t>生活垃圾</w:t>
                  </w:r>
                </w:p>
              </w:tc>
              <w:tc>
                <w:tcPr>
                  <w:tcW w:w="2627" w:type="pct"/>
                  <w:tcBorders>
                    <w:top w:val="single" w:color="auto" w:sz="4" w:space="0"/>
                  </w:tcBorders>
                  <w:noWrap w:val="0"/>
                  <w:vAlign w:val="center"/>
                </w:tcPr>
                <w:p w14:paraId="350596D4">
                  <w:pPr>
                    <w:pStyle w:val="30"/>
                    <w:keepNext w:val="0"/>
                    <w:keepLines w:val="0"/>
                    <w:pageBreakBefore w:val="0"/>
                    <w:widowControl w:val="0"/>
                    <w:kinsoku/>
                    <w:wordWrap/>
                    <w:overflowPunct/>
                    <w:topLinePunct w:val="0"/>
                    <w:autoSpaceDE/>
                    <w:bidi w:val="0"/>
                    <w:adjustRightInd/>
                    <w:spacing w:before="0" w:after="0" w:line="240" w:lineRule="auto"/>
                    <w:ind w:right="0" w:firstLine="0" w:firstLineChars="0"/>
                    <w:jc w:val="center"/>
                    <w:rPr>
                      <w:rFonts w:hint="default" w:hAnsi="宋体" w:eastAsia="宋体"/>
                      <w:color w:val="auto"/>
                      <w:sz w:val="21"/>
                      <w:szCs w:val="34"/>
                      <w:lang w:val="en-US" w:eastAsia="zh-CN"/>
                    </w:rPr>
                  </w:pPr>
                  <w:r>
                    <w:rPr>
                      <w:rFonts w:hint="eastAsia" w:hAnsi="宋体"/>
                      <w:color w:val="auto"/>
                      <w:sz w:val="21"/>
                      <w:szCs w:val="34"/>
                      <w:lang w:val="en-US" w:eastAsia="zh-CN"/>
                    </w:rPr>
                    <w:t>场内增加生活垃圾收集桶</w:t>
                  </w:r>
                </w:p>
              </w:tc>
              <w:tc>
                <w:tcPr>
                  <w:tcW w:w="1058" w:type="pct"/>
                  <w:tcBorders>
                    <w:top w:val="single" w:color="auto" w:sz="4" w:space="0"/>
                  </w:tcBorders>
                  <w:noWrap w:val="0"/>
                  <w:vAlign w:val="center"/>
                </w:tcPr>
                <w:p w14:paraId="7554385F">
                  <w:pPr>
                    <w:keepNext w:val="0"/>
                    <w:keepLines w:val="0"/>
                    <w:pageBreakBefore w:val="0"/>
                    <w:widowControl w:val="0"/>
                    <w:kinsoku/>
                    <w:wordWrap/>
                    <w:overflowPunct/>
                    <w:topLinePunct w:val="0"/>
                    <w:autoSpaceDE/>
                    <w:autoSpaceDN w:val="0"/>
                    <w:bidi w:val="0"/>
                    <w:adjustRightInd/>
                    <w:ind w:right="0" w:firstLineChars="0"/>
                    <w:jc w:val="center"/>
                    <w:textAlignment w:val="center"/>
                    <w:rPr>
                      <w:rFonts w:hint="eastAsia" w:hAnsi="宋体" w:eastAsia="宋体"/>
                      <w:color w:val="auto"/>
                      <w:szCs w:val="21"/>
                      <w:u w:val="none"/>
                      <w:lang w:val="en-US" w:eastAsia="zh-CN"/>
                    </w:rPr>
                  </w:pPr>
                  <w:r>
                    <w:rPr>
                      <w:rFonts w:hint="eastAsia" w:cs="Times New Roman"/>
                      <w:color w:val="auto"/>
                      <w:u w:val="none"/>
                      <w:lang w:val="en-US" w:eastAsia="zh-CN"/>
                    </w:rPr>
                    <w:t>/</w:t>
                  </w:r>
                </w:p>
              </w:tc>
            </w:tr>
          </w:tbl>
          <w:p w14:paraId="3852AC2D">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cs="Times New Roman"/>
                <w:b/>
                <w:color w:val="auto"/>
                <w:sz w:val="24"/>
                <w:szCs w:val="24"/>
                <w:lang w:val="en-US" w:eastAsia="zh-CN"/>
              </w:rPr>
            </w:pPr>
            <w:r>
              <w:rPr>
                <w:rFonts w:hint="eastAsia" w:ascii="Times New Roman" w:hAnsi="Times New Roman" w:eastAsia="宋体" w:cs="Times New Roman"/>
                <w:b/>
                <w:color w:val="auto"/>
                <w:sz w:val="24"/>
                <w:szCs w:val="24"/>
                <w:lang w:eastAsia="zh-CN"/>
              </w:rPr>
              <w:t>产品</w:t>
            </w:r>
            <w:r>
              <w:rPr>
                <w:rFonts w:hint="eastAsia" w:cs="Times New Roman"/>
                <w:b/>
                <w:color w:val="auto"/>
                <w:sz w:val="24"/>
                <w:szCs w:val="24"/>
                <w:lang w:val="en-US" w:eastAsia="zh-CN"/>
              </w:rPr>
              <w:t>方案</w:t>
            </w:r>
          </w:p>
          <w:p w14:paraId="42B57BDF">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color w:val="auto"/>
                <w:lang w:val="en-US" w:eastAsia="zh-CN"/>
              </w:rPr>
            </w:pPr>
            <w:r>
              <w:rPr>
                <w:color w:val="auto"/>
                <w:kern w:val="0"/>
                <w:sz w:val="24"/>
              </w:rPr>
              <w:t>项目</w:t>
            </w:r>
            <w:r>
              <w:rPr>
                <w:rFonts w:hint="eastAsia"/>
                <w:color w:val="auto"/>
                <w:kern w:val="0"/>
                <w:sz w:val="24"/>
                <w:lang w:val="en-US" w:eastAsia="zh-CN"/>
              </w:rPr>
              <w:t>运营期产品方案</w:t>
            </w:r>
            <w:r>
              <w:rPr>
                <w:color w:val="auto"/>
                <w:kern w:val="0"/>
                <w:sz w:val="24"/>
              </w:rPr>
              <w:t>见下表。</w:t>
            </w:r>
          </w:p>
          <w:p w14:paraId="0CEFCC52">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表2-</w:t>
            </w:r>
            <w:r>
              <w:rPr>
                <w:rFonts w:hint="eastAsia" w:cs="Times New Roman"/>
                <w:color w:val="auto"/>
                <w:sz w:val="24"/>
                <w:szCs w:val="24"/>
                <w:u w:val="none"/>
                <w:lang w:val="en-US" w:eastAsia="zh-CN"/>
              </w:rPr>
              <w:t>4</w:t>
            </w:r>
            <w:r>
              <w:rPr>
                <w:rFonts w:hint="default" w:ascii="Times New Roman" w:hAnsi="Times New Roman" w:eastAsia="宋体" w:cs="Times New Roman"/>
                <w:color w:val="auto"/>
                <w:sz w:val="24"/>
                <w:szCs w:val="24"/>
                <w:u w:val="none"/>
              </w:rPr>
              <w:t xml:space="preserve">   </w:t>
            </w:r>
            <w:r>
              <w:rPr>
                <w:rFonts w:hint="eastAsia" w:ascii="Times New Roman" w:hAnsi="Times New Roman" w:eastAsia="宋体" w:cs="Times New Roman"/>
                <w:color w:val="auto"/>
                <w:sz w:val="24"/>
                <w:szCs w:val="24"/>
                <w:u w:val="none"/>
                <w:lang w:eastAsia="zh-CN"/>
              </w:rPr>
              <w:t>产品方案</w:t>
            </w:r>
            <w:r>
              <w:rPr>
                <w:rFonts w:hint="default" w:ascii="Times New Roman" w:hAnsi="Times New Roman" w:eastAsia="宋体" w:cs="Times New Roman"/>
                <w:color w:val="auto"/>
                <w:sz w:val="24"/>
                <w:szCs w:val="24"/>
                <w:u w:val="none"/>
              </w:rPr>
              <w:t>一览表</w:t>
            </w:r>
          </w:p>
          <w:tbl>
            <w:tblPr>
              <w:tblStyle w:val="126"/>
              <w:tblW w:w="757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44"/>
              <w:gridCol w:w="1097"/>
              <w:gridCol w:w="900"/>
              <w:gridCol w:w="760"/>
              <w:gridCol w:w="4277"/>
            </w:tblGrid>
            <w:tr w14:paraId="3D86E4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8" w:type="pct"/>
                  <w:tcBorders>
                    <w:tl2br w:val="nil"/>
                    <w:tr2bl w:val="nil"/>
                  </w:tcBorders>
                  <w:noWrap w:val="0"/>
                  <w:vAlign w:val="center"/>
                </w:tcPr>
                <w:p w14:paraId="01B69DED">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4"/>
                      <w:sz w:val="21"/>
                      <w:szCs w:val="21"/>
                    </w:rPr>
                    <w:t>序号</w:t>
                  </w:r>
                </w:p>
              </w:tc>
              <w:tc>
                <w:tcPr>
                  <w:tcW w:w="723" w:type="pct"/>
                  <w:tcBorders>
                    <w:tl2br w:val="nil"/>
                    <w:tr2bl w:val="nil"/>
                  </w:tcBorders>
                  <w:noWrap w:val="0"/>
                  <w:vAlign w:val="center"/>
                </w:tcPr>
                <w:p w14:paraId="401F5036">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6"/>
                      <w:sz w:val="21"/>
                      <w:szCs w:val="21"/>
                    </w:rPr>
                    <w:t>产品名称</w:t>
                  </w:r>
                </w:p>
              </w:tc>
              <w:tc>
                <w:tcPr>
                  <w:tcW w:w="593" w:type="pct"/>
                  <w:tcBorders>
                    <w:tl2br w:val="nil"/>
                    <w:tr2bl w:val="nil"/>
                  </w:tcBorders>
                  <w:noWrap w:val="0"/>
                  <w:vAlign w:val="center"/>
                </w:tcPr>
                <w:p w14:paraId="3CF906FE">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eastAsiaTheme="minorEastAsia"/>
                      <w:b/>
                      <w:bCs/>
                      <w:color w:val="auto"/>
                      <w:spacing w:val="5"/>
                      <w:sz w:val="21"/>
                      <w:szCs w:val="21"/>
                      <w:lang w:val="en-US" w:eastAsia="zh-CN"/>
                    </w:rPr>
                  </w:pPr>
                  <w:r>
                    <w:rPr>
                      <w:rFonts w:hint="eastAsia" w:ascii="Times New Roman" w:hAnsi="Times New Roman" w:cs="Times New Roman" w:eastAsiaTheme="minorEastAsia"/>
                      <w:b/>
                      <w:bCs/>
                      <w:color w:val="auto"/>
                      <w:spacing w:val="5"/>
                      <w:sz w:val="21"/>
                      <w:szCs w:val="21"/>
                      <w:lang w:val="en-US" w:eastAsia="zh-CN"/>
                    </w:rPr>
                    <w:t>产量</w:t>
                  </w:r>
                </w:p>
                <w:p w14:paraId="2ED8B614">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eastAsiaTheme="minorEastAsia"/>
                      <w:b/>
                      <w:bCs/>
                      <w:color w:val="auto"/>
                      <w:spacing w:val="5"/>
                      <w:sz w:val="21"/>
                      <w:szCs w:val="21"/>
                      <w:lang w:val="en-US" w:eastAsia="zh-CN"/>
                    </w:rPr>
                  </w:pPr>
                  <w:r>
                    <w:rPr>
                      <w:rFonts w:hint="eastAsia" w:ascii="Times New Roman" w:hAnsi="Times New Roman" w:cs="Times New Roman" w:eastAsiaTheme="minorEastAsia"/>
                      <w:b/>
                      <w:bCs/>
                      <w:color w:val="auto"/>
                      <w:spacing w:val="5"/>
                      <w:sz w:val="21"/>
                      <w:szCs w:val="21"/>
                      <w:lang w:val="en-US" w:eastAsia="zh-CN"/>
                    </w:rPr>
                    <w:t>（</w:t>
                  </w:r>
                  <w:r>
                    <w:rPr>
                      <w:rFonts w:hint="default" w:ascii="Times New Roman" w:hAnsi="Times New Roman" w:cs="Times New Roman" w:eastAsiaTheme="minorEastAsia"/>
                      <w:b/>
                      <w:bCs/>
                      <w:color w:val="auto"/>
                      <w:spacing w:val="5"/>
                      <w:sz w:val="21"/>
                      <w:szCs w:val="21"/>
                      <w:lang w:val="en-US" w:eastAsia="zh-CN"/>
                    </w:rPr>
                    <w:t>吨/年</w:t>
                  </w:r>
                  <w:r>
                    <w:rPr>
                      <w:rFonts w:hint="eastAsia" w:ascii="Times New Roman" w:hAnsi="Times New Roman" w:cs="Times New Roman" w:eastAsiaTheme="minorEastAsia"/>
                      <w:b/>
                      <w:bCs/>
                      <w:color w:val="auto"/>
                      <w:spacing w:val="5"/>
                      <w:sz w:val="21"/>
                      <w:szCs w:val="21"/>
                      <w:lang w:val="en-US" w:eastAsia="zh-CN"/>
                    </w:rPr>
                    <w:t>）</w:t>
                  </w:r>
                </w:p>
              </w:tc>
              <w:tc>
                <w:tcPr>
                  <w:tcW w:w="501" w:type="pct"/>
                  <w:tcBorders>
                    <w:tl2br w:val="nil"/>
                    <w:tr2bl w:val="nil"/>
                  </w:tcBorders>
                  <w:noWrap w:val="0"/>
                  <w:vAlign w:val="center"/>
                </w:tcPr>
                <w:p w14:paraId="2DA932F0">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eastAsiaTheme="minorEastAsia"/>
                      <w:b/>
                      <w:bCs/>
                      <w:color w:val="auto"/>
                      <w:spacing w:val="5"/>
                      <w:sz w:val="21"/>
                      <w:szCs w:val="21"/>
                      <w:lang w:val="en-US" w:eastAsia="zh-CN"/>
                    </w:rPr>
                  </w:pPr>
                  <w:r>
                    <w:rPr>
                      <w:rFonts w:hint="eastAsia" w:ascii="Times New Roman" w:hAnsi="Times New Roman" w:cs="Times New Roman" w:eastAsiaTheme="minorEastAsia"/>
                      <w:b/>
                      <w:bCs/>
                      <w:color w:val="auto"/>
                      <w:spacing w:val="5"/>
                      <w:sz w:val="21"/>
                      <w:szCs w:val="21"/>
                      <w:lang w:val="en-US" w:eastAsia="zh-CN"/>
                    </w:rPr>
                    <w:t>含水率</w:t>
                  </w:r>
                </w:p>
                <w:p w14:paraId="195E8216">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bCs/>
                      <w:color w:val="auto"/>
                      <w:spacing w:val="5"/>
                      <w:sz w:val="21"/>
                      <w:szCs w:val="21"/>
                      <w:lang w:val="en-US" w:eastAsia="zh-CN"/>
                    </w:rPr>
                  </w:pPr>
                  <w:r>
                    <w:rPr>
                      <w:rFonts w:hint="eastAsia" w:ascii="Times New Roman" w:hAnsi="Times New Roman" w:cs="Times New Roman" w:eastAsiaTheme="minorEastAsia"/>
                      <w:b/>
                      <w:bCs/>
                      <w:color w:val="auto"/>
                      <w:spacing w:val="5"/>
                      <w:sz w:val="21"/>
                      <w:szCs w:val="21"/>
                      <w:lang w:val="en-US" w:eastAsia="zh-CN"/>
                    </w:rPr>
                    <w:t>（%）</w:t>
                  </w:r>
                </w:p>
              </w:tc>
              <w:tc>
                <w:tcPr>
                  <w:tcW w:w="2821" w:type="pct"/>
                  <w:tcBorders>
                    <w:tl2br w:val="nil"/>
                    <w:tr2bl w:val="nil"/>
                  </w:tcBorders>
                  <w:noWrap w:val="0"/>
                  <w:vAlign w:val="center"/>
                </w:tcPr>
                <w:p w14:paraId="3154DDC4">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color w:val="auto"/>
                      <w:sz w:val="21"/>
                      <w:szCs w:val="21"/>
                      <w:u w:val="single"/>
                      <w:lang w:val="en-US" w:eastAsia="zh-CN"/>
                    </w:rPr>
                  </w:pPr>
                  <w:r>
                    <w:rPr>
                      <w:rFonts w:hint="eastAsia" w:ascii="Times New Roman" w:hAnsi="Times New Roman" w:cs="Times New Roman" w:eastAsiaTheme="minorEastAsia"/>
                      <w:b/>
                      <w:bCs/>
                      <w:color w:val="auto"/>
                      <w:spacing w:val="2"/>
                      <w:sz w:val="21"/>
                      <w:szCs w:val="21"/>
                      <w:u w:val="single"/>
                      <w:lang w:val="en-US" w:eastAsia="zh-CN"/>
                    </w:rPr>
                    <w:t>产品规格、控制标准等</w:t>
                  </w:r>
                </w:p>
              </w:tc>
            </w:tr>
            <w:tr w14:paraId="1E36EA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8" w:type="pct"/>
                  <w:tcBorders>
                    <w:tl2br w:val="nil"/>
                    <w:tr2bl w:val="nil"/>
                  </w:tcBorders>
                  <w:shd w:val="clear" w:color="auto" w:fill="auto"/>
                  <w:noWrap w:val="0"/>
                  <w:vAlign w:val="center"/>
                </w:tcPr>
                <w:p w14:paraId="1D6AE0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1</w:t>
                  </w:r>
                </w:p>
              </w:tc>
              <w:tc>
                <w:tcPr>
                  <w:tcW w:w="723" w:type="pct"/>
                  <w:tcBorders>
                    <w:tl2br w:val="nil"/>
                    <w:tr2bl w:val="nil"/>
                  </w:tcBorders>
                  <w:shd w:val="clear" w:color="auto" w:fill="auto"/>
                  <w:noWrap w:val="0"/>
                  <w:vAlign w:val="center"/>
                </w:tcPr>
                <w:p w14:paraId="0CCE98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山银花</w:t>
                  </w:r>
                  <w:r>
                    <w:rPr>
                      <w:rFonts w:hint="eastAsia" w:ascii="Times New Roman" w:hAnsi="Times New Roman" w:cs="Times New Roman"/>
                      <w:color w:val="auto"/>
                      <w:sz w:val="21"/>
                      <w:szCs w:val="21"/>
                      <w:lang w:val="en-US" w:eastAsia="zh-CN"/>
                    </w:rPr>
                    <w:t>干花</w:t>
                  </w:r>
                </w:p>
              </w:tc>
              <w:tc>
                <w:tcPr>
                  <w:tcW w:w="593" w:type="pct"/>
                  <w:tcBorders>
                    <w:tl2br w:val="nil"/>
                    <w:tr2bl w:val="nil"/>
                  </w:tcBorders>
                  <w:shd w:val="clear" w:color="auto" w:fill="auto"/>
                  <w:noWrap w:val="0"/>
                  <w:vAlign w:val="center"/>
                </w:tcPr>
                <w:p w14:paraId="7A8C321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200</w:t>
                  </w:r>
                </w:p>
              </w:tc>
              <w:tc>
                <w:tcPr>
                  <w:tcW w:w="501" w:type="pct"/>
                  <w:tcBorders>
                    <w:tl2br w:val="nil"/>
                    <w:tr2bl w:val="nil"/>
                  </w:tcBorders>
                  <w:shd w:val="clear" w:color="auto" w:fill="auto"/>
                  <w:noWrap w:val="0"/>
                  <w:vAlign w:val="center"/>
                </w:tcPr>
                <w:p w14:paraId="53C3A6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15</w:t>
                  </w:r>
                </w:p>
              </w:tc>
              <w:tc>
                <w:tcPr>
                  <w:tcW w:w="2821" w:type="pct"/>
                  <w:tcBorders>
                    <w:tl2br w:val="nil"/>
                    <w:tr2bl w:val="nil"/>
                  </w:tcBorders>
                  <w:noWrap w:val="0"/>
                  <w:vAlign w:val="center"/>
                </w:tcPr>
                <w:p w14:paraId="0CA854BE">
                  <w:pPr>
                    <w:pStyle w:val="125"/>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bCs/>
                      <w:color w:val="auto"/>
                      <w:spacing w:val="2"/>
                      <w:sz w:val="21"/>
                      <w:szCs w:val="21"/>
                      <w:u w:val="single"/>
                      <w:lang w:val="en-US" w:eastAsia="zh-CN"/>
                    </w:rPr>
                  </w:pPr>
                  <w:r>
                    <w:rPr>
                      <w:rFonts w:ascii="Times New Roman" w:hAnsi="Times New Roman" w:eastAsia="宋体" w:cs="Times New Roman"/>
                      <w:color w:val="auto"/>
                      <w:kern w:val="0"/>
                      <w:szCs w:val="21"/>
                      <w:u w:val="single"/>
                    </w:rPr>
                    <w:t>呈棒状而稍弯曲，长3～4.5cm，上部直径约2mm，下部直径约1mm。表面黄色或黄绿色。总花梗集结成簇，开放者花冠裂片不及全长之半。质稍硬，手捏之稍有弹性。气清香，味微苦甘。</w:t>
                  </w:r>
                </w:p>
              </w:tc>
            </w:tr>
            <w:tr w14:paraId="044A4C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8" w:type="pct"/>
                  <w:tcBorders>
                    <w:tl2br w:val="nil"/>
                    <w:tr2bl w:val="nil"/>
                  </w:tcBorders>
                  <w:noWrap w:val="0"/>
                  <w:vAlign w:val="center"/>
                </w:tcPr>
                <w:p w14:paraId="300A9C63">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bCs/>
                      <w:color w:val="auto"/>
                      <w:spacing w:val="4"/>
                      <w:sz w:val="21"/>
                      <w:szCs w:val="21"/>
                    </w:rPr>
                  </w:pPr>
                  <w:r>
                    <w:rPr>
                      <w:rFonts w:hint="default" w:ascii="Times New Roman" w:hAnsi="Times New Roman" w:cs="Times New Roman" w:eastAsiaTheme="minorEastAsia"/>
                      <w:color w:val="auto"/>
                      <w:sz w:val="21"/>
                      <w:szCs w:val="21"/>
                    </w:rPr>
                    <w:t>2</w:t>
                  </w:r>
                </w:p>
              </w:tc>
              <w:tc>
                <w:tcPr>
                  <w:tcW w:w="723" w:type="pct"/>
                  <w:tcBorders>
                    <w:tl2br w:val="nil"/>
                    <w:tr2bl w:val="nil"/>
                  </w:tcBorders>
                  <w:shd w:val="clear" w:color="auto" w:fill="auto"/>
                  <w:noWrap w:val="0"/>
                  <w:vAlign w:val="center"/>
                </w:tcPr>
                <w:p w14:paraId="49058D4E">
                  <w:pPr>
                    <w:keepNext/>
                    <w:keepLines/>
                    <w:jc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szCs w:val="21"/>
                      <w:lang w:val="en-US" w:eastAsia="zh-CN"/>
                    </w:rPr>
                    <w:t>野菊花干花</w:t>
                  </w:r>
                </w:p>
              </w:tc>
              <w:tc>
                <w:tcPr>
                  <w:tcW w:w="593" w:type="pct"/>
                  <w:tcBorders>
                    <w:tl2br w:val="nil"/>
                    <w:tr2bl w:val="nil"/>
                  </w:tcBorders>
                  <w:shd w:val="clear" w:color="auto" w:fill="auto"/>
                  <w:noWrap w:val="0"/>
                  <w:vAlign w:val="center"/>
                </w:tcPr>
                <w:p w14:paraId="658CA3E6">
                  <w:pPr>
                    <w:widowControl/>
                    <w:jc w:val="center"/>
                    <w:rPr>
                      <w:rFonts w:hint="eastAsia" w:ascii="Times New Roman" w:hAnsi="Times New Roman" w:eastAsia="宋体" w:cs="Times New Roman"/>
                      <w:color w:val="auto"/>
                      <w:kern w:val="0"/>
                      <w:sz w:val="21"/>
                      <w:szCs w:val="21"/>
                      <w:lang w:val="en-US" w:eastAsia="zh-CN" w:bidi="ar-SA"/>
                    </w:rPr>
                  </w:pPr>
                  <w:r>
                    <w:rPr>
                      <w:rFonts w:hint="eastAsia" w:eastAsia="宋体"/>
                      <w:color w:val="auto"/>
                      <w:kern w:val="0"/>
                      <w:szCs w:val="21"/>
                      <w:lang w:val="en-US" w:eastAsia="zh-CN"/>
                    </w:rPr>
                    <w:t>200</w:t>
                  </w:r>
                </w:p>
              </w:tc>
              <w:tc>
                <w:tcPr>
                  <w:tcW w:w="501" w:type="pct"/>
                  <w:tcBorders>
                    <w:tl2br w:val="nil"/>
                    <w:tr2bl w:val="nil"/>
                  </w:tcBorders>
                  <w:shd w:val="clear" w:color="auto" w:fill="auto"/>
                  <w:noWrap w:val="0"/>
                  <w:vAlign w:val="center"/>
                </w:tcPr>
                <w:p w14:paraId="1D6C78B5">
                  <w:pPr>
                    <w:widowControl/>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eastAsiaTheme="minorEastAsia"/>
                      <w:color w:val="auto"/>
                      <w:sz w:val="21"/>
                      <w:szCs w:val="21"/>
                      <w:lang w:val="en-US" w:eastAsia="zh-CN"/>
                    </w:rPr>
                    <w:t>15</w:t>
                  </w:r>
                </w:p>
              </w:tc>
              <w:tc>
                <w:tcPr>
                  <w:tcW w:w="2821" w:type="pct"/>
                  <w:tcBorders>
                    <w:tl2br w:val="nil"/>
                    <w:tr2bl w:val="nil"/>
                  </w:tcBorders>
                  <w:noWrap w:val="0"/>
                  <w:vAlign w:val="center"/>
                </w:tcPr>
                <w:p w14:paraId="0A12504E">
                  <w:pPr>
                    <w:pStyle w:val="125"/>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color w:val="auto"/>
                      <w:kern w:val="0"/>
                      <w:szCs w:val="21"/>
                      <w:u w:val="single"/>
                      <w:lang w:eastAsia="zh-CN"/>
                    </w:rPr>
                  </w:pPr>
                  <w:r>
                    <w:rPr>
                      <w:rFonts w:ascii="Times New Roman" w:hAnsi="Times New Roman" w:eastAsia="宋体" w:cs="Times New Roman"/>
                      <w:color w:val="auto"/>
                      <w:kern w:val="0"/>
                      <w:szCs w:val="21"/>
                      <w:u w:val="single"/>
                    </w:rPr>
                    <w:t>干燥头状花序，类球形</w:t>
                  </w:r>
                  <w:r>
                    <w:rPr>
                      <w:rFonts w:hint="eastAsia" w:ascii="Times New Roman" w:hAnsi="Times New Roman" w:eastAsia="宋体" w:cs="Times New Roman"/>
                      <w:color w:val="auto"/>
                      <w:kern w:val="0"/>
                      <w:szCs w:val="21"/>
                      <w:u w:val="single"/>
                      <w:lang w:val="en-US" w:eastAsia="zh-CN"/>
                    </w:rPr>
                    <w:t>，</w:t>
                  </w:r>
                  <w:r>
                    <w:rPr>
                      <w:rFonts w:ascii="Times New Roman" w:hAnsi="Times New Roman" w:eastAsia="宋体" w:cs="Times New Roman"/>
                      <w:color w:val="auto"/>
                      <w:kern w:val="0"/>
                      <w:szCs w:val="21"/>
                      <w:u w:val="single"/>
                    </w:rPr>
                    <w:t>直径0.3～1cm</w:t>
                  </w:r>
                  <w:r>
                    <w:rPr>
                      <w:rFonts w:hint="eastAsia" w:ascii="Times New Roman" w:hAnsi="Times New Roman" w:eastAsia="宋体" w:cs="Times New Roman"/>
                      <w:color w:val="auto"/>
                      <w:kern w:val="0"/>
                      <w:szCs w:val="21"/>
                      <w:u w:val="single"/>
                      <w:lang w:eastAsia="zh-CN"/>
                    </w:rPr>
                    <w:t>，</w:t>
                  </w:r>
                  <w:r>
                    <w:rPr>
                      <w:rFonts w:ascii="Times New Roman" w:hAnsi="Times New Roman" w:eastAsia="宋体" w:cs="Times New Roman"/>
                      <w:color w:val="auto"/>
                      <w:kern w:val="0"/>
                      <w:szCs w:val="21"/>
                      <w:u w:val="single"/>
                    </w:rPr>
                    <w:t>棕黄色至深黄色</w:t>
                  </w:r>
                  <w:r>
                    <w:rPr>
                      <w:rFonts w:hint="eastAsia" w:ascii="Times New Roman" w:hAnsi="Times New Roman" w:eastAsia="宋体" w:cs="Times New Roman"/>
                      <w:color w:val="auto"/>
                      <w:kern w:val="0"/>
                      <w:szCs w:val="21"/>
                      <w:u w:val="single"/>
                      <w:lang w:eastAsia="zh-CN"/>
                    </w:rPr>
                    <w:t>。</w:t>
                  </w:r>
                </w:p>
              </w:tc>
            </w:tr>
            <w:tr w14:paraId="04E6D7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8" w:type="pct"/>
                  <w:tcBorders>
                    <w:tl2br w:val="nil"/>
                    <w:tr2bl w:val="nil"/>
                  </w:tcBorders>
                  <w:shd w:val="clear" w:color="auto" w:fill="auto"/>
                  <w:noWrap w:val="0"/>
                  <w:vAlign w:val="center"/>
                </w:tcPr>
                <w:p w14:paraId="16A8E2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3</w:t>
                  </w:r>
                </w:p>
              </w:tc>
              <w:tc>
                <w:tcPr>
                  <w:tcW w:w="723" w:type="pct"/>
                  <w:tcBorders>
                    <w:tl2br w:val="nil"/>
                    <w:tr2bl w:val="nil"/>
                  </w:tcBorders>
                  <w:shd w:val="clear" w:color="auto" w:fill="auto"/>
                  <w:noWrap w:val="0"/>
                  <w:vAlign w:val="center"/>
                </w:tcPr>
                <w:p w14:paraId="6BC1BA55">
                  <w:pPr>
                    <w:keepNext/>
                    <w:keepLine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干</w:t>
                  </w:r>
                  <w:r>
                    <w:rPr>
                      <w:rFonts w:hint="eastAsia" w:eastAsia="宋体"/>
                      <w:color w:val="auto"/>
                      <w:szCs w:val="21"/>
                      <w:lang w:val="en-US" w:eastAsia="zh-CN"/>
                    </w:rPr>
                    <w:t>玉竹</w:t>
                  </w:r>
                </w:p>
              </w:tc>
              <w:tc>
                <w:tcPr>
                  <w:tcW w:w="593" w:type="pct"/>
                  <w:tcBorders>
                    <w:tl2br w:val="nil"/>
                    <w:tr2bl w:val="nil"/>
                  </w:tcBorders>
                  <w:shd w:val="clear" w:color="auto" w:fill="auto"/>
                  <w:noWrap w:val="0"/>
                  <w:vAlign w:val="center"/>
                </w:tcPr>
                <w:p w14:paraId="328D4F27">
                  <w:pPr>
                    <w:widowControl/>
                    <w:jc w:val="center"/>
                    <w:rPr>
                      <w:rFonts w:hint="eastAsia" w:ascii="Times New Roman" w:hAnsi="Times New Roman" w:eastAsia="宋体" w:cs="Times New Roman"/>
                      <w:color w:val="auto"/>
                      <w:kern w:val="0"/>
                      <w:sz w:val="21"/>
                      <w:szCs w:val="21"/>
                      <w:lang w:val="en-US" w:eastAsia="zh-CN" w:bidi="ar-SA"/>
                    </w:rPr>
                  </w:pPr>
                  <w:r>
                    <w:rPr>
                      <w:rFonts w:hint="eastAsia" w:eastAsia="宋体"/>
                      <w:color w:val="auto"/>
                      <w:kern w:val="0"/>
                      <w:szCs w:val="21"/>
                      <w:lang w:val="en-US" w:eastAsia="zh-CN"/>
                    </w:rPr>
                    <w:t>100</w:t>
                  </w:r>
                </w:p>
              </w:tc>
              <w:tc>
                <w:tcPr>
                  <w:tcW w:w="501" w:type="pct"/>
                  <w:tcBorders>
                    <w:tl2br w:val="nil"/>
                    <w:tr2bl w:val="nil"/>
                  </w:tcBorders>
                  <w:shd w:val="clear" w:color="auto" w:fill="auto"/>
                  <w:noWrap w:val="0"/>
                  <w:vAlign w:val="center"/>
                </w:tcPr>
                <w:p w14:paraId="11608FD2">
                  <w:pPr>
                    <w:widowControl/>
                    <w:jc w:val="center"/>
                    <w:rPr>
                      <w:rFonts w:hint="eastAsia" w:ascii="Times New Roman" w:hAnsi="Times New Roman" w:eastAsia="宋体" w:cs="Times New Roman"/>
                      <w:color w:val="auto"/>
                      <w:kern w:val="0"/>
                      <w:sz w:val="21"/>
                      <w:szCs w:val="21"/>
                      <w:lang w:val="en-US" w:eastAsia="zh-CN" w:bidi="ar-SA"/>
                    </w:rPr>
                  </w:pPr>
                  <w:r>
                    <w:rPr>
                      <w:rFonts w:hint="eastAsia" w:cs="Times New Roman" w:eastAsiaTheme="minorEastAsia"/>
                      <w:color w:val="auto"/>
                      <w:sz w:val="21"/>
                      <w:szCs w:val="21"/>
                      <w:lang w:val="en-US" w:eastAsia="zh-CN"/>
                    </w:rPr>
                    <w:t>15</w:t>
                  </w:r>
                </w:p>
              </w:tc>
              <w:tc>
                <w:tcPr>
                  <w:tcW w:w="2821" w:type="pct"/>
                  <w:tcBorders>
                    <w:tl2br w:val="nil"/>
                    <w:tr2bl w:val="nil"/>
                  </w:tcBorders>
                  <w:noWrap w:val="0"/>
                  <w:vAlign w:val="center"/>
                </w:tcPr>
                <w:p w14:paraId="3786E8E8">
                  <w:pPr>
                    <w:pStyle w:val="125"/>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u w:val="single"/>
                      <w:lang w:eastAsia="zh-CN"/>
                    </w:rPr>
                    <w:t>呈长圆柱形，略扁，少有分枝，长4～18cm，直径0.3～1.6cm。表面黄白色或淡黄棕色，有的半透明，具纵皱纹和微隆起的环节，有白色圆点状的须根痕和圆盘状茎痕。质硬而脆或稍软，易折断，断面角质样或显颗粒性。气微，味甘，嚼之发黏。</w:t>
                  </w:r>
                  <w:r>
                    <w:rPr>
                      <w:rFonts w:hint="eastAsia" w:ascii="Times New Roman" w:hAnsi="Times New Roman" w:eastAsia="宋体" w:cs="Times New Roman"/>
                      <w:color w:val="auto"/>
                      <w:kern w:val="0"/>
                      <w:szCs w:val="21"/>
                      <w:u w:val="single"/>
                      <w:lang w:val="en-US" w:eastAsia="zh-CN"/>
                    </w:rPr>
                    <w:t>浸出物</w:t>
                  </w:r>
                  <w:r>
                    <w:rPr>
                      <w:rFonts w:hint="eastAsia" w:ascii="Times New Roman" w:hAnsi="Times New Roman" w:eastAsia="宋体" w:cs="Times New Roman"/>
                      <w:color w:val="auto"/>
                      <w:kern w:val="0"/>
                      <w:szCs w:val="21"/>
                      <w:u w:val="single"/>
                      <w:lang w:eastAsia="zh-CN"/>
                    </w:rPr>
                    <w:t>不得少于50.0%。</w:t>
                  </w:r>
                </w:p>
              </w:tc>
            </w:tr>
            <w:tr w14:paraId="65E8F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8" w:type="pct"/>
                  <w:tcBorders>
                    <w:tl2br w:val="nil"/>
                    <w:tr2bl w:val="nil"/>
                  </w:tcBorders>
                  <w:noWrap w:val="0"/>
                  <w:vAlign w:val="center"/>
                </w:tcPr>
                <w:p w14:paraId="57A16ADF">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eastAsiaTheme="minorEastAsia"/>
                      <w:b/>
                      <w:bCs/>
                      <w:color w:val="auto"/>
                      <w:spacing w:val="4"/>
                      <w:sz w:val="21"/>
                      <w:szCs w:val="21"/>
                    </w:rPr>
                  </w:pPr>
                  <w:r>
                    <w:rPr>
                      <w:rFonts w:hint="default" w:ascii="Times New Roman" w:hAnsi="Times New Roman" w:cs="Times New Roman" w:eastAsiaTheme="minorEastAsia"/>
                      <w:color w:val="auto"/>
                      <w:sz w:val="21"/>
                      <w:szCs w:val="21"/>
                      <w:lang w:val="en-US" w:eastAsia="zh-CN"/>
                    </w:rPr>
                    <w:t>4</w:t>
                  </w:r>
                </w:p>
              </w:tc>
              <w:tc>
                <w:tcPr>
                  <w:tcW w:w="723" w:type="pct"/>
                  <w:tcBorders>
                    <w:tl2br w:val="nil"/>
                    <w:tr2bl w:val="nil"/>
                  </w:tcBorders>
                  <w:shd w:val="clear" w:color="auto" w:fill="auto"/>
                  <w:noWrap w:val="0"/>
                  <w:vAlign w:val="center"/>
                </w:tcPr>
                <w:p w14:paraId="3DD02F8F">
                  <w:pPr>
                    <w:keepNext/>
                    <w:keepLine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干</w:t>
                  </w:r>
                  <w:r>
                    <w:rPr>
                      <w:rFonts w:hint="eastAsia" w:eastAsia="宋体"/>
                      <w:color w:val="auto"/>
                      <w:szCs w:val="21"/>
                      <w:lang w:val="en-US" w:eastAsia="zh-CN"/>
                    </w:rPr>
                    <w:t>黄柏</w:t>
                  </w:r>
                </w:p>
              </w:tc>
              <w:tc>
                <w:tcPr>
                  <w:tcW w:w="593" w:type="pct"/>
                  <w:tcBorders>
                    <w:tl2br w:val="nil"/>
                    <w:tr2bl w:val="nil"/>
                  </w:tcBorders>
                  <w:shd w:val="clear" w:color="auto" w:fill="auto"/>
                  <w:noWrap w:val="0"/>
                  <w:vAlign w:val="center"/>
                </w:tcPr>
                <w:p w14:paraId="38F804F7">
                  <w:pPr>
                    <w:widowControl/>
                    <w:jc w:val="center"/>
                    <w:rPr>
                      <w:rFonts w:hint="eastAsia" w:ascii="Times New Roman" w:hAnsi="Times New Roman" w:eastAsia="宋体" w:cs="Times New Roman"/>
                      <w:color w:val="auto"/>
                      <w:kern w:val="0"/>
                      <w:sz w:val="21"/>
                      <w:szCs w:val="21"/>
                      <w:lang w:val="en-US" w:eastAsia="zh-CN" w:bidi="ar-SA"/>
                    </w:rPr>
                  </w:pPr>
                  <w:r>
                    <w:rPr>
                      <w:rFonts w:hint="eastAsia" w:eastAsia="宋体"/>
                      <w:color w:val="auto"/>
                      <w:kern w:val="0"/>
                      <w:szCs w:val="21"/>
                      <w:lang w:val="en-US" w:eastAsia="zh-CN"/>
                    </w:rPr>
                    <w:t>100</w:t>
                  </w:r>
                </w:p>
              </w:tc>
              <w:tc>
                <w:tcPr>
                  <w:tcW w:w="501" w:type="pct"/>
                  <w:tcBorders>
                    <w:tl2br w:val="nil"/>
                    <w:tr2bl w:val="nil"/>
                  </w:tcBorders>
                  <w:shd w:val="clear" w:color="auto" w:fill="auto"/>
                  <w:noWrap w:val="0"/>
                  <w:vAlign w:val="center"/>
                </w:tcPr>
                <w:p w14:paraId="19F3489B">
                  <w:pPr>
                    <w:widowControl/>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eastAsiaTheme="minorEastAsia"/>
                      <w:color w:val="auto"/>
                      <w:sz w:val="21"/>
                      <w:szCs w:val="21"/>
                      <w:lang w:val="en-US" w:eastAsia="zh-CN"/>
                    </w:rPr>
                    <w:t>15</w:t>
                  </w:r>
                </w:p>
              </w:tc>
              <w:tc>
                <w:tcPr>
                  <w:tcW w:w="2821" w:type="pct"/>
                  <w:tcBorders>
                    <w:tl2br w:val="nil"/>
                    <w:tr2bl w:val="nil"/>
                  </w:tcBorders>
                  <w:noWrap w:val="0"/>
                  <w:vAlign w:val="center"/>
                </w:tcPr>
                <w:p w14:paraId="3F7DAAE0">
                  <w:pPr>
                    <w:pStyle w:val="125"/>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kern w:val="0"/>
                      <w:szCs w:val="21"/>
                      <w:u w:val="single"/>
                      <w:lang w:val="en-US" w:eastAsia="zh-CN"/>
                    </w:rPr>
                  </w:pPr>
                  <w:r>
                    <w:rPr>
                      <w:rFonts w:hint="default" w:ascii="Times New Roman" w:hAnsi="Times New Roman" w:eastAsia="宋体" w:cs="Times New Roman"/>
                      <w:color w:val="auto"/>
                      <w:kern w:val="0"/>
                      <w:szCs w:val="21"/>
                      <w:u w:val="single"/>
                      <w:lang w:val="en-US" w:eastAsia="zh-CN"/>
                    </w:rPr>
                    <w:t>呈丝条状，或卷曲。外表面黄褐色或黄棕色。内表面暗黄色或淡棕色，具纵棱纹。切面纤维性，呈裂片状分层，深黄色。气微，味极苦，嚼之有黏性。</w:t>
                  </w:r>
                  <w:r>
                    <w:rPr>
                      <w:rFonts w:hint="eastAsia" w:ascii="Times New Roman" w:hAnsi="Times New Roman" w:eastAsia="宋体" w:cs="Times New Roman"/>
                      <w:color w:val="auto"/>
                      <w:kern w:val="0"/>
                      <w:szCs w:val="21"/>
                      <w:u w:val="single"/>
                      <w:lang w:val="en-US" w:eastAsia="zh-CN"/>
                    </w:rPr>
                    <w:t>浸出物不得少于10.0%。</w:t>
                  </w:r>
                </w:p>
              </w:tc>
            </w:tr>
            <w:tr w14:paraId="019E9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8" w:type="pct"/>
                  <w:tcBorders>
                    <w:tl2br w:val="nil"/>
                    <w:tr2bl w:val="nil"/>
                  </w:tcBorders>
                  <w:shd w:val="clear" w:color="auto" w:fill="auto"/>
                  <w:noWrap w:val="0"/>
                  <w:vAlign w:val="center"/>
                </w:tcPr>
                <w:p w14:paraId="6BC1E87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5</w:t>
                  </w:r>
                </w:p>
              </w:tc>
              <w:tc>
                <w:tcPr>
                  <w:tcW w:w="723" w:type="pct"/>
                  <w:tcBorders>
                    <w:tl2br w:val="nil"/>
                    <w:tr2bl w:val="nil"/>
                  </w:tcBorders>
                  <w:shd w:val="clear" w:color="auto" w:fill="auto"/>
                  <w:noWrap w:val="0"/>
                  <w:vAlign w:val="center"/>
                </w:tcPr>
                <w:p w14:paraId="18E1D16E">
                  <w:pPr>
                    <w:keepNext/>
                    <w:keepLine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干</w:t>
                  </w:r>
                  <w:r>
                    <w:rPr>
                      <w:rFonts w:hint="eastAsia" w:eastAsia="宋体"/>
                      <w:color w:val="auto"/>
                      <w:szCs w:val="21"/>
                      <w:lang w:val="en-US" w:eastAsia="zh-CN"/>
                    </w:rPr>
                    <w:t>石菖蒲</w:t>
                  </w:r>
                </w:p>
              </w:tc>
              <w:tc>
                <w:tcPr>
                  <w:tcW w:w="593" w:type="pct"/>
                  <w:tcBorders>
                    <w:tl2br w:val="nil"/>
                    <w:tr2bl w:val="nil"/>
                  </w:tcBorders>
                  <w:shd w:val="clear" w:color="auto" w:fill="auto"/>
                  <w:noWrap w:val="0"/>
                  <w:vAlign w:val="center"/>
                </w:tcPr>
                <w:p w14:paraId="111017CB">
                  <w:pPr>
                    <w:widowControl/>
                    <w:jc w:val="center"/>
                    <w:rPr>
                      <w:rFonts w:hint="eastAsia" w:ascii="Times New Roman" w:hAnsi="Times New Roman" w:eastAsia="宋体" w:cs="Times New Roman"/>
                      <w:color w:val="auto"/>
                      <w:kern w:val="0"/>
                      <w:sz w:val="21"/>
                      <w:szCs w:val="21"/>
                      <w:lang w:val="en-US" w:eastAsia="zh-CN" w:bidi="ar-SA"/>
                    </w:rPr>
                  </w:pPr>
                  <w:r>
                    <w:rPr>
                      <w:rFonts w:hint="eastAsia" w:eastAsia="宋体"/>
                      <w:color w:val="auto"/>
                      <w:kern w:val="0"/>
                      <w:szCs w:val="21"/>
                      <w:lang w:val="en-US" w:eastAsia="zh-CN"/>
                    </w:rPr>
                    <w:t>100</w:t>
                  </w:r>
                </w:p>
              </w:tc>
              <w:tc>
                <w:tcPr>
                  <w:tcW w:w="501" w:type="pct"/>
                  <w:tcBorders>
                    <w:tl2br w:val="nil"/>
                    <w:tr2bl w:val="nil"/>
                  </w:tcBorders>
                  <w:shd w:val="clear" w:color="auto" w:fill="auto"/>
                  <w:noWrap w:val="0"/>
                  <w:vAlign w:val="center"/>
                </w:tcPr>
                <w:p w14:paraId="494E2CF3">
                  <w:pPr>
                    <w:widowControl/>
                    <w:jc w:val="center"/>
                    <w:rPr>
                      <w:rFonts w:hint="eastAsia" w:ascii="Times New Roman" w:hAnsi="Times New Roman" w:eastAsia="宋体" w:cs="Times New Roman"/>
                      <w:color w:val="auto"/>
                      <w:kern w:val="0"/>
                      <w:sz w:val="21"/>
                      <w:szCs w:val="21"/>
                      <w:lang w:val="en-US" w:eastAsia="zh-CN" w:bidi="ar-SA"/>
                    </w:rPr>
                  </w:pPr>
                  <w:r>
                    <w:rPr>
                      <w:rFonts w:hint="eastAsia" w:cs="Times New Roman" w:eastAsiaTheme="minorEastAsia"/>
                      <w:color w:val="auto"/>
                      <w:sz w:val="21"/>
                      <w:szCs w:val="21"/>
                      <w:lang w:val="en-US" w:eastAsia="zh-CN"/>
                    </w:rPr>
                    <w:t>15</w:t>
                  </w:r>
                </w:p>
              </w:tc>
              <w:tc>
                <w:tcPr>
                  <w:tcW w:w="2821" w:type="pct"/>
                  <w:tcBorders>
                    <w:tl2br w:val="nil"/>
                    <w:tr2bl w:val="nil"/>
                  </w:tcBorders>
                  <w:noWrap w:val="0"/>
                  <w:vAlign w:val="center"/>
                </w:tcPr>
                <w:p w14:paraId="17CC1F36">
                  <w:pPr>
                    <w:pStyle w:val="125"/>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color w:val="auto"/>
                      <w:kern w:val="0"/>
                      <w:szCs w:val="21"/>
                      <w:u w:val="single"/>
                      <w:lang w:val="en-US" w:eastAsia="zh-CN"/>
                    </w:rPr>
                  </w:pPr>
                  <w:r>
                    <w:rPr>
                      <w:rFonts w:hint="default" w:ascii="Times New Roman" w:hAnsi="Times New Roman" w:eastAsia="宋体" w:cs="Times New Roman"/>
                      <w:color w:val="auto"/>
                      <w:kern w:val="0"/>
                      <w:szCs w:val="21"/>
                      <w:u w:val="single"/>
                      <w:lang w:val="en-US" w:eastAsia="zh-CN"/>
                    </w:rPr>
                    <w:t>呈扁圆柱形，多弯曲，常有分枝</w:t>
                  </w:r>
                  <w:r>
                    <w:rPr>
                      <w:rFonts w:hint="eastAsia" w:ascii="Times New Roman" w:hAnsi="Times New Roman" w:eastAsia="宋体" w:cs="Times New Roman"/>
                      <w:color w:val="auto"/>
                      <w:kern w:val="0"/>
                      <w:szCs w:val="21"/>
                      <w:u w:val="single"/>
                      <w:lang w:val="en-US" w:eastAsia="zh-CN"/>
                    </w:rPr>
                    <w:t>，</w:t>
                  </w:r>
                  <w:r>
                    <w:rPr>
                      <w:rFonts w:hint="default" w:ascii="Times New Roman" w:hAnsi="Times New Roman" w:eastAsia="宋体" w:cs="Times New Roman"/>
                      <w:color w:val="auto"/>
                      <w:kern w:val="0"/>
                      <w:szCs w:val="21"/>
                      <w:u w:val="single"/>
                      <w:lang w:val="en-US" w:eastAsia="zh-CN"/>
                    </w:rPr>
                    <w:t>长3～20cm，直径0.3～1cm，节间0.2～0.8cm</w:t>
                  </w:r>
                  <w:r>
                    <w:rPr>
                      <w:rFonts w:hint="eastAsia" w:ascii="Times New Roman" w:hAnsi="Times New Roman" w:eastAsia="宋体" w:cs="Times New Roman"/>
                      <w:color w:val="auto"/>
                      <w:kern w:val="0"/>
                      <w:szCs w:val="21"/>
                      <w:u w:val="single"/>
                      <w:lang w:val="en-US" w:eastAsia="zh-CN"/>
                    </w:rPr>
                    <w:t>。浸出物不得少于12.0%。</w:t>
                  </w:r>
                </w:p>
              </w:tc>
            </w:tr>
          </w:tbl>
          <w:p w14:paraId="7B7207EC">
            <w:pPr>
              <w:pStyle w:val="31"/>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本项目产品质量按2025年版《中华人民共和国药典》执行。</w:t>
            </w:r>
          </w:p>
          <w:p w14:paraId="15B8BDF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5、</w:t>
            </w:r>
            <w:r>
              <w:rPr>
                <w:rFonts w:hint="default" w:ascii="Times New Roman" w:hAnsi="Times New Roman" w:eastAsia="宋体" w:cs="Times New Roman"/>
                <w:b/>
                <w:color w:val="auto"/>
                <w:sz w:val="24"/>
                <w:szCs w:val="24"/>
                <w:lang w:val="en-US" w:eastAsia="zh-CN"/>
              </w:rPr>
              <w:t>原辅</w:t>
            </w:r>
            <w:r>
              <w:rPr>
                <w:rFonts w:hint="eastAsia" w:ascii="Times New Roman" w:hAnsi="Times New Roman" w:eastAsia="宋体" w:cs="Times New Roman"/>
                <w:b/>
                <w:color w:val="auto"/>
                <w:sz w:val="24"/>
                <w:szCs w:val="24"/>
                <w:lang w:val="en-US" w:eastAsia="zh-CN"/>
              </w:rPr>
              <w:t>材料</w:t>
            </w:r>
          </w:p>
          <w:p w14:paraId="5C2EC7F5">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项目运营期主要原辅材料见下表。</w:t>
            </w:r>
          </w:p>
          <w:p w14:paraId="27156C82">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表2-</w:t>
            </w:r>
            <w:r>
              <w:rPr>
                <w:rFonts w:hint="eastAsia" w:cs="Times New Roman"/>
                <w:color w:val="auto"/>
                <w:sz w:val="24"/>
                <w:szCs w:val="24"/>
                <w:u w:val="none"/>
                <w:lang w:val="en-US" w:eastAsia="zh-CN"/>
              </w:rPr>
              <w:t>5</w:t>
            </w:r>
            <w:r>
              <w:rPr>
                <w:rFonts w:hint="default" w:ascii="Times New Roman" w:hAnsi="Times New Roman" w:eastAsia="宋体" w:cs="Times New Roman"/>
                <w:color w:val="auto"/>
                <w:sz w:val="24"/>
                <w:szCs w:val="24"/>
                <w:u w:val="none"/>
                <w:lang w:val="en-US" w:eastAsia="zh-CN"/>
              </w:rPr>
              <w:t xml:space="preserve">   主要原辅材料及能耗清单一览表</w:t>
            </w:r>
          </w:p>
          <w:tbl>
            <w:tblPr>
              <w:tblStyle w:val="32"/>
              <w:tblW w:w="505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3"/>
              <w:gridCol w:w="1036"/>
              <w:gridCol w:w="775"/>
              <w:gridCol w:w="788"/>
              <w:gridCol w:w="1112"/>
              <w:gridCol w:w="1000"/>
              <w:gridCol w:w="2453"/>
            </w:tblGrid>
            <w:tr w14:paraId="3DDAE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noWrap w:val="0"/>
                  <w:vAlign w:val="center"/>
                </w:tcPr>
                <w:p w14:paraId="04C08B34">
                  <w:pPr>
                    <w:widowControl/>
                    <w:jc w:val="center"/>
                    <w:rPr>
                      <w:color w:val="auto"/>
                      <w:kern w:val="0"/>
                      <w:szCs w:val="21"/>
                    </w:rPr>
                  </w:pPr>
                  <w:r>
                    <w:rPr>
                      <w:color w:val="auto"/>
                      <w:kern w:val="0"/>
                      <w:szCs w:val="21"/>
                    </w:rPr>
                    <w:t>序号</w:t>
                  </w:r>
                </w:p>
              </w:tc>
              <w:tc>
                <w:tcPr>
                  <w:tcW w:w="681" w:type="pct"/>
                  <w:noWrap w:val="0"/>
                  <w:vAlign w:val="center"/>
                </w:tcPr>
                <w:p w14:paraId="15C8FED9">
                  <w:pPr>
                    <w:widowControl/>
                    <w:jc w:val="center"/>
                    <w:rPr>
                      <w:color w:val="auto"/>
                      <w:kern w:val="0"/>
                      <w:szCs w:val="21"/>
                    </w:rPr>
                  </w:pPr>
                  <w:r>
                    <w:rPr>
                      <w:color w:val="auto"/>
                      <w:kern w:val="0"/>
                      <w:szCs w:val="21"/>
                    </w:rPr>
                    <w:t>原料名称</w:t>
                  </w:r>
                </w:p>
              </w:tc>
              <w:tc>
                <w:tcPr>
                  <w:tcW w:w="510" w:type="pct"/>
                  <w:noWrap w:val="0"/>
                  <w:vAlign w:val="center"/>
                </w:tcPr>
                <w:p w14:paraId="70A537DA">
                  <w:pPr>
                    <w:widowControl/>
                    <w:jc w:val="center"/>
                    <w:rPr>
                      <w:color w:val="auto"/>
                      <w:kern w:val="0"/>
                      <w:szCs w:val="21"/>
                    </w:rPr>
                  </w:pPr>
                  <w:r>
                    <w:rPr>
                      <w:color w:val="auto"/>
                      <w:kern w:val="0"/>
                      <w:szCs w:val="21"/>
                    </w:rPr>
                    <w:t>单位</w:t>
                  </w:r>
                </w:p>
              </w:tc>
              <w:tc>
                <w:tcPr>
                  <w:tcW w:w="518" w:type="pct"/>
                  <w:noWrap w:val="0"/>
                  <w:vAlign w:val="center"/>
                </w:tcPr>
                <w:p w14:paraId="49634706">
                  <w:pPr>
                    <w:widowControl/>
                    <w:jc w:val="center"/>
                    <w:rPr>
                      <w:color w:val="auto"/>
                      <w:kern w:val="0"/>
                      <w:szCs w:val="21"/>
                    </w:rPr>
                  </w:pPr>
                  <w:r>
                    <w:rPr>
                      <w:rFonts w:hint="eastAsia"/>
                      <w:color w:val="auto"/>
                      <w:kern w:val="0"/>
                      <w:szCs w:val="21"/>
                      <w:lang w:val="en-US" w:eastAsia="zh-CN"/>
                    </w:rPr>
                    <w:t>年用</w:t>
                  </w:r>
                  <w:r>
                    <w:rPr>
                      <w:color w:val="auto"/>
                      <w:kern w:val="0"/>
                      <w:szCs w:val="21"/>
                    </w:rPr>
                    <w:t>量</w:t>
                  </w:r>
                </w:p>
              </w:tc>
              <w:tc>
                <w:tcPr>
                  <w:tcW w:w="731" w:type="pct"/>
                  <w:noWrap w:val="0"/>
                  <w:vAlign w:val="center"/>
                </w:tcPr>
                <w:p w14:paraId="248AB91B">
                  <w:pPr>
                    <w:widowControl/>
                    <w:jc w:val="center"/>
                    <w:rPr>
                      <w:rFonts w:hint="default" w:eastAsia="宋体"/>
                      <w:color w:val="auto"/>
                      <w:kern w:val="0"/>
                      <w:szCs w:val="21"/>
                      <w:lang w:val="en-US" w:eastAsia="zh-CN"/>
                    </w:rPr>
                  </w:pPr>
                  <w:r>
                    <w:rPr>
                      <w:rFonts w:hint="eastAsia"/>
                      <w:color w:val="auto"/>
                      <w:kern w:val="0"/>
                      <w:szCs w:val="21"/>
                      <w:lang w:val="en-US" w:eastAsia="zh-CN"/>
                    </w:rPr>
                    <w:t>厂区最大储存量</w:t>
                  </w:r>
                </w:p>
              </w:tc>
              <w:tc>
                <w:tcPr>
                  <w:tcW w:w="658" w:type="pct"/>
                  <w:noWrap w:val="0"/>
                  <w:vAlign w:val="center"/>
                </w:tcPr>
                <w:p w14:paraId="65C7FC27">
                  <w:pPr>
                    <w:widowControl/>
                    <w:jc w:val="center"/>
                    <w:rPr>
                      <w:rFonts w:hint="default"/>
                      <w:color w:val="auto"/>
                      <w:kern w:val="0"/>
                      <w:szCs w:val="21"/>
                      <w:lang w:val="en-US" w:eastAsia="zh-CN"/>
                    </w:rPr>
                  </w:pPr>
                  <w:r>
                    <w:rPr>
                      <w:rFonts w:hint="eastAsia"/>
                      <w:color w:val="auto"/>
                      <w:kern w:val="0"/>
                      <w:szCs w:val="21"/>
                      <w:lang w:val="en-US" w:eastAsia="zh-CN"/>
                    </w:rPr>
                    <w:t>储存位置</w:t>
                  </w:r>
                </w:p>
              </w:tc>
              <w:tc>
                <w:tcPr>
                  <w:tcW w:w="1614" w:type="pct"/>
                  <w:noWrap w:val="0"/>
                  <w:vAlign w:val="center"/>
                </w:tcPr>
                <w:p w14:paraId="65F45B40">
                  <w:pPr>
                    <w:widowControl/>
                    <w:jc w:val="center"/>
                    <w:rPr>
                      <w:rFonts w:hint="default" w:eastAsia="宋体"/>
                      <w:color w:val="auto"/>
                      <w:kern w:val="0"/>
                      <w:szCs w:val="21"/>
                      <w:lang w:val="en-US" w:eastAsia="zh-CN"/>
                    </w:rPr>
                  </w:pPr>
                  <w:r>
                    <w:rPr>
                      <w:rFonts w:hint="eastAsia"/>
                      <w:color w:val="auto"/>
                      <w:kern w:val="0"/>
                      <w:szCs w:val="21"/>
                      <w:lang w:val="en-US" w:eastAsia="zh-CN"/>
                    </w:rPr>
                    <w:t>备注</w:t>
                  </w:r>
                </w:p>
              </w:tc>
            </w:tr>
            <w:tr w14:paraId="778E2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3A2CBC06">
                  <w:pPr>
                    <w:widowControl/>
                    <w:jc w:val="center"/>
                    <w:rPr>
                      <w:rFonts w:hint="eastAsia" w:eastAsia="宋体"/>
                      <w:color w:val="auto"/>
                      <w:kern w:val="0"/>
                      <w:szCs w:val="21"/>
                      <w:lang w:val="en-US" w:eastAsia="zh-CN"/>
                    </w:rPr>
                  </w:pPr>
                  <w:r>
                    <w:rPr>
                      <w:rFonts w:hint="eastAsia"/>
                      <w:color w:val="auto"/>
                      <w:kern w:val="0"/>
                      <w:szCs w:val="21"/>
                      <w:lang w:val="en-US" w:eastAsia="zh-CN"/>
                    </w:rPr>
                    <w:t>1</w:t>
                  </w:r>
                </w:p>
              </w:tc>
              <w:tc>
                <w:tcPr>
                  <w:tcW w:w="681" w:type="pct"/>
                  <w:shd w:val="clear" w:color="auto" w:fill="auto"/>
                  <w:noWrap w:val="0"/>
                  <w:vAlign w:val="center"/>
                </w:tcPr>
                <w:p w14:paraId="78611559">
                  <w:pPr>
                    <w:keepNext/>
                    <w:keepLines/>
                    <w:jc w:val="center"/>
                    <w:rPr>
                      <w:rFonts w:hint="eastAsia" w:ascii="Times New Roman" w:hAnsi="Times New Roman" w:eastAsia="宋体" w:cs="Times New Roman"/>
                      <w:color w:val="auto"/>
                      <w:kern w:val="0"/>
                      <w:szCs w:val="21"/>
                      <w:lang w:val="en-US" w:eastAsia="zh-CN"/>
                    </w:rPr>
                  </w:pPr>
                  <w:r>
                    <w:rPr>
                      <w:rFonts w:hint="eastAsia"/>
                      <w:color w:val="auto"/>
                      <w:szCs w:val="21"/>
                      <w:lang w:val="en-US" w:eastAsia="zh-CN"/>
                    </w:rPr>
                    <w:t>山银花鲜花</w:t>
                  </w:r>
                </w:p>
              </w:tc>
              <w:tc>
                <w:tcPr>
                  <w:tcW w:w="510" w:type="pct"/>
                  <w:shd w:val="clear" w:color="auto" w:fill="auto"/>
                  <w:noWrap w:val="0"/>
                  <w:vAlign w:val="center"/>
                </w:tcPr>
                <w:p w14:paraId="34BED318">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吨/年</w:t>
                  </w:r>
                </w:p>
              </w:tc>
              <w:tc>
                <w:tcPr>
                  <w:tcW w:w="518" w:type="pct"/>
                  <w:noWrap w:val="0"/>
                  <w:vAlign w:val="center"/>
                </w:tcPr>
                <w:p w14:paraId="7AEF2119">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1000</w:t>
                  </w:r>
                </w:p>
              </w:tc>
              <w:tc>
                <w:tcPr>
                  <w:tcW w:w="731" w:type="pct"/>
                  <w:noWrap w:val="0"/>
                  <w:vAlign w:val="center"/>
                </w:tcPr>
                <w:p w14:paraId="3B3069B7">
                  <w:pPr>
                    <w:widowControl/>
                    <w:jc w:val="center"/>
                    <w:rPr>
                      <w:rFonts w:hint="default" w:eastAsia="宋体"/>
                      <w:color w:val="auto"/>
                      <w:kern w:val="0"/>
                      <w:szCs w:val="21"/>
                      <w:lang w:val="en-US" w:eastAsia="zh-CN"/>
                    </w:rPr>
                  </w:pPr>
                  <w:r>
                    <w:rPr>
                      <w:rFonts w:hint="eastAsia"/>
                      <w:color w:val="auto"/>
                      <w:kern w:val="0"/>
                      <w:szCs w:val="21"/>
                      <w:lang w:val="en-US" w:eastAsia="zh-CN"/>
                    </w:rPr>
                    <w:t>200</w:t>
                  </w:r>
                </w:p>
              </w:tc>
              <w:tc>
                <w:tcPr>
                  <w:tcW w:w="658" w:type="pct"/>
                  <w:noWrap w:val="0"/>
                  <w:vAlign w:val="center"/>
                </w:tcPr>
                <w:p w14:paraId="1C4CAD02">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原料库</w:t>
                  </w:r>
                </w:p>
              </w:tc>
              <w:tc>
                <w:tcPr>
                  <w:tcW w:w="1614" w:type="pct"/>
                  <w:noWrap w:val="0"/>
                  <w:vAlign w:val="center"/>
                </w:tcPr>
                <w:p w14:paraId="1C724C89">
                  <w:pPr>
                    <w:widowControl/>
                    <w:jc w:val="center"/>
                    <w:rPr>
                      <w:rFonts w:hint="default" w:eastAsia="宋体"/>
                      <w:color w:val="auto"/>
                      <w:kern w:val="0"/>
                      <w:szCs w:val="21"/>
                      <w:lang w:val="en-US" w:eastAsia="zh-CN"/>
                    </w:rPr>
                  </w:pPr>
                  <w:r>
                    <w:rPr>
                      <w:rFonts w:hint="eastAsia"/>
                      <w:color w:val="auto"/>
                      <w:kern w:val="0"/>
                      <w:szCs w:val="21"/>
                      <w:lang w:val="en-US" w:eastAsia="zh-CN"/>
                    </w:rPr>
                    <w:t>基地种植，含水率约83%</w:t>
                  </w:r>
                </w:p>
              </w:tc>
            </w:tr>
            <w:tr w14:paraId="580F1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3FA64736">
                  <w:pPr>
                    <w:widowControl/>
                    <w:jc w:val="center"/>
                    <w:rPr>
                      <w:rFonts w:hint="eastAsia" w:eastAsia="宋体"/>
                      <w:color w:val="auto"/>
                      <w:kern w:val="0"/>
                      <w:szCs w:val="21"/>
                      <w:lang w:val="en-US" w:eastAsia="zh-CN"/>
                    </w:rPr>
                  </w:pPr>
                  <w:r>
                    <w:rPr>
                      <w:rFonts w:hint="eastAsia"/>
                      <w:color w:val="auto"/>
                      <w:kern w:val="0"/>
                      <w:szCs w:val="21"/>
                      <w:lang w:val="en-US" w:eastAsia="zh-CN"/>
                    </w:rPr>
                    <w:t>2</w:t>
                  </w:r>
                </w:p>
              </w:tc>
              <w:tc>
                <w:tcPr>
                  <w:tcW w:w="681" w:type="pct"/>
                  <w:shd w:val="clear" w:color="auto" w:fill="auto"/>
                  <w:noWrap w:val="0"/>
                  <w:vAlign w:val="center"/>
                </w:tcPr>
                <w:p w14:paraId="1C5EAF75">
                  <w:pPr>
                    <w:keepNext/>
                    <w:keepLines/>
                    <w:jc w:val="center"/>
                    <w:rPr>
                      <w:rFonts w:hint="eastAsia" w:ascii="Times New Roman" w:hAnsi="Times New Roman" w:eastAsia="宋体" w:cs="Times New Roman"/>
                      <w:color w:val="auto"/>
                      <w:kern w:val="0"/>
                      <w:szCs w:val="21"/>
                      <w:lang w:val="en-US" w:eastAsia="zh-CN"/>
                    </w:rPr>
                  </w:pPr>
                  <w:r>
                    <w:rPr>
                      <w:rFonts w:hint="eastAsia" w:eastAsia="宋体"/>
                      <w:color w:val="auto"/>
                      <w:szCs w:val="21"/>
                      <w:lang w:val="en-US" w:eastAsia="zh-CN"/>
                    </w:rPr>
                    <w:t>野菊花鲜花</w:t>
                  </w:r>
                </w:p>
              </w:tc>
              <w:tc>
                <w:tcPr>
                  <w:tcW w:w="510" w:type="pct"/>
                  <w:shd w:val="clear" w:color="auto" w:fill="auto"/>
                  <w:noWrap w:val="0"/>
                  <w:vAlign w:val="center"/>
                </w:tcPr>
                <w:p w14:paraId="73D84BC2">
                  <w:pPr>
                    <w:widowControl/>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吨/年</w:t>
                  </w:r>
                </w:p>
              </w:tc>
              <w:tc>
                <w:tcPr>
                  <w:tcW w:w="518" w:type="pct"/>
                  <w:noWrap w:val="0"/>
                  <w:vAlign w:val="center"/>
                </w:tcPr>
                <w:p w14:paraId="71D6E317">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1000</w:t>
                  </w:r>
                </w:p>
              </w:tc>
              <w:tc>
                <w:tcPr>
                  <w:tcW w:w="731" w:type="pct"/>
                  <w:noWrap w:val="0"/>
                  <w:vAlign w:val="center"/>
                </w:tcPr>
                <w:p w14:paraId="068D929C">
                  <w:pPr>
                    <w:widowControl/>
                    <w:jc w:val="center"/>
                    <w:rPr>
                      <w:rFonts w:hint="default" w:eastAsia="宋体"/>
                      <w:color w:val="auto"/>
                      <w:kern w:val="0"/>
                      <w:szCs w:val="21"/>
                      <w:lang w:val="en-US" w:eastAsia="zh-CN"/>
                    </w:rPr>
                  </w:pPr>
                  <w:r>
                    <w:rPr>
                      <w:rFonts w:hint="eastAsia"/>
                      <w:color w:val="auto"/>
                      <w:kern w:val="0"/>
                      <w:szCs w:val="21"/>
                      <w:lang w:val="en-US" w:eastAsia="zh-CN"/>
                    </w:rPr>
                    <w:t>200</w:t>
                  </w:r>
                </w:p>
              </w:tc>
              <w:tc>
                <w:tcPr>
                  <w:tcW w:w="658" w:type="pct"/>
                  <w:noWrap w:val="0"/>
                  <w:vAlign w:val="center"/>
                </w:tcPr>
                <w:p w14:paraId="0357A9C2">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原料库</w:t>
                  </w:r>
                </w:p>
              </w:tc>
              <w:tc>
                <w:tcPr>
                  <w:tcW w:w="1614" w:type="pct"/>
                  <w:noWrap w:val="0"/>
                  <w:vAlign w:val="center"/>
                </w:tcPr>
                <w:p w14:paraId="65C0FE19">
                  <w:pPr>
                    <w:widowControl/>
                    <w:jc w:val="center"/>
                    <w:rPr>
                      <w:color w:val="auto"/>
                      <w:kern w:val="0"/>
                      <w:szCs w:val="21"/>
                    </w:rPr>
                  </w:pPr>
                  <w:r>
                    <w:rPr>
                      <w:rFonts w:hint="eastAsia"/>
                      <w:color w:val="auto"/>
                      <w:kern w:val="0"/>
                      <w:szCs w:val="21"/>
                      <w:lang w:val="en-US" w:eastAsia="zh-CN"/>
                    </w:rPr>
                    <w:t>农户收购，含水率约83%</w:t>
                  </w:r>
                </w:p>
              </w:tc>
            </w:tr>
            <w:tr w14:paraId="51B83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11D7F9E0">
                  <w:pPr>
                    <w:widowControl/>
                    <w:jc w:val="center"/>
                    <w:rPr>
                      <w:rFonts w:hint="eastAsia" w:eastAsia="宋体"/>
                      <w:color w:val="auto"/>
                      <w:kern w:val="0"/>
                      <w:szCs w:val="21"/>
                      <w:lang w:val="en-US" w:eastAsia="zh-CN"/>
                    </w:rPr>
                  </w:pPr>
                  <w:r>
                    <w:rPr>
                      <w:rFonts w:hint="eastAsia"/>
                      <w:color w:val="auto"/>
                      <w:kern w:val="0"/>
                      <w:szCs w:val="21"/>
                      <w:lang w:val="en-US" w:eastAsia="zh-CN"/>
                    </w:rPr>
                    <w:t>3</w:t>
                  </w:r>
                </w:p>
              </w:tc>
              <w:tc>
                <w:tcPr>
                  <w:tcW w:w="681" w:type="pct"/>
                  <w:shd w:val="clear" w:color="auto" w:fill="auto"/>
                  <w:noWrap w:val="0"/>
                  <w:vAlign w:val="center"/>
                </w:tcPr>
                <w:p w14:paraId="5C405FD4">
                  <w:pPr>
                    <w:keepNext/>
                    <w:keepLines/>
                    <w:jc w:val="center"/>
                    <w:rPr>
                      <w:rFonts w:hint="eastAsia" w:ascii="Times New Roman" w:hAnsi="Times New Roman" w:eastAsia="宋体" w:cs="Times New Roman"/>
                      <w:color w:val="auto"/>
                      <w:kern w:val="0"/>
                      <w:szCs w:val="21"/>
                      <w:lang w:val="en-US" w:eastAsia="zh-CN"/>
                    </w:rPr>
                  </w:pPr>
                  <w:r>
                    <w:rPr>
                      <w:rFonts w:hint="eastAsia" w:eastAsia="宋体"/>
                      <w:color w:val="auto"/>
                      <w:szCs w:val="21"/>
                      <w:lang w:val="en-US" w:eastAsia="zh-CN"/>
                    </w:rPr>
                    <w:t>玉竹</w:t>
                  </w:r>
                </w:p>
              </w:tc>
              <w:tc>
                <w:tcPr>
                  <w:tcW w:w="510" w:type="pct"/>
                  <w:shd w:val="clear" w:color="auto" w:fill="auto"/>
                  <w:noWrap w:val="0"/>
                  <w:vAlign w:val="center"/>
                </w:tcPr>
                <w:p w14:paraId="29863BD6">
                  <w:pPr>
                    <w:widowControl/>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吨/年</w:t>
                  </w:r>
                </w:p>
              </w:tc>
              <w:tc>
                <w:tcPr>
                  <w:tcW w:w="518" w:type="pct"/>
                  <w:noWrap w:val="0"/>
                  <w:vAlign w:val="center"/>
                </w:tcPr>
                <w:p w14:paraId="0606009E">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500</w:t>
                  </w:r>
                </w:p>
              </w:tc>
              <w:tc>
                <w:tcPr>
                  <w:tcW w:w="731" w:type="pct"/>
                  <w:noWrap w:val="0"/>
                  <w:vAlign w:val="center"/>
                </w:tcPr>
                <w:p w14:paraId="745FB0D1">
                  <w:pPr>
                    <w:widowControl/>
                    <w:jc w:val="center"/>
                    <w:rPr>
                      <w:rFonts w:hint="default" w:eastAsia="宋体"/>
                      <w:color w:val="auto"/>
                      <w:kern w:val="0"/>
                      <w:szCs w:val="21"/>
                      <w:lang w:val="en-US" w:eastAsia="zh-CN"/>
                    </w:rPr>
                  </w:pPr>
                  <w:r>
                    <w:rPr>
                      <w:rFonts w:hint="eastAsia"/>
                      <w:color w:val="auto"/>
                      <w:kern w:val="0"/>
                      <w:szCs w:val="21"/>
                      <w:lang w:val="en-US" w:eastAsia="zh-CN"/>
                    </w:rPr>
                    <w:t>100</w:t>
                  </w:r>
                </w:p>
              </w:tc>
              <w:tc>
                <w:tcPr>
                  <w:tcW w:w="658" w:type="pct"/>
                  <w:noWrap w:val="0"/>
                  <w:vAlign w:val="center"/>
                </w:tcPr>
                <w:p w14:paraId="747DE9CC">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原料库</w:t>
                  </w:r>
                </w:p>
              </w:tc>
              <w:tc>
                <w:tcPr>
                  <w:tcW w:w="1614" w:type="pct"/>
                  <w:noWrap w:val="0"/>
                  <w:vAlign w:val="center"/>
                </w:tcPr>
                <w:p w14:paraId="71D29E57">
                  <w:pPr>
                    <w:widowControl/>
                    <w:jc w:val="center"/>
                    <w:rPr>
                      <w:color w:val="auto"/>
                      <w:kern w:val="0"/>
                      <w:szCs w:val="21"/>
                    </w:rPr>
                  </w:pPr>
                  <w:r>
                    <w:rPr>
                      <w:rFonts w:hint="eastAsia"/>
                      <w:color w:val="auto"/>
                      <w:kern w:val="0"/>
                      <w:szCs w:val="21"/>
                      <w:lang w:val="en-US" w:eastAsia="zh-CN"/>
                    </w:rPr>
                    <w:t>农户收购，含水率约83%</w:t>
                  </w:r>
                </w:p>
              </w:tc>
            </w:tr>
            <w:tr w14:paraId="0F92F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3B67623A">
                  <w:pPr>
                    <w:widowControl/>
                    <w:jc w:val="center"/>
                    <w:rPr>
                      <w:rFonts w:hint="eastAsia" w:eastAsia="宋体"/>
                      <w:color w:val="auto"/>
                      <w:kern w:val="0"/>
                      <w:szCs w:val="21"/>
                      <w:lang w:val="en-US" w:eastAsia="zh-CN"/>
                    </w:rPr>
                  </w:pPr>
                  <w:r>
                    <w:rPr>
                      <w:rFonts w:hint="eastAsia"/>
                      <w:color w:val="auto"/>
                      <w:kern w:val="0"/>
                      <w:szCs w:val="21"/>
                      <w:lang w:val="en-US" w:eastAsia="zh-CN"/>
                    </w:rPr>
                    <w:t>4</w:t>
                  </w:r>
                </w:p>
              </w:tc>
              <w:tc>
                <w:tcPr>
                  <w:tcW w:w="681" w:type="pct"/>
                  <w:shd w:val="clear" w:color="auto" w:fill="auto"/>
                  <w:noWrap w:val="0"/>
                  <w:vAlign w:val="center"/>
                </w:tcPr>
                <w:p w14:paraId="07C66379">
                  <w:pPr>
                    <w:keepNext/>
                    <w:keepLines/>
                    <w:jc w:val="center"/>
                    <w:rPr>
                      <w:rFonts w:hint="eastAsia" w:ascii="Times New Roman" w:hAnsi="Times New Roman" w:eastAsia="宋体" w:cs="Times New Roman"/>
                      <w:color w:val="auto"/>
                      <w:kern w:val="0"/>
                      <w:szCs w:val="21"/>
                      <w:lang w:val="en-US" w:eastAsia="zh-CN"/>
                    </w:rPr>
                  </w:pPr>
                  <w:r>
                    <w:rPr>
                      <w:rFonts w:hint="eastAsia" w:eastAsia="宋体"/>
                      <w:color w:val="auto"/>
                      <w:szCs w:val="21"/>
                      <w:lang w:val="en-US" w:eastAsia="zh-CN"/>
                    </w:rPr>
                    <w:t>黄柏</w:t>
                  </w:r>
                </w:p>
              </w:tc>
              <w:tc>
                <w:tcPr>
                  <w:tcW w:w="510" w:type="pct"/>
                  <w:shd w:val="clear" w:color="auto" w:fill="auto"/>
                  <w:noWrap w:val="0"/>
                  <w:vAlign w:val="center"/>
                </w:tcPr>
                <w:p w14:paraId="41BBA97A">
                  <w:pPr>
                    <w:widowControl/>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吨/年</w:t>
                  </w:r>
                </w:p>
              </w:tc>
              <w:tc>
                <w:tcPr>
                  <w:tcW w:w="518" w:type="pct"/>
                  <w:noWrap w:val="0"/>
                  <w:vAlign w:val="center"/>
                </w:tcPr>
                <w:p w14:paraId="28974E2A">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500</w:t>
                  </w:r>
                </w:p>
              </w:tc>
              <w:tc>
                <w:tcPr>
                  <w:tcW w:w="731" w:type="pct"/>
                  <w:noWrap w:val="0"/>
                  <w:vAlign w:val="center"/>
                </w:tcPr>
                <w:p w14:paraId="5EA93B73">
                  <w:pPr>
                    <w:widowControl/>
                    <w:jc w:val="center"/>
                    <w:rPr>
                      <w:rFonts w:hint="default" w:eastAsia="宋体"/>
                      <w:color w:val="auto"/>
                      <w:kern w:val="0"/>
                      <w:szCs w:val="21"/>
                      <w:lang w:val="en-US" w:eastAsia="zh-CN"/>
                    </w:rPr>
                  </w:pPr>
                  <w:r>
                    <w:rPr>
                      <w:rFonts w:hint="eastAsia"/>
                      <w:color w:val="auto"/>
                      <w:kern w:val="0"/>
                      <w:szCs w:val="21"/>
                      <w:lang w:val="en-US" w:eastAsia="zh-CN"/>
                    </w:rPr>
                    <w:t>100</w:t>
                  </w:r>
                </w:p>
              </w:tc>
              <w:tc>
                <w:tcPr>
                  <w:tcW w:w="658" w:type="pct"/>
                  <w:noWrap w:val="0"/>
                  <w:vAlign w:val="center"/>
                </w:tcPr>
                <w:p w14:paraId="08AF1C8A">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原料库</w:t>
                  </w:r>
                </w:p>
              </w:tc>
              <w:tc>
                <w:tcPr>
                  <w:tcW w:w="1614" w:type="pct"/>
                  <w:noWrap w:val="0"/>
                  <w:vAlign w:val="center"/>
                </w:tcPr>
                <w:p w14:paraId="1A3319AE">
                  <w:pPr>
                    <w:widowControl/>
                    <w:jc w:val="center"/>
                    <w:rPr>
                      <w:color w:val="auto"/>
                      <w:kern w:val="0"/>
                      <w:szCs w:val="21"/>
                    </w:rPr>
                  </w:pPr>
                  <w:r>
                    <w:rPr>
                      <w:rFonts w:hint="eastAsia"/>
                      <w:color w:val="auto"/>
                      <w:kern w:val="0"/>
                      <w:szCs w:val="21"/>
                      <w:lang w:val="en-US" w:eastAsia="zh-CN"/>
                    </w:rPr>
                    <w:t>农户收购，含水率约50%</w:t>
                  </w:r>
                </w:p>
              </w:tc>
            </w:tr>
            <w:tr w14:paraId="2C527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4C3A93DD">
                  <w:pPr>
                    <w:widowControl/>
                    <w:jc w:val="center"/>
                    <w:rPr>
                      <w:rFonts w:hint="eastAsia" w:eastAsia="宋体"/>
                      <w:color w:val="auto"/>
                      <w:kern w:val="0"/>
                      <w:szCs w:val="21"/>
                      <w:lang w:val="en-US" w:eastAsia="zh-CN"/>
                    </w:rPr>
                  </w:pPr>
                  <w:r>
                    <w:rPr>
                      <w:rFonts w:hint="eastAsia"/>
                      <w:color w:val="auto"/>
                      <w:kern w:val="0"/>
                      <w:szCs w:val="21"/>
                      <w:lang w:val="en-US" w:eastAsia="zh-CN"/>
                    </w:rPr>
                    <w:t>5</w:t>
                  </w:r>
                </w:p>
              </w:tc>
              <w:tc>
                <w:tcPr>
                  <w:tcW w:w="681" w:type="pct"/>
                  <w:shd w:val="clear" w:color="auto" w:fill="auto"/>
                  <w:noWrap w:val="0"/>
                  <w:vAlign w:val="center"/>
                </w:tcPr>
                <w:p w14:paraId="0EE90046">
                  <w:pPr>
                    <w:keepNext/>
                    <w:keepLines/>
                    <w:jc w:val="center"/>
                    <w:rPr>
                      <w:rFonts w:hint="default" w:ascii="Times New Roman" w:hAnsi="Times New Roman" w:eastAsia="宋体" w:cs="Times New Roman"/>
                      <w:color w:val="auto"/>
                      <w:kern w:val="0"/>
                      <w:szCs w:val="21"/>
                      <w:lang w:val="en-US" w:eastAsia="zh-CN"/>
                    </w:rPr>
                  </w:pPr>
                  <w:r>
                    <w:rPr>
                      <w:rFonts w:hint="eastAsia" w:eastAsia="宋体"/>
                      <w:color w:val="auto"/>
                      <w:szCs w:val="21"/>
                      <w:lang w:val="en-US" w:eastAsia="zh-CN"/>
                    </w:rPr>
                    <w:t>石菖蒲</w:t>
                  </w:r>
                </w:p>
              </w:tc>
              <w:tc>
                <w:tcPr>
                  <w:tcW w:w="510" w:type="pct"/>
                  <w:shd w:val="clear" w:color="auto" w:fill="auto"/>
                  <w:noWrap w:val="0"/>
                  <w:vAlign w:val="center"/>
                </w:tcPr>
                <w:p w14:paraId="3B0A28AE">
                  <w:pPr>
                    <w:widowControl/>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吨/年</w:t>
                  </w:r>
                </w:p>
              </w:tc>
              <w:tc>
                <w:tcPr>
                  <w:tcW w:w="518" w:type="pct"/>
                  <w:noWrap w:val="0"/>
                  <w:vAlign w:val="center"/>
                </w:tcPr>
                <w:p w14:paraId="7E0D344F">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500</w:t>
                  </w:r>
                </w:p>
              </w:tc>
              <w:tc>
                <w:tcPr>
                  <w:tcW w:w="731" w:type="pct"/>
                  <w:noWrap w:val="0"/>
                  <w:vAlign w:val="center"/>
                </w:tcPr>
                <w:p w14:paraId="05C0C0EE">
                  <w:pPr>
                    <w:widowControl/>
                    <w:jc w:val="center"/>
                    <w:rPr>
                      <w:rFonts w:hint="default" w:eastAsia="宋体"/>
                      <w:color w:val="auto"/>
                      <w:kern w:val="0"/>
                      <w:szCs w:val="21"/>
                      <w:lang w:val="en-US" w:eastAsia="zh-CN"/>
                    </w:rPr>
                  </w:pPr>
                  <w:r>
                    <w:rPr>
                      <w:rFonts w:hint="eastAsia"/>
                      <w:color w:val="auto"/>
                      <w:kern w:val="0"/>
                      <w:szCs w:val="21"/>
                      <w:lang w:val="en-US" w:eastAsia="zh-CN"/>
                    </w:rPr>
                    <w:t>100</w:t>
                  </w:r>
                </w:p>
              </w:tc>
              <w:tc>
                <w:tcPr>
                  <w:tcW w:w="658" w:type="pct"/>
                  <w:noWrap w:val="0"/>
                  <w:vAlign w:val="center"/>
                </w:tcPr>
                <w:p w14:paraId="78DAEEB4">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原料库</w:t>
                  </w:r>
                </w:p>
              </w:tc>
              <w:tc>
                <w:tcPr>
                  <w:tcW w:w="1614" w:type="pct"/>
                  <w:noWrap w:val="0"/>
                  <w:vAlign w:val="center"/>
                </w:tcPr>
                <w:p w14:paraId="4CE9C295">
                  <w:pPr>
                    <w:widowControl/>
                    <w:jc w:val="center"/>
                    <w:rPr>
                      <w:color w:val="auto"/>
                      <w:kern w:val="0"/>
                      <w:szCs w:val="21"/>
                    </w:rPr>
                  </w:pPr>
                  <w:r>
                    <w:rPr>
                      <w:rFonts w:hint="eastAsia"/>
                      <w:color w:val="auto"/>
                      <w:kern w:val="0"/>
                      <w:szCs w:val="21"/>
                      <w:lang w:val="en-US" w:eastAsia="zh-CN"/>
                    </w:rPr>
                    <w:t>农户收购，含水率约83%</w:t>
                  </w:r>
                </w:p>
              </w:tc>
            </w:tr>
            <w:tr w14:paraId="6BBC8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84" w:type="pct"/>
                  <w:noWrap w:val="0"/>
                  <w:vAlign w:val="center"/>
                </w:tcPr>
                <w:p w14:paraId="09BDE076">
                  <w:pPr>
                    <w:widowControl/>
                    <w:jc w:val="center"/>
                    <w:rPr>
                      <w:rFonts w:hint="eastAsia" w:eastAsia="宋体"/>
                      <w:color w:val="auto"/>
                      <w:kern w:val="0"/>
                      <w:szCs w:val="21"/>
                      <w:lang w:val="en-US" w:eastAsia="zh-CN"/>
                    </w:rPr>
                  </w:pPr>
                  <w:r>
                    <w:rPr>
                      <w:rFonts w:hint="eastAsia"/>
                      <w:color w:val="auto"/>
                      <w:kern w:val="0"/>
                      <w:szCs w:val="21"/>
                      <w:lang w:val="en-US" w:eastAsia="zh-CN"/>
                    </w:rPr>
                    <w:t>6</w:t>
                  </w:r>
                </w:p>
              </w:tc>
              <w:tc>
                <w:tcPr>
                  <w:tcW w:w="681" w:type="pct"/>
                  <w:noWrap w:val="0"/>
                  <w:vAlign w:val="center"/>
                </w:tcPr>
                <w:p w14:paraId="517FF128">
                  <w:pPr>
                    <w:keepNext/>
                    <w:keepLines/>
                    <w:jc w:val="center"/>
                    <w:rPr>
                      <w:rFonts w:hint="default" w:eastAsia="宋体"/>
                      <w:color w:val="auto"/>
                      <w:szCs w:val="21"/>
                      <w:lang w:val="en-US" w:eastAsia="zh-CN"/>
                    </w:rPr>
                  </w:pPr>
                  <w:r>
                    <w:rPr>
                      <w:rFonts w:hint="eastAsia" w:eastAsia="宋体"/>
                      <w:color w:val="auto"/>
                      <w:szCs w:val="21"/>
                      <w:lang w:val="en-US" w:eastAsia="zh-CN"/>
                    </w:rPr>
                    <w:t>生物质燃料</w:t>
                  </w:r>
                </w:p>
              </w:tc>
              <w:tc>
                <w:tcPr>
                  <w:tcW w:w="510" w:type="pct"/>
                  <w:noWrap w:val="0"/>
                  <w:vAlign w:val="center"/>
                </w:tcPr>
                <w:p w14:paraId="4F0E175F">
                  <w:pPr>
                    <w:widowControl/>
                    <w:jc w:val="center"/>
                    <w:rPr>
                      <w:rFonts w:hint="default" w:eastAsia="宋体"/>
                      <w:color w:val="auto"/>
                      <w:kern w:val="0"/>
                      <w:szCs w:val="21"/>
                      <w:lang w:val="en-US" w:eastAsia="zh-CN"/>
                    </w:rPr>
                  </w:pPr>
                  <w:r>
                    <w:rPr>
                      <w:rFonts w:hint="eastAsia"/>
                      <w:color w:val="auto"/>
                      <w:kern w:val="0"/>
                      <w:szCs w:val="21"/>
                      <w:lang w:val="en-US" w:eastAsia="zh-CN"/>
                    </w:rPr>
                    <w:t>吨/年</w:t>
                  </w:r>
                </w:p>
              </w:tc>
              <w:tc>
                <w:tcPr>
                  <w:tcW w:w="518" w:type="pct"/>
                  <w:noWrap w:val="0"/>
                  <w:vAlign w:val="center"/>
                </w:tcPr>
                <w:p w14:paraId="5CA197ED">
                  <w:pPr>
                    <w:widowControl/>
                    <w:jc w:val="center"/>
                    <w:rPr>
                      <w:rFonts w:hint="default" w:eastAsia="宋体"/>
                      <w:color w:val="auto"/>
                      <w:kern w:val="0"/>
                      <w:szCs w:val="21"/>
                      <w:lang w:val="en-US" w:eastAsia="zh-CN"/>
                    </w:rPr>
                  </w:pPr>
                  <w:r>
                    <w:rPr>
                      <w:rFonts w:hint="eastAsia"/>
                      <w:color w:val="auto"/>
                      <w:kern w:val="0"/>
                      <w:szCs w:val="21"/>
                      <w:lang w:val="en-US" w:eastAsia="zh-CN"/>
                    </w:rPr>
                    <w:t>680.49</w:t>
                  </w:r>
                </w:p>
              </w:tc>
              <w:tc>
                <w:tcPr>
                  <w:tcW w:w="731" w:type="pct"/>
                  <w:noWrap w:val="0"/>
                  <w:vAlign w:val="center"/>
                </w:tcPr>
                <w:p w14:paraId="5B2C4E67">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50</w:t>
                  </w:r>
                </w:p>
              </w:tc>
              <w:tc>
                <w:tcPr>
                  <w:tcW w:w="658" w:type="pct"/>
                  <w:noWrap w:val="0"/>
                  <w:vAlign w:val="center"/>
                </w:tcPr>
                <w:p w14:paraId="3A19FC6C">
                  <w:pPr>
                    <w:widowControl/>
                    <w:jc w:val="center"/>
                    <w:rPr>
                      <w:rFonts w:hint="eastAsia" w:eastAsia="宋体"/>
                      <w:color w:val="auto"/>
                      <w:kern w:val="0"/>
                      <w:szCs w:val="21"/>
                      <w:lang w:val="en-US" w:eastAsia="zh-CN"/>
                    </w:rPr>
                  </w:pPr>
                  <w:r>
                    <w:rPr>
                      <w:rFonts w:hint="eastAsia"/>
                      <w:color w:val="auto"/>
                      <w:lang w:val="en-US" w:eastAsia="zh-CN"/>
                    </w:rPr>
                    <w:t>生物质颗粒暂存区</w:t>
                  </w:r>
                </w:p>
              </w:tc>
              <w:tc>
                <w:tcPr>
                  <w:tcW w:w="1614" w:type="pct"/>
                  <w:noWrap w:val="0"/>
                  <w:vAlign w:val="center"/>
                </w:tcPr>
                <w:p w14:paraId="6D8809D3">
                  <w:pPr>
                    <w:widowControl/>
                    <w:jc w:val="center"/>
                    <w:rPr>
                      <w:rFonts w:hint="eastAsia" w:eastAsia="宋体"/>
                      <w:color w:val="auto"/>
                      <w:kern w:val="0"/>
                      <w:szCs w:val="21"/>
                      <w:lang w:val="en-US" w:eastAsia="zh-CN"/>
                    </w:rPr>
                  </w:pPr>
                  <w:r>
                    <w:rPr>
                      <w:rFonts w:hint="eastAsia"/>
                      <w:color w:val="auto"/>
                      <w:lang w:val="en-US" w:eastAsia="zh-CN"/>
                    </w:rPr>
                    <w:t>外购，需满足NYT1878-2010生物质固体成型燃料技术条件中质量标准且含硫量低于0.1%</w:t>
                  </w:r>
                </w:p>
              </w:tc>
            </w:tr>
            <w:tr w14:paraId="60B97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84" w:type="pct"/>
                  <w:shd w:val="clear" w:color="auto" w:fill="auto"/>
                  <w:noWrap w:val="0"/>
                  <w:vAlign w:val="center"/>
                </w:tcPr>
                <w:p w14:paraId="566BC68E">
                  <w:pPr>
                    <w:widowControl/>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w:t>
                  </w:r>
                </w:p>
              </w:tc>
              <w:tc>
                <w:tcPr>
                  <w:tcW w:w="681" w:type="pct"/>
                  <w:noWrap w:val="0"/>
                  <w:vAlign w:val="center"/>
                </w:tcPr>
                <w:p w14:paraId="780144AC">
                  <w:pPr>
                    <w:keepNext/>
                    <w:keepLines/>
                    <w:jc w:val="center"/>
                    <w:rPr>
                      <w:rFonts w:hint="eastAsia" w:eastAsia="宋体"/>
                      <w:color w:val="auto"/>
                      <w:szCs w:val="21"/>
                      <w:lang w:val="en-US" w:eastAsia="zh-CN"/>
                    </w:rPr>
                  </w:pPr>
                  <w:r>
                    <w:rPr>
                      <w:rFonts w:hint="eastAsia"/>
                      <w:color w:val="FF0000"/>
                      <w:szCs w:val="21"/>
                      <w:lang w:val="en-US" w:eastAsia="zh-CN"/>
                    </w:rPr>
                    <w:t>活性炭</w:t>
                  </w:r>
                </w:p>
              </w:tc>
              <w:tc>
                <w:tcPr>
                  <w:tcW w:w="510" w:type="pct"/>
                  <w:noWrap w:val="0"/>
                  <w:vAlign w:val="center"/>
                </w:tcPr>
                <w:p w14:paraId="7C1035E7">
                  <w:pPr>
                    <w:widowControl/>
                    <w:jc w:val="center"/>
                    <w:rPr>
                      <w:rFonts w:hint="eastAsia" w:ascii="Times New Roman" w:hAnsi="Times New Roman" w:eastAsia="宋体" w:cs="Times New Roman"/>
                      <w:color w:val="FF0000"/>
                      <w:kern w:val="0"/>
                      <w:szCs w:val="21"/>
                      <w:lang w:val="en-US" w:eastAsia="zh-CN"/>
                    </w:rPr>
                  </w:pPr>
                  <w:r>
                    <w:rPr>
                      <w:rFonts w:hint="eastAsia" w:ascii="Times New Roman" w:hAnsi="Times New Roman" w:eastAsia="宋体" w:cs="Times New Roman"/>
                      <w:color w:val="FF0000"/>
                      <w:kern w:val="0"/>
                      <w:szCs w:val="21"/>
                      <w:lang w:val="en-US" w:eastAsia="zh-CN"/>
                    </w:rPr>
                    <w:t>吨/年</w:t>
                  </w:r>
                </w:p>
              </w:tc>
              <w:tc>
                <w:tcPr>
                  <w:tcW w:w="518" w:type="pct"/>
                  <w:noWrap w:val="0"/>
                  <w:vAlign w:val="center"/>
                </w:tcPr>
                <w:p w14:paraId="7BCA1D1A">
                  <w:pPr>
                    <w:widowControl/>
                    <w:jc w:val="center"/>
                    <w:rPr>
                      <w:rFonts w:hint="default" w:ascii="Times New Roman" w:hAnsi="Times New Roman" w:eastAsia="宋体" w:cs="Times New Roman"/>
                      <w:color w:val="FF0000"/>
                      <w:kern w:val="0"/>
                      <w:szCs w:val="21"/>
                      <w:lang w:val="en-US" w:eastAsia="zh-CN"/>
                    </w:rPr>
                  </w:pPr>
                  <w:r>
                    <w:rPr>
                      <w:rFonts w:hint="eastAsia" w:ascii="Times New Roman" w:hAnsi="Times New Roman" w:eastAsia="宋体" w:cs="Times New Roman"/>
                      <w:color w:val="FF0000"/>
                      <w:kern w:val="0"/>
                      <w:szCs w:val="21"/>
                      <w:lang w:val="en-US" w:eastAsia="zh-CN"/>
                    </w:rPr>
                    <w:t>9.28</w:t>
                  </w:r>
                </w:p>
              </w:tc>
              <w:tc>
                <w:tcPr>
                  <w:tcW w:w="731" w:type="pct"/>
                  <w:noWrap w:val="0"/>
                  <w:vAlign w:val="center"/>
                </w:tcPr>
                <w:p w14:paraId="51748A35">
                  <w:pPr>
                    <w:widowControl/>
                    <w:jc w:val="center"/>
                    <w:rPr>
                      <w:rFonts w:hint="eastAsia" w:ascii="Times New Roman" w:hAnsi="Times New Roman" w:eastAsia="宋体" w:cs="Times New Roman"/>
                      <w:color w:val="FF0000"/>
                      <w:kern w:val="0"/>
                      <w:szCs w:val="21"/>
                      <w:lang w:val="en-US" w:eastAsia="zh-CN"/>
                    </w:rPr>
                  </w:pPr>
                  <w:r>
                    <w:rPr>
                      <w:rFonts w:hint="eastAsia" w:ascii="Times New Roman" w:hAnsi="Times New Roman" w:eastAsia="宋体" w:cs="Times New Roman"/>
                      <w:color w:val="FF0000"/>
                      <w:kern w:val="0"/>
                      <w:szCs w:val="21"/>
                      <w:lang w:val="en-US" w:eastAsia="zh-CN"/>
                    </w:rPr>
                    <w:t>/</w:t>
                  </w:r>
                </w:p>
              </w:tc>
              <w:tc>
                <w:tcPr>
                  <w:tcW w:w="658" w:type="pct"/>
                  <w:noWrap w:val="0"/>
                  <w:vAlign w:val="center"/>
                </w:tcPr>
                <w:p w14:paraId="56A66086">
                  <w:pPr>
                    <w:widowControl/>
                    <w:jc w:val="center"/>
                    <w:rPr>
                      <w:rFonts w:hint="eastAsia"/>
                      <w:color w:val="auto"/>
                      <w:lang w:val="en-US" w:eastAsia="zh-CN"/>
                    </w:rPr>
                  </w:pPr>
                  <w:r>
                    <w:rPr>
                      <w:rFonts w:hint="eastAsia"/>
                      <w:color w:val="FF0000"/>
                      <w:lang w:val="en-US" w:eastAsia="zh-CN"/>
                    </w:rPr>
                    <w:t>废气处理装置内</w:t>
                  </w:r>
                </w:p>
              </w:tc>
              <w:tc>
                <w:tcPr>
                  <w:tcW w:w="1614" w:type="pct"/>
                  <w:noWrap w:val="0"/>
                  <w:vAlign w:val="center"/>
                </w:tcPr>
                <w:p w14:paraId="44B96D6A">
                  <w:pPr>
                    <w:widowControl/>
                    <w:jc w:val="center"/>
                    <w:rPr>
                      <w:rFonts w:hint="eastAsia"/>
                      <w:color w:val="auto"/>
                      <w:lang w:val="en-US" w:eastAsia="zh-CN"/>
                    </w:rPr>
                  </w:pPr>
                  <w:r>
                    <w:rPr>
                      <w:rFonts w:hint="eastAsia"/>
                      <w:color w:val="FF0000"/>
                      <w:lang w:val="en-US" w:eastAsia="zh-CN"/>
                    </w:rPr>
                    <w:t>外购</w:t>
                  </w:r>
                </w:p>
              </w:tc>
            </w:tr>
            <w:tr w14:paraId="03DFF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3A086787">
                  <w:pPr>
                    <w:widowControl/>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8</w:t>
                  </w:r>
                </w:p>
              </w:tc>
              <w:tc>
                <w:tcPr>
                  <w:tcW w:w="681" w:type="pct"/>
                  <w:shd w:val="clear" w:color="auto" w:fill="auto"/>
                  <w:noWrap w:val="0"/>
                  <w:vAlign w:val="center"/>
                </w:tcPr>
                <w:p w14:paraId="3BD53512">
                  <w:pPr>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szCs w:val="21"/>
                      <w:u w:val="none"/>
                      <w:lang w:eastAsia="zh-CN"/>
                    </w:rPr>
                    <w:t>黄油（润滑用）</w:t>
                  </w:r>
                </w:p>
              </w:tc>
              <w:tc>
                <w:tcPr>
                  <w:tcW w:w="510" w:type="pct"/>
                  <w:shd w:val="clear" w:color="auto" w:fill="auto"/>
                  <w:noWrap w:val="0"/>
                  <w:vAlign w:val="center"/>
                </w:tcPr>
                <w:p w14:paraId="3C3ECDCE">
                  <w:pPr>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t/a</w:t>
                  </w:r>
                </w:p>
              </w:tc>
              <w:tc>
                <w:tcPr>
                  <w:tcW w:w="518" w:type="pct"/>
                  <w:shd w:val="clear" w:color="auto" w:fill="auto"/>
                  <w:noWrap w:val="0"/>
                  <w:vAlign w:val="center"/>
                </w:tcPr>
                <w:p w14:paraId="054DFD7F">
                  <w:pPr>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szCs w:val="21"/>
                      <w:u w:val="none"/>
                      <w:lang w:val="en-US" w:eastAsia="zh-CN"/>
                    </w:rPr>
                    <w:t>0.5</w:t>
                  </w:r>
                </w:p>
              </w:tc>
              <w:tc>
                <w:tcPr>
                  <w:tcW w:w="731" w:type="pct"/>
                  <w:shd w:val="clear" w:color="auto" w:fill="auto"/>
                  <w:noWrap w:val="0"/>
                  <w:vAlign w:val="center"/>
                </w:tcPr>
                <w:p w14:paraId="54C4712A">
                  <w:pPr>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0.5</w:t>
                  </w:r>
                </w:p>
              </w:tc>
              <w:tc>
                <w:tcPr>
                  <w:tcW w:w="658" w:type="pct"/>
                  <w:shd w:val="clear" w:color="auto" w:fill="auto"/>
                  <w:noWrap w:val="0"/>
                  <w:vAlign w:val="center"/>
                </w:tcPr>
                <w:p w14:paraId="0DC215E4">
                  <w:pPr>
                    <w:widowControl/>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kern w:val="0"/>
                      <w:sz w:val="21"/>
                      <w:szCs w:val="21"/>
                      <w:lang w:val="en-US" w:eastAsia="zh-CN" w:bidi="ar-SA"/>
                    </w:rPr>
                    <w:t>/</w:t>
                  </w:r>
                </w:p>
              </w:tc>
              <w:tc>
                <w:tcPr>
                  <w:tcW w:w="1614" w:type="pct"/>
                  <w:shd w:val="clear" w:color="auto" w:fill="auto"/>
                  <w:noWrap w:val="0"/>
                  <w:vAlign w:val="center"/>
                </w:tcPr>
                <w:p w14:paraId="6730B4AB">
                  <w:pPr>
                    <w:widowControl/>
                    <w:jc w:val="center"/>
                    <w:rPr>
                      <w:rFonts w:hint="default" w:ascii="Times New Roman" w:hAnsi="Times New Roman" w:eastAsia="宋体" w:cs="Times New Roman"/>
                      <w:color w:val="auto"/>
                      <w:kern w:val="0"/>
                      <w:sz w:val="21"/>
                      <w:szCs w:val="21"/>
                      <w:u w:val="none"/>
                      <w:lang w:val="en-US" w:eastAsia="zh-CN" w:bidi="ar-SA"/>
                    </w:rPr>
                  </w:pPr>
                  <w:r>
                    <w:rPr>
                      <w:rFonts w:hint="eastAsia"/>
                      <w:color w:val="FF0000"/>
                      <w:lang w:val="en-US" w:eastAsia="zh-CN"/>
                    </w:rPr>
                    <w:t>外购</w:t>
                  </w:r>
                </w:p>
              </w:tc>
            </w:tr>
            <w:tr w14:paraId="343C5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463F25F4">
                  <w:pPr>
                    <w:widowControl/>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9</w:t>
                  </w:r>
                </w:p>
              </w:tc>
              <w:tc>
                <w:tcPr>
                  <w:tcW w:w="681" w:type="pct"/>
                  <w:noWrap w:val="0"/>
                  <w:vAlign w:val="center"/>
                </w:tcPr>
                <w:p w14:paraId="7D549B10">
                  <w:pPr>
                    <w:keepNext/>
                    <w:keepLines/>
                    <w:jc w:val="center"/>
                    <w:rPr>
                      <w:color w:val="auto"/>
                      <w:szCs w:val="21"/>
                    </w:rPr>
                  </w:pPr>
                  <w:r>
                    <w:rPr>
                      <w:color w:val="auto"/>
                      <w:szCs w:val="21"/>
                    </w:rPr>
                    <w:t>水</w:t>
                  </w:r>
                </w:p>
              </w:tc>
              <w:tc>
                <w:tcPr>
                  <w:tcW w:w="510" w:type="pct"/>
                  <w:noWrap w:val="0"/>
                  <w:vAlign w:val="center"/>
                </w:tcPr>
                <w:p w14:paraId="5E772579">
                  <w:pPr>
                    <w:widowControl/>
                    <w:jc w:val="center"/>
                    <w:rPr>
                      <w:color w:val="auto"/>
                      <w:kern w:val="0"/>
                      <w:szCs w:val="21"/>
                    </w:rPr>
                  </w:pPr>
                  <w:r>
                    <w:rPr>
                      <w:color w:val="auto"/>
                      <w:kern w:val="0"/>
                      <w:szCs w:val="21"/>
                    </w:rPr>
                    <w:t>吨/年</w:t>
                  </w:r>
                </w:p>
              </w:tc>
              <w:tc>
                <w:tcPr>
                  <w:tcW w:w="518" w:type="pct"/>
                  <w:noWrap w:val="0"/>
                  <w:vAlign w:val="center"/>
                </w:tcPr>
                <w:p w14:paraId="7F5263A3">
                  <w:pPr>
                    <w:adjustRightInd w:val="0"/>
                    <w:snapToGrid w:val="0"/>
                    <w:jc w:val="center"/>
                    <w:rPr>
                      <w:rFonts w:hint="default" w:eastAsia="宋体"/>
                      <w:color w:val="auto"/>
                      <w:kern w:val="0"/>
                      <w:szCs w:val="21"/>
                      <w:highlight w:val="green"/>
                      <w:lang w:val="en-US" w:eastAsia="zh-CN"/>
                    </w:rPr>
                  </w:pPr>
                  <w:r>
                    <w:rPr>
                      <w:rFonts w:hint="eastAsia" w:ascii="Times New Roman" w:hAnsi="Times New Roman" w:cs="Times New Roman"/>
                      <w:color w:val="auto"/>
                      <w:szCs w:val="21"/>
                      <w:u w:val="none"/>
                      <w:lang w:val="en-US" w:eastAsia="zh-CN"/>
                    </w:rPr>
                    <w:t>410.33</w:t>
                  </w:r>
                </w:p>
              </w:tc>
              <w:tc>
                <w:tcPr>
                  <w:tcW w:w="731" w:type="pct"/>
                  <w:shd w:val="clear" w:color="auto" w:fill="auto"/>
                  <w:noWrap w:val="0"/>
                  <w:vAlign w:val="center"/>
                </w:tcPr>
                <w:p w14:paraId="1C2FA4BF">
                  <w:pPr>
                    <w:widowControl/>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658" w:type="pct"/>
                  <w:noWrap w:val="0"/>
                  <w:vAlign w:val="center"/>
                </w:tcPr>
                <w:p w14:paraId="5FDA9F02">
                  <w:pPr>
                    <w:widowControl/>
                    <w:jc w:val="center"/>
                    <w:rPr>
                      <w:rFonts w:hint="eastAsia"/>
                      <w:color w:val="auto"/>
                      <w:kern w:val="0"/>
                      <w:szCs w:val="21"/>
                    </w:rPr>
                  </w:pPr>
                  <w:r>
                    <w:rPr>
                      <w:rFonts w:hint="eastAsia"/>
                      <w:color w:val="auto"/>
                      <w:kern w:val="0"/>
                      <w:szCs w:val="21"/>
                      <w:lang w:val="en-US" w:eastAsia="zh-CN"/>
                    </w:rPr>
                    <w:t>/</w:t>
                  </w:r>
                </w:p>
              </w:tc>
              <w:tc>
                <w:tcPr>
                  <w:tcW w:w="1614" w:type="pct"/>
                  <w:noWrap w:val="0"/>
                  <w:vAlign w:val="center"/>
                </w:tcPr>
                <w:p w14:paraId="54047819">
                  <w:pPr>
                    <w:widowControl/>
                    <w:jc w:val="center"/>
                    <w:rPr>
                      <w:rFonts w:hint="default" w:eastAsia="宋体"/>
                      <w:color w:val="auto"/>
                      <w:kern w:val="0"/>
                      <w:szCs w:val="21"/>
                      <w:lang w:val="en-US" w:eastAsia="zh-CN"/>
                    </w:rPr>
                  </w:pPr>
                  <w:r>
                    <w:rPr>
                      <w:rFonts w:hint="eastAsia"/>
                      <w:color w:val="auto"/>
                      <w:kern w:val="0"/>
                      <w:szCs w:val="21"/>
                      <w:lang w:val="en-US" w:eastAsia="zh-CN"/>
                    </w:rPr>
                    <w:t>市政供水</w:t>
                  </w:r>
                </w:p>
              </w:tc>
            </w:tr>
            <w:tr w14:paraId="1B7DA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 w:type="pct"/>
                  <w:shd w:val="clear" w:color="auto" w:fill="auto"/>
                  <w:noWrap w:val="0"/>
                  <w:vAlign w:val="center"/>
                </w:tcPr>
                <w:p w14:paraId="546CA082">
                  <w:pPr>
                    <w:widowControl/>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10</w:t>
                  </w:r>
                </w:p>
              </w:tc>
              <w:tc>
                <w:tcPr>
                  <w:tcW w:w="681" w:type="pct"/>
                  <w:noWrap w:val="0"/>
                  <w:vAlign w:val="center"/>
                </w:tcPr>
                <w:p w14:paraId="57EA25BE">
                  <w:pPr>
                    <w:keepNext/>
                    <w:keepLines/>
                    <w:jc w:val="center"/>
                    <w:rPr>
                      <w:rFonts w:hint="eastAsia"/>
                      <w:color w:val="auto"/>
                      <w:szCs w:val="21"/>
                    </w:rPr>
                  </w:pPr>
                  <w:r>
                    <w:rPr>
                      <w:rFonts w:hint="eastAsia"/>
                      <w:color w:val="auto"/>
                      <w:szCs w:val="21"/>
                    </w:rPr>
                    <w:t>电</w:t>
                  </w:r>
                </w:p>
              </w:tc>
              <w:tc>
                <w:tcPr>
                  <w:tcW w:w="510" w:type="pct"/>
                  <w:noWrap w:val="0"/>
                  <w:vAlign w:val="center"/>
                </w:tcPr>
                <w:p w14:paraId="389F3B5A">
                  <w:pPr>
                    <w:widowControl/>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KW/小时</w:t>
                  </w:r>
                </w:p>
              </w:tc>
              <w:tc>
                <w:tcPr>
                  <w:tcW w:w="518" w:type="pct"/>
                  <w:noWrap w:val="0"/>
                  <w:vAlign w:val="center"/>
                </w:tcPr>
                <w:p w14:paraId="61EFCF0F">
                  <w:pPr>
                    <w:widowControl/>
                    <w:jc w:val="center"/>
                    <w:rPr>
                      <w:rFonts w:hint="default" w:eastAsia="宋体"/>
                      <w:color w:val="auto"/>
                      <w:kern w:val="0"/>
                      <w:szCs w:val="21"/>
                      <w:lang w:val="en-US" w:eastAsia="zh-CN"/>
                    </w:rPr>
                  </w:pPr>
                  <w:r>
                    <w:rPr>
                      <w:rFonts w:hint="eastAsia"/>
                      <w:color w:val="auto"/>
                      <w:kern w:val="0"/>
                      <w:szCs w:val="21"/>
                      <w:lang w:val="en-US" w:eastAsia="zh-CN"/>
                    </w:rPr>
                    <w:t>50000</w:t>
                  </w:r>
                </w:p>
              </w:tc>
              <w:tc>
                <w:tcPr>
                  <w:tcW w:w="731" w:type="pct"/>
                  <w:noWrap w:val="0"/>
                  <w:vAlign w:val="center"/>
                </w:tcPr>
                <w:p w14:paraId="7449026A">
                  <w:pPr>
                    <w:widowControl/>
                    <w:jc w:val="center"/>
                    <w:rPr>
                      <w:rFonts w:hint="default" w:eastAsia="宋体"/>
                      <w:color w:val="auto"/>
                      <w:kern w:val="0"/>
                      <w:szCs w:val="21"/>
                      <w:lang w:val="en-US" w:eastAsia="zh-CN"/>
                    </w:rPr>
                  </w:pPr>
                  <w:r>
                    <w:rPr>
                      <w:rFonts w:hint="eastAsia"/>
                      <w:color w:val="auto"/>
                      <w:kern w:val="0"/>
                      <w:szCs w:val="21"/>
                      <w:lang w:val="en-US" w:eastAsia="zh-CN"/>
                    </w:rPr>
                    <w:t>/</w:t>
                  </w:r>
                </w:p>
              </w:tc>
              <w:tc>
                <w:tcPr>
                  <w:tcW w:w="658" w:type="pct"/>
                  <w:noWrap w:val="0"/>
                  <w:vAlign w:val="center"/>
                </w:tcPr>
                <w:p w14:paraId="0FE60269">
                  <w:pPr>
                    <w:widowControl/>
                    <w:jc w:val="center"/>
                    <w:rPr>
                      <w:rFonts w:hint="default" w:eastAsia="宋体"/>
                      <w:color w:val="auto"/>
                      <w:kern w:val="0"/>
                      <w:szCs w:val="21"/>
                      <w:lang w:val="en-US" w:eastAsia="zh-CN"/>
                    </w:rPr>
                  </w:pPr>
                  <w:r>
                    <w:rPr>
                      <w:rFonts w:hint="eastAsia" w:cs="Times New Roman"/>
                      <w:color w:val="auto"/>
                      <w:kern w:val="0"/>
                      <w:sz w:val="21"/>
                      <w:szCs w:val="21"/>
                      <w:lang w:val="en-US" w:eastAsia="zh-CN" w:bidi="ar-SA"/>
                    </w:rPr>
                    <w:t>/</w:t>
                  </w:r>
                </w:p>
              </w:tc>
              <w:tc>
                <w:tcPr>
                  <w:tcW w:w="1614" w:type="pct"/>
                  <w:noWrap w:val="0"/>
                  <w:vAlign w:val="center"/>
                </w:tcPr>
                <w:p w14:paraId="2B645BE1">
                  <w:pPr>
                    <w:widowControl/>
                    <w:jc w:val="center"/>
                    <w:rPr>
                      <w:rFonts w:hint="default" w:eastAsia="宋体"/>
                      <w:color w:val="auto"/>
                      <w:kern w:val="0"/>
                      <w:szCs w:val="21"/>
                      <w:lang w:val="en-US" w:eastAsia="zh-CN"/>
                    </w:rPr>
                  </w:pPr>
                  <w:r>
                    <w:rPr>
                      <w:rFonts w:hint="eastAsia"/>
                      <w:color w:val="auto"/>
                      <w:kern w:val="0"/>
                      <w:szCs w:val="21"/>
                      <w:lang w:val="en-US" w:eastAsia="zh-CN"/>
                    </w:rPr>
                    <w:t>市政供电</w:t>
                  </w:r>
                </w:p>
              </w:tc>
            </w:tr>
          </w:tbl>
          <w:p w14:paraId="7A482EC4">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cs="Times New Roman"/>
                <w:color w:val="auto"/>
                <w:kern w:val="0"/>
                <w:sz w:val="24"/>
                <w:u w:val="none"/>
                <w:lang w:val="en-US" w:eastAsia="zh-CN"/>
              </w:rPr>
            </w:pPr>
            <w:bookmarkStart w:id="29" w:name="_Toc12436"/>
            <w:r>
              <w:rPr>
                <w:rFonts w:hint="eastAsia" w:ascii="Times New Roman" w:hAnsi="Times New Roman" w:eastAsia="宋体" w:cs="Times New Roman"/>
                <w:color w:val="auto"/>
                <w:kern w:val="0"/>
                <w:sz w:val="24"/>
                <w:u w:val="none"/>
                <w:lang w:eastAsia="zh-CN"/>
              </w:rPr>
              <w:t>生物质颗粒：外购符合</w:t>
            </w:r>
            <w:r>
              <w:rPr>
                <w:rFonts w:hint="eastAsia" w:ascii="Times New Roman" w:hAnsi="Times New Roman" w:eastAsia="宋体" w:cs="Times New Roman"/>
                <w:color w:val="auto"/>
                <w:kern w:val="0"/>
                <w:sz w:val="24"/>
                <w:u w:val="none"/>
                <w:lang w:val="en-US" w:eastAsia="zh-CN"/>
              </w:rPr>
              <w:t>《</w:t>
            </w:r>
            <w:r>
              <w:rPr>
                <w:rFonts w:hint="eastAsia" w:ascii="Times New Roman" w:hAnsi="Times New Roman" w:eastAsia="宋体" w:cs="Times New Roman"/>
                <w:color w:val="auto"/>
                <w:kern w:val="0"/>
                <w:sz w:val="24"/>
                <w:u w:val="none"/>
                <w:lang w:eastAsia="zh-CN"/>
              </w:rPr>
              <w:t>生物质固体成型燃料技术条件</w:t>
            </w:r>
            <w:r>
              <w:rPr>
                <w:rFonts w:hint="eastAsia" w:ascii="Times New Roman" w:hAnsi="Times New Roman" w:eastAsia="宋体" w:cs="Times New Roman"/>
                <w:color w:val="auto"/>
                <w:kern w:val="0"/>
                <w:sz w:val="24"/>
                <w:u w:val="none"/>
                <w:lang w:val="en-US" w:eastAsia="zh-CN"/>
              </w:rPr>
              <w:t>》（</w:t>
            </w:r>
            <w:r>
              <w:rPr>
                <w:rFonts w:hint="eastAsia" w:ascii="Times New Roman" w:hAnsi="Times New Roman" w:eastAsia="宋体" w:cs="Times New Roman"/>
                <w:color w:val="auto"/>
                <w:kern w:val="0"/>
                <w:sz w:val="24"/>
                <w:u w:val="none"/>
                <w:lang w:eastAsia="zh-CN"/>
              </w:rPr>
              <w:t>NY_T1878-2010</w:t>
            </w:r>
            <w:r>
              <w:rPr>
                <w:rFonts w:hint="eastAsia" w:ascii="Times New Roman" w:hAnsi="Times New Roman" w:eastAsia="宋体" w:cs="Times New Roman"/>
                <w:color w:val="auto"/>
                <w:kern w:val="0"/>
                <w:sz w:val="24"/>
                <w:u w:val="none"/>
                <w:lang w:val="en-US" w:eastAsia="zh-CN"/>
              </w:rPr>
              <w:t>）的</w:t>
            </w:r>
            <w:r>
              <w:rPr>
                <w:rFonts w:hint="eastAsia" w:cs="Times New Roman"/>
                <w:color w:val="auto"/>
                <w:kern w:val="0"/>
                <w:sz w:val="24"/>
                <w:u w:val="none"/>
                <w:lang w:val="en-US" w:eastAsia="zh-CN"/>
              </w:rPr>
              <w:t>生物质</w:t>
            </w:r>
            <w:r>
              <w:rPr>
                <w:rFonts w:hint="eastAsia" w:ascii="Times New Roman" w:hAnsi="Times New Roman" w:eastAsia="宋体" w:cs="Times New Roman"/>
                <w:color w:val="auto"/>
                <w:kern w:val="0"/>
                <w:sz w:val="24"/>
                <w:u w:val="none"/>
                <w:lang w:val="en-US" w:eastAsia="zh-CN"/>
              </w:rPr>
              <w:t>颗粒，其中含硫量不超</w:t>
            </w:r>
            <w:r>
              <w:rPr>
                <w:rFonts w:hint="eastAsia" w:cs="Times New Roman"/>
                <w:color w:val="auto"/>
                <w:kern w:val="0"/>
                <w:sz w:val="24"/>
                <w:u w:val="none"/>
                <w:lang w:val="en-US" w:eastAsia="zh-CN"/>
              </w:rPr>
              <w:t>过</w:t>
            </w:r>
            <w:r>
              <w:rPr>
                <w:rFonts w:hint="eastAsia" w:ascii="Times New Roman" w:hAnsi="Times New Roman" w:eastAsia="宋体" w:cs="Times New Roman"/>
                <w:color w:val="auto"/>
                <w:kern w:val="0"/>
                <w:sz w:val="24"/>
                <w:u w:val="none"/>
                <w:lang w:val="en-US" w:eastAsia="zh-CN"/>
              </w:rPr>
              <w:t>0.1%，</w:t>
            </w:r>
            <w:r>
              <w:rPr>
                <w:rFonts w:hint="eastAsia" w:cs="Times New Roman"/>
                <w:color w:val="auto"/>
                <w:kern w:val="0"/>
                <w:sz w:val="24"/>
                <w:u w:val="none"/>
                <w:lang w:val="en-US" w:eastAsia="zh-CN"/>
              </w:rPr>
              <w:t>灰分</w:t>
            </w:r>
            <w:r>
              <w:rPr>
                <w:rFonts w:hint="eastAsia" w:ascii="Times New Roman" w:hAnsi="Times New Roman" w:eastAsia="宋体" w:cs="Times New Roman"/>
                <w:color w:val="auto"/>
                <w:kern w:val="0"/>
                <w:sz w:val="24"/>
                <w:u w:val="none"/>
                <w:lang w:val="en-US" w:eastAsia="zh-CN"/>
              </w:rPr>
              <w:t>不超过12%</w:t>
            </w:r>
            <w:r>
              <w:rPr>
                <w:rFonts w:hint="eastAsia" w:cs="Times New Roman"/>
                <w:color w:val="auto"/>
                <w:kern w:val="0"/>
                <w:sz w:val="24"/>
                <w:u w:val="none"/>
                <w:lang w:val="en-US" w:eastAsia="zh-CN"/>
              </w:rPr>
              <w:t>。每批次采购时，要求供应商提供相应检测报告。</w:t>
            </w:r>
          </w:p>
          <w:p w14:paraId="5A8B966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0"/>
                <w:sz w:val="24"/>
                <w:u w:val="single" w:color="auto"/>
                <w:lang w:val="en-US" w:eastAsia="zh-CN"/>
              </w:rPr>
            </w:pPr>
            <w:r>
              <w:rPr>
                <w:rFonts w:hint="eastAsia" w:ascii="Times New Roman" w:hAnsi="Times New Roman" w:eastAsia="宋体" w:cs="Times New Roman"/>
                <w:color w:val="auto"/>
                <w:kern w:val="0"/>
                <w:sz w:val="24"/>
                <w:u w:val="single" w:color="auto"/>
                <w:lang w:eastAsia="zh-CN"/>
              </w:rPr>
              <w:t>生物质</w:t>
            </w:r>
            <w:r>
              <w:rPr>
                <w:rFonts w:hint="eastAsia" w:cs="Times New Roman"/>
                <w:color w:val="auto"/>
                <w:kern w:val="0"/>
                <w:sz w:val="24"/>
                <w:u w:val="single" w:color="auto"/>
                <w:lang w:val="en-US" w:eastAsia="zh-CN"/>
              </w:rPr>
              <w:t>用量核算：</w:t>
            </w:r>
          </w:p>
          <w:p w14:paraId="2F64BDF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0"/>
                <w:sz w:val="24"/>
                <w:u w:val="single" w:color="auto"/>
                <w:lang w:val="en-US" w:eastAsia="zh-CN"/>
              </w:rPr>
            </w:pPr>
            <w:r>
              <w:rPr>
                <w:rFonts w:hint="eastAsia" w:ascii="Times New Roman" w:hAnsi="Times New Roman" w:eastAsia="宋体" w:cs="Times New Roman"/>
                <w:color w:val="auto"/>
                <w:sz w:val="24"/>
                <w:szCs w:val="21"/>
                <w:u w:val="single" w:color="auto"/>
                <w:lang w:val="en-US" w:eastAsia="zh-CN"/>
              </w:rPr>
              <w:t>蒸汽发生器主要供中药材杀青用，热风炉供中药材烘干用。本项目山银花、野菊花需杀青后再进行烘干，玉竹、石菖蒲、黄柏直接进行烘干。</w:t>
            </w:r>
          </w:p>
          <w:p w14:paraId="5B6743D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0"/>
                <w:sz w:val="24"/>
                <w:u w:val="single" w:color="auto"/>
                <w:lang w:val="en-US" w:eastAsia="zh-CN"/>
              </w:rPr>
            </w:pPr>
            <w:r>
              <w:rPr>
                <w:rFonts w:hint="eastAsia" w:cs="Times New Roman"/>
                <w:color w:val="auto"/>
                <w:kern w:val="0"/>
                <w:sz w:val="24"/>
                <w:u w:val="single" w:color="auto"/>
                <w:lang w:val="en-US" w:eastAsia="zh-CN"/>
              </w:rPr>
              <w:t>（1）蒸汽发生器生物质用量</w:t>
            </w:r>
          </w:p>
          <w:p w14:paraId="2DE3F7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kern w:val="0"/>
                <w:sz w:val="24"/>
                <w:u w:val="single" w:color="auto"/>
                <w:lang w:val="en-US" w:eastAsia="zh-CN"/>
              </w:rPr>
            </w:pPr>
            <w:r>
              <w:rPr>
                <w:rFonts w:hint="eastAsia" w:ascii="Times New Roman" w:hAnsi="Times New Roman" w:eastAsia="宋体" w:cs="Times New Roman"/>
                <w:color w:val="auto"/>
                <w:sz w:val="24"/>
                <w:szCs w:val="21"/>
                <w:u w:val="single" w:color="auto"/>
                <w:lang w:val="en-US" w:eastAsia="zh-CN"/>
              </w:rPr>
              <w:t>山银花、野菊花需杀青</w:t>
            </w:r>
            <w:r>
              <w:rPr>
                <w:rFonts w:hint="eastAsia" w:cs="Times New Roman"/>
                <w:color w:val="auto"/>
                <w:sz w:val="24"/>
                <w:szCs w:val="21"/>
                <w:u w:val="single" w:color="auto"/>
                <w:lang w:val="en-US" w:eastAsia="zh-CN"/>
              </w:rPr>
              <w:t>至五成干需蒸发1320t</w:t>
            </w:r>
            <w:r>
              <w:rPr>
                <w:rFonts w:hint="eastAsia" w:cs="Times New Roman"/>
                <w:color w:val="auto"/>
                <w:kern w:val="0"/>
                <w:sz w:val="24"/>
                <w:u w:val="single" w:color="auto"/>
                <w:lang w:val="en-US" w:eastAsia="zh-CN"/>
              </w:rPr>
              <w:t>水分，外加清洗后带入水分5.49吨，共需蒸发1325.49t水分。考虑损耗，蒸发1kg水约需要1.4kg蒸汽，则需要提供约1855.69t蒸汽，本项目生物质蒸汽发生器年运行1200小时能提供3600t蒸汽，能满足烘干需求；按生物质颗粒热值4060大卡/公斤计，生物质蒸汽发生器热效率均75%，则1吨蒸汽约需要203.6公斤生物质颗粒，蒸发1325.49水分约需要生物质颗粒约为377.82吨/年。</w:t>
            </w:r>
          </w:p>
          <w:p w14:paraId="28C59D9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0"/>
                <w:sz w:val="24"/>
                <w:u w:val="single" w:color="auto"/>
                <w:lang w:val="en-US" w:eastAsia="zh-CN"/>
              </w:rPr>
            </w:pPr>
            <w:r>
              <w:rPr>
                <w:rFonts w:hint="eastAsia" w:cs="Times New Roman"/>
                <w:color w:val="auto"/>
                <w:kern w:val="0"/>
                <w:sz w:val="24"/>
                <w:u w:val="single" w:color="auto"/>
                <w:lang w:val="en-US" w:eastAsia="zh-CN"/>
              </w:rPr>
              <w:t>（2）热风炉生物质用量</w:t>
            </w:r>
          </w:p>
          <w:p w14:paraId="313EF1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kern w:val="0"/>
                <w:sz w:val="24"/>
                <w:u w:val="single" w:color="auto"/>
                <w:lang w:val="en-US" w:eastAsia="zh-CN"/>
              </w:rPr>
            </w:pPr>
            <w:r>
              <w:rPr>
                <w:rFonts w:hint="default" w:ascii="Times New Roman" w:hAnsi="Times New Roman" w:eastAsia="宋体" w:cs="Times New Roman"/>
                <w:color w:val="auto"/>
                <w:sz w:val="24"/>
                <w:szCs w:val="21"/>
                <w:u w:val="single" w:color="auto"/>
                <w:lang w:val="en-US" w:eastAsia="zh-CN"/>
              </w:rPr>
              <w:t>杀青</w:t>
            </w:r>
            <w:r>
              <w:rPr>
                <w:rFonts w:hint="default" w:ascii="Times New Roman" w:hAnsi="Times New Roman" w:cs="Times New Roman"/>
                <w:color w:val="auto"/>
                <w:sz w:val="24"/>
                <w:szCs w:val="21"/>
                <w:u w:val="single" w:color="auto"/>
                <w:lang w:val="en-US" w:eastAsia="zh-CN"/>
              </w:rPr>
              <w:t>至五成干</w:t>
            </w:r>
            <w:r>
              <w:rPr>
                <w:rFonts w:hint="default" w:ascii="Times New Roman" w:hAnsi="Times New Roman" w:eastAsia="宋体" w:cs="Times New Roman"/>
                <w:color w:val="auto"/>
                <w:sz w:val="24"/>
                <w:szCs w:val="21"/>
                <w:u w:val="single" w:color="auto"/>
                <w:lang w:val="en-US" w:eastAsia="zh-CN"/>
              </w:rPr>
              <w:t>山银花、野菊花</w:t>
            </w:r>
            <w:r>
              <w:rPr>
                <w:rFonts w:hint="default" w:ascii="Times New Roman" w:hAnsi="Times New Roman" w:cs="Times New Roman"/>
                <w:color w:val="auto"/>
                <w:kern w:val="0"/>
                <w:sz w:val="24"/>
                <w:u w:val="single" w:color="auto"/>
                <w:lang w:val="en-US" w:eastAsia="zh-CN"/>
              </w:rPr>
              <w:t>到干成品</w:t>
            </w:r>
            <w:r>
              <w:rPr>
                <w:rFonts w:hint="default" w:ascii="Times New Roman" w:hAnsi="Times New Roman" w:cs="Times New Roman"/>
                <w:color w:val="auto"/>
                <w:sz w:val="24"/>
                <w:szCs w:val="21"/>
                <w:u w:val="single" w:color="auto"/>
                <w:lang w:val="en-US" w:eastAsia="zh-CN"/>
              </w:rPr>
              <w:t>及玉竹、石菖蒲</w:t>
            </w:r>
            <w:r>
              <w:rPr>
                <w:rFonts w:hint="eastAsia" w:ascii="Times New Roman" w:hAnsi="Times New Roman" w:eastAsia="宋体" w:cs="Times New Roman"/>
                <w:color w:val="auto"/>
                <w:sz w:val="24"/>
                <w:szCs w:val="21"/>
                <w:u w:val="single" w:color="auto"/>
                <w:lang w:val="en-US" w:eastAsia="zh-CN"/>
              </w:rPr>
              <w:t>、黄柏</w:t>
            </w:r>
            <w:r>
              <w:rPr>
                <w:rFonts w:hint="default" w:ascii="Times New Roman" w:hAnsi="Times New Roman" w:cs="Times New Roman"/>
                <w:color w:val="auto"/>
                <w:kern w:val="0"/>
                <w:sz w:val="24"/>
                <w:u w:val="single" w:color="auto"/>
                <w:lang w:val="en-US" w:eastAsia="zh-CN"/>
              </w:rPr>
              <w:t>原辅材料由新鲜到干成品，需蒸发1</w:t>
            </w:r>
            <w:r>
              <w:rPr>
                <w:rFonts w:hint="eastAsia" w:cs="Times New Roman"/>
                <w:color w:val="auto"/>
                <w:kern w:val="0"/>
                <w:sz w:val="24"/>
                <w:u w:val="single" w:color="auto"/>
                <w:lang w:val="en-US" w:eastAsia="zh-CN"/>
              </w:rPr>
              <w:t>48</w:t>
            </w:r>
            <w:r>
              <w:rPr>
                <w:rFonts w:hint="default" w:ascii="Times New Roman" w:hAnsi="Times New Roman" w:cs="Times New Roman"/>
                <w:color w:val="auto"/>
                <w:kern w:val="0"/>
                <w:sz w:val="24"/>
                <w:u w:val="single" w:color="auto"/>
                <w:lang w:val="en-US" w:eastAsia="zh-CN"/>
              </w:rPr>
              <w:t>0吨水分，外加清洗后带入水分</w:t>
            </w:r>
            <w:r>
              <w:rPr>
                <w:rFonts w:hint="eastAsia" w:cs="Times New Roman"/>
                <w:color w:val="auto"/>
                <w:kern w:val="0"/>
                <w:sz w:val="24"/>
                <w:u w:val="single" w:color="auto"/>
                <w:lang w:val="en-US" w:eastAsia="zh-CN"/>
              </w:rPr>
              <w:t>4.11</w:t>
            </w:r>
            <w:r>
              <w:rPr>
                <w:rFonts w:hint="default" w:ascii="Times New Roman" w:hAnsi="Times New Roman" w:cs="Times New Roman"/>
                <w:color w:val="auto"/>
                <w:kern w:val="0"/>
                <w:sz w:val="24"/>
                <w:u w:val="single" w:color="auto"/>
                <w:lang w:val="en-US" w:eastAsia="zh-CN"/>
              </w:rPr>
              <w:t>吨，共需蒸发1</w:t>
            </w:r>
            <w:r>
              <w:rPr>
                <w:rFonts w:hint="eastAsia" w:cs="Times New Roman"/>
                <w:color w:val="auto"/>
                <w:kern w:val="0"/>
                <w:sz w:val="24"/>
                <w:u w:val="single" w:color="auto"/>
                <w:lang w:val="en-US" w:eastAsia="zh-CN"/>
              </w:rPr>
              <w:t>484.11</w:t>
            </w:r>
            <w:r>
              <w:rPr>
                <w:rFonts w:hint="default" w:ascii="Times New Roman" w:hAnsi="Times New Roman" w:cs="Times New Roman"/>
                <w:color w:val="auto"/>
                <w:kern w:val="0"/>
                <w:sz w:val="24"/>
                <w:u w:val="single" w:color="auto"/>
                <w:lang w:val="en-US" w:eastAsia="zh-CN"/>
              </w:rPr>
              <w:t>t水分。蒸发1kg水所需理论热量约2600kJ/kg（621大卡/公斤），按生物质颗粒热值40</w:t>
            </w:r>
            <w:r>
              <w:rPr>
                <w:rFonts w:hint="eastAsia" w:ascii="Times New Roman" w:hAnsi="Times New Roman" w:cs="Times New Roman"/>
                <w:color w:val="auto"/>
                <w:kern w:val="0"/>
                <w:sz w:val="24"/>
                <w:u w:val="single" w:color="auto"/>
                <w:lang w:val="en-US" w:eastAsia="zh-CN"/>
              </w:rPr>
              <w:t>6</w:t>
            </w:r>
            <w:r>
              <w:rPr>
                <w:rFonts w:hint="default" w:ascii="Times New Roman" w:hAnsi="Times New Roman" w:cs="Times New Roman"/>
                <w:color w:val="auto"/>
                <w:kern w:val="0"/>
                <w:sz w:val="24"/>
                <w:u w:val="single" w:color="auto"/>
                <w:lang w:val="en-US" w:eastAsia="zh-CN"/>
              </w:rPr>
              <w:t>0大卡/公斤计，热风炉热效率</w:t>
            </w:r>
            <w:r>
              <w:rPr>
                <w:rFonts w:hint="eastAsia" w:ascii="Times New Roman" w:hAnsi="Times New Roman" w:cs="Times New Roman"/>
                <w:color w:val="auto"/>
                <w:kern w:val="0"/>
                <w:sz w:val="24"/>
                <w:u w:val="single" w:color="auto"/>
                <w:lang w:val="en-US" w:eastAsia="zh-CN"/>
              </w:rPr>
              <w:t>约</w:t>
            </w:r>
            <w:r>
              <w:rPr>
                <w:rFonts w:hint="default" w:ascii="Times New Roman" w:hAnsi="Times New Roman" w:cs="Times New Roman"/>
                <w:color w:val="auto"/>
                <w:kern w:val="0"/>
                <w:sz w:val="24"/>
                <w:u w:val="single" w:color="auto"/>
                <w:lang w:val="en-US" w:eastAsia="zh-CN"/>
              </w:rPr>
              <w:t>75%，则蒸发1</w:t>
            </w:r>
            <w:r>
              <w:rPr>
                <w:rFonts w:hint="eastAsia" w:cs="Times New Roman"/>
                <w:color w:val="auto"/>
                <w:kern w:val="0"/>
                <w:sz w:val="24"/>
                <w:u w:val="single" w:color="auto"/>
                <w:lang w:val="en-US" w:eastAsia="zh-CN"/>
              </w:rPr>
              <w:t>484.11</w:t>
            </w:r>
            <w:r>
              <w:rPr>
                <w:rFonts w:hint="default" w:ascii="Times New Roman" w:hAnsi="Times New Roman" w:cs="Times New Roman"/>
                <w:color w:val="auto"/>
                <w:kern w:val="0"/>
                <w:sz w:val="24"/>
                <w:u w:val="single" w:color="auto"/>
                <w:lang w:val="en-US" w:eastAsia="zh-CN"/>
              </w:rPr>
              <w:t>水分约需要生物质颗粒约为</w:t>
            </w:r>
            <w:r>
              <w:rPr>
                <w:rFonts w:hint="eastAsia" w:cs="Times New Roman"/>
                <w:color w:val="auto"/>
                <w:kern w:val="0"/>
                <w:sz w:val="24"/>
                <w:u w:val="single" w:color="auto"/>
                <w:lang w:val="en-US" w:eastAsia="zh-CN"/>
              </w:rPr>
              <w:t>302.67</w:t>
            </w:r>
            <w:r>
              <w:rPr>
                <w:rFonts w:hint="default" w:ascii="Times New Roman" w:hAnsi="Times New Roman" w:cs="Times New Roman"/>
                <w:color w:val="auto"/>
                <w:kern w:val="0"/>
                <w:sz w:val="24"/>
                <w:u w:val="single" w:color="auto"/>
                <w:lang w:val="en-US" w:eastAsia="zh-CN"/>
              </w:rPr>
              <w:t>吨/年。</w:t>
            </w:r>
          </w:p>
          <w:p w14:paraId="4FE2B397">
            <w:pPr>
              <w:pStyle w:val="31"/>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default"/>
                <w:color w:val="auto"/>
                <w:lang w:val="en-US" w:eastAsia="zh-CN"/>
              </w:rPr>
            </w:pPr>
            <w:r>
              <w:rPr>
                <w:rFonts w:hint="eastAsia" w:cs="Times New Roman"/>
                <w:color w:val="auto"/>
                <w:kern w:val="0"/>
                <w:sz w:val="24"/>
                <w:u w:val="single" w:color="auto"/>
                <w:lang w:val="en-US" w:eastAsia="zh-CN"/>
              </w:rPr>
              <w:t>本项目运营期热值平衡见下表：</w:t>
            </w:r>
          </w:p>
          <w:p w14:paraId="63124B13">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表</w:t>
            </w:r>
            <w:r>
              <w:rPr>
                <w:rFonts w:hint="eastAsia" w:ascii="Times New Roman" w:hAnsi="Times New Roman" w:eastAsia="宋体" w:cs="Times New Roman"/>
                <w:color w:val="auto"/>
                <w:sz w:val="24"/>
                <w:szCs w:val="24"/>
                <w:u w:val="single"/>
                <w:lang w:val="en-US" w:eastAsia="zh-CN"/>
              </w:rPr>
              <w:t xml:space="preserve">2-6   </w:t>
            </w:r>
            <w:r>
              <w:rPr>
                <w:rFonts w:hint="default" w:ascii="Times New Roman" w:hAnsi="Times New Roman" w:eastAsia="宋体" w:cs="Times New Roman"/>
                <w:color w:val="auto"/>
                <w:sz w:val="24"/>
                <w:szCs w:val="24"/>
                <w:u w:val="single"/>
                <w:lang w:val="en-US" w:eastAsia="zh-CN"/>
              </w:rPr>
              <w:t>项目</w:t>
            </w:r>
            <w:r>
              <w:rPr>
                <w:rFonts w:hint="eastAsia" w:ascii="Times New Roman" w:hAnsi="Times New Roman" w:eastAsia="宋体" w:cs="Times New Roman"/>
                <w:color w:val="auto"/>
                <w:sz w:val="24"/>
                <w:szCs w:val="24"/>
                <w:u w:val="single"/>
                <w:lang w:val="en-US" w:eastAsia="zh-CN"/>
              </w:rPr>
              <w:t>热值</w:t>
            </w:r>
            <w:r>
              <w:rPr>
                <w:rFonts w:hint="default" w:ascii="Times New Roman" w:hAnsi="Times New Roman" w:eastAsia="宋体" w:cs="Times New Roman"/>
                <w:color w:val="auto"/>
                <w:sz w:val="24"/>
                <w:szCs w:val="24"/>
                <w:u w:val="single"/>
                <w:lang w:val="en-US" w:eastAsia="zh-CN"/>
              </w:rPr>
              <w:t>平衡一览表</w:t>
            </w:r>
          </w:p>
          <w:tbl>
            <w:tblPr>
              <w:tblStyle w:val="12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48"/>
              <w:gridCol w:w="1613"/>
              <w:gridCol w:w="2262"/>
              <w:gridCol w:w="1495"/>
            </w:tblGrid>
            <w:tr w14:paraId="3C6D95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01" w:type="pct"/>
                  <w:gridSpan w:val="2"/>
                  <w:tcBorders>
                    <w:tl2br w:val="nil"/>
                    <w:tr2bl w:val="nil"/>
                  </w:tcBorders>
                  <w:vAlign w:val="center"/>
                </w:tcPr>
                <w:p w14:paraId="356B2E05">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2"/>
                      <w:sz w:val="21"/>
                      <w:szCs w:val="21"/>
                      <w:u w:val="single"/>
                    </w:rPr>
                    <w:t>投入</w:t>
                  </w:r>
                </w:p>
              </w:tc>
              <w:tc>
                <w:tcPr>
                  <w:tcW w:w="2498" w:type="pct"/>
                  <w:gridSpan w:val="2"/>
                  <w:tcBorders>
                    <w:tl2br w:val="nil"/>
                    <w:tr2bl w:val="nil"/>
                  </w:tcBorders>
                  <w:vAlign w:val="center"/>
                </w:tcPr>
                <w:p w14:paraId="27E4ABF7">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3"/>
                      <w:sz w:val="21"/>
                      <w:szCs w:val="21"/>
                      <w:u w:val="single"/>
                    </w:rPr>
                    <w:t>产出</w:t>
                  </w:r>
                </w:p>
              </w:tc>
            </w:tr>
            <w:tr w14:paraId="082584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8" w:type="pct"/>
                  <w:tcBorders>
                    <w:tl2br w:val="nil"/>
                    <w:tr2bl w:val="nil"/>
                  </w:tcBorders>
                  <w:vAlign w:val="center"/>
                </w:tcPr>
                <w:p w14:paraId="7F9D2697">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6"/>
                      <w:sz w:val="21"/>
                      <w:szCs w:val="21"/>
                      <w:u w:val="single"/>
                    </w:rPr>
                    <w:t>物料名称</w:t>
                  </w:r>
                </w:p>
              </w:tc>
              <w:tc>
                <w:tcPr>
                  <w:tcW w:w="1072" w:type="pct"/>
                  <w:tcBorders>
                    <w:tl2br w:val="nil"/>
                    <w:tr2bl w:val="nil"/>
                  </w:tcBorders>
                  <w:vAlign w:val="center"/>
                </w:tcPr>
                <w:p w14:paraId="4AA5531F">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color w:val="FF0000"/>
                      <w:spacing w:val="3"/>
                      <w:position w:val="2"/>
                      <w:sz w:val="21"/>
                      <w:szCs w:val="21"/>
                      <w:u w:val="single"/>
                    </w:rPr>
                  </w:pPr>
                  <w:r>
                    <w:rPr>
                      <w:rFonts w:hint="default" w:ascii="Times New Roman" w:hAnsi="Times New Roman" w:eastAsia="宋体" w:cs="Times New Roman"/>
                      <w:b/>
                      <w:bCs/>
                      <w:color w:val="FF0000"/>
                      <w:spacing w:val="3"/>
                      <w:position w:val="2"/>
                      <w:sz w:val="21"/>
                      <w:szCs w:val="21"/>
                      <w:u w:val="single"/>
                    </w:rPr>
                    <w:t>投入量</w:t>
                  </w:r>
                </w:p>
                <w:p w14:paraId="22CBD52D">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FF0000"/>
                      <w:sz w:val="21"/>
                      <w:szCs w:val="21"/>
                      <w:u w:val="single"/>
                    </w:rPr>
                  </w:pPr>
                  <w:r>
                    <w:rPr>
                      <w:rFonts w:hint="default" w:ascii="Times New Roman" w:hAnsi="Times New Roman" w:eastAsia="宋体" w:cs="Times New Roman"/>
                      <w:b/>
                      <w:bCs/>
                      <w:color w:val="FF0000"/>
                      <w:spacing w:val="3"/>
                      <w:position w:val="2"/>
                      <w:sz w:val="21"/>
                      <w:szCs w:val="21"/>
                      <w:u w:val="single"/>
                    </w:rPr>
                    <w:t>（</w:t>
                  </w:r>
                  <w:r>
                    <w:rPr>
                      <w:rFonts w:hint="eastAsia" w:ascii="Times New Roman" w:hAnsi="Times New Roman" w:eastAsia="宋体" w:cs="Times New Roman"/>
                      <w:b/>
                      <w:bCs/>
                      <w:color w:val="FF0000"/>
                      <w:spacing w:val="3"/>
                      <w:position w:val="2"/>
                      <w:sz w:val="21"/>
                      <w:szCs w:val="21"/>
                      <w:u w:val="single"/>
                      <w:lang w:val="en-US" w:eastAsia="zh-CN"/>
                    </w:rPr>
                    <w:t>万大卡</w:t>
                  </w:r>
                  <w:r>
                    <w:rPr>
                      <w:rFonts w:hint="default" w:ascii="Times New Roman" w:hAnsi="Times New Roman" w:eastAsia="宋体" w:cs="Times New Roman"/>
                      <w:b/>
                      <w:bCs/>
                      <w:color w:val="FF0000"/>
                      <w:spacing w:val="3"/>
                      <w:position w:val="2"/>
                      <w:sz w:val="21"/>
                      <w:szCs w:val="21"/>
                      <w:u w:val="single"/>
                    </w:rPr>
                    <w:t>）</w:t>
                  </w:r>
                </w:p>
              </w:tc>
              <w:tc>
                <w:tcPr>
                  <w:tcW w:w="1504" w:type="pct"/>
                  <w:tcBorders>
                    <w:tl2br w:val="nil"/>
                    <w:tr2bl w:val="nil"/>
                  </w:tcBorders>
                  <w:vAlign w:val="center"/>
                </w:tcPr>
                <w:p w14:paraId="2A56AA8E">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6"/>
                      <w:sz w:val="21"/>
                      <w:szCs w:val="21"/>
                      <w:u w:val="single"/>
                    </w:rPr>
                    <w:t>物料名称</w:t>
                  </w:r>
                </w:p>
              </w:tc>
              <w:tc>
                <w:tcPr>
                  <w:tcW w:w="994" w:type="pct"/>
                  <w:tcBorders>
                    <w:tl2br w:val="nil"/>
                    <w:tr2bl w:val="nil"/>
                  </w:tcBorders>
                  <w:vAlign w:val="center"/>
                </w:tcPr>
                <w:p w14:paraId="41D35D0A">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color w:val="FF0000"/>
                      <w:spacing w:val="4"/>
                      <w:position w:val="2"/>
                      <w:sz w:val="21"/>
                      <w:szCs w:val="21"/>
                      <w:u w:val="single"/>
                    </w:rPr>
                  </w:pPr>
                  <w:r>
                    <w:rPr>
                      <w:rFonts w:hint="default" w:ascii="Times New Roman" w:hAnsi="Times New Roman" w:eastAsia="宋体" w:cs="Times New Roman"/>
                      <w:b/>
                      <w:bCs/>
                      <w:color w:val="FF0000"/>
                      <w:spacing w:val="4"/>
                      <w:position w:val="2"/>
                      <w:sz w:val="21"/>
                      <w:szCs w:val="21"/>
                      <w:u w:val="single"/>
                    </w:rPr>
                    <w:t>产生量</w:t>
                  </w:r>
                </w:p>
                <w:p w14:paraId="7BCA2786">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FF0000"/>
                      <w:sz w:val="21"/>
                      <w:szCs w:val="21"/>
                      <w:u w:val="single"/>
                    </w:rPr>
                  </w:pPr>
                  <w:r>
                    <w:rPr>
                      <w:rFonts w:hint="default" w:ascii="Times New Roman" w:hAnsi="Times New Roman" w:eastAsia="宋体" w:cs="Times New Roman"/>
                      <w:b/>
                      <w:bCs/>
                      <w:color w:val="FF0000"/>
                      <w:spacing w:val="4"/>
                      <w:position w:val="2"/>
                      <w:sz w:val="21"/>
                      <w:szCs w:val="21"/>
                      <w:u w:val="single"/>
                    </w:rPr>
                    <w:t>（</w:t>
                  </w:r>
                  <w:r>
                    <w:rPr>
                      <w:rFonts w:hint="eastAsia" w:ascii="Times New Roman" w:hAnsi="Times New Roman" w:eastAsia="宋体" w:cs="Times New Roman"/>
                      <w:b/>
                      <w:bCs/>
                      <w:color w:val="FF0000"/>
                      <w:spacing w:val="3"/>
                      <w:position w:val="2"/>
                      <w:sz w:val="21"/>
                      <w:szCs w:val="21"/>
                      <w:u w:val="single"/>
                      <w:lang w:val="en-US" w:eastAsia="zh-CN"/>
                    </w:rPr>
                    <w:t>大卡</w:t>
                  </w:r>
                  <w:r>
                    <w:rPr>
                      <w:rFonts w:hint="default" w:ascii="Times New Roman" w:hAnsi="Times New Roman" w:eastAsia="宋体" w:cs="Times New Roman"/>
                      <w:b/>
                      <w:bCs/>
                      <w:color w:val="FF0000"/>
                      <w:spacing w:val="4"/>
                      <w:position w:val="2"/>
                      <w:sz w:val="21"/>
                      <w:szCs w:val="21"/>
                      <w:u w:val="single"/>
                    </w:rPr>
                    <w:t>）</w:t>
                  </w:r>
                </w:p>
              </w:tc>
            </w:tr>
            <w:tr w14:paraId="409BD5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8" w:type="pct"/>
                  <w:tcBorders>
                    <w:tl2br w:val="nil"/>
                    <w:tr2bl w:val="nil"/>
                  </w:tcBorders>
                  <w:shd w:val="clear" w:color="auto" w:fill="auto"/>
                  <w:vAlign w:val="center"/>
                </w:tcPr>
                <w:p w14:paraId="4DA917F1">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color w:val="auto"/>
                      <w:szCs w:val="21"/>
                      <w:u w:val="single"/>
                      <w:lang w:val="en-US" w:eastAsia="zh-CN"/>
                    </w:rPr>
                    <w:t>蒸汽发生器燃烧生物质热量</w:t>
                  </w:r>
                </w:p>
              </w:tc>
              <w:tc>
                <w:tcPr>
                  <w:tcW w:w="1072" w:type="pct"/>
                  <w:tcBorders>
                    <w:tl2br w:val="nil"/>
                    <w:tr2bl w:val="nil"/>
                  </w:tcBorders>
                  <w:vAlign w:val="center"/>
                </w:tcPr>
                <w:p w14:paraId="53C2B765">
                  <w:pPr>
                    <w:widowControl/>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153394.92</w:t>
                  </w:r>
                </w:p>
              </w:tc>
              <w:tc>
                <w:tcPr>
                  <w:tcW w:w="1504" w:type="pct"/>
                  <w:tcBorders>
                    <w:tl2br w:val="nil"/>
                    <w:tr2bl w:val="nil"/>
                  </w:tcBorders>
                  <w:shd w:val="clear" w:color="auto" w:fill="auto"/>
                  <w:vAlign w:val="center"/>
                </w:tcPr>
                <w:p w14:paraId="579953D9">
                  <w:pPr>
                    <w:keepNext/>
                    <w:keepLines/>
                    <w:jc w:val="center"/>
                    <w:rPr>
                      <w:rFonts w:hint="default"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杀青蒸发水量所需热量</w:t>
                  </w:r>
                </w:p>
              </w:tc>
              <w:tc>
                <w:tcPr>
                  <w:tcW w:w="994" w:type="pct"/>
                  <w:tcBorders>
                    <w:tl2br w:val="nil"/>
                    <w:tr2bl w:val="nil"/>
                  </w:tcBorders>
                  <w:shd w:val="clear" w:color="auto" w:fill="auto"/>
                  <w:vAlign w:val="center"/>
                </w:tcPr>
                <w:p w14:paraId="1AA525D9">
                  <w:pPr>
                    <w:widowControl/>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115046.19</w:t>
                  </w:r>
                </w:p>
              </w:tc>
            </w:tr>
            <w:tr w14:paraId="187AA6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8" w:type="pct"/>
                  <w:tcBorders>
                    <w:tl2br w:val="nil"/>
                    <w:tr2bl w:val="nil"/>
                  </w:tcBorders>
                  <w:shd w:val="clear" w:color="auto" w:fill="auto"/>
                  <w:vAlign w:val="center"/>
                </w:tcPr>
                <w:p w14:paraId="4CE8F617">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color w:val="auto"/>
                      <w:szCs w:val="21"/>
                      <w:u w:val="single"/>
                      <w:lang w:val="en-US" w:eastAsia="zh-CN"/>
                    </w:rPr>
                    <w:t>热风炉燃烧生物质热量</w:t>
                  </w:r>
                </w:p>
              </w:tc>
              <w:tc>
                <w:tcPr>
                  <w:tcW w:w="1072" w:type="pct"/>
                  <w:tcBorders>
                    <w:tl2br w:val="nil"/>
                    <w:tr2bl w:val="nil"/>
                  </w:tcBorders>
                  <w:vAlign w:val="center"/>
                </w:tcPr>
                <w:p w14:paraId="28A96677">
                  <w:pPr>
                    <w:widowControl/>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122884.02</w:t>
                  </w:r>
                </w:p>
              </w:tc>
              <w:tc>
                <w:tcPr>
                  <w:tcW w:w="1504" w:type="pct"/>
                  <w:tcBorders>
                    <w:tl2br w:val="nil"/>
                    <w:tr2bl w:val="nil"/>
                  </w:tcBorders>
                  <w:shd w:val="clear" w:color="auto" w:fill="auto"/>
                  <w:vAlign w:val="center"/>
                </w:tcPr>
                <w:p w14:paraId="15E20914">
                  <w:pPr>
                    <w:keepNext/>
                    <w:keepLines/>
                    <w:jc w:val="center"/>
                    <w:rPr>
                      <w:rFonts w:hint="default"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蒸汽发生器损耗热量</w:t>
                  </w:r>
                </w:p>
              </w:tc>
              <w:tc>
                <w:tcPr>
                  <w:tcW w:w="994" w:type="pct"/>
                  <w:tcBorders>
                    <w:tl2br w:val="nil"/>
                    <w:tr2bl w:val="nil"/>
                  </w:tcBorders>
                  <w:shd w:val="clear" w:color="auto" w:fill="auto"/>
                  <w:vAlign w:val="center"/>
                </w:tcPr>
                <w:p w14:paraId="372A36B2">
                  <w:pPr>
                    <w:widowControl/>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38348.73</w:t>
                  </w:r>
                </w:p>
              </w:tc>
            </w:tr>
            <w:tr w14:paraId="076883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8" w:type="pct"/>
                  <w:tcBorders>
                    <w:tl2br w:val="nil"/>
                    <w:tr2bl w:val="nil"/>
                  </w:tcBorders>
                  <w:shd w:val="clear" w:color="auto" w:fill="auto"/>
                  <w:vAlign w:val="center"/>
                </w:tcPr>
                <w:p w14:paraId="3F80E0FB">
                  <w:pPr>
                    <w:keepNext/>
                    <w:keepLines/>
                    <w:jc w:val="center"/>
                    <w:rPr>
                      <w:rFonts w:hint="default" w:ascii="Times New Roman" w:hAnsi="Times New Roman" w:eastAsia="宋体" w:cs="Times New Roman"/>
                      <w:color w:val="auto"/>
                      <w:kern w:val="0"/>
                      <w:sz w:val="21"/>
                      <w:szCs w:val="21"/>
                      <w:u w:val="single"/>
                      <w:lang w:val="en-US" w:eastAsia="zh-CN" w:bidi="ar-SA"/>
                    </w:rPr>
                  </w:pPr>
                </w:p>
              </w:tc>
              <w:tc>
                <w:tcPr>
                  <w:tcW w:w="1072" w:type="pct"/>
                  <w:tcBorders>
                    <w:tl2br w:val="nil"/>
                    <w:tr2bl w:val="nil"/>
                  </w:tcBorders>
                  <w:vAlign w:val="center"/>
                </w:tcPr>
                <w:p w14:paraId="69D5E82A">
                  <w:pPr>
                    <w:widowControl/>
                    <w:jc w:val="center"/>
                    <w:rPr>
                      <w:rFonts w:hint="default" w:ascii="Times New Roman" w:hAnsi="Times New Roman" w:eastAsia="宋体" w:cs="Times New Roman"/>
                      <w:color w:val="FF0000"/>
                      <w:sz w:val="21"/>
                      <w:szCs w:val="21"/>
                      <w:u w:val="single"/>
                      <w:lang w:val="en-US" w:eastAsia="zh-CN"/>
                    </w:rPr>
                  </w:pPr>
                </w:p>
              </w:tc>
              <w:tc>
                <w:tcPr>
                  <w:tcW w:w="1504" w:type="pct"/>
                  <w:tcBorders>
                    <w:tl2br w:val="nil"/>
                    <w:tr2bl w:val="nil"/>
                  </w:tcBorders>
                  <w:shd w:val="clear" w:color="auto" w:fill="auto"/>
                  <w:vAlign w:val="center"/>
                </w:tcPr>
                <w:p w14:paraId="799CFFAB">
                  <w:pPr>
                    <w:keepNext/>
                    <w:keepLines/>
                    <w:jc w:val="center"/>
                    <w:rPr>
                      <w:rFonts w:hint="default"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烘干蒸发水量所需热量</w:t>
                  </w:r>
                </w:p>
              </w:tc>
              <w:tc>
                <w:tcPr>
                  <w:tcW w:w="994" w:type="pct"/>
                  <w:tcBorders>
                    <w:tl2br w:val="nil"/>
                    <w:tr2bl w:val="nil"/>
                  </w:tcBorders>
                  <w:shd w:val="clear" w:color="auto" w:fill="auto"/>
                  <w:vAlign w:val="center"/>
                </w:tcPr>
                <w:p w14:paraId="1D4C5121">
                  <w:pPr>
                    <w:widowControl/>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92163.015</w:t>
                  </w:r>
                </w:p>
              </w:tc>
            </w:tr>
            <w:tr w14:paraId="3AB44F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8" w:type="pct"/>
                  <w:tcBorders>
                    <w:tl2br w:val="nil"/>
                    <w:tr2bl w:val="nil"/>
                  </w:tcBorders>
                  <w:shd w:val="clear" w:color="auto" w:fill="auto"/>
                  <w:vAlign w:val="center"/>
                </w:tcPr>
                <w:p w14:paraId="284EB444">
                  <w:pPr>
                    <w:keepNext/>
                    <w:keepLines/>
                    <w:jc w:val="center"/>
                    <w:rPr>
                      <w:rFonts w:hint="default" w:ascii="Times New Roman" w:hAnsi="Times New Roman" w:eastAsia="宋体" w:cs="Times New Roman"/>
                      <w:color w:val="auto"/>
                      <w:kern w:val="0"/>
                      <w:sz w:val="21"/>
                      <w:szCs w:val="21"/>
                      <w:u w:val="single"/>
                      <w:lang w:val="en-US" w:eastAsia="zh-CN" w:bidi="ar-SA"/>
                    </w:rPr>
                  </w:pPr>
                </w:p>
              </w:tc>
              <w:tc>
                <w:tcPr>
                  <w:tcW w:w="1072" w:type="pct"/>
                  <w:tcBorders>
                    <w:tl2br w:val="nil"/>
                    <w:tr2bl w:val="nil"/>
                  </w:tcBorders>
                  <w:vAlign w:val="center"/>
                </w:tcPr>
                <w:p w14:paraId="57C77D99">
                  <w:pPr>
                    <w:widowControl/>
                    <w:jc w:val="center"/>
                    <w:rPr>
                      <w:rFonts w:hint="default" w:ascii="Times New Roman" w:hAnsi="Times New Roman" w:eastAsia="宋体" w:cs="Times New Roman"/>
                      <w:color w:val="FF0000"/>
                      <w:sz w:val="21"/>
                      <w:szCs w:val="21"/>
                      <w:u w:val="single"/>
                      <w:lang w:val="en-US" w:eastAsia="zh-CN"/>
                    </w:rPr>
                  </w:pPr>
                </w:p>
              </w:tc>
              <w:tc>
                <w:tcPr>
                  <w:tcW w:w="1504" w:type="pct"/>
                  <w:tcBorders>
                    <w:tl2br w:val="nil"/>
                    <w:tr2bl w:val="nil"/>
                  </w:tcBorders>
                  <w:shd w:val="clear" w:color="auto" w:fill="auto"/>
                  <w:vAlign w:val="center"/>
                </w:tcPr>
                <w:p w14:paraId="25796995">
                  <w:pPr>
                    <w:keepNext/>
                    <w:keepLines/>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热风炉</w:t>
                  </w:r>
                  <w:r>
                    <w:rPr>
                      <w:rFonts w:hint="eastAsia" w:ascii="Times New Roman" w:hAnsi="Times New Roman" w:eastAsia="宋体" w:cs="Times New Roman"/>
                      <w:color w:val="auto"/>
                      <w:szCs w:val="21"/>
                      <w:u w:val="single"/>
                      <w:lang w:val="en-US" w:eastAsia="zh-CN"/>
                    </w:rPr>
                    <w:t>损耗热量</w:t>
                  </w:r>
                </w:p>
              </w:tc>
              <w:tc>
                <w:tcPr>
                  <w:tcW w:w="994" w:type="pct"/>
                  <w:tcBorders>
                    <w:tl2br w:val="nil"/>
                    <w:tr2bl w:val="nil"/>
                  </w:tcBorders>
                  <w:shd w:val="clear" w:color="auto" w:fill="auto"/>
                  <w:vAlign w:val="center"/>
                </w:tcPr>
                <w:p w14:paraId="6A78D080">
                  <w:pPr>
                    <w:widowControl/>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30721.005</w:t>
                  </w:r>
                </w:p>
              </w:tc>
            </w:tr>
            <w:tr w14:paraId="78FA22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8" w:type="pct"/>
                  <w:tcBorders>
                    <w:tl2br w:val="nil"/>
                    <w:tr2bl w:val="nil"/>
                  </w:tcBorders>
                  <w:vAlign w:val="center"/>
                </w:tcPr>
                <w:p w14:paraId="106C1C43">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pacing w:val="2"/>
                      <w:sz w:val="21"/>
                      <w:szCs w:val="21"/>
                      <w:u w:val="single"/>
                    </w:rPr>
                    <w:t>总计</w:t>
                  </w:r>
                </w:p>
              </w:tc>
              <w:tc>
                <w:tcPr>
                  <w:tcW w:w="1072" w:type="pct"/>
                  <w:tcBorders>
                    <w:tl2br w:val="nil"/>
                    <w:tr2bl w:val="nil"/>
                  </w:tcBorders>
                  <w:shd w:val="clear" w:color="auto" w:fill="auto"/>
                  <w:vAlign w:val="center"/>
                </w:tcPr>
                <w:p w14:paraId="4006FE6C">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single"/>
                      <w:lang w:val="en-US" w:eastAsia="zh-CN" w:bidi="ar-SA"/>
                    </w:rPr>
                  </w:pPr>
                  <w:r>
                    <w:rPr>
                      <w:rFonts w:hint="default" w:ascii="Times New Roman" w:hAnsi="Times New Roman" w:eastAsia="宋体" w:cs="Times New Roman"/>
                      <w:i w:val="0"/>
                      <w:iCs w:val="0"/>
                      <w:color w:val="FF0000"/>
                      <w:kern w:val="0"/>
                      <w:sz w:val="21"/>
                      <w:szCs w:val="21"/>
                      <w:u w:val="single"/>
                      <w:lang w:val="en-US" w:eastAsia="zh-CN" w:bidi="ar"/>
                    </w:rPr>
                    <w:t>276278.94</w:t>
                  </w:r>
                </w:p>
              </w:tc>
              <w:tc>
                <w:tcPr>
                  <w:tcW w:w="1504" w:type="pct"/>
                  <w:tcBorders>
                    <w:tl2br w:val="nil"/>
                    <w:tr2bl w:val="nil"/>
                  </w:tcBorders>
                  <w:vAlign w:val="center"/>
                </w:tcPr>
                <w:p w14:paraId="79FBE796">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pacing w:val="2"/>
                      <w:sz w:val="21"/>
                      <w:szCs w:val="21"/>
                      <w:u w:val="single"/>
                    </w:rPr>
                    <w:t>总计</w:t>
                  </w:r>
                </w:p>
              </w:tc>
              <w:tc>
                <w:tcPr>
                  <w:tcW w:w="994" w:type="pct"/>
                  <w:tcBorders>
                    <w:tl2br w:val="nil"/>
                    <w:tr2bl w:val="nil"/>
                  </w:tcBorders>
                  <w:shd w:val="clear" w:color="auto" w:fill="auto"/>
                  <w:vAlign w:val="center"/>
                </w:tcPr>
                <w:p w14:paraId="51CC9233">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single"/>
                      <w:lang w:val="en-US" w:eastAsia="zh-CN" w:bidi="ar-SA"/>
                    </w:rPr>
                  </w:pPr>
                  <w:r>
                    <w:rPr>
                      <w:rFonts w:hint="default" w:ascii="Times New Roman" w:hAnsi="Times New Roman" w:eastAsia="宋体" w:cs="Times New Roman"/>
                      <w:i w:val="0"/>
                      <w:iCs w:val="0"/>
                      <w:color w:val="FF0000"/>
                      <w:kern w:val="0"/>
                      <w:sz w:val="21"/>
                      <w:szCs w:val="21"/>
                      <w:u w:val="single"/>
                      <w:lang w:val="en-US" w:eastAsia="zh-CN" w:bidi="ar"/>
                    </w:rPr>
                    <w:t>276278.94</w:t>
                  </w:r>
                </w:p>
              </w:tc>
            </w:tr>
          </w:tbl>
          <w:p w14:paraId="3B8E6278">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Times New Roman" w:hAnsi="Times New Roman" w:eastAsia="宋体" w:cs="Times New Roman"/>
                <w:color w:val="auto"/>
                <w:kern w:val="0"/>
                <w:sz w:val="24"/>
                <w:u w:val="none"/>
                <w:lang w:val="en-US" w:eastAsia="zh-CN"/>
              </w:rPr>
            </w:pPr>
            <w:r>
              <w:rPr>
                <w:rFonts w:hint="eastAsia" w:ascii="Times New Roman" w:hAnsi="Times New Roman" w:eastAsia="宋体" w:cs="Times New Roman"/>
                <w:color w:val="auto"/>
                <w:kern w:val="0"/>
                <w:sz w:val="24"/>
                <w:u w:val="none"/>
                <w:lang w:val="en-US" w:eastAsia="zh-CN"/>
              </w:rPr>
              <w:t>本项目运营期物料平衡见下表：</w:t>
            </w:r>
          </w:p>
          <w:p w14:paraId="0718D671">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表</w:t>
            </w:r>
            <w:r>
              <w:rPr>
                <w:rFonts w:hint="eastAsia" w:ascii="Times New Roman" w:hAnsi="Times New Roman" w:eastAsia="宋体" w:cs="Times New Roman"/>
                <w:color w:val="auto"/>
                <w:sz w:val="24"/>
                <w:szCs w:val="24"/>
                <w:u w:val="single"/>
                <w:lang w:val="en-US" w:eastAsia="zh-CN"/>
              </w:rPr>
              <w:t xml:space="preserve">2-7   </w:t>
            </w:r>
            <w:r>
              <w:rPr>
                <w:rFonts w:hint="default" w:ascii="Times New Roman" w:hAnsi="Times New Roman" w:eastAsia="宋体" w:cs="Times New Roman"/>
                <w:color w:val="auto"/>
                <w:sz w:val="24"/>
                <w:szCs w:val="24"/>
                <w:u w:val="single"/>
                <w:lang w:val="en-US" w:eastAsia="zh-CN"/>
              </w:rPr>
              <w:t>项目物料平衡一览表</w:t>
            </w:r>
          </w:p>
          <w:tbl>
            <w:tblPr>
              <w:tblStyle w:val="12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875"/>
              <w:gridCol w:w="1874"/>
              <w:gridCol w:w="1889"/>
            </w:tblGrid>
            <w:tr w14:paraId="671E04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97" w:type="pct"/>
                  <w:gridSpan w:val="2"/>
                  <w:tcBorders>
                    <w:tl2br w:val="nil"/>
                    <w:tr2bl w:val="nil"/>
                  </w:tcBorders>
                  <w:vAlign w:val="center"/>
                </w:tcPr>
                <w:p w14:paraId="35E09B25">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2"/>
                      <w:sz w:val="21"/>
                      <w:szCs w:val="21"/>
                      <w:u w:val="single"/>
                    </w:rPr>
                    <w:t>投入</w:t>
                  </w:r>
                </w:p>
              </w:tc>
              <w:tc>
                <w:tcPr>
                  <w:tcW w:w="2502" w:type="pct"/>
                  <w:gridSpan w:val="2"/>
                  <w:tcBorders>
                    <w:tl2br w:val="nil"/>
                    <w:tr2bl w:val="nil"/>
                  </w:tcBorders>
                  <w:vAlign w:val="center"/>
                </w:tcPr>
                <w:p w14:paraId="23DFAAE5">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3"/>
                      <w:sz w:val="21"/>
                      <w:szCs w:val="21"/>
                      <w:u w:val="single"/>
                    </w:rPr>
                    <w:t>产出</w:t>
                  </w:r>
                </w:p>
              </w:tc>
            </w:tr>
            <w:tr w14:paraId="48BFE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vAlign w:val="center"/>
                </w:tcPr>
                <w:p w14:paraId="1C32383B">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6"/>
                      <w:sz w:val="21"/>
                      <w:szCs w:val="21"/>
                      <w:u w:val="single"/>
                    </w:rPr>
                    <w:t>物料名称</w:t>
                  </w:r>
                </w:p>
              </w:tc>
              <w:tc>
                <w:tcPr>
                  <w:tcW w:w="1247" w:type="pct"/>
                  <w:tcBorders>
                    <w:tl2br w:val="nil"/>
                    <w:tr2bl w:val="nil"/>
                  </w:tcBorders>
                  <w:vAlign w:val="center"/>
                </w:tcPr>
                <w:p w14:paraId="2FFED5A0">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3"/>
                      <w:position w:val="2"/>
                      <w:sz w:val="21"/>
                      <w:szCs w:val="21"/>
                      <w:u w:val="single"/>
                    </w:rPr>
                    <w:t>投入量（t/a）</w:t>
                  </w:r>
                </w:p>
              </w:tc>
              <w:tc>
                <w:tcPr>
                  <w:tcW w:w="1246" w:type="pct"/>
                  <w:tcBorders>
                    <w:tl2br w:val="nil"/>
                    <w:tr2bl w:val="nil"/>
                  </w:tcBorders>
                  <w:vAlign w:val="center"/>
                </w:tcPr>
                <w:p w14:paraId="731401B8">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6"/>
                      <w:sz w:val="21"/>
                      <w:szCs w:val="21"/>
                      <w:u w:val="single"/>
                    </w:rPr>
                    <w:t>物料名称</w:t>
                  </w:r>
                </w:p>
              </w:tc>
              <w:tc>
                <w:tcPr>
                  <w:tcW w:w="1256" w:type="pct"/>
                  <w:tcBorders>
                    <w:tl2br w:val="nil"/>
                    <w:tr2bl w:val="nil"/>
                  </w:tcBorders>
                  <w:vAlign w:val="center"/>
                </w:tcPr>
                <w:p w14:paraId="27BA7467">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bCs/>
                      <w:color w:val="auto"/>
                      <w:spacing w:val="4"/>
                      <w:position w:val="2"/>
                      <w:sz w:val="21"/>
                      <w:szCs w:val="21"/>
                      <w:u w:val="single"/>
                    </w:rPr>
                    <w:t>产生量（t/a）</w:t>
                  </w:r>
                </w:p>
              </w:tc>
            </w:tr>
            <w:tr w14:paraId="787704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shd w:val="clear" w:color="auto" w:fill="auto"/>
                  <w:vAlign w:val="center"/>
                </w:tcPr>
                <w:p w14:paraId="26A823CB">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color w:val="auto"/>
                      <w:szCs w:val="21"/>
                      <w:u w:val="single"/>
                      <w:lang w:val="en-US" w:eastAsia="zh-CN"/>
                    </w:rPr>
                    <w:t>山银花鲜花</w:t>
                  </w:r>
                </w:p>
              </w:tc>
              <w:tc>
                <w:tcPr>
                  <w:tcW w:w="1247" w:type="pct"/>
                  <w:tcBorders>
                    <w:tl2br w:val="nil"/>
                    <w:tr2bl w:val="nil"/>
                  </w:tcBorders>
                  <w:vAlign w:val="center"/>
                </w:tcPr>
                <w:p w14:paraId="1A8FF591">
                  <w:pPr>
                    <w:widowControl/>
                    <w:jc w:val="center"/>
                    <w:rPr>
                      <w:rFonts w:hint="default" w:ascii="Times New Roman" w:hAnsi="Times New Roman" w:eastAsia="宋体" w:cs="Times New Roman"/>
                      <w:color w:val="auto"/>
                      <w:sz w:val="21"/>
                      <w:szCs w:val="21"/>
                      <w:u w:val="single"/>
                      <w:lang w:val="en-US" w:eastAsia="zh-CN"/>
                    </w:rPr>
                  </w:pPr>
                  <w:r>
                    <w:rPr>
                      <w:rFonts w:hint="eastAsia" w:eastAsia="宋体"/>
                      <w:color w:val="auto"/>
                      <w:kern w:val="0"/>
                      <w:szCs w:val="21"/>
                      <w:u w:val="single"/>
                      <w:lang w:val="en-US" w:eastAsia="zh-CN"/>
                    </w:rPr>
                    <w:t>1000</w:t>
                  </w:r>
                </w:p>
              </w:tc>
              <w:tc>
                <w:tcPr>
                  <w:tcW w:w="1246" w:type="pct"/>
                  <w:tcBorders>
                    <w:tl2br w:val="nil"/>
                    <w:tr2bl w:val="nil"/>
                  </w:tcBorders>
                  <w:shd w:val="clear" w:color="auto" w:fill="auto"/>
                  <w:vAlign w:val="center"/>
                </w:tcPr>
                <w:p w14:paraId="663535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 w:val="21"/>
                      <w:szCs w:val="21"/>
                      <w:u w:val="single"/>
                    </w:rPr>
                    <w:t>山银花</w:t>
                  </w:r>
                  <w:r>
                    <w:rPr>
                      <w:rFonts w:hint="eastAsia" w:ascii="Times New Roman" w:hAnsi="Times New Roman" w:cs="Times New Roman"/>
                      <w:color w:val="auto"/>
                      <w:sz w:val="21"/>
                      <w:szCs w:val="21"/>
                      <w:u w:val="single"/>
                      <w:lang w:val="en-US" w:eastAsia="zh-CN"/>
                    </w:rPr>
                    <w:t>干花</w:t>
                  </w:r>
                </w:p>
              </w:tc>
              <w:tc>
                <w:tcPr>
                  <w:tcW w:w="1256" w:type="pct"/>
                  <w:tcBorders>
                    <w:tl2br w:val="nil"/>
                    <w:tr2bl w:val="nil"/>
                  </w:tcBorders>
                  <w:shd w:val="clear" w:color="auto" w:fill="auto"/>
                  <w:vAlign w:val="center"/>
                </w:tcPr>
                <w:p w14:paraId="3B174D1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 w:val="21"/>
                      <w:szCs w:val="21"/>
                      <w:u w:val="single"/>
                      <w:lang w:val="en-US" w:eastAsia="zh-CN"/>
                    </w:rPr>
                    <w:t>200</w:t>
                  </w:r>
                </w:p>
              </w:tc>
            </w:tr>
            <w:tr w14:paraId="4AA53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shd w:val="clear" w:color="auto" w:fill="auto"/>
                  <w:vAlign w:val="center"/>
                </w:tcPr>
                <w:p w14:paraId="486C8FC2">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szCs w:val="21"/>
                      <w:u w:val="single"/>
                      <w:lang w:val="en-US" w:eastAsia="zh-CN"/>
                    </w:rPr>
                    <w:t>野菊花鲜花</w:t>
                  </w:r>
                </w:p>
              </w:tc>
              <w:tc>
                <w:tcPr>
                  <w:tcW w:w="1247" w:type="pct"/>
                  <w:tcBorders>
                    <w:tl2br w:val="nil"/>
                    <w:tr2bl w:val="nil"/>
                  </w:tcBorders>
                  <w:vAlign w:val="center"/>
                </w:tcPr>
                <w:p w14:paraId="64B53F29">
                  <w:pPr>
                    <w:widowControl/>
                    <w:jc w:val="center"/>
                    <w:rPr>
                      <w:rFonts w:hint="default" w:ascii="Times New Roman" w:hAnsi="Times New Roman" w:eastAsia="宋体" w:cs="Times New Roman"/>
                      <w:color w:val="auto"/>
                      <w:sz w:val="21"/>
                      <w:szCs w:val="21"/>
                      <w:u w:val="single"/>
                      <w:lang w:val="en-US" w:eastAsia="zh-CN"/>
                    </w:rPr>
                  </w:pPr>
                  <w:r>
                    <w:rPr>
                      <w:rFonts w:hint="eastAsia" w:eastAsia="宋体"/>
                      <w:color w:val="auto"/>
                      <w:kern w:val="0"/>
                      <w:szCs w:val="21"/>
                      <w:u w:val="single"/>
                      <w:lang w:val="en-US" w:eastAsia="zh-CN"/>
                    </w:rPr>
                    <w:t>1000</w:t>
                  </w:r>
                </w:p>
              </w:tc>
              <w:tc>
                <w:tcPr>
                  <w:tcW w:w="1246" w:type="pct"/>
                  <w:tcBorders>
                    <w:tl2br w:val="nil"/>
                    <w:tr2bl w:val="nil"/>
                  </w:tcBorders>
                  <w:shd w:val="clear" w:color="auto" w:fill="auto"/>
                  <w:vAlign w:val="center"/>
                </w:tcPr>
                <w:p w14:paraId="4CBB1B60">
                  <w:pPr>
                    <w:keepNext/>
                    <w:keepLines/>
                    <w:jc w:val="center"/>
                    <w:rPr>
                      <w:rFonts w:hint="default" w:ascii="Times New Roman" w:hAnsi="Times New Roman" w:eastAsia="宋体" w:cs="Times New Roman"/>
                      <w:color w:val="auto"/>
                      <w:kern w:val="2"/>
                      <w:sz w:val="21"/>
                      <w:szCs w:val="21"/>
                      <w:u w:val="single"/>
                      <w:lang w:val="en-US" w:eastAsia="zh-CN" w:bidi="ar-SA"/>
                    </w:rPr>
                  </w:pPr>
                  <w:r>
                    <w:rPr>
                      <w:rFonts w:hint="eastAsia" w:eastAsia="宋体"/>
                      <w:color w:val="auto"/>
                      <w:szCs w:val="21"/>
                      <w:u w:val="single"/>
                      <w:lang w:val="en-US" w:eastAsia="zh-CN"/>
                    </w:rPr>
                    <w:t>野菊花干花</w:t>
                  </w:r>
                </w:p>
              </w:tc>
              <w:tc>
                <w:tcPr>
                  <w:tcW w:w="1256" w:type="pct"/>
                  <w:tcBorders>
                    <w:tl2br w:val="nil"/>
                    <w:tr2bl w:val="nil"/>
                  </w:tcBorders>
                  <w:shd w:val="clear" w:color="auto" w:fill="auto"/>
                  <w:vAlign w:val="center"/>
                </w:tcPr>
                <w:p w14:paraId="237B0B8B">
                  <w:pPr>
                    <w:widowControl/>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kern w:val="0"/>
                      <w:szCs w:val="21"/>
                      <w:u w:val="single"/>
                      <w:lang w:val="en-US" w:eastAsia="zh-CN"/>
                    </w:rPr>
                    <w:t>200</w:t>
                  </w:r>
                </w:p>
              </w:tc>
            </w:tr>
            <w:tr w14:paraId="78E158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shd w:val="clear" w:color="auto" w:fill="auto"/>
                  <w:vAlign w:val="center"/>
                </w:tcPr>
                <w:p w14:paraId="2D9419E4">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szCs w:val="21"/>
                      <w:u w:val="single"/>
                      <w:lang w:val="en-US" w:eastAsia="zh-CN"/>
                    </w:rPr>
                    <w:t>玉竹</w:t>
                  </w:r>
                </w:p>
              </w:tc>
              <w:tc>
                <w:tcPr>
                  <w:tcW w:w="1247" w:type="pct"/>
                  <w:tcBorders>
                    <w:tl2br w:val="nil"/>
                    <w:tr2bl w:val="nil"/>
                  </w:tcBorders>
                  <w:vAlign w:val="center"/>
                </w:tcPr>
                <w:p w14:paraId="42901129">
                  <w:pPr>
                    <w:widowControl/>
                    <w:jc w:val="center"/>
                    <w:rPr>
                      <w:rFonts w:hint="default" w:ascii="Times New Roman" w:hAnsi="Times New Roman" w:eastAsia="宋体" w:cs="Times New Roman"/>
                      <w:color w:val="auto"/>
                      <w:sz w:val="21"/>
                      <w:szCs w:val="21"/>
                      <w:u w:val="single"/>
                      <w:lang w:val="en-US" w:eastAsia="zh-CN"/>
                    </w:rPr>
                  </w:pPr>
                  <w:r>
                    <w:rPr>
                      <w:rFonts w:hint="eastAsia" w:eastAsia="宋体"/>
                      <w:color w:val="auto"/>
                      <w:kern w:val="0"/>
                      <w:szCs w:val="21"/>
                      <w:u w:val="single"/>
                      <w:lang w:val="en-US" w:eastAsia="zh-CN"/>
                    </w:rPr>
                    <w:t>500</w:t>
                  </w:r>
                </w:p>
              </w:tc>
              <w:tc>
                <w:tcPr>
                  <w:tcW w:w="1246" w:type="pct"/>
                  <w:tcBorders>
                    <w:tl2br w:val="nil"/>
                    <w:tr2bl w:val="nil"/>
                  </w:tcBorders>
                  <w:shd w:val="clear" w:color="auto" w:fill="auto"/>
                  <w:vAlign w:val="center"/>
                </w:tcPr>
                <w:p w14:paraId="0967EAD2">
                  <w:pPr>
                    <w:keepNext/>
                    <w:keepLines/>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eastAsiaTheme="minorEastAsia"/>
                      <w:color w:val="auto"/>
                      <w:sz w:val="21"/>
                      <w:szCs w:val="21"/>
                      <w:u w:val="single"/>
                      <w:lang w:val="en-US" w:eastAsia="zh-CN"/>
                    </w:rPr>
                    <w:t>干</w:t>
                  </w:r>
                  <w:r>
                    <w:rPr>
                      <w:rFonts w:hint="eastAsia" w:eastAsia="宋体"/>
                      <w:color w:val="auto"/>
                      <w:szCs w:val="21"/>
                      <w:u w:val="single"/>
                      <w:lang w:val="en-US" w:eastAsia="zh-CN"/>
                    </w:rPr>
                    <w:t>玉竹</w:t>
                  </w:r>
                </w:p>
              </w:tc>
              <w:tc>
                <w:tcPr>
                  <w:tcW w:w="1256" w:type="pct"/>
                  <w:tcBorders>
                    <w:tl2br w:val="nil"/>
                    <w:tr2bl w:val="nil"/>
                  </w:tcBorders>
                  <w:shd w:val="clear" w:color="auto" w:fill="auto"/>
                  <w:vAlign w:val="center"/>
                </w:tcPr>
                <w:p w14:paraId="075E489B">
                  <w:pPr>
                    <w:widowControl/>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kern w:val="0"/>
                      <w:szCs w:val="21"/>
                      <w:u w:val="single"/>
                      <w:lang w:val="en-US" w:eastAsia="zh-CN"/>
                    </w:rPr>
                    <w:t>100</w:t>
                  </w:r>
                </w:p>
              </w:tc>
            </w:tr>
            <w:tr w14:paraId="3CA92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shd w:val="clear" w:color="auto" w:fill="auto"/>
                  <w:vAlign w:val="center"/>
                </w:tcPr>
                <w:p w14:paraId="15C3F1B4">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szCs w:val="21"/>
                      <w:u w:val="single"/>
                      <w:lang w:val="en-US" w:eastAsia="zh-CN"/>
                    </w:rPr>
                    <w:t>黄柏</w:t>
                  </w:r>
                </w:p>
              </w:tc>
              <w:tc>
                <w:tcPr>
                  <w:tcW w:w="1247" w:type="pct"/>
                  <w:tcBorders>
                    <w:tl2br w:val="nil"/>
                    <w:tr2bl w:val="nil"/>
                  </w:tcBorders>
                  <w:vAlign w:val="center"/>
                </w:tcPr>
                <w:p w14:paraId="202F8167">
                  <w:pPr>
                    <w:widowControl/>
                    <w:jc w:val="center"/>
                    <w:rPr>
                      <w:rFonts w:hint="default" w:ascii="Times New Roman" w:hAnsi="Times New Roman" w:eastAsia="宋体" w:cs="Times New Roman"/>
                      <w:color w:val="auto"/>
                      <w:sz w:val="21"/>
                      <w:szCs w:val="21"/>
                      <w:u w:val="single"/>
                      <w:lang w:val="en-US" w:eastAsia="zh-CN"/>
                    </w:rPr>
                  </w:pPr>
                  <w:r>
                    <w:rPr>
                      <w:rFonts w:hint="eastAsia" w:eastAsia="宋体"/>
                      <w:color w:val="auto"/>
                      <w:kern w:val="0"/>
                      <w:szCs w:val="21"/>
                      <w:u w:val="single"/>
                      <w:lang w:val="en-US" w:eastAsia="zh-CN"/>
                    </w:rPr>
                    <w:t>500</w:t>
                  </w:r>
                </w:p>
              </w:tc>
              <w:tc>
                <w:tcPr>
                  <w:tcW w:w="1246" w:type="pct"/>
                  <w:tcBorders>
                    <w:tl2br w:val="nil"/>
                    <w:tr2bl w:val="nil"/>
                  </w:tcBorders>
                  <w:shd w:val="clear" w:color="auto" w:fill="auto"/>
                  <w:vAlign w:val="center"/>
                </w:tcPr>
                <w:p w14:paraId="369AF13D">
                  <w:pPr>
                    <w:keepNext/>
                    <w:keepLines/>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eastAsiaTheme="minorEastAsia"/>
                      <w:color w:val="auto"/>
                      <w:sz w:val="21"/>
                      <w:szCs w:val="21"/>
                      <w:u w:val="single"/>
                      <w:lang w:val="en-US" w:eastAsia="zh-CN"/>
                    </w:rPr>
                    <w:t>干</w:t>
                  </w:r>
                  <w:r>
                    <w:rPr>
                      <w:rFonts w:hint="eastAsia" w:eastAsia="宋体"/>
                      <w:color w:val="auto"/>
                      <w:szCs w:val="21"/>
                      <w:u w:val="single"/>
                      <w:lang w:val="en-US" w:eastAsia="zh-CN"/>
                    </w:rPr>
                    <w:t>黄柏</w:t>
                  </w:r>
                </w:p>
              </w:tc>
              <w:tc>
                <w:tcPr>
                  <w:tcW w:w="1256" w:type="pct"/>
                  <w:tcBorders>
                    <w:tl2br w:val="nil"/>
                    <w:tr2bl w:val="nil"/>
                  </w:tcBorders>
                  <w:shd w:val="clear" w:color="auto" w:fill="auto"/>
                  <w:vAlign w:val="center"/>
                </w:tcPr>
                <w:p w14:paraId="79E74722">
                  <w:pPr>
                    <w:widowControl/>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kern w:val="0"/>
                      <w:szCs w:val="21"/>
                      <w:u w:val="single"/>
                      <w:lang w:val="en-US" w:eastAsia="zh-CN"/>
                    </w:rPr>
                    <w:t>100</w:t>
                  </w:r>
                </w:p>
              </w:tc>
            </w:tr>
            <w:tr w14:paraId="2AAFC3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shd w:val="clear" w:color="auto" w:fill="auto"/>
                  <w:vAlign w:val="center"/>
                </w:tcPr>
                <w:p w14:paraId="6F5017A3">
                  <w:pPr>
                    <w:keepNext/>
                    <w:keepLines/>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szCs w:val="21"/>
                      <w:u w:val="single"/>
                      <w:lang w:val="en-US" w:eastAsia="zh-CN"/>
                    </w:rPr>
                    <w:t>石菖蒲</w:t>
                  </w:r>
                </w:p>
              </w:tc>
              <w:tc>
                <w:tcPr>
                  <w:tcW w:w="1247" w:type="pct"/>
                  <w:tcBorders>
                    <w:tl2br w:val="nil"/>
                    <w:tr2bl w:val="nil"/>
                  </w:tcBorders>
                  <w:vAlign w:val="center"/>
                </w:tcPr>
                <w:p w14:paraId="7562512F">
                  <w:pPr>
                    <w:widowControl/>
                    <w:jc w:val="center"/>
                    <w:rPr>
                      <w:rFonts w:hint="default" w:ascii="Times New Roman" w:hAnsi="Times New Roman" w:eastAsia="宋体" w:cs="Times New Roman"/>
                      <w:color w:val="auto"/>
                      <w:sz w:val="21"/>
                      <w:szCs w:val="21"/>
                      <w:u w:val="single"/>
                      <w:lang w:val="en-US" w:eastAsia="zh-CN"/>
                    </w:rPr>
                  </w:pPr>
                  <w:r>
                    <w:rPr>
                      <w:rFonts w:hint="eastAsia" w:eastAsia="宋体"/>
                      <w:color w:val="auto"/>
                      <w:kern w:val="0"/>
                      <w:szCs w:val="21"/>
                      <w:u w:val="single"/>
                      <w:lang w:val="en-US" w:eastAsia="zh-CN"/>
                    </w:rPr>
                    <w:t>500</w:t>
                  </w:r>
                </w:p>
              </w:tc>
              <w:tc>
                <w:tcPr>
                  <w:tcW w:w="1246" w:type="pct"/>
                  <w:tcBorders>
                    <w:tl2br w:val="nil"/>
                    <w:tr2bl w:val="nil"/>
                  </w:tcBorders>
                  <w:shd w:val="clear" w:color="auto" w:fill="auto"/>
                  <w:vAlign w:val="center"/>
                </w:tcPr>
                <w:p w14:paraId="78D6A80F">
                  <w:pPr>
                    <w:keepNext/>
                    <w:keepLines/>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eastAsiaTheme="minorEastAsia"/>
                      <w:color w:val="auto"/>
                      <w:sz w:val="21"/>
                      <w:szCs w:val="21"/>
                      <w:u w:val="single"/>
                      <w:lang w:val="en-US" w:eastAsia="zh-CN"/>
                    </w:rPr>
                    <w:t>干</w:t>
                  </w:r>
                  <w:r>
                    <w:rPr>
                      <w:rFonts w:hint="eastAsia" w:eastAsia="宋体"/>
                      <w:color w:val="auto"/>
                      <w:szCs w:val="21"/>
                      <w:u w:val="single"/>
                      <w:lang w:val="en-US" w:eastAsia="zh-CN"/>
                    </w:rPr>
                    <w:t>石菖蒲</w:t>
                  </w:r>
                </w:p>
              </w:tc>
              <w:tc>
                <w:tcPr>
                  <w:tcW w:w="1256" w:type="pct"/>
                  <w:tcBorders>
                    <w:tl2br w:val="nil"/>
                    <w:tr2bl w:val="nil"/>
                  </w:tcBorders>
                  <w:shd w:val="clear" w:color="auto" w:fill="auto"/>
                  <w:vAlign w:val="center"/>
                </w:tcPr>
                <w:p w14:paraId="10B5A442">
                  <w:pPr>
                    <w:widowControl/>
                    <w:jc w:val="center"/>
                    <w:rPr>
                      <w:rFonts w:hint="default" w:ascii="Times New Roman" w:hAnsi="Times New Roman" w:eastAsia="宋体" w:cs="Times New Roman"/>
                      <w:color w:val="auto"/>
                      <w:kern w:val="0"/>
                      <w:sz w:val="21"/>
                      <w:szCs w:val="21"/>
                      <w:u w:val="single"/>
                      <w:lang w:val="en-US" w:eastAsia="zh-CN" w:bidi="ar-SA"/>
                    </w:rPr>
                  </w:pPr>
                  <w:r>
                    <w:rPr>
                      <w:rFonts w:hint="eastAsia" w:eastAsia="宋体"/>
                      <w:color w:val="auto"/>
                      <w:kern w:val="0"/>
                      <w:szCs w:val="21"/>
                      <w:u w:val="single"/>
                      <w:lang w:val="en-US" w:eastAsia="zh-CN"/>
                    </w:rPr>
                    <w:t>100</w:t>
                  </w:r>
                </w:p>
              </w:tc>
            </w:tr>
            <w:tr w14:paraId="793B16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vAlign w:val="center"/>
                </w:tcPr>
                <w:p w14:paraId="47FAD567">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u w:val="single"/>
                    </w:rPr>
                  </w:pPr>
                </w:p>
              </w:tc>
              <w:tc>
                <w:tcPr>
                  <w:tcW w:w="1247" w:type="pct"/>
                  <w:tcBorders>
                    <w:tl2br w:val="nil"/>
                    <w:tr2bl w:val="nil"/>
                  </w:tcBorders>
                  <w:vAlign w:val="center"/>
                </w:tcPr>
                <w:p w14:paraId="0F7370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lang w:val="en-US" w:eastAsia="zh-CN"/>
                    </w:rPr>
                  </w:pPr>
                </w:p>
              </w:tc>
              <w:tc>
                <w:tcPr>
                  <w:tcW w:w="1246" w:type="pct"/>
                  <w:tcBorders>
                    <w:tl2br w:val="nil"/>
                    <w:tr2bl w:val="nil"/>
                  </w:tcBorders>
                  <w:vAlign w:val="center"/>
                </w:tcPr>
                <w:p w14:paraId="52300018">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6"/>
                      <w:sz w:val="21"/>
                      <w:szCs w:val="21"/>
                      <w:u w:val="single"/>
                      <w:lang w:val="en-US" w:eastAsia="zh-CN"/>
                    </w:rPr>
                  </w:pPr>
                  <w:r>
                    <w:rPr>
                      <w:rFonts w:hint="eastAsia" w:ascii="Times New Roman" w:hAnsi="Times New Roman" w:eastAsia="宋体" w:cs="Times New Roman"/>
                      <w:color w:val="auto"/>
                      <w:spacing w:val="6"/>
                      <w:sz w:val="21"/>
                      <w:szCs w:val="21"/>
                      <w:u w:val="single"/>
                      <w:lang w:val="en-US" w:eastAsia="zh-CN"/>
                    </w:rPr>
                    <w:t>蒸发水分</w:t>
                  </w:r>
                </w:p>
              </w:tc>
              <w:tc>
                <w:tcPr>
                  <w:tcW w:w="1256" w:type="pct"/>
                  <w:tcBorders>
                    <w:tl2br w:val="nil"/>
                    <w:tr2bl w:val="nil"/>
                  </w:tcBorders>
                  <w:vAlign w:val="center"/>
                </w:tcPr>
                <w:p w14:paraId="468695A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single"/>
                      <w:lang w:val="en-US" w:eastAsia="zh-CN" w:bidi="ar"/>
                    </w:rPr>
                  </w:pPr>
                  <w:r>
                    <w:rPr>
                      <w:rFonts w:hint="eastAsia" w:ascii="Times New Roman" w:hAnsi="Times New Roman" w:eastAsia="宋体" w:cs="Times New Roman"/>
                      <w:i w:val="0"/>
                      <w:iCs w:val="0"/>
                      <w:snapToGrid w:val="0"/>
                      <w:color w:val="auto"/>
                      <w:kern w:val="0"/>
                      <w:sz w:val="21"/>
                      <w:szCs w:val="21"/>
                      <w:u w:val="single"/>
                      <w:lang w:val="en-US" w:eastAsia="zh-CN" w:bidi="ar"/>
                    </w:rPr>
                    <w:t>2800</w:t>
                  </w:r>
                </w:p>
              </w:tc>
            </w:tr>
            <w:tr w14:paraId="085E43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0" w:type="pct"/>
                  <w:tcBorders>
                    <w:tl2br w:val="nil"/>
                    <w:tr2bl w:val="nil"/>
                  </w:tcBorders>
                  <w:vAlign w:val="center"/>
                </w:tcPr>
                <w:p w14:paraId="678614F3">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pacing w:val="2"/>
                      <w:sz w:val="21"/>
                      <w:szCs w:val="21"/>
                      <w:u w:val="single"/>
                    </w:rPr>
                    <w:t>总计</w:t>
                  </w:r>
                </w:p>
              </w:tc>
              <w:tc>
                <w:tcPr>
                  <w:tcW w:w="1247" w:type="pct"/>
                  <w:tcBorders>
                    <w:tl2br w:val="nil"/>
                    <w:tr2bl w:val="nil"/>
                  </w:tcBorders>
                  <w:vAlign w:val="center"/>
                </w:tcPr>
                <w:p w14:paraId="7E25FB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pacing w:val="2"/>
                      <w:sz w:val="21"/>
                      <w:szCs w:val="21"/>
                      <w:u w:val="single"/>
                      <w:lang w:val="en-US" w:eastAsia="zh-CN"/>
                    </w:rPr>
                    <w:t>3500</w:t>
                  </w:r>
                </w:p>
              </w:tc>
              <w:tc>
                <w:tcPr>
                  <w:tcW w:w="1246" w:type="pct"/>
                  <w:tcBorders>
                    <w:tl2br w:val="nil"/>
                    <w:tr2bl w:val="nil"/>
                  </w:tcBorders>
                  <w:vAlign w:val="center"/>
                </w:tcPr>
                <w:p w14:paraId="4AC30894">
                  <w:pPr>
                    <w:pStyle w:val="1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pacing w:val="2"/>
                      <w:sz w:val="21"/>
                      <w:szCs w:val="21"/>
                      <w:u w:val="single"/>
                    </w:rPr>
                    <w:t>总计</w:t>
                  </w:r>
                </w:p>
              </w:tc>
              <w:tc>
                <w:tcPr>
                  <w:tcW w:w="1256" w:type="pct"/>
                  <w:tcBorders>
                    <w:tl2br w:val="nil"/>
                    <w:tr2bl w:val="nil"/>
                  </w:tcBorders>
                  <w:vAlign w:val="center"/>
                </w:tcPr>
                <w:p w14:paraId="157542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pacing w:val="2"/>
                      <w:sz w:val="21"/>
                      <w:szCs w:val="21"/>
                      <w:highlight w:val="none"/>
                      <w:u w:val="single"/>
                      <w:lang w:val="en-US" w:eastAsia="zh-CN"/>
                    </w:rPr>
                    <w:t>3500</w:t>
                  </w:r>
                </w:p>
              </w:tc>
            </w:tr>
          </w:tbl>
          <w:p w14:paraId="6755C5B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6、</w:t>
            </w:r>
            <w:r>
              <w:rPr>
                <w:rFonts w:hint="default" w:ascii="Times New Roman" w:hAnsi="Times New Roman" w:eastAsia="宋体" w:cs="Times New Roman"/>
                <w:b/>
                <w:color w:val="auto"/>
                <w:sz w:val="24"/>
                <w:szCs w:val="24"/>
                <w:lang w:val="en-US" w:eastAsia="zh-CN"/>
              </w:rPr>
              <w:t>主要设备</w:t>
            </w:r>
          </w:p>
          <w:p w14:paraId="0CE39D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u w:val="none"/>
                <w:lang w:eastAsia="zh-CN"/>
              </w:rPr>
            </w:pPr>
            <w:r>
              <w:rPr>
                <w:rFonts w:hint="eastAsia" w:eastAsia="宋体" w:cs="Times New Roman"/>
                <w:color w:val="auto"/>
                <w:kern w:val="0"/>
                <w:sz w:val="24"/>
                <w:u w:val="none"/>
                <w:lang w:val="en-US" w:eastAsia="zh-CN"/>
              </w:rPr>
              <w:t>本项目</w:t>
            </w:r>
            <w:r>
              <w:rPr>
                <w:rFonts w:hint="default" w:ascii="Times New Roman" w:hAnsi="Times New Roman" w:eastAsia="CIDFont" w:cs="Times New Roman"/>
                <w:color w:val="auto"/>
                <w:kern w:val="0"/>
                <w:sz w:val="24"/>
                <w:u w:val="none"/>
              </w:rPr>
              <w:t>主要设备清单见下表</w:t>
            </w:r>
            <w:r>
              <w:rPr>
                <w:rFonts w:hint="eastAsia" w:eastAsia="宋体" w:cs="Times New Roman"/>
                <w:color w:val="auto"/>
                <w:kern w:val="0"/>
                <w:sz w:val="24"/>
                <w:u w:val="none"/>
                <w:lang w:eastAsia="zh-CN"/>
              </w:rPr>
              <w:t>：</w:t>
            </w:r>
          </w:p>
          <w:p w14:paraId="784400FA">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表2-</w:t>
            </w:r>
            <w:r>
              <w:rPr>
                <w:rFonts w:hint="eastAsia" w:cs="Times New Roman"/>
                <w:color w:val="auto"/>
                <w:sz w:val="24"/>
                <w:szCs w:val="24"/>
                <w:u w:val="none"/>
                <w:lang w:val="en-US" w:eastAsia="zh-CN"/>
              </w:rPr>
              <w:t>8</w:t>
            </w:r>
            <w:r>
              <w:rPr>
                <w:rFonts w:hint="default" w:ascii="Times New Roman" w:hAnsi="Times New Roman" w:eastAsia="宋体" w:cs="Times New Roman"/>
                <w:color w:val="auto"/>
                <w:sz w:val="24"/>
                <w:szCs w:val="24"/>
                <w:u w:val="none"/>
                <w:lang w:val="en-US" w:eastAsia="zh-CN"/>
              </w:rPr>
              <w:t xml:space="preserve"> </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lang w:val="en-US" w:eastAsia="zh-CN"/>
              </w:rPr>
              <w:t>主要设备</w:t>
            </w:r>
            <w:bookmarkEnd w:id="29"/>
            <w:r>
              <w:rPr>
                <w:rFonts w:hint="default" w:ascii="Times New Roman" w:hAnsi="Times New Roman" w:eastAsia="宋体" w:cs="Times New Roman"/>
                <w:color w:val="auto"/>
                <w:sz w:val="24"/>
                <w:szCs w:val="24"/>
                <w:u w:val="none"/>
                <w:lang w:val="en-US" w:eastAsia="zh-CN"/>
              </w:rPr>
              <w:t>一览表</w:t>
            </w:r>
          </w:p>
          <w:tbl>
            <w:tblPr>
              <w:tblStyle w:val="33"/>
              <w:tblW w:w="75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262"/>
              <w:gridCol w:w="1375"/>
              <w:gridCol w:w="1971"/>
            </w:tblGrid>
            <w:tr w14:paraId="2B888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6" w:type="pct"/>
                  <w:tcBorders>
                    <w:tl2br w:val="nil"/>
                    <w:tr2bl w:val="nil"/>
                  </w:tcBorders>
                  <w:noWrap w:val="0"/>
                  <w:vAlign w:val="center"/>
                </w:tcPr>
                <w:p w14:paraId="5BBEE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设备名称</w:t>
                  </w:r>
                </w:p>
              </w:tc>
              <w:tc>
                <w:tcPr>
                  <w:tcW w:w="830" w:type="pct"/>
                  <w:tcBorders>
                    <w:tl2br w:val="nil"/>
                    <w:tr2bl w:val="nil"/>
                  </w:tcBorders>
                  <w:noWrap w:val="0"/>
                  <w:vAlign w:val="center"/>
                </w:tcPr>
                <w:p w14:paraId="368B8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功率（kw）</w:t>
                  </w:r>
                </w:p>
              </w:tc>
              <w:tc>
                <w:tcPr>
                  <w:tcW w:w="905" w:type="pct"/>
                  <w:tcBorders>
                    <w:tl2br w:val="nil"/>
                    <w:tr2bl w:val="nil"/>
                  </w:tcBorders>
                  <w:noWrap w:val="0"/>
                  <w:vAlign w:val="center"/>
                </w:tcPr>
                <w:p w14:paraId="0D1154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数量及单位</w:t>
                  </w:r>
                </w:p>
              </w:tc>
              <w:tc>
                <w:tcPr>
                  <w:tcW w:w="1297" w:type="pct"/>
                  <w:tcBorders>
                    <w:tl2br w:val="nil"/>
                    <w:tr2bl w:val="nil"/>
                  </w:tcBorders>
                  <w:noWrap w:val="0"/>
                  <w:vAlign w:val="center"/>
                </w:tcPr>
                <w:p w14:paraId="233E63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备注</w:t>
                  </w:r>
                </w:p>
              </w:tc>
            </w:tr>
            <w:tr w14:paraId="4255D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6" w:type="pct"/>
                  <w:tcBorders>
                    <w:tl2br w:val="nil"/>
                    <w:tr2bl w:val="nil"/>
                  </w:tcBorders>
                  <w:noWrap w:val="0"/>
                  <w:vAlign w:val="center"/>
                </w:tcPr>
                <w:p w14:paraId="3938D8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清洗机</w:t>
                  </w:r>
                </w:p>
              </w:tc>
              <w:tc>
                <w:tcPr>
                  <w:tcW w:w="830" w:type="pct"/>
                  <w:tcBorders>
                    <w:tl2br w:val="nil"/>
                    <w:tr2bl w:val="nil"/>
                  </w:tcBorders>
                  <w:noWrap w:val="0"/>
                  <w:vAlign w:val="center"/>
                </w:tcPr>
                <w:p w14:paraId="679B7E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3</w:t>
                  </w:r>
                </w:p>
              </w:tc>
              <w:tc>
                <w:tcPr>
                  <w:tcW w:w="905" w:type="pct"/>
                  <w:tcBorders>
                    <w:tl2br w:val="nil"/>
                    <w:tr2bl w:val="nil"/>
                  </w:tcBorders>
                  <w:noWrap w:val="0"/>
                  <w:vAlign w:val="center"/>
                </w:tcPr>
                <w:p w14:paraId="02826E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eastAsiaTheme="minorEastAsia"/>
                      <w:i w:val="0"/>
                      <w:iCs w:val="0"/>
                      <w:color w:val="auto"/>
                      <w:kern w:val="0"/>
                      <w:sz w:val="21"/>
                      <w:szCs w:val="21"/>
                      <w:u w:val="none"/>
                      <w:lang w:val="en-US" w:eastAsia="zh-CN" w:bidi="ar"/>
                    </w:rPr>
                  </w:pPr>
                  <w:r>
                    <w:rPr>
                      <w:rFonts w:hint="eastAsia" w:cs="Times New Roman" w:eastAsiaTheme="minorEastAsia"/>
                      <w:i w:val="0"/>
                      <w:iCs w:val="0"/>
                      <w:color w:val="auto"/>
                      <w:kern w:val="0"/>
                      <w:sz w:val="21"/>
                      <w:szCs w:val="21"/>
                      <w:u w:val="none"/>
                      <w:lang w:val="en-US" w:eastAsia="zh-CN" w:bidi="ar"/>
                    </w:rPr>
                    <w:t>2台</w:t>
                  </w:r>
                </w:p>
              </w:tc>
              <w:tc>
                <w:tcPr>
                  <w:tcW w:w="1297" w:type="pct"/>
                  <w:tcBorders>
                    <w:tl2br w:val="nil"/>
                    <w:tr2bl w:val="nil"/>
                  </w:tcBorders>
                  <w:noWrap w:val="0"/>
                  <w:vAlign w:val="center"/>
                </w:tcPr>
                <w:p w14:paraId="485E42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用于清洗</w:t>
                  </w:r>
                </w:p>
              </w:tc>
            </w:tr>
            <w:tr w14:paraId="3A1A8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6" w:type="pct"/>
                  <w:tcBorders>
                    <w:tl2br w:val="nil"/>
                    <w:tr2bl w:val="nil"/>
                  </w:tcBorders>
                  <w:noWrap w:val="0"/>
                  <w:vAlign w:val="center"/>
                </w:tcPr>
                <w:p w14:paraId="496BCD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筛选机</w:t>
                  </w:r>
                </w:p>
              </w:tc>
              <w:tc>
                <w:tcPr>
                  <w:tcW w:w="830" w:type="pct"/>
                  <w:tcBorders>
                    <w:tl2br w:val="nil"/>
                    <w:tr2bl w:val="nil"/>
                  </w:tcBorders>
                  <w:noWrap w:val="0"/>
                  <w:vAlign w:val="center"/>
                </w:tcPr>
                <w:p w14:paraId="7F045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3</w:t>
                  </w:r>
                </w:p>
              </w:tc>
              <w:tc>
                <w:tcPr>
                  <w:tcW w:w="905" w:type="pct"/>
                  <w:tcBorders>
                    <w:tl2br w:val="nil"/>
                    <w:tr2bl w:val="nil"/>
                  </w:tcBorders>
                  <w:noWrap w:val="0"/>
                  <w:vAlign w:val="center"/>
                </w:tcPr>
                <w:p w14:paraId="585733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eastAsiaTheme="minorEastAsia"/>
                      <w:i w:val="0"/>
                      <w:iCs w:val="0"/>
                      <w:color w:val="auto"/>
                      <w:kern w:val="0"/>
                      <w:sz w:val="21"/>
                      <w:szCs w:val="21"/>
                      <w:u w:val="none"/>
                      <w:lang w:val="en-US" w:eastAsia="zh-CN" w:bidi="ar"/>
                    </w:rPr>
                  </w:pPr>
                  <w:r>
                    <w:rPr>
                      <w:rFonts w:hint="eastAsia" w:cs="Times New Roman" w:eastAsiaTheme="minorEastAsia"/>
                      <w:i w:val="0"/>
                      <w:iCs w:val="0"/>
                      <w:color w:val="auto"/>
                      <w:kern w:val="0"/>
                      <w:sz w:val="21"/>
                      <w:szCs w:val="21"/>
                      <w:u w:val="none"/>
                      <w:lang w:val="en-US" w:eastAsia="zh-CN" w:bidi="ar"/>
                    </w:rPr>
                    <w:t>2台</w:t>
                  </w:r>
                </w:p>
              </w:tc>
              <w:tc>
                <w:tcPr>
                  <w:tcW w:w="1297" w:type="pct"/>
                  <w:tcBorders>
                    <w:tl2br w:val="nil"/>
                    <w:tr2bl w:val="nil"/>
                  </w:tcBorders>
                  <w:noWrap w:val="0"/>
                  <w:vAlign w:val="center"/>
                </w:tcPr>
                <w:p w14:paraId="06C66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用于筛选</w:t>
                  </w:r>
                </w:p>
              </w:tc>
            </w:tr>
            <w:tr w14:paraId="678C7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6" w:type="pct"/>
                  <w:tcBorders>
                    <w:tl2br w:val="nil"/>
                    <w:tr2bl w:val="nil"/>
                  </w:tcBorders>
                  <w:noWrap w:val="0"/>
                  <w:vAlign w:val="center"/>
                </w:tcPr>
                <w:p w14:paraId="6BA181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链式烘干机</w:t>
                  </w:r>
                </w:p>
              </w:tc>
              <w:tc>
                <w:tcPr>
                  <w:tcW w:w="830" w:type="pct"/>
                  <w:tcBorders>
                    <w:tl2br w:val="nil"/>
                    <w:tr2bl w:val="nil"/>
                  </w:tcBorders>
                  <w:noWrap w:val="0"/>
                  <w:vAlign w:val="center"/>
                </w:tcPr>
                <w:p w14:paraId="204D12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3</w:t>
                  </w:r>
                </w:p>
              </w:tc>
              <w:tc>
                <w:tcPr>
                  <w:tcW w:w="905" w:type="pct"/>
                  <w:tcBorders>
                    <w:tl2br w:val="nil"/>
                    <w:tr2bl w:val="nil"/>
                  </w:tcBorders>
                  <w:noWrap w:val="0"/>
                  <w:vAlign w:val="center"/>
                </w:tcPr>
                <w:p w14:paraId="32874A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i w:val="0"/>
                      <w:iCs w:val="0"/>
                      <w:color w:val="auto"/>
                      <w:kern w:val="0"/>
                      <w:sz w:val="21"/>
                      <w:szCs w:val="21"/>
                      <w:u w:val="none"/>
                      <w:lang w:val="en-US" w:eastAsia="zh-CN" w:bidi="ar"/>
                    </w:rPr>
                    <w:t>1</w:t>
                  </w:r>
                  <w:r>
                    <w:rPr>
                      <w:rFonts w:hint="default" w:ascii="Times New Roman" w:hAnsi="Times New Roman" w:cs="Times New Roman" w:eastAsiaTheme="minorEastAsia"/>
                      <w:i w:val="0"/>
                      <w:iCs w:val="0"/>
                      <w:color w:val="auto"/>
                      <w:kern w:val="0"/>
                      <w:sz w:val="21"/>
                      <w:szCs w:val="21"/>
                      <w:u w:val="none"/>
                      <w:lang w:val="en-US" w:eastAsia="zh-CN" w:bidi="ar"/>
                    </w:rPr>
                    <w:t>台</w:t>
                  </w:r>
                </w:p>
              </w:tc>
              <w:tc>
                <w:tcPr>
                  <w:tcW w:w="1297" w:type="pct"/>
                  <w:tcBorders>
                    <w:tl2br w:val="nil"/>
                    <w:tr2bl w:val="nil"/>
                  </w:tcBorders>
                  <w:noWrap w:val="0"/>
                  <w:vAlign w:val="center"/>
                </w:tcPr>
                <w:p w14:paraId="54C2B6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用于烘干</w:t>
                  </w:r>
                </w:p>
              </w:tc>
            </w:tr>
            <w:tr w14:paraId="10969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6" w:type="pct"/>
                  <w:tcBorders>
                    <w:tl2br w:val="nil"/>
                    <w:tr2bl w:val="nil"/>
                  </w:tcBorders>
                  <w:noWrap w:val="0"/>
                  <w:vAlign w:val="center"/>
                </w:tcPr>
                <w:p w14:paraId="10EE50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eastAsiaTheme="minorEastAsia"/>
                      <w:color w:val="auto"/>
                      <w:sz w:val="21"/>
                      <w:szCs w:val="21"/>
                      <w:vertAlign w:val="baseline"/>
                      <w:lang w:val="en-US" w:eastAsia="zh-CN"/>
                    </w:rPr>
                    <w:t>2.5t/h</w:t>
                  </w:r>
                  <w:r>
                    <w:rPr>
                      <w:rFonts w:hint="eastAsia" w:ascii="Times New Roman" w:hAnsi="Times New Roman" w:eastAsia="宋体" w:cs="Times New Roman"/>
                      <w:color w:val="auto"/>
                      <w:sz w:val="21"/>
                      <w:szCs w:val="21"/>
                      <w:vertAlign w:val="baseline"/>
                      <w:lang w:val="en-US" w:eastAsia="zh-CN"/>
                    </w:rPr>
                    <w:t>生物质蒸汽发生器</w:t>
                  </w:r>
                </w:p>
              </w:tc>
              <w:tc>
                <w:tcPr>
                  <w:tcW w:w="830" w:type="pct"/>
                  <w:tcBorders>
                    <w:tl2br w:val="nil"/>
                    <w:tr2bl w:val="nil"/>
                  </w:tcBorders>
                  <w:noWrap w:val="0"/>
                  <w:vAlign w:val="center"/>
                </w:tcPr>
                <w:p w14:paraId="23043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16</w:t>
                  </w:r>
                </w:p>
              </w:tc>
              <w:tc>
                <w:tcPr>
                  <w:tcW w:w="905" w:type="pct"/>
                  <w:tcBorders>
                    <w:tl2br w:val="nil"/>
                    <w:tr2bl w:val="nil"/>
                  </w:tcBorders>
                  <w:noWrap w:val="0"/>
                  <w:vAlign w:val="center"/>
                </w:tcPr>
                <w:p w14:paraId="6CB168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1台</w:t>
                  </w:r>
                </w:p>
              </w:tc>
              <w:tc>
                <w:tcPr>
                  <w:tcW w:w="1297" w:type="pct"/>
                  <w:tcBorders>
                    <w:tl2br w:val="nil"/>
                    <w:tr2bl w:val="nil"/>
                  </w:tcBorders>
                  <w:noWrap w:val="0"/>
                  <w:vAlign w:val="center"/>
                </w:tcPr>
                <w:p w14:paraId="407A8A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用于杀青（仅山银花、野菊花）</w:t>
                  </w:r>
                </w:p>
              </w:tc>
            </w:tr>
            <w:tr w14:paraId="3411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6" w:type="pct"/>
                  <w:tcBorders>
                    <w:tl2br w:val="nil"/>
                    <w:tr2bl w:val="nil"/>
                  </w:tcBorders>
                  <w:noWrap w:val="0"/>
                  <w:vAlign w:val="center"/>
                </w:tcPr>
                <w:p w14:paraId="15872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eastAsiaTheme="minorEastAsia"/>
                      <w:color w:val="auto"/>
                      <w:sz w:val="21"/>
                      <w:szCs w:val="21"/>
                      <w:vertAlign w:val="baseline"/>
                      <w:lang w:val="en-US" w:eastAsia="zh-CN"/>
                    </w:rPr>
                    <w:t>40万大卡</w:t>
                  </w:r>
                  <w:r>
                    <w:rPr>
                      <w:rFonts w:hint="eastAsia" w:ascii="Times New Roman" w:hAnsi="Times New Roman" w:eastAsia="宋体" w:cs="Times New Roman"/>
                      <w:color w:val="auto"/>
                      <w:sz w:val="21"/>
                      <w:szCs w:val="21"/>
                      <w:vertAlign w:val="baseline"/>
                      <w:lang w:val="en-US" w:eastAsia="zh-CN"/>
                    </w:rPr>
                    <w:t>生物质燃烧热风炉</w:t>
                  </w:r>
                </w:p>
              </w:tc>
              <w:tc>
                <w:tcPr>
                  <w:tcW w:w="830" w:type="pct"/>
                  <w:tcBorders>
                    <w:tl2br w:val="nil"/>
                    <w:tr2bl w:val="nil"/>
                  </w:tcBorders>
                  <w:noWrap w:val="0"/>
                  <w:vAlign w:val="center"/>
                </w:tcPr>
                <w:p w14:paraId="4E790E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7.5</w:t>
                  </w:r>
                </w:p>
              </w:tc>
              <w:tc>
                <w:tcPr>
                  <w:tcW w:w="905" w:type="pct"/>
                  <w:tcBorders>
                    <w:tl2br w:val="nil"/>
                    <w:tr2bl w:val="nil"/>
                  </w:tcBorders>
                  <w:noWrap w:val="0"/>
                  <w:vAlign w:val="center"/>
                </w:tcPr>
                <w:p w14:paraId="629C1D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eastAsiaTheme="minorEastAsia"/>
                      <w:i w:val="0"/>
                      <w:iCs w:val="0"/>
                      <w:color w:val="auto"/>
                      <w:kern w:val="0"/>
                      <w:sz w:val="21"/>
                      <w:szCs w:val="21"/>
                      <w:u w:val="none"/>
                      <w:lang w:val="en-US" w:eastAsia="zh-CN" w:bidi="ar"/>
                    </w:rPr>
                    <w:t>2</w:t>
                  </w:r>
                  <w:r>
                    <w:rPr>
                      <w:rFonts w:hint="default" w:ascii="Times New Roman" w:hAnsi="Times New Roman" w:cs="Times New Roman" w:eastAsiaTheme="minorEastAsia"/>
                      <w:i w:val="0"/>
                      <w:iCs w:val="0"/>
                      <w:color w:val="auto"/>
                      <w:kern w:val="0"/>
                      <w:sz w:val="21"/>
                      <w:szCs w:val="21"/>
                      <w:u w:val="none"/>
                      <w:lang w:val="en-US" w:eastAsia="zh-CN" w:bidi="ar"/>
                    </w:rPr>
                    <w:t>台</w:t>
                  </w:r>
                </w:p>
              </w:tc>
              <w:tc>
                <w:tcPr>
                  <w:tcW w:w="1297" w:type="pct"/>
                  <w:tcBorders>
                    <w:tl2br w:val="nil"/>
                    <w:tr2bl w:val="nil"/>
                  </w:tcBorders>
                  <w:noWrap w:val="0"/>
                  <w:vAlign w:val="center"/>
                </w:tcPr>
                <w:p w14:paraId="07753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用于烘干</w:t>
                  </w:r>
                </w:p>
              </w:tc>
            </w:tr>
          </w:tbl>
          <w:p w14:paraId="11550724">
            <w:pPr>
              <w:pStyle w:val="82"/>
              <w:keepNext w:val="0"/>
              <w:keepLines w:val="0"/>
              <w:pageBreakBefore w:val="0"/>
              <w:widowControl w:val="0"/>
              <w:kinsoku/>
              <w:wordWrap/>
              <w:overflowPunct/>
              <w:topLinePunct w:val="0"/>
              <w:autoSpaceDE/>
              <w:autoSpaceDN/>
              <w:bidi w:val="0"/>
              <w:adjustRightInd/>
              <w:snapToGrid/>
              <w:spacing w:before="157" w:beforeLines="50"/>
              <w:ind w:firstLine="482"/>
              <w:jc w:val="left"/>
              <w:textAlignment w:val="auto"/>
              <w:rPr>
                <w:rFonts w:hint="eastAsia" w:ascii="Times New Roman" w:hAnsi="Times New Roman" w:eastAsia="宋体" w:cs="Times New Roman"/>
                <w:b/>
                <w:color w:val="auto"/>
                <w:u w:val="none"/>
                <w:lang w:eastAsia="zh-CN"/>
              </w:rPr>
            </w:pPr>
            <w:r>
              <w:rPr>
                <w:rFonts w:hint="eastAsia" w:cs="Times New Roman"/>
                <w:b/>
                <w:color w:val="auto"/>
                <w:u w:val="none"/>
                <w:lang w:eastAsia="zh-CN"/>
              </w:rPr>
              <w:t>注：各生产设备均不属于《产业结构调整指导目录》（</w:t>
            </w:r>
            <w:r>
              <w:rPr>
                <w:rFonts w:hint="eastAsia" w:cs="Times New Roman"/>
                <w:b/>
                <w:color w:val="auto"/>
                <w:u w:val="none"/>
                <w:lang w:val="en-US" w:eastAsia="zh-CN"/>
              </w:rPr>
              <w:t>2024版</w:t>
            </w:r>
            <w:r>
              <w:rPr>
                <w:rFonts w:hint="eastAsia" w:cs="Times New Roman"/>
                <w:b/>
                <w:color w:val="auto"/>
                <w:u w:val="none"/>
                <w:lang w:eastAsia="zh-CN"/>
              </w:rPr>
              <w:t>）中落后生产工艺设备。</w:t>
            </w:r>
          </w:p>
          <w:p w14:paraId="4AE704A5">
            <w:pPr>
              <w:pStyle w:val="82"/>
              <w:ind w:firstLine="482"/>
              <w:jc w:val="left"/>
              <w:rPr>
                <w:rFonts w:hint="default" w:ascii="Times New Roman" w:hAnsi="Times New Roman" w:cs="Times New Roman"/>
                <w:b/>
                <w:color w:val="auto"/>
              </w:rPr>
            </w:pPr>
            <w:r>
              <w:rPr>
                <w:rFonts w:hint="eastAsia" w:cs="Times New Roman"/>
                <w:b/>
                <w:color w:val="auto"/>
                <w:lang w:val="en-US" w:eastAsia="zh-CN"/>
              </w:rPr>
              <w:t>7</w:t>
            </w:r>
            <w:r>
              <w:rPr>
                <w:rFonts w:hint="default" w:ascii="Times New Roman" w:hAnsi="Times New Roman" w:cs="Times New Roman"/>
                <w:b/>
                <w:color w:val="auto"/>
              </w:rPr>
              <w:t>、公用工程</w:t>
            </w:r>
          </w:p>
          <w:p w14:paraId="4921CC4E">
            <w:pPr>
              <w:pStyle w:val="82"/>
              <w:jc w:val="left"/>
              <w:rPr>
                <w:rFonts w:hint="default" w:ascii="Times New Roman" w:hAnsi="Times New Roman" w:cs="Times New Roman"/>
                <w:bCs/>
                <w:color w:val="auto"/>
              </w:rPr>
            </w:pPr>
            <w:r>
              <w:rPr>
                <w:rFonts w:hint="default" w:ascii="Times New Roman" w:hAnsi="Times New Roman" w:cs="Times New Roman"/>
                <w:bCs/>
                <w:color w:val="auto"/>
              </w:rPr>
              <w:t>（1）给水</w:t>
            </w:r>
          </w:p>
          <w:p w14:paraId="60DFEE86">
            <w:pPr>
              <w:pStyle w:val="82"/>
              <w:jc w:val="left"/>
              <w:rPr>
                <w:rFonts w:hint="default" w:ascii="Times New Roman" w:hAnsi="Times New Roman" w:cs="Times New Roman"/>
                <w:bCs/>
                <w:color w:val="auto"/>
              </w:rPr>
            </w:pPr>
            <w:r>
              <w:rPr>
                <w:rFonts w:hint="default" w:ascii="Times New Roman" w:hAnsi="Times New Roman" w:cs="Times New Roman"/>
                <w:bCs/>
                <w:color w:val="auto"/>
              </w:rPr>
              <w:t>本项目用水水源由市政自来水管网提供，新鲜水供水水质符合国家饮用水标准，其水量及水压均能够满足本项目用水要求。</w:t>
            </w:r>
          </w:p>
          <w:p w14:paraId="62B3291D">
            <w:pPr>
              <w:pStyle w:val="82"/>
              <w:jc w:val="left"/>
              <w:rPr>
                <w:rFonts w:hint="eastAsia" w:ascii="Times New Roman" w:hAnsi="Times New Roman" w:eastAsia="宋体" w:cs="Times New Roman"/>
                <w:bCs/>
                <w:color w:val="auto"/>
                <w:u w:val="none"/>
                <w:lang w:eastAsia="zh-CN"/>
              </w:rPr>
            </w:pPr>
            <w:r>
              <w:rPr>
                <w:rFonts w:hint="eastAsia" w:cs="Times New Roman"/>
                <w:bCs/>
                <w:color w:val="auto"/>
                <w:u w:val="none"/>
                <w:lang w:eastAsia="zh-CN"/>
              </w:rPr>
              <w:t>雨水通过雨水管网进入雨水管网系统。</w:t>
            </w:r>
          </w:p>
          <w:p w14:paraId="59012060">
            <w:pPr>
              <w:pStyle w:val="95"/>
              <w:ind w:firstLine="480"/>
              <w:jc w:val="left"/>
              <w:rPr>
                <w:rFonts w:hint="default" w:ascii="Times New Roman" w:hAnsi="Times New Roman" w:cs="Times New Roman"/>
                <w:color w:val="auto"/>
                <w:u w:val="none"/>
                <w:lang w:eastAsia="zh-CN"/>
              </w:rPr>
            </w:pPr>
            <w:r>
              <w:rPr>
                <w:rFonts w:hint="default" w:ascii="Times New Roman" w:hAnsi="Times New Roman" w:cs="Times New Roman"/>
                <w:color w:val="auto"/>
                <w:u w:val="none"/>
              </w:rPr>
              <w:t>本项目用水主要为</w:t>
            </w:r>
            <w:r>
              <w:rPr>
                <w:rFonts w:hint="eastAsia" w:cs="Times New Roman"/>
                <w:color w:val="auto"/>
                <w:u w:val="none"/>
                <w:lang w:eastAsia="zh-CN"/>
              </w:rPr>
              <w:t>清洗用水、</w:t>
            </w:r>
            <w:r>
              <w:rPr>
                <w:rFonts w:hint="eastAsia" w:cs="Times New Roman"/>
                <w:color w:val="auto"/>
                <w:u w:val="none"/>
                <w:lang w:val="en-US" w:eastAsia="zh-CN"/>
              </w:rPr>
              <w:t>蒸汽发生器</w:t>
            </w:r>
            <w:r>
              <w:rPr>
                <w:rFonts w:hint="eastAsia" w:cs="Times New Roman"/>
                <w:color w:val="auto"/>
                <w:u w:val="none"/>
                <w:lang w:eastAsia="zh-CN"/>
              </w:rPr>
              <w:t>用水、地面清洁用水及生活用水</w:t>
            </w:r>
            <w:r>
              <w:rPr>
                <w:rFonts w:hint="default" w:ascii="Times New Roman" w:hAnsi="Times New Roman" w:cs="Times New Roman"/>
                <w:color w:val="auto"/>
                <w:u w:val="none"/>
                <w:lang w:eastAsia="zh-CN"/>
              </w:rPr>
              <w:t>。</w:t>
            </w:r>
          </w:p>
          <w:p w14:paraId="25FE7075">
            <w:pPr>
              <w:pStyle w:val="95"/>
              <w:ind w:firstLine="480"/>
              <w:jc w:val="both"/>
              <w:rPr>
                <w:rFonts w:hint="eastAsia" w:ascii="Times New Roman" w:hAnsi="Times New Roman" w:eastAsia="宋体" w:cs="Times New Roman"/>
                <w:bCs/>
                <w:color w:val="auto"/>
                <w:sz w:val="24"/>
                <w:lang w:val="en-US" w:eastAsia="zh-CN"/>
              </w:rPr>
            </w:pPr>
            <w:r>
              <w:rPr>
                <w:rFonts w:hint="eastAsia" w:cs="Times New Roman"/>
                <w:color w:val="auto"/>
                <w:u w:val="none"/>
                <w:lang w:val="en-US" w:eastAsia="zh-CN"/>
              </w:rPr>
              <w:t>蒸汽发生器</w:t>
            </w:r>
            <w:r>
              <w:rPr>
                <w:rFonts w:hint="eastAsia"/>
                <w:color w:val="auto"/>
                <w:sz w:val="24"/>
                <w:szCs w:val="24"/>
                <w:u w:val="none"/>
              </w:rPr>
              <w:t>用水：</w:t>
            </w:r>
            <w:r>
              <w:rPr>
                <w:rFonts w:hint="eastAsia"/>
                <w:color w:val="auto"/>
                <w:sz w:val="24"/>
                <w:szCs w:val="24"/>
                <w:u w:val="single"/>
              </w:rPr>
              <w:t>运行过程中需定期补充软化水，项目设置1台</w:t>
            </w:r>
            <w:r>
              <w:rPr>
                <w:rFonts w:hint="eastAsia"/>
                <w:color w:val="auto"/>
                <w:sz w:val="24"/>
                <w:szCs w:val="24"/>
                <w:u w:val="single"/>
                <w:lang w:val="en-US" w:eastAsia="zh-CN"/>
              </w:rPr>
              <w:t>2.5</w:t>
            </w:r>
            <w:r>
              <w:rPr>
                <w:rFonts w:hint="eastAsia"/>
                <w:color w:val="auto"/>
                <w:sz w:val="24"/>
                <w:szCs w:val="24"/>
                <w:u w:val="single"/>
              </w:rPr>
              <w:t>t/h生物质真空蒸汽锅炉，根据建设单位提供资料，</w:t>
            </w:r>
            <w:r>
              <w:rPr>
                <w:rFonts w:hint="eastAsia" w:cs="Times New Roman"/>
                <w:color w:val="auto"/>
                <w:u w:val="single"/>
                <w:lang w:val="en-US" w:eastAsia="zh-CN"/>
              </w:rPr>
              <w:t>蒸汽发生器</w:t>
            </w:r>
            <w:r>
              <w:rPr>
                <w:rFonts w:hint="eastAsia"/>
                <w:color w:val="auto"/>
                <w:sz w:val="24"/>
                <w:szCs w:val="24"/>
                <w:u w:val="single"/>
                <w:lang w:eastAsia="zh-CN"/>
              </w:rPr>
              <w:t>每年运行</w:t>
            </w:r>
            <w:r>
              <w:rPr>
                <w:rFonts w:hint="eastAsia"/>
                <w:color w:val="auto"/>
                <w:sz w:val="24"/>
                <w:szCs w:val="24"/>
                <w:u w:val="single"/>
                <w:lang w:val="en-US" w:eastAsia="zh-CN"/>
              </w:rPr>
              <w:t>1200h</w:t>
            </w:r>
            <w:r>
              <w:rPr>
                <w:rFonts w:hint="eastAsia"/>
                <w:color w:val="auto"/>
                <w:sz w:val="24"/>
                <w:szCs w:val="24"/>
                <w:u w:val="single"/>
              </w:rPr>
              <w:t>，</w:t>
            </w:r>
            <w:r>
              <w:rPr>
                <w:rFonts w:hint="eastAsia"/>
                <w:color w:val="auto"/>
                <w:sz w:val="24"/>
                <w:szCs w:val="24"/>
                <w:u w:val="single"/>
                <w:lang w:eastAsia="zh-CN"/>
              </w:rPr>
              <w:t>锅炉用水量为</w:t>
            </w:r>
            <w:r>
              <w:rPr>
                <w:rFonts w:hint="eastAsia"/>
                <w:color w:val="auto"/>
                <w:sz w:val="24"/>
                <w:szCs w:val="24"/>
                <w:u w:val="single"/>
                <w:lang w:val="en-US" w:eastAsia="zh-CN"/>
              </w:rPr>
              <w:t>3000</w:t>
            </w:r>
            <w:r>
              <w:rPr>
                <w:rFonts w:hint="eastAsia"/>
                <w:color w:val="auto"/>
                <w:sz w:val="24"/>
                <w:szCs w:val="24"/>
                <w:u w:val="single"/>
              </w:rPr>
              <w:t>m</w:t>
            </w:r>
            <w:r>
              <w:rPr>
                <w:rFonts w:hint="eastAsia"/>
                <w:color w:val="auto"/>
                <w:sz w:val="24"/>
                <w:szCs w:val="24"/>
                <w:u w:val="single"/>
                <w:vertAlign w:val="superscript"/>
              </w:rPr>
              <w:t>3</w:t>
            </w:r>
            <w:r>
              <w:rPr>
                <w:rFonts w:hint="eastAsia"/>
                <w:color w:val="auto"/>
                <w:sz w:val="24"/>
                <w:szCs w:val="24"/>
                <w:u w:val="single"/>
              </w:rPr>
              <w:t>/a</w:t>
            </w:r>
            <w:r>
              <w:rPr>
                <w:rFonts w:hint="eastAsia"/>
                <w:color w:val="auto"/>
                <w:sz w:val="24"/>
                <w:szCs w:val="24"/>
                <w:u w:val="single"/>
                <w:lang w:eastAsia="zh-CN"/>
              </w:rPr>
              <w:t>，</w:t>
            </w:r>
            <w:r>
              <w:rPr>
                <w:rFonts w:hint="eastAsia"/>
                <w:color w:val="auto"/>
                <w:sz w:val="24"/>
                <w:szCs w:val="24"/>
                <w:u w:val="single"/>
              </w:rPr>
              <w:t>且</w:t>
            </w:r>
            <w:r>
              <w:rPr>
                <w:rFonts w:hint="eastAsia" w:cs="Times New Roman"/>
                <w:color w:val="auto"/>
                <w:u w:val="single"/>
                <w:lang w:val="en-US" w:eastAsia="zh-CN"/>
              </w:rPr>
              <w:t>蒸汽发生器</w:t>
            </w:r>
            <w:r>
              <w:rPr>
                <w:rFonts w:hint="eastAsia"/>
                <w:color w:val="auto"/>
                <w:sz w:val="24"/>
                <w:szCs w:val="24"/>
                <w:u w:val="single"/>
              </w:rPr>
              <w:t>运行中存在热损耗，热损耗按照用水量2%计，则损耗水量为</w:t>
            </w:r>
            <w:r>
              <w:rPr>
                <w:rFonts w:hint="eastAsia"/>
                <w:color w:val="auto"/>
                <w:sz w:val="24"/>
                <w:szCs w:val="24"/>
                <w:u w:val="single"/>
                <w:lang w:val="en-US" w:eastAsia="zh-CN"/>
              </w:rPr>
              <w:t>60</w:t>
            </w:r>
            <w:r>
              <w:rPr>
                <w:rFonts w:hint="eastAsia"/>
                <w:color w:val="auto"/>
                <w:sz w:val="24"/>
                <w:szCs w:val="24"/>
                <w:u w:val="single"/>
              </w:rPr>
              <w:t>m</w:t>
            </w:r>
            <w:r>
              <w:rPr>
                <w:rFonts w:hint="eastAsia"/>
                <w:color w:val="auto"/>
                <w:sz w:val="24"/>
                <w:szCs w:val="24"/>
                <w:u w:val="single"/>
                <w:vertAlign w:val="superscript"/>
              </w:rPr>
              <w:t>3</w:t>
            </w:r>
            <w:r>
              <w:rPr>
                <w:rFonts w:hint="eastAsia"/>
                <w:color w:val="auto"/>
                <w:sz w:val="24"/>
                <w:szCs w:val="24"/>
                <w:u w:val="single"/>
              </w:rPr>
              <w:t>/a，因此，锅炉需要补充水量为</w:t>
            </w:r>
            <w:r>
              <w:rPr>
                <w:rFonts w:hint="eastAsia"/>
                <w:color w:val="auto"/>
                <w:sz w:val="24"/>
                <w:szCs w:val="24"/>
                <w:u w:val="single"/>
                <w:lang w:val="en-US" w:eastAsia="zh-CN"/>
              </w:rPr>
              <w:t>3060</w:t>
            </w:r>
            <w:r>
              <w:rPr>
                <w:rFonts w:hint="eastAsia"/>
                <w:color w:val="auto"/>
                <w:sz w:val="24"/>
                <w:szCs w:val="24"/>
                <w:u w:val="single"/>
              </w:rPr>
              <w:t>m</w:t>
            </w:r>
            <w:r>
              <w:rPr>
                <w:rFonts w:hint="eastAsia"/>
                <w:color w:val="auto"/>
                <w:sz w:val="24"/>
                <w:szCs w:val="24"/>
                <w:u w:val="single"/>
                <w:vertAlign w:val="superscript"/>
              </w:rPr>
              <w:t>3</w:t>
            </w:r>
            <w:r>
              <w:rPr>
                <w:rFonts w:hint="eastAsia"/>
                <w:color w:val="auto"/>
                <w:sz w:val="24"/>
                <w:szCs w:val="24"/>
                <w:u w:val="single"/>
              </w:rPr>
              <w:t>/a，</w:t>
            </w:r>
            <w:r>
              <w:rPr>
                <w:rFonts w:hint="eastAsia"/>
                <w:color w:val="auto"/>
                <w:sz w:val="24"/>
                <w:szCs w:val="24"/>
                <w:u w:val="single"/>
                <w:lang w:eastAsia="zh-CN"/>
              </w:rPr>
              <w:t>软化水由树脂交换产生，软化水</w:t>
            </w:r>
            <w:r>
              <w:rPr>
                <w:rFonts w:hint="eastAsia" w:ascii="Times New Roman" w:hAnsi="Times New Roman" w:eastAsia="宋体" w:cs="Times New Roman"/>
                <w:bCs/>
                <w:color w:val="auto"/>
                <w:sz w:val="24"/>
                <w:u w:val="single"/>
                <w:lang w:val="en-US" w:eastAsia="zh-CN"/>
              </w:rPr>
              <w:t>得水率为75%，制备软水所需新鲜水量为4</w:t>
            </w:r>
            <w:r>
              <w:rPr>
                <w:rFonts w:hint="eastAsia" w:cs="Times New Roman"/>
                <w:bCs/>
                <w:color w:val="auto"/>
                <w:sz w:val="24"/>
                <w:u w:val="single"/>
                <w:lang w:val="en-US" w:eastAsia="zh-CN"/>
              </w:rPr>
              <w:t>08</w:t>
            </w:r>
            <w:r>
              <w:rPr>
                <w:rFonts w:hint="eastAsia" w:ascii="Times New Roman" w:hAnsi="Times New Roman" w:eastAsia="宋体" w:cs="Times New Roman"/>
                <w:bCs/>
                <w:color w:val="auto"/>
                <w:sz w:val="24"/>
                <w:u w:val="single"/>
                <w:lang w:val="en-US" w:eastAsia="zh-CN"/>
              </w:rPr>
              <w:t>0</w:t>
            </w:r>
            <w:r>
              <w:rPr>
                <w:rFonts w:ascii="Times New Roman" w:hAnsi="Times New Roman" w:eastAsia="宋体" w:cs="Times New Roman"/>
                <w:color w:val="auto"/>
                <w:sz w:val="24"/>
                <w:szCs w:val="24"/>
                <w:u w:val="single"/>
                <w:lang w:eastAsia="zh-CN"/>
              </w:rPr>
              <w:t>m</w:t>
            </w:r>
            <w:r>
              <w:rPr>
                <w:rFonts w:ascii="Times New Roman" w:hAnsi="Times New Roman" w:eastAsia="宋体" w:cs="Times New Roman"/>
                <w:color w:val="auto"/>
                <w:sz w:val="24"/>
                <w:szCs w:val="24"/>
                <w:u w:val="single"/>
                <w:vertAlign w:val="superscript"/>
                <w:lang w:eastAsia="zh-CN"/>
              </w:rPr>
              <w:t>3</w:t>
            </w:r>
            <w:r>
              <w:rPr>
                <w:rFonts w:ascii="Times New Roman" w:hAnsi="Times New Roman" w:eastAsia="宋体" w:cs="Times New Roman"/>
                <w:color w:val="auto"/>
                <w:sz w:val="24"/>
                <w:szCs w:val="24"/>
                <w:u w:val="single"/>
                <w:lang w:eastAsia="zh-CN"/>
              </w:rPr>
              <w:t>/a</w:t>
            </w: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bCs/>
                <w:color w:val="auto"/>
                <w:sz w:val="24"/>
                <w:u w:val="single"/>
                <w:lang w:val="en-US" w:eastAsia="zh-CN"/>
              </w:rPr>
              <w:t>则制</w:t>
            </w:r>
            <w:r>
              <w:rPr>
                <w:rFonts w:hint="eastAsia"/>
                <w:color w:val="auto"/>
                <w:sz w:val="24"/>
                <w:szCs w:val="24"/>
                <w:u w:val="single"/>
                <w:lang w:eastAsia="zh-CN"/>
              </w:rPr>
              <w:t>软化水</w:t>
            </w:r>
            <w:r>
              <w:rPr>
                <w:rFonts w:hint="eastAsia" w:ascii="Times New Roman" w:hAnsi="Times New Roman" w:eastAsia="宋体" w:cs="Times New Roman"/>
                <w:bCs/>
                <w:color w:val="auto"/>
                <w:sz w:val="24"/>
                <w:u w:val="single"/>
                <w:lang w:val="en-US" w:eastAsia="zh-CN"/>
              </w:rPr>
              <w:t>尾水排放量为1</w:t>
            </w:r>
            <w:r>
              <w:rPr>
                <w:rFonts w:hint="eastAsia" w:cs="Times New Roman"/>
                <w:bCs/>
                <w:color w:val="auto"/>
                <w:sz w:val="24"/>
                <w:u w:val="single"/>
                <w:lang w:val="en-US" w:eastAsia="zh-CN"/>
              </w:rPr>
              <w:t>02</w:t>
            </w:r>
            <w:r>
              <w:rPr>
                <w:rFonts w:hint="eastAsia" w:ascii="Times New Roman" w:hAnsi="Times New Roman" w:eastAsia="宋体" w:cs="Times New Roman"/>
                <w:bCs/>
                <w:color w:val="auto"/>
                <w:sz w:val="24"/>
                <w:u w:val="single"/>
                <w:lang w:val="en-US" w:eastAsia="zh-CN"/>
              </w:rPr>
              <w:t>0m</w:t>
            </w:r>
            <w:r>
              <w:rPr>
                <w:rFonts w:hint="eastAsia" w:ascii="Times New Roman" w:hAnsi="Times New Roman" w:eastAsia="宋体" w:cs="Times New Roman"/>
                <w:bCs/>
                <w:color w:val="auto"/>
                <w:sz w:val="24"/>
                <w:u w:val="single"/>
                <w:vertAlign w:val="superscript"/>
                <w:lang w:val="en-US" w:eastAsia="zh-CN"/>
              </w:rPr>
              <w:t>3</w:t>
            </w:r>
            <w:r>
              <w:rPr>
                <w:rFonts w:hint="eastAsia" w:ascii="Times New Roman" w:hAnsi="Times New Roman" w:eastAsia="宋体" w:cs="Times New Roman"/>
                <w:bCs/>
                <w:color w:val="auto"/>
                <w:sz w:val="24"/>
                <w:u w:val="single"/>
                <w:lang w:val="en-US" w:eastAsia="zh-CN"/>
              </w:rPr>
              <w:t>/a，主要含钙镁离子等无机盐。</w:t>
            </w:r>
          </w:p>
          <w:p w14:paraId="0BE17E2C">
            <w:pPr>
              <w:pStyle w:val="95"/>
              <w:ind w:firstLine="480"/>
              <w:jc w:val="left"/>
              <w:rPr>
                <w:rFonts w:hint="eastAsia" w:eastAsia="宋体"/>
                <w:color w:val="auto"/>
                <w:sz w:val="24"/>
                <w:szCs w:val="24"/>
                <w:u w:val="none"/>
                <w:lang w:val="en-US" w:eastAsia="zh-CN"/>
              </w:rPr>
            </w:pPr>
            <w:r>
              <w:rPr>
                <w:rFonts w:hint="eastAsia"/>
                <w:color w:val="auto"/>
                <w:sz w:val="24"/>
                <w:szCs w:val="24"/>
                <w:u w:val="none"/>
                <w:lang w:val="en-US" w:eastAsia="zh-CN"/>
              </w:rPr>
              <w:t>原辅材料</w:t>
            </w:r>
            <w:r>
              <w:rPr>
                <w:rFonts w:hint="eastAsia"/>
                <w:color w:val="auto"/>
                <w:sz w:val="24"/>
                <w:szCs w:val="24"/>
                <w:u w:val="none"/>
                <w:lang w:eastAsia="zh-CN"/>
              </w:rPr>
              <w:t>清洗用水：本项目设置</w:t>
            </w:r>
            <w:r>
              <w:rPr>
                <w:rFonts w:hint="eastAsia"/>
                <w:color w:val="auto"/>
                <w:sz w:val="24"/>
                <w:szCs w:val="24"/>
                <w:u w:val="none"/>
                <w:lang w:val="en-US" w:eastAsia="zh-CN"/>
              </w:rPr>
              <w:t>2台循环水清洗机，每台清洗机的水箱为4</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vertAlign w:val="baseline"/>
                <w:lang w:eastAsia="zh-CN"/>
              </w:rPr>
              <w:t>，清洗水每天更换一次，则每天清洗用水为</w:t>
            </w:r>
            <w:r>
              <w:rPr>
                <w:rFonts w:hint="eastAsia"/>
                <w:color w:val="auto"/>
                <w:sz w:val="24"/>
                <w:szCs w:val="24"/>
                <w:u w:val="none"/>
                <w:vertAlign w:val="baseline"/>
                <w:lang w:val="en-US" w:eastAsia="zh-CN"/>
              </w:rPr>
              <w:t>8</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rPr>
              <w:t>/d</w:t>
            </w:r>
            <w:r>
              <w:rPr>
                <w:rFonts w:hint="eastAsia"/>
                <w:color w:val="auto"/>
                <w:sz w:val="24"/>
                <w:szCs w:val="24"/>
                <w:u w:val="none"/>
                <w:lang w:eastAsia="zh-CN"/>
              </w:rPr>
              <w:t>（</w:t>
            </w:r>
            <w:r>
              <w:rPr>
                <w:rFonts w:hint="eastAsia"/>
                <w:color w:val="auto"/>
                <w:sz w:val="24"/>
                <w:szCs w:val="24"/>
                <w:u w:val="none"/>
                <w:lang w:val="en-US" w:eastAsia="zh-CN"/>
              </w:rPr>
              <w:t>480</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rPr>
              <w:t>/</w:t>
            </w:r>
            <w:r>
              <w:rPr>
                <w:rFonts w:hint="eastAsia"/>
                <w:color w:val="auto"/>
                <w:sz w:val="24"/>
                <w:szCs w:val="24"/>
                <w:u w:val="none"/>
                <w:lang w:val="en-US" w:eastAsia="zh-CN"/>
              </w:rPr>
              <w:t>a</w:t>
            </w:r>
            <w:r>
              <w:rPr>
                <w:rFonts w:hint="eastAsia"/>
                <w:color w:val="auto"/>
                <w:sz w:val="24"/>
                <w:szCs w:val="24"/>
                <w:u w:val="none"/>
                <w:lang w:eastAsia="zh-CN"/>
              </w:rPr>
              <w:t>）。</w:t>
            </w:r>
          </w:p>
          <w:p w14:paraId="60A16B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yellow"/>
                <w:u w:val="none"/>
                <w:lang w:val="en-US" w:eastAsia="zh-CN"/>
              </w:rPr>
            </w:pPr>
            <w:r>
              <w:rPr>
                <w:rFonts w:hint="eastAsia"/>
                <w:color w:val="auto"/>
                <w:sz w:val="24"/>
                <w:szCs w:val="24"/>
                <w:u w:val="none"/>
                <w:lang w:eastAsia="zh-CN"/>
              </w:rPr>
              <w:t>地面清洁用水：</w:t>
            </w:r>
            <w:r>
              <w:rPr>
                <w:rFonts w:hint="eastAsia" w:cs="Times New Roman"/>
                <w:color w:val="auto"/>
                <w:sz w:val="24"/>
                <w:szCs w:val="24"/>
                <w:lang w:val="en-US" w:eastAsia="zh-CN"/>
              </w:rPr>
              <w:t>项目生产车间地面每周拖地1次，生产车间建筑面积约为</w:t>
            </w:r>
            <w:r>
              <w:rPr>
                <w:rFonts w:hint="eastAsia" w:cs="Times New Roman"/>
                <w:color w:val="auto"/>
                <w:sz w:val="24"/>
                <w:szCs w:val="24"/>
                <w:highlight w:val="none"/>
                <w:lang w:val="en-US" w:eastAsia="zh-CN"/>
              </w:rPr>
              <w:t>2000m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lang w:val="en-US" w:eastAsia="zh-CN"/>
              </w:rPr>
              <w:t>，地面拖洗用水量为2L/m</w:t>
            </w:r>
            <w:r>
              <w:rPr>
                <w:rFonts w:hint="eastAsia"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lang w:val="en-US" w:eastAsia="zh-CN"/>
              </w:rPr>
              <w:t>次</w:t>
            </w:r>
            <w:r>
              <w:rPr>
                <w:rFonts w:hint="eastAsia" w:cs="Times New Roman"/>
                <w:color w:val="auto"/>
                <w:sz w:val="24"/>
                <w:szCs w:val="24"/>
                <w:highlight w:val="none"/>
                <w:lang w:val="en-US" w:eastAsia="zh-CN"/>
              </w:rPr>
              <w:t>，则地面拖洗用水量约为4m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/次（36t/a）。</w:t>
            </w:r>
          </w:p>
          <w:p w14:paraId="60599CCA">
            <w:pPr>
              <w:pStyle w:val="95"/>
              <w:ind w:firstLine="480"/>
              <w:jc w:val="both"/>
              <w:rPr>
                <w:rFonts w:hint="eastAsia" w:ascii="Times New Roman" w:hAnsi="Times New Roman" w:eastAsia="宋体" w:cs="Times New Roman"/>
                <w:color w:val="auto"/>
                <w:sz w:val="24"/>
                <w:szCs w:val="24"/>
                <w:u w:val="none"/>
                <w:lang w:val="en-US" w:eastAsia="zh-CN"/>
              </w:rPr>
            </w:pPr>
            <w:r>
              <w:rPr>
                <w:rFonts w:hint="eastAsia"/>
                <w:color w:val="auto"/>
                <w:sz w:val="24"/>
                <w:szCs w:val="24"/>
                <w:u w:val="none"/>
                <w:lang w:eastAsia="zh-CN"/>
              </w:rPr>
              <w:t>生活用水：</w:t>
            </w:r>
            <w:r>
              <w:rPr>
                <w:rFonts w:hint="eastAsia" w:ascii="Times New Roman" w:hAnsi="Times New Roman" w:eastAsia="宋体" w:cs="Times New Roman"/>
                <w:color w:val="auto"/>
                <w:sz w:val="24"/>
                <w:szCs w:val="24"/>
                <w:u w:val="none"/>
                <w:lang w:val="en-US" w:eastAsia="zh-CN"/>
              </w:rPr>
              <w:t>项目劳动定员为</w:t>
            </w:r>
            <w:r>
              <w:rPr>
                <w:rFonts w:hint="eastAsia" w:cs="Times New Roman"/>
                <w:color w:val="auto"/>
                <w:sz w:val="24"/>
                <w:szCs w:val="24"/>
                <w:u w:val="none"/>
                <w:lang w:val="en-US" w:eastAsia="zh-CN"/>
              </w:rPr>
              <w:t>1</w:t>
            </w:r>
            <w:r>
              <w:rPr>
                <w:rFonts w:hint="eastAsia" w:ascii="Times New Roman" w:hAnsi="Times New Roman" w:eastAsia="宋体" w:cs="Times New Roman"/>
                <w:color w:val="auto"/>
                <w:sz w:val="24"/>
                <w:szCs w:val="24"/>
                <w:u w:val="none"/>
                <w:lang w:val="en-US" w:eastAsia="zh-CN"/>
              </w:rPr>
              <w:t>0人，年工作300天。参照《湖南省地方标准  用水定额  第3部分：生活、服务业和建筑业》（DB43/T388.3-2025）表4中</w:t>
            </w:r>
            <w:r>
              <w:rPr>
                <w:rFonts w:hint="eastAsia" w:cs="Times New Roman"/>
                <w:color w:val="auto"/>
                <w:sz w:val="24"/>
                <w:szCs w:val="24"/>
                <w:u w:val="none"/>
                <w:lang w:val="en-US" w:eastAsia="zh-CN"/>
              </w:rPr>
              <w:t>“</w:t>
            </w:r>
            <w:r>
              <w:rPr>
                <w:rFonts w:hint="eastAsia" w:ascii="Times New Roman" w:hAnsi="Times New Roman" w:eastAsia="宋体" w:cs="Times New Roman"/>
                <w:color w:val="auto"/>
                <w:sz w:val="24"/>
                <w:szCs w:val="24"/>
                <w:u w:val="none"/>
                <w:lang w:val="en-US" w:eastAsia="zh-CN"/>
              </w:rPr>
              <w:t>国家机构--机关用水定额指标</w:t>
            </w:r>
            <w:r>
              <w:rPr>
                <w:rFonts w:hint="eastAsia" w:cs="Times New Roman"/>
                <w:color w:val="auto"/>
                <w:sz w:val="24"/>
                <w:szCs w:val="24"/>
                <w:u w:val="none"/>
                <w:lang w:val="en-US" w:eastAsia="zh-CN"/>
              </w:rPr>
              <w:t>”</w:t>
            </w:r>
            <w:r>
              <w:rPr>
                <w:rFonts w:hint="eastAsia" w:ascii="Times New Roman" w:hAnsi="Times New Roman" w:eastAsia="宋体" w:cs="Times New Roman"/>
                <w:color w:val="auto"/>
                <w:sz w:val="24"/>
                <w:szCs w:val="24"/>
                <w:u w:val="none"/>
                <w:lang w:val="en-US" w:eastAsia="zh-CN"/>
              </w:rPr>
              <w:t>，取先进值15m</w:t>
            </w:r>
            <w:r>
              <w:rPr>
                <w:rFonts w:hint="eastAsia" w:ascii="Times New Roman" w:hAnsi="Times New Roman" w:eastAsia="宋体" w:cs="Times New Roman"/>
                <w:color w:val="auto"/>
                <w:sz w:val="24"/>
                <w:szCs w:val="24"/>
                <w:u w:val="none"/>
                <w:vertAlign w:val="superscript"/>
                <w:lang w:val="en-US" w:eastAsia="zh-CN"/>
              </w:rPr>
              <w:t>3</w:t>
            </w:r>
            <w:r>
              <w:rPr>
                <w:rFonts w:hint="eastAsia" w:ascii="Times New Roman" w:hAnsi="Times New Roman" w:eastAsia="宋体" w:cs="Times New Roman"/>
                <w:color w:val="auto"/>
                <w:sz w:val="24"/>
                <w:szCs w:val="24"/>
                <w:u w:val="none"/>
                <w:lang w:val="en-US" w:eastAsia="zh-CN"/>
              </w:rPr>
              <w:t>/人·a，则生活用水量约为</w:t>
            </w:r>
            <w:r>
              <w:rPr>
                <w:rFonts w:hint="eastAsia" w:cs="Times New Roman"/>
                <w:color w:val="auto"/>
                <w:sz w:val="24"/>
                <w:szCs w:val="24"/>
                <w:u w:val="none"/>
                <w:lang w:val="en-US" w:eastAsia="zh-CN"/>
              </w:rPr>
              <w:t>1</w:t>
            </w:r>
            <w:r>
              <w:rPr>
                <w:rFonts w:hint="eastAsia" w:ascii="Times New Roman" w:hAnsi="Times New Roman" w:eastAsia="宋体" w:cs="Times New Roman"/>
                <w:color w:val="auto"/>
                <w:sz w:val="24"/>
                <w:szCs w:val="24"/>
                <w:u w:val="none"/>
                <w:lang w:val="en-US" w:eastAsia="zh-CN"/>
              </w:rPr>
              <w:t>50m</w:t>
            </w:r>
            <w:r>
              <w:rPr>
                <w:rFonts w:hint="eastAsia" w:ascii="Times New Roman" w:hAnsi="Times New Roman" w:eastAsia="宋体" w:cs="Times New Roman"/>
                <w:color w:val="auto"/>
                <w:sz w:val="24"/>
                <w:szCs w:val="24"/>
                <w:u w:val="none"/>
                <w:vertAlign w:val="superscript"/>
                <w:lang w:val="en-US" w:eastAsia="zh-CN"/>
              </w:rPr>
              <w:t>3</w:t>
            </w:r>
            <w:r>
              <w:rPr>
                <w:rFonts w:hint="eastAsia" w:ascii="Times New Roman" w:hAnsi="Times New Roman" w:eastAsia="宋体" w:cs="Times New Roman"/>
                <w:color w:val="auto"/>
                <w:sz w:val="24"/>
                <w:szCs w:val="24"/>
                <w:u w:val="none"/>
                <w:lang w:val="en-US" w:eastAsia="zh-CN"/>
              </w:rPr>
              <w:t>/a（2.5m</w:t>
            </w:r>
            <w:r>
              <w:rPr>
                <w:rFonts w:hint="eastAsia" w:ascii="Times New Roman" w:hAnsi="Times New Roman" w:eastAsia="宋体" w:cs="Times New Roman"/>
                <w:color w:val="auto"/>
                <w:sz w:val="24"/>
                <w:szCs w:val="24"/>
                <w:u w:val="none"/>
                <w:vertAlign w:val="superscript"/>
                <w:lang w:val="en-US" w:eastAsia="zh-CN"/>
              </w:rPr>
              <w:t>3</w:t>
            </w:r>
            <w:r>
              <w:rPr>
                <w:rFonts w:hint="eastAsia" w:ascii="Times New Roman" w:hAnsi="Times New Roman" w:eastAsia="宋体" w:cs="Times New Roman"/>
                <w:color w:val="auto"/>
                <w:sz w:val="24"/>
                <w:szCs w:val="24"/>
                <w:u w:val="none"/>
                <w:lang w:val="en-US" w:eastAsia="zh-CN"/>
              </w:rPr>
              <w:t>/d）。</w:t>
            </w:r>
          </w:p>
          <w:p w14:paraId="411EFB9F">
            <w:pPr>
              <w:pStyle w:val="82"/>
              <w:jc w:val="left"/>
              <w:rPr>
                <w:rFonts w:hint="default" w:ascii="Times New Roman" w:hAnsi="Times New Roman" w:eastAsia="宋体" w:cs="Times New Roman"/>
                <w:bCs/>
                <w:color w:val="auto"/>
              </w:rPr>
            </w:pPr>
            <w:r>
              <w:rPr>
                <w:rFonts w:hint="default" w:ascii="Times New Roman" w:hAnsi="Times New Roman" w:eastAsia="宋体" w:cs="Times New Roman"/>
                <w:bCs/>
                <w:color w:val="auto"/>
              </w:rPr>
              <w:t>（2）排水</w:t>
            </w:r>
          </w:p>
          <w:p w14:paraId="5BF6F4A9">
            <w:pPr>
              <w:pStyle w:val="95"/>
              <w:ind w:firstLine="480"/>
              <w:jc w:val="left"/>
              <w:rPr>
                <w:rFonts w:hint="default" w:ascii="Times New Roman" w:hAnsi="Times New Roman" w:cs="Times New Roman"/>
                <w:color w:val="auto"/>
                <w:u w:val="single"/>
              </w:rPr>
            </w:pPr>
            <w:r>
              <w:rPr>
                <w:rFonts w:hint="default" w:ascii="Times New Roman" w:hAnsi="Times New Roman" w:cs="Times New Roman"/>
                <w:color w:val="auto"/>
                <w:u w:val="single"/>
              </w:rPr>
              <w:t>本项目排水体制为雨污分流。雨水排入市政雨水管网</w:t>
            </w:r>
            <w:r>
              <w:rPr>
                <w:rFonts w:hint="eastAsia" w:cs="Times New Roman"/>
                <w:color w:val="auto"/>
                <w:u w:val="single"/>
                <w:lang w:eastAsia="zh-CN"/>
              </w:rPr>
              <w:t>，</w:t>
            </w:r>
            <w:r>
              <w:rPr>
                <w:rFonts w:hint="eastAsia" w:cs="Times New Roman"/>
                <w:color w:val="auto"/>
                <w:u w:val="single"/>
                <w:lang w:val="en-US" w:eastAsia="zh-CN"/>
              </w:rPr>
              <w:t>生活污水及生产废水排入市政污水管网</w:t>
            </w:r>
            <w:r>
              <w:rPr>
                <w:rFonts w:hint="default" w:ascii="Times New Roman" w:hAnsi="Times New Roman" w:cs="Times New Roman"/>
                <w:color w:val="auto"/>
                <w:u w:val="single"/>
              </w:rPr>
              <w:t>。</w:t>
            </w:r>
          </w:p>
          <w:p w14:paraId="1EDC2991">
            <w:pPr>
              <w:pStyle w:val="95"/>
              <w:ind w:firstLine="480"/>
              <w:jc w:val="left"/>
              <w:rPr>
                <w:rFonts w:hint="eastAsia" w:cs="Times New Roman"/>
                <w:color w:val="auto"/>
                <w:u w:val="none"/>
                <w:lang w:eastAsia="zh-CN"/>
              </w:rPr>
            </w:pPr>
            <w:r>
              <w:rPr>
                <w:rFonts w:hint="eastAsia" w:cs="Times New Roman"/>
                <w:color w:val="auto"/>
                <w:u w:val="none"/>
                <w:lang w:val="en-US" w:eastAsia="zh-CN"/>
              </w:rPr>
              <w:t>本项目外排</w:t>
            </w:r>
            <w:r>
              <w:rPr>
                <w:rFonts w:hint="default" w:ascii="Times New Roman" w:hAnsi="Times New Roman" w:cs="Times New Roman"/>
                <w:color w:val="auto"/>
                <w:u w:val="none"/>
              </w:rPr>
              <w:t>废水主要为生活污水</w:t>
            </w:r>
            <w:r>
              <w:rPr>
                <w:rFonts w:hint="eastAsia" w:cs="Times New Roman"/>
                <w:bCs/>
                <w:color w:val="auto"/>
                <w:lang w:val="en-US" w:eastAsia="zh-CN"/>
              </w:rPr>
              <w:t>、制软水尾水、清洗废水等</w:t>
            </w:r>
            <w:r>
              <w:rPr>
                <w:rFonts w:hint="eastAsia" w:cs="Times New Roman"/>
                <w:color w:val="auto"/>
                <w:u w:val="none"/>
                <w:lang w:eastAsia="zh-CN"/>
              </w:rPr>
              <w:t>。</w:t>
            </w:r>
          </w:p>
          <w:p w14:paraId="1BF1D568">
            <w:pPr>
              <w:pStyle w:val="95"/>
              <w:ind w:firstLine="480"/>
              <w:jc w:val="left"/>
              <w:rPr>
                <w:rFonts w:hint="default" w:ascii="Times New Roman" w:hAnsi="Times New Roman" w:cs="Times New Roman"/>
                <w:color w:val="auto"/>
                <w:u w:val="none"/>
              </w:rPr>
            </w:pPr>
            <w:r>
              <w:rPr>
                <w:rFonts w:hint="eastAsia"/>
                <w:color w:val="auto"/>
                <w:sz w:val="24"/>
                <w:szCs w:val="24"/>
                <w:u w:val="none"/>
                <w:lang w:eastAsia="zh-CN"/>
              </w:rPr>
              <w:t>生活污水</w:t>
            </w:r>
            <w:r>
              <w:rPr>
                <w:rFonts w:hint="eastAsia" w:ascii="Times New Roman" w:hAnsi="Times New Roman" w:eastAsia="宋体" w:cs="Times New Roman"/>
                <w:color w:val="auto"/>
                <w:sz w:val="24"/>
                <w:szCs w:val="24"/>
                <w:u w:val="none"/>
                <w:lang w:val="en-US" w:eastAsia="zh-CN"/>
              </w:rPr>
              <w:t>产污系数按85%计，则污水排放量为</w:t>
            </w:r>
            <w:r>
              <w:rPr>
                <w:rFonts w:hint="eastAsia" w:cs="Times New Roman"/>
                <w:color w:val="auto"/>
                <w:sz w:val="24"/>
                <w:szCs w:val="24"/>
                <w:u w:val="none"/>
                <w:lang w:val="en-US" w:eastAsia="zh-CN"/>
              </w:rPr>
              <w:t>12</w:t>
            </w:r>
            <w:r>
              <w:rPr>
                <w:rFonts w:hint="eastAsia" w:ascii="Times New Roman" w:hAnsi="Times New Roman" w:eastAsia="宋体" w:cs="Times New Roman"/>
                <w:color w:val="auto"/>
                <w:sz w:val="24"/>
                <w:szCs w:val="24"/>
                <w:u w:val="none"/>
                <w:lang w:val="en-US" w:eastAsia="zh-CN"/>
              </w:rPr>
              <w:t>7.5m</w:t>
            </w:r>
            <w:r>
              <w:rPr>
                <w:rFonts w:hint="eastAsia" w:ascii="Times New Roman" w:hAnsi="Times New Roman" w:eastAsia="宋体" w:cs="Times New Roman"/>
                <w:color w:val="auto"/>
                <w:sz w:val="24"/>
                <w:szCs w:val="24"/>
                <w:u w:val="none"/>
                <w:vertAlign w:val="superscript"/>
                <w:lang w:val="en-US" w:eastAsia="zh-CN"/>
              </w:rPr>
              <w:t>3</w:t>
            </w:r>
            <w:r>
              <w:rPr>
                <w:rFonts w:hint="eastAsia" w:ascii="Times New Roman" w:hAnsi="Times New Roman" w:eastAsia="宋体" w:cs="Times New Roman"/>
                <w:color w:val="auto"/>
                <w:sz w:val="24"/>
                <w:szCs w:val="24"/>
                <w:u w:val="none"/>
                <w:lang w:val="en-US" w:eastAsia="zh-CN"/>
              </w:rPr>
              <w:t>/a（2.125m</w:t>
            </w:r>
            <w:r>
              <w:rPr>
                <w:rFonts w:hint="eastAsia" w:ascii="Times New Roman" w:hAnsi="Times New Roman" w:eastAsia="宋体" w:cs="Times New Roman"/>
                <w:color w:val="auto"/>
                <w:sz w:val="24"/>
                <w:szCs w:val="24"/>
                <w:u w:val="none"/>
                <w:vertAlign w:val="superscript"/>
                <w:lang w:val="en-US" w:eastAsia="zh-CN"/>
              </w:rPr>
              <w:t>3</w:t>
            </w:r>
            <w:r>
              <w:rPr>
                <w:rFonts w:hint="eastAsia" w:ascii="Times New Roman" w:hAnsi="Times New Roman" w:eastAsia="宋体" w:cs="Times New Roman"/>
                <w:color w:val="auto"/>
                <w:sz w:val="24"/>
                <w:szCs w:val="24"/>
                <w:u w:val="none"/>
                <w:lang w:val="en-US" w:eastAsia="zh-CN"/>
              </w:rPr>
              <w:t>/d）</w:t>
            </w:r>
            <w:r>
              <w:rPr>
                <w:rFonts w:hint="eastAsia"/>
                <w:color w:val="auto"/>
                <w:sz w:val="24"/>
                <w:szCs w:val="24"/>
                <w:u w:val="none"/>
                <w:lang w:eastAsia="zh-CN"/>
              </w:rPr>
              <w:t>。</w:t>
            </w:r>
            <w:r>
              <w:rPr>
                <w:rFonts w:hint="eastAsia" w:cs="Times New Roman"/>
                <w:color w:val="auto"/>
                <w:u w:val="none"/>
                <w:lang w:val="en-US" w:eastAsia="zh-CN"/>
              </w:rPr>
              <w:t>生活污水经化粪池预处理后，通过</w:t>
            </w:r>
            <w:r>
              <w:rPr>
                <w:rFonts w:hint="eastAsia" w:cs="Times New Roman"/>
                <w:color w:val="auto"/>
                <w:u w:val="none"/>
                <w:lang w:eastAsia="zh-CN"/>
              </w:rPr>
              <w:t>市政</w:t>
            </w:r>
            <w:r>
              <w:rPr>
                <w:rFonts w:hint="eastAsia" w:cs="Times New Roman"/>
                <w:color w:val="auto"/>
                <w:u w:val="none"/>
                <w:lang w:val="en-US" w:eastAsia="zh-CN"/>
              </w:rPr>
              <w:t>污水</w:t>
            </w:r>
            <w:r>
              <w:rPr>
                <w:rFonts w:hint="eastAsia" w:cs="Times New Roman"/>
                <w:color w:val="auto"/>
                <w:u w:val="none"/>
                <w:lang w:eastAsia="zh-CN"/>
              </w:rPr>
              <w:t>管网</w:t>
            </w:r>
            <w:r>
              <w:rPr>
                <w:rFonts w:hint="default" w:ascii="Times New Roman" w:hAnsi="Times New Roman" w:cs="Times New Roman"/>
                <w:color w:val="auto"/>
                <w:u w:val="none"/>
              </w:rPr>
              <w:t>排至</w:t>
            </w:r>
            <w:r>
              <w:rPr>
                <w:rFonts w:hint="default" w:ascii="Times New Roman" w:hAnsi="Times New Roman" w:cs="Times New Roman"/>
                <w:color w:val="auto"/>
                <w:u w:val="none"/>
                <w:lang w:eastAsia="zh-CN"/>
              </w:rPr>
              <w:t>龙潭镇污水</w:t>
            </w:r>
            <w:r>
              <w:rPr>
                <w:rFonts w:hint="default" w:ascii="Times New Roman" w:hAnsi="Times New Roman" w:cs="Times New Roman"/>
                <w:color w:val="auto"/>
                <w:u w:val="none"/>
              </w:rPr>
              <w:t>处理厂处理，最终排入</w:t>
            </w:r>
            <w:r>
              <w:rPr>
                <w:rFonts w:hint="default" w:ascii="Times New Roman" w:hAnsi="Times New Roman" w:cs="Times New Roman"/>
                <w:color w:val="auto"/>
                <w:szCs w:val="21"/>
                <w:u w:val="none"/>
                <w:lang w:eastAsia="zh-CN"/>
              </w:rPr>
              <w:t>二都河</w:t>
            </w:r>
            <w:r>
              <w:rPr>
                <w:rFonts w:hint="default" w:ascii="Times New Roman" w:hAnsi="Times New Roman" w:cs="Times New Roman"/>
                <w:color w:val="auto"/>
                <w:u w:val="none"/>
              </w:rPr>
              <w:t>。</w:t>
            </w:r>
          </w:p>
          <w:p w14:paraId="7F858C18">
            <w:pPr>
              <w:pStyle w:val="95"/>
              <w:ind w:firstLine="480"/>
              <w:jc w:val="left"/>
              <w:rPr>
                <w:rFonts w:hint="eastAsia" w:cs="Times New Roman"/>
                <w:color w:val="auto"/>
                <w:u w:val="none"/>
                <w:lang w:eastAsia="zh-CN"/>
              </w:rPr>
            </w:pPr>
            <w:r>
              <w:rPr>
                <w:rFonts w:hint="eastAsia"/>
                <w:color w:val="auto"/>
                <w:sz w:val="24"/>
                <w:szCs w:val="24"/>
                <w:u w:val="single"/>
                <w:lang w:eastAsia="zh-CN"/>
              </w:rPr>
              <w:t>软化水</w:t>
            </w:r>
            <w:r>
              <w:rPr>
                <w:rFonts w:hint="eastAsia" w:ascii="Times New Roman" w:hAnsi="Times New Roman" w:eastAsia="宋体" w:cs="Times New Roman"/>
                <w:bCs/>
                <w:color w:val="auto"/>
                <w:sz w:val="24"/>
                <w:u w:val="single"/>
                <w:lang w:val="en-US" w:eastAsia="zh-CN"/>
              </w:rPr>
              <w:t>得水率为75%，制备软水所需新鲜水量为4800</w:t>
            </w:r>
            <w:r>
              <w:rPr>
                <w:rFonts w:ascii="Times New Roman" w:hAnsi="Times New Roman" w:eastAsia="宋体" w:cs="Times New Roman"/>
                <w:color w:val="auto"/>
                <w:sz w:val="24"/>
                <w:szCs w:val="24"/>
                <w:u w:val="single"/>
                <w:lang w:eastAsia="zh-CN"/>
              </w:rPr>
              <w:t>m</w:t>
            </w:r>
            <w:r>
              <w:rPr>
                <w:rFonts w:ascii="Times New Roman" w:hAnsi="Times New Roman" w:eastAsia="宋体" w:cs="Times New Roman"/>
                <w:color w:val="auto"/>
                <w:sz w:val="24"/>
                <w:szCs w:val="24"/>
                <w:u w:val="single"/>
                <w:vertAlign w:val="superscript"/>
                <w:lang w:eastAsia="zh-CN"/>
              </w:rPr>
              <w:t>3</w:t>
            </w:r>
            <w:r>
              <w:rPr>
                <w:rFonts w:ascii="Times New Roman" w:hAnsi="Times New Roman" w:eastAsia="宋体" w:cs="Times New Roman"/>
                <w:color w:val="auto"/>
                <w:sz w:val="24"/>
                <w:szCs w:val="24"/>
                <w:u w:val="single"/>
                <w:lang w:eastAsia="zh-CN"/>
              </w:rPr>
              <w:t>/a</w:t>
            </w: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bCs/>
                <w:color w:val="auto"/>
                <w:sz w:val="24"/>
                <w:u w:val="single"/>
                <w:lang w:val="en-US" w:eastAsia="zh-CN"/>
              </w:rPr>
              <w:t>则制</w:t>
            </w:r>
            <w:r>
              <w:rPr>
                <w:rFonts w:hint="eastAsia"/>
                <w:color w:val="auto"/>
                <w:sz w:val="24"/>
                <w:szCs w:val="24"/>
                <w:u w:val="single"/>
                <w:lang w:eastAsia="zh-CN"/>
              </w:rPr>
              <w:t>软化水</w:t>
            </w:r>
            <w:r>
              <w:rPr>
                <w:rFonts w:hint="eastAsia" w:ascii="Times New Roman" w:hAnsi="Times New Roman" w:eastAsia="宋体" w:cs="Times New Roman"/>
                <w:bCs/>
                <w:color w:val="auto"/>
                <w:sz w:val="24"/>
                <w:u w:val="single"/>
                <w:lang w:val="en-US" w:eastAsia="zh-CN"/>
              </w:rPr>
              <w:t>尾水排放量为1200m</w:t>
            </w:r>
            <w:r>
              <w:rPr>
                <w:rFonts w:hint="eastAsia" w:ascii="Times New Roman" w:hAnsi="Times New Roman" w:eastAsia="宋体" w:cs="Times New Roman"/>
                <w:bCs/>
                <w:color w:val="auto"/>
                <w:sz w:val="24"/>
                <w:u w:val="single"/>
                <w:vertAlign w:val="superscript"/>
                <w:lang w:val="en-US" w:eastAsia="zh-CN"/>
              </w:rPr>
              <w:t>3</w:t>
            </w:r>
            <w:r>
              <w:rPr>
                <w:rFonts w:hint="eastAsia" w:ascii="Times New Roman" w:hAnsi="Times New Roman" w:eastAsia="宋体" w:cs="Times New Roman"/>
                <w:bCs/>
                <w:color w:val="auto"/>
                <w:sz w:val="24"/>
                <w:u w:val="single"/>
                <w:lang w:val="en-US" w:eastAsia="zh-CN"/>
              </w:rPr>
              <w:t>/a，主要含钙</w:t>
            </w:r>
            <w:r>
              <w:rPr>
                <w:rFonts w:hint="eastAsia" w:cs="Times New Roman"/>
                <w:bCs/>
                <w:color w:val="auto"/>
                <w:sz w:val="24"/>
                <w:u w:val="single"/>
                <w:lang w:val="en-US" w:eastAsia="zh-CN"/>
              </w:rPr>
              <w:t>、</w:t>
            </w:r>
            <w:r>
              <w:rPr>
                <w:rFonts w:hint="eastAsia" w:ascii="Times New Roman" w:hAnsi="Times New Roman" w:eastAsia="宋体" w:cs="Times New Roman"/>
                <w:bCs/>
                <w:color w:val="auto"/>
                <w:sz w:val="24"/>
                <w:u w:val="single"/>
                <w:lang w:val="en-US" w:eastAsia="zh-CN"/>
              </w:rPr>
              <w:t>镁离子等无机盐。</w:t>
            </w:r>
          </w:p>
          <w:p w14:paraId="4B780E33">
            <w:pPr>
              <w:pStyle w:val="95"/>
              <w:ind w:firstLine="480"/>
              <w:jc w:val="left"/>
              <w:rPr>
                <w:rFonts w:hint="eastAsia" w:ascii="Times New Roman" w:hAnsi="宋体" w:eastAsia="宋体" w:cs="Times New Roman"/>
                <w:color w:val="auto"/>
                <w:szCs w:val="21"/>
                <w:lang w:val="en-US" w:eastAsia="zh-CN"/>
              </w:rPr>
            </w:pPr>
            <w:r>
              <w:rPr>
                <w:rFonts w:hint="eastAsia" w:cs="Times New Roman"/>
                <w:color w:val="auto"/>
                <w:u w:val="none"/>
                <w:lang w:eastAsia="zh-CN"/>
              </w:rPr>
              <w:t>为减轻后续烘干压力，清洗</w:t>
            </w:r>
            <w:r>
              <w:rPr>
                <w:rFonts w:hint="eastAsia" w:cs="Times New Roman"/>
                <w:color w:val="auto"/>
                <w:u w:val="none"/>
                <w:lang w:val="en-US" w:eastAsia="zh-CN"/>
              </w:rPr>
              <w:t>机</w:t>
            </w:r>
            <w:r>
              <w:rPr>
                <w:rFonts w:hint="eastAsia" w:cs="Times New Roman"/>
                <w:color w:val="auto"/>
                <w:u w:val="none"/>
                <w:lang w:eastAsia="zh-CN"/>
              </w:rPr>
              <w:t>带沥干功能，因此废水产生量取新鲜用水量的</w:t>
            </w:r>
            <w:r>
              <w:rPr>
                <w:rFonts w:hint="eastAsia" w:cs="Times New Roman"/>
                <w:color w:val="auto"/>
                <w:u w:val="none"/>
                <w:lang w:val="en-US" w:eastAsia="zh-CN"/>
              </w:rPr>
              <w:t>98%，则清洗废水为7.84</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rPr>
              <w:t>/d</w:t>
            </w:r>
            <w:r>
              <w:rPr>
                <w:rFonts w:hint="eastAsia"/>
                <w:color w:val="auto"/>
                <w:sz w:val="24"/>
                <w:szCs w:val="24"/>
                <w:u w:val="none"/>
                <w:lang w:eastAsia="zh-CN"/>
              </w:rPr>
              <w:t>（</w:t>
            </w:r>
            <w:r>
              <w:rPr>
                <w:rFonts w:hint="eastAsia"/>
                <w:color w:val="auto"/>
                <w:sz w:val="24"/>
                <w:szCs w:val="24"/>
                <w:u w:val="none"/>
                <w:lang w:val="en-US" w:eastAsia="zh-CN"/>
              </w:rPr>
              <w:t>470.4</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rPr>
              <w:t>/</w:t>
            </w:r>
            <w:r>
              <w:rPr>
                <w:rFonts w:hint="eastAsia"/>
                <w:color w:val="auto"/>
                <w:sz w:val="24"/>
                <w:szCs w:val="24"/>
                <w:u w:val="none"/>
                <w:lang w:val="en-US" w:eastAsia="zh-CN"/>
              </w:rPr>
              <w:t>a</w:t>
            </w:r>
            <w:r>
              <w:rPr>
                <w:rFonts w:hint="eastAsia"/>
                <w:color w:val="auto"/>
                <w:sz w:val="24"/>
                <w:szCs w:val="24"/>
                <w:u w:val="none"/>
                <w:lang w:eastAsia="zh-CN"/>
              </w:rPr>
              <w:t>），</w:t>
            </w:r>
            <w:r>
              <w:rPr>
                <w:rFonts w:hint="eastAsia"/>
                <w:color w:val="auto"/>
                <w:sz w:val="24"/>
                <w:szCs w:val="24"/>
                <w:u w:val="none"/>
                <w:lang w:val="en-US" w:eastAsia="zh-CN"/>
              </w:rPr>
              <w:t>清洗过程不添加清洗剂，废水主要污染物为SS。</w:t>
            </w:r>
            <w:r>
              <w:rPr>
                <w:rFonts w:hint="eastAsia" w:cs="Times New Roman"/>
                <w:color w:val="auto"/>
                <w:sz w:val="24"/>
                <w:szCs w:val="24"/>
                <w:highlight w:val="none"/>
                <w:lang w:val="en-US" w:eastAsia="zh-CN"/>
              </w:rPr>
              <w:t>地面清洁废水</w:t>
            </w:r>
            <w:r>
              <w:rPr>
                <w:rFonts w:hint="eastAsia"/>
                <w:color w:val="auto"/>
                <w:sz w:val="24"/>
                <w:szCs w:val="24"/>
                <w:u w:val="none"/>
                <w:lang w:eastAsia="zh-CN"/>
              </w:rPr>
              <w:t>产生量取</w:t>
            </w:r>
            <w:r>
              <w:rPr>
                <w:rFonts w:hint="eastAsia"/>
                <w:color w:val="auto"/>
                <w:sz w:val="24"/>
                <w:szCs w:val="24"/>
                <w:u w:val="none"/>
                <w:lang w:val="en-US" w:eastAsia="zh-CN"/>
              </w:rPr>
              <w:t>95%，则污水量为3.8</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rPr>
              <w:t>/d</w:t>
            </w:r>
            <w:r>
              <w:rPr>
                <w:rFonts w:hint="eastAsia"/>
                <w:color w:val="auto"/>
                <w:sz w:val="24"/>
                <w:szCs w:val="24"/>
                <w:u w:val="none"/>
                <w:lang w:eastAsia="zh-CN"/>
              </w:rPr>
              <w:t>（</w:t>
            </w:r>
            <w:r>
              <w:rPr>
                <w:rFonts w:hint="eastAsia"/>
                <w:color w:val="auto"/>
                <w:sz w:val="24"/>
                <w:szCs w:val="24"/>
                <w:u w:val="none"/>
                <w:lang w:val="en-US" w:eastAsia="zh-CN"/>
              </w:rPr>
              <w:t>34.2</w:t>
            </w:r>
            <w:r>
              <w:rPr>
                <w:rFonts w:hint="eastAsia"/>
                <w:color w:val="auto"/>
                <w:sz w:val="24"/>
                <w:szCs w:val="24"/>
                <w:u w:val="none"/>
              </w:rPr>
              <w:t>m</w:t>
            </w:r>
            <w:r>
              <w:rPr>
                <w:rFonts w:hint="eastAsia"/>
                <w:color w:val="auto"/>
                <w:sz w:val="24"/>
                <w:szCs w:val="24"/>
                <w:u w:val="none"/>
                <w:vertAlign w:val="superscript"/>
              </w:rPr>
              <w:t>3</w:t>
            </w:r>
            <w:r>
              <w:rPr>
                <w:rFonts w:hint="eastAsia"/>
                <w:color w:val="auto"/>
                <w:sz w:val="24"/>
                <w:szCs w:val="24"/>
                <w:u w:val="none"/>
              </w:rPr>
              <w:t>/</w:t>
            </w:r>
            <w:r>
              <w:rPr>
                <w:rFonts w:hint="eastAsia"/>
                <w:color w:val="auto"/>
                <w:sz w:val="24"/>
                <w:szCs w:val="24"/>
                <w:u w:val="none"/>
                <w:lang w:val="en-US" w:eastAsia="zh-CN"/>
              </w:rPr>
              <w:t>a</w:t>
            </w:r>
            <w:r>
              <w:rPr>
                <w:rFonts w:hint="eastAsia"/>
                <w:color w:val="auto"/>
                <w:sz w:val="24"/>
                <w:szCs w:val="24"/>
                <w:u w:val="none"/>
                <w:lang w:eastAsia="zh-CN"/>
              </w:rPr>
              <w:t>），</w:t>
            </w:r>
            <w:r>
              <w:rPr>
                <w:rFonts w:hint="eastAsia" w:cs="Times New Roman"/>
                <w:color w:val="auto"/>
                <w:sz w:val="24"/>
                <w:szCs w:val="24"/>
                <w:highlight w:val="none"/>
                <w:lang w:val="en-US" w:eastAsia="zh-CN"/>
              </w:rPr>
              <w:t>地面清洁废水</w:t>
            </w:r>
            <w:r>
              <w:rPr>
                <w:rFonts w:hint="eastAsia"/>
                <w:color w:val="auto"/>
                <w:sz w:val="24"/>
                <w:szCs w:val="24"/>
                <w:u w:val="none"/>
                <w:lang w:val="en-US" w:eastAsia="zh-CN"/>
              </w:rPr>
              <w:t>主要污染物为SS</w:t>
            </w:r>
            <w:r>
              <w:rPr>
                <w:rFonts w:hint="eastAsia"/>
                <w:color w:val="auto"/>
                <w:sz w:val="24"/>
                <w:szCs w:val="24"/>
                <w:u w:val="none"/>
                <w:lang w:eastAsia="zh-CN"/>
              </w:rPr>
              <w:t>。</w:t>
            </w:r>
            <w:r>
              <w:rPr>
                <w:rFonts w:hint="eastAsia" w:cs="Times New Roman"/>
                <w:color w:val="auto"/>
                <w:u w:val="none"/>
                <w:lang w:val="en-US" w:eastAsia="zh-CN"/>
              </w:rPr>
              <w:t>中药材原材料</w:t>
            </w:r>
            <w:r>
              <w:rPr>
                <w:rFonts w:hint="eastAsia" w:cs="Times New Roman"/>
                <w:color w:val="auto"/>
                <w:u w:val="none"/>
                <w:lang w:eastAsia="zh-CN"/>
              </w:rPr>
              <w:t>清洗</w:t>
            </w:r>
            <w:r>
              <w:rPr>
                <w:rFonts w:hint="default" w:ascii="Times New Roman" w:hAnsi="Times New Roman" w:cs="Times New Roman"/>
                <w:color w:val="auto"/>
                <w:u w:val="none"/>
              </w:rPr>
              <w:t>废水</w:t>
            </w:r>
            <w:r>
              <w:rPr>
                <w:rFonts w:hint="default" w:ascii="Times New Roman" w:hAnsi="Times New Roman" w:cs="Times New Roman"/>
                <w:color w:val="auto"/>
                <w:u w:val="none"/>
                <w:lang w:eastAsia="zh-CN"/>
              </w:rPr>
              <w:t>、</w:t>
            </w:r>
            <w:r>
              <w:rPr>
                <w:rFonts w:hint="eastAsia" w:cs="Times New Roman"/>
                <w:color w:val="auto"/>
                <w:u w:val="none"/>
                <w:lang w:eastAsia="zh-CN"/>
              </w:rPr>
              <w:t>地面清洁废水</w:t>
            </w:r>
            <w:r>
              <w:rPr>
                <w:rFonts w:hint="eastAsia"/>
                <w:color w:val="auto"/>
                <w:sz w:val="24"/>
                <w:szCs w:val="24"/>
                <w:u w:val="none"/>
                <w:lang w:val="en-US" w:eastAsia="zh-CN"/>
              </w:rPr>
              <w:t>经三级沉淀池处理后</w:t>
            </w:r>
            <w:r>
              <w:rPr>
                <w:rFonts w:hint="eastAsia" w:ascii="Times New Roman" w:hAnsi="宋体" w:eastAsia="宋体" w:cs="Times New Roman"/>
                <w:color w:val="auto"/>
                <w:szCs w:val="21"/>
                <w:lang w:val="en-US" w:eastAsia="zh-CN"/>
              </w:rPr>
              <w:t>经市政管网排放至龙潭镇污水处理厂。</w:t>
            </w:r>
          </w:p>
          <w:p w14:paraId="55D881C8">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表2-</w:t>
            </w:r>
            <w:r>
              <w:rPr>
                <w:rFonts w:hint="eastAsia" w:cs="Times New Roman"/>
                <w:color w:val="auto"/>
                <w:sz w:val="24"/>
                <w:szCs w:val="24"/>
                <w:u w:val="none"/>
                <w:lang w:val="en-US" w:eastAsia="zh-CN"/>
              </w:rPr>
              <w:t xml:space="preserve">9  </w:t>
            </w:r>
            <w:r>
              <w:rPr>
                <w:rFonts w:hint="default" w:ascii="Times New Roman" w:hAnsi="Times New Roman" w:eastAsia="宋体" w:cs="Times New Roman"/>
                <w:color w:val="auto"/>
                <w:sz w:val="24"/>
                <w:szCs w:val="24"/>
                <w:u w:val="none"/>
                <w:lang w:val="en-US" w:eastAsia="zh-CN"/>
              </w:rPr>
              <w:t xml:space="preserve"> 项目用水情况一览表</w:t>
            </w:r>
          </w:p>
          <w:tbl>
            <w:tblPr>
              <w:tblStyle w:val="32"/>
              <w:tblW w:w="7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4"/>
              <w:gridCol w:w="1303"/>
              <w:gridCol w:w="1294"/>
              <w:gridCol w:w="1069"/>
              <w:gridCol w:w="1706"/>
              <w:gridCol w:w="782"/>
            </w:tblGrid>
            <w:tr w14:paraId="5780F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04" w:type="dxa"/>
                  <w:noWrap w:val="0"/>
                  <w:vAlign w:val="center"/>
                </w:tcPr>
                <w:p w14:paraId="7619D66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1303" w:type="dxa"/>
                  <w:noWrap w:val="0"/>
                  <w:vAlign w:val="center"/>
                </w:tcPr>
                <w:p w14:paraId="51A02EE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用水量标准</w:t>
                  </w:r>
                </w:p>
              </w:tc>
              <w:tc>
                <w:tcPr>
                  <w:tcW w:w="1294" w:type="dxa"/>
                  <w:noWrap w:val="0"/>
                  <w:vAlign w:val="center"/>
                </w:tcPr>
                <w:p w14:paraId="78CAC7E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用水单位数</w:t>
                  </w:r>
                </w:p>
              </w:tc>
              <w:tc>
                <w:tcPr>
                  <w:tcW w:w="1069" w:type="dxa"/>
                  <w:noWrap w:val="0"/>
                  <w:vAlign w:val="center"/>
                </w:tcPr>
                <w:p w14:paraId="02AC011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用水量</w:t>
                  </w:r>
                </w:p>
              </w:tc>
              <w:tc>
                <w:tcPr>
                  <w:tcW w:w="1706" w:type="dxa"/>
                  <w:noWrap w:val="0"/>
                  <w:vAlign w:val="center"/>
                </w:tcPr>
                <w:p w14:paraId="20F263E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废水排放量</w:t>
                  </w:r>
                </w:p>
              </w:tc>
              <w:tc>
                <w:tcPr>
                  <w:tcW w:w="782" w:type="dxa"/>
                  <w:noWrap w:val="0"/>
                  <w:vAlign w:val="center"/>
                </w:tcPr>
                <w:p w14:paraId="21ED24C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w:t>
                  </w:r>
                </w:p>
              </w:tc>
            </w:tr>
            <w:tr w14:paraId="5F48D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04" w:type="dxa"/>
                  <w:noWrap w:val="0"/>
                  <w:vAlign w:val="center"/>
                </w:tcPr>
                <w:p w14:paraId="7EA58C7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生活用水</w:t>
                  </w:r>
                </w:p>
              </w:tc>
              <w:tc>
                <w:tcPr>
                  <w:tcW w:w="1303" w:type="dxa"/>
                  <w:noWrap w:val="0"/>
                  <w:vAlign w:val="center"/>
                </w:tcPr>
                <w:p w14:paraId="4AF8B35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5</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p>
              </w:tc>
              <w:tc>
                <w:tcPr>
                  <w:tcW w:w="1294" w:type="dxa"/>
                  <w:noWrap w:val="0"/>
                  <w:vAlign w:val="center"/>
                </w:tcPr>
                <w:p w14:paraId="42CEBC82">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rPr>
                    <w:t>人</w:t>
                  </w:r>
                </w:p>
              </w:tc>
              <w:tc>
                <w:tcPr>
                  <w:tcW w:w="1069" w:type="dxa"/>
                  <w:noWrap w:val="0"/>
                  <w:vAlign w:val="center"/>
                </w:tcPr>
                <w:p w14:paraId="76F81E07">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tc>
              <w:tc>
                <w:tcPr>
                  <w:tcW w:w="1706" w:type="dxa"/>
                  <w:noWrap w:val="0"/>
                  <w:vAlign w:val="center"/>
                </w:tcPr>
                <w:p w14:paraId="40076312">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7.5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tc>
              <w:tc>
                <w:tcPr>
                  <w:tcW w:w="782" w:type="dxa"/>
                  <w:vMerge w:val="restart"/>
                  <w:noWrap w:val="0"/>
                  <w:vAlign w:val="center"/>
                </w:tcPr>
                <w:p w14:paraId="6845D38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纳入</w:t>
                  </w:r>
                  <w:r>
                    <w:rPr>
                      <w:rFonts w:hint="default" w:ascii="Times New Roman" w:hAnsi="Times New Roman" w:eastAsia="宋体" w:cs="Times New Roman"/>
                      <w:color w:val="auto"/>
                      <w:sz w:val="21"/>
                      <w:szCs w:val="21"/>
                      <w:u w:val="none"/>
                      <w:lang w:eastAsia="zh-CN"/>
                    </w:rPr>
                    <w:t>龙潭镇污水</w:t>
                  </w:r>
                  <w:r>
                    <w:rPr>
                      <w:rFonts w:hint="default" w:ascii="Times New Roman" w:hAnsi="Times New Roman" w:eastAsia="宋体" w:cs="Times New Roman"/>
                      <w:color w:val="auto"/>
                      <w:sz w:val="21"/>
                      <w:szCs w:val="21"/>
                      <w:u w:val="none"/>
                    </w:rPr>
                    <w:t>处理厂</w:t>
                  </w:r>
                </w:p>
              </w:tc>
            </w:tr>
            <w:tr w14:paraId="2D751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04" w:type="dxa"/>
                  <w:noWrap w:val="0"/>
                  <w:vAlign w:val="center"/>
                </w:tcPr>
                <w:p w14:paraId="4651A31B">
                  <w:pPr>
                    <w:jc w:val="center"/>
                    <w:rPr>
                      <w:rFonts w:hint="default" w:ascii="Times New Roman" w:hAnsi="Times New Roman" w:eastAsia="宋体" w:cs="Times New Roman"/>
                      <w:color w:val="auto"/>
                      <w:sz w:val="21"/>
                      <w:szCs w:val="21"/>
                      <w:u w:val="single"/>
                    </w:rPr>
                  </w:pPr>
                  <w:r>
                    <w:rPr>
                      <w:rFonts w:hint="eastAsia"/>
                      <w:color w:val="auto"/>
                      <w:sz w:val="21"/>
                      <w:szCs w:val="21"/>
                      <w:u w:val="single"/>
                      <w:lang w:val="en-US" w:eastAsia="zh-CN"/>
                    </w:rPr>
                    <w:t>制</w:t>
                  </w:r>
                  <w:r>
                    <w:rPr>
                      <w:rFonts w:hint="eastAsia"/>
                      <w:color w:val="auto"/>
                      <w:sz w:val="21"/>
                      <w:szCs w:val="21"/>
                      <w:u w:val="single"/>
                      <w:lang w:eastAsia="zh-CN"/>
                    </w:rPr>
                    <w:t>软化水</w:t>
                  </w:r>
                  <w:r>
                    <w:rPr>
                      <w:rFonts w:hint="default" w:ascii="Times New Roman" w:hAnsi="Times New Roman" w:eastAsia="宋体" w:cs="Times New Roman"/>
                      <w:color w:val="auto"/>
                      <w:sz w:val="21"/>
                      <w:szCs w:val="21"/>
                      <w:u w:val="single"/>
                    </w:rPr>
                    <w:t>用水</w:t>
                  </w:r>
                </w:p>
              </w:tc>
              <w:tc>
                <w:tcPr>
                  <w:tcW w:w="1303" w:type="dxa"/>
                  <w:noWrap w:val="0"/>
                  <w:vAlign w:val="center"/>
                </w:tcPr>
                <w:p w14:paraId="161653A5">
                  <w:pPr>
                    <w:jc w:val="center"/>
                    <w:rPr>
                      <w:rFonts w:hint="default" w:ascii="Times New Roman" w:hAnsi="Times New Roman" w:eastAsia="宋体" w:cs="Times New Roman"/>
                      <w:color w:val="auto"/>
                      <w:sz w:val="21"/>
                      <w:szCs w:val="21"/>
                      <w:u w:val="single"/>
                      <w:lang w:eastAsia="zh-CN"/>
                    </w:rPr>
                  </w:pPr>
                  <w:r>
                    <w:rPr>
                      <w:rFonts w:hint="default" w:ascii="Times New Roman" w:hAnsi="Times New Roman" w:eastAsia="宋体" w:cs="Times New Roman"/>
                      <w:color w:val="auto"/>
                      <w:sz w:val="21"/>
                      <w:szCs w:val="21"/>
                      <w:u w:val="single"/>
                      <w:lang w:val="en-US" w:eastAsia="zh-CN"/>
                    </w:rPr>
                    <w:t>/</w:t>
                  </w:r>
                </w:p>
              </w:tc>
              <w:tc>
                <w:tcPr>
                  <w:tcW w:w="1294" w:type="dxa"/>
                  <w:noWrap w:val="0"/>
                  <w:vAlign w:val="center"/>
                </w:tcPr>
                <w:p w14:paraId="676FFC7B">
                  <w:pPr>
                    <w:jc w:val="center"/>
                    <w:rPr>
                      <w:rFonts w:hint="default" w:ascii="Times New Roman" w:hAnsi="Times New Roman" w:eastAsia="宋体" w:cs="Times New Roman"/>
                      <w:color w:val="auto"/>
                      <w:sz w:val="21"/>
                      <w:szCs w:val="21"/>
                      <w:u w:val="single"/>
                      <w:lang w:eastAsia="zh-CN"/>
                    </w:rPr>
                  </w:pPr>
                  <w:r>
                    <w:rPr>
                      <w:rFonts w:hint="default" w:ascii="Times New Roman" w:hAnsi="Times New Roman" w:eastAsia="宋体" w:cs="Times New Roman"/>
                      <w:color w:val="auto"/>
                      <w:sz w:val="21"/>
                      <w:szCs w:val="21"/>
                      <w:u w:val="single"/>
                      <w:lang w:val="en-US" w:eastAsia="zh-CN"/>
                    </w:rPr>
                    <w:t>/</w:t>
                  </w:r>
                </w:p>
              </w:tc>
              <w:tc>
                <w:tcPr>
                  <w:tcW w:w="1069" w:type="dxa"/>
                  <w:noWrap w:val="0"/>
                  <w:vAlign w:val="center"/>
                </w:tcPr>
                <w:p w14:paraId="3A515684">
                  <w:pPr>
                    <w:jc w:val="center"/>
                    <w:rPr>
                      <w:rFonts w:hint="default" w:ascii="Times New Roman" w:hAnsi="Times New Roman" w:eastAsia="宋体" w:cs="Times New Roman"/>
                      <w:color w:val="auto"/>
                      <w:sz w:val="21"/>
                      <w:szCs w:val="21"/>
                      <w:u w:val="single"/>
                    </w:rPr>
                  </w:pPr>
                  <w:r>
                    <w:rPr>
                      <w:rFonts w:hint="eastAsia" w:cs="Times New Roman"/>
                      <w:color w:val="auto"/>
                      <w:sz w:val="21"/>
                      <w:szCs w:val="21"/>
                      <w:u w:val="single"/>
                      <w:lang w:val="en-US" w:eastAsia="zh-CN"/>
                    </w:rPr>
                    <w:t>4080</w:t>
                  </w:r>
                  <w:r>
                    <w:rPr>
                      <w:rFonts w:hint="default" w:ascii="Times New Roman" w:hAnsi="Times New Roman" w:eastAsia="宋体" w:cs="Times New Roman"/>
                      <w:color w:val="auto"/>
                      <w:sz w:val="21"/>
                      <w:szCs w:val="21"/>
                      <w:u w:val="single"/>
                      <w:lang w:eastAsia="zh-CN"/>
                    </w:rPr>
                    <w:t>m</w:t>
                  </w:r>
                  <w:r>
                    <w:rPr>
                      <w:rFonts w:hint="default" w:ascii="Times New Roman" w:hAnsi="Times New Roman" w:eastAsia="宋体" w:cs="Times New Roman"/>
                      <w:color w:val="auto"/>
                      <w:sz w:val="21"/>
                      <w:szCs w:val="21"/>
                      <w:u w:val="single"/>
                      <w:vertAlign w:val="superscript"/>
                      <w:lang w:eastAsia="zh-CN"/>
                    </w:rPr>
                    <w:t>3</w:t>
                  </w:r>
                  <w:r>
                    <w:rPr>
                      <w:rFonts w:hint="default" w:ascii="Times New Roman" w:hAnsi="Times New Roman" w:eastAsia="宋体" w:cs="Times New Roman"/>
                      <w:color w:val="auto"/>
                      <w:sz w:val="21"/>
                      <w:szCs w:val="21"/>
                      <w:u w:val="single"/>
                      <w:lang w:eastAsia="zh-CN"/>
                    </w:rPr>
                    <w:t>/a</w:t>
                  </w:r>
                </w:p>
              </w:tc>
              <w:tc>
                <w:tcPr>
                  <w:tcW w:w="1706" w:type="dxa"/>
                  <w:noWrap w:val="0"/>
                  <w:vAlign w:val="center"/>
                </w:tcPr>
                <w:p w14:paraId="35044962">
                  <w:pPr>
                    <w:jc w:val="center"/>
                    <w:rPr>
                      <w:rFonts w:hint="default" w:ascii="Times New Roman" w:hAnsi="Times New Roman" w:eastAsia="宋体" w:cs="Times New Roman"/>
                      <w:color w:val="auto"/>
                      <w:sz w:val="21"/>
                      <w:szCs w:val="21"/>
                      <w:u w:val="single"/>
                      <w:lang w:val="en-US"/>
                    </w:rPr>
                  </w:pPr>
                  <w:r>
                    <w:rPr>
                      <w:rFonts w:hint="eastAsia" w:cs="Times New Roman"/>
                      <w:bCs/>
                      <w:color w:val="auto"/>
                      <w:sz w:val="21"/>
                      <w:szCs w:val="21"/>
                      <w:u w:val="single"/>
                      <w:lang w:val="en-US" w:eastAsia="zh-CN"/>
                    </w:rPr>
                    <w:t>1020</w:t>
                  </w:r>
                  <w:r>
                    <w:rPr>
                      <w:rFonts w:hint="default" w:ascii="Times New Roman" w:hAnsi="Times New Roman" w:eastAsia="宋体" w:cs="Times New Roman"/>
                      <w:color w:val="auto"/>
                      <w:sz w:val="21"/>
                      <w:szCs w:val="21"/>
                      <w:u w:val="single"/>
                    </w:rPr>
                    <w:t>m</w:t>
                  </w:r>
                  <w:r>
                    <w:rPr>
                      <w:rFonts w:hint="default" w:ascii="Times New Roman" w:hAnsi="Times New Roman" w:eastAsia="宋体" w:cs="Times New Roman"/>
                      <w:color w:val="auto"/>
                      <w:sz w:val="21"/>
                      <w:szCs w:val="21"/>
                      <w:u w:val="single"/>
                      <w:vertAlign w:val="superscript"/>
                    </w:rPr>
                    <w:t>3</w:t>
                  </w:r>
                  <w:r>
                    <w:rPr>
                      <w:rFonts w:hint="default" w:ascii="Times New Roman" w:hAnsi="Times New Roman" w:eastAsia="宋体" w:cs="Times New Roman"/>
                      <w:color w:val="auto"/>
                      <w:sz w:val="21"/>
                      <w:szCs w:val="21"/>
                      <w:u w:val="single"/>
                    </w:rPr>
                    <w:t>/a</w:t>
                  </w:r>
                </w:p>
              </w:tc>
              <w:tc>
                <w:tcPr>
                  <w:tcW w:w="782" w:type="dxa"/>
                  <w:vMerge w:val="continue"/>
                  <w:noWrap w:val="0"/>
                  <w:vAlign w:val="center"/>
                </w:tcPr>
                <w:p w14:paraId="4360D201">
                  <w:pPr>
                    <w:jc w:val="center"/>
                    <w:rPr>
                      <w:rFonts w:hint="default" w:ascii="Times New Roman" w:hAnsi="Times New Roman" w:eastAsia="宋体" w:cs="Times New Roman"/>
                      <w:bCs/>
                      <w:color w:val="auto"/>
                      <w:sz w:val="21"/>
                      <w:szCs w:val="21"/>
                      <w:lang w:val="en-US" w:eastAsia="zh-CN"/>
                    </w:rPr>
                  </w:pPr>
                </w:p>
              </w:tc>
            </w:tr>
            <w:tr w14:paraId="3332C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04" w:type="dxa"/>
                  <w:noWrap w:val="0"/>
                  <w:vAlign w:val="center"/>
                </w:tcPr>
                <w:p w14:paraId="6CC64427">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u w:val="none"/>
                      <w:lang w:val="en-US" w:eastAsia="zh-CN"/>
                    </w:rPr>
                    <w:t>原辅材料</w:t>
                  </w:r>
                  <w:r>
                    <w:rPr>
                      <w:rFonts w:hint="default" w:ascii="Times New Roman" w:hAnsi="Times New Roman" w:eastAsia="宋体" w:cs="Times New Roman"/>
                      <w:color w:val="auto"/>
                      <w:sz w:val="21"/>
                      <w:szCs w:val="21"/>
                      <w:u w:val="none"/>
                      <w:lang w:eastAsia="zh-CN"/>
                    </w:rPr>
                    <w:t>清洗用水</w:t>
                  </w:r>
                </w:p>
              </w:tc>
              <w:tc>
                <w:tcPr>
                  <w:tcW w:w="1303" w:type="dxa"/>
                  <w:noWrap w:val="0"/>
                  <w:vAlign w:val="center"/>
                </w:tcPr>
                <w:p w14:paraId="632B80D0">
                  <w:pPr>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u w:val="none"/>
                      <w:lang w:val="en-US" w:eastAsia="zh-CN"/>
                    </w:rPr>
                    <w:t>4</w:t>
                  </w:r>
                  <w:r>
                    <w:rPr>
                      <w:rFonts w:hint="default" w:ascii="Times New Roman" w:hAnsi="Times New Roman" w:eastAsia="宋体" w:cs="Times New Roman"/>
                      <w:color w:val="auto"/>
                      <w:sz w:val="21"/>
                      <w:szCs w:val="21"/>
                      <w:u w:val="none"/>
                    </w:rPr>
                    <w:t>m</w:t>
                  </w:r>
                  <w:r>
                    <w:rPr>
                      <w:rFonts w:hint="default" w:ascii="Times New Roman" w:hAnsi="Times New Roman" w:eastAsia="宋体" w:cs="Times New Roman"/>
                      <w:color w:val="auto"/>
                      <w:sz w:val="21"/>
                      <w:szCs w:val="21"/>
                      <w:u w:val="none"/>
                      <w:vertAlign w:val="superscript"/>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d</w:t>
                  </w:r>
                </w:p>
              </w:tc>
              <w:tc>
                <w:tcPr>
                  <w:tcW w:w="1294" w:type="dxa"/>
                  <w:noWrap w:val="0"/>
                  <w:vAlign w:val="center"/>
                </w:tcPr>
                <w:p w14:paraId="4CD8C1D4">
                  <w:pPr>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2台</w:t>
                  </w:r>
                </w:p>
              </w:tc>
              <w:tc>
                <w:tcPr>
                  <w:tcW w:w="1069" w:type="dxa"/>
                  <w:noWrap w:val="0"/>
                  <w:vAlign w:val="center"/>
                </w:tcPr>
                <w:p w14:paraId="04C7C109">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480</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3</w:t>
                  </w:r>
                  <w:r>
                    <w:rPr>
                      <w:rFonts w:hint="default" w:ascii="Times New Roman" w:hAnsi="Times New Roman" w:eastAsia="宋体" w:cs="Times New Roman"/>
                      <w:color w:val="auto"/>
                      <w:sz w:val="21"/>
                      <w:szCs w:val="21"/>
                      <w:lang w:eastAsia="zh-CN"/>
                    </w:rPr>
                    <w:t>/a</w:t>
                  </w:r>
                </w:p>
              </w:tc>
              <w:tc>
                <w:tcPr>
                  <w:tcW w:w="1706" w:type="dxa"/>
                  <w:noWrap w:val="0"/>
                  <w:vAlign w:val="center"/>
                </w:tcPr>
                <w:p w14:paraId="412FED60">
                  <w:pPr>
                    <w:jc w:val="center"/>
                    <w:rPr>
                      <w:rFonts w:hint="default" w:ascii="Times New Roman" w:hAnsi="Times New Roman" w:eastAsia="宋体" w:cs="Times New Roman"/>
                      <w:color w:val="auto"/>
                      <w:sz w:val="21"/>
                      <w:szCs w:val="21"/>
                      <w:lang w:val="en-US" w:eastAsia="zh-CN"/>
                    </w:rPr>
                  </w:pPr>
                  <w:r>
                    <w:rPr>
                      <w:rFonts w:hint="eastAsia"/>
                      <w:color w:val="auto"/>
                      <w:sz w:val="21"/>
                      <w:szCs w:val="21"/>
                      <w:u w:val="none"/>
                      <w:lang w:val="en-US" w:eastAsia="zh-CN"/>
                    </w:rPr>
                    <w:t>447.07</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另外23.33</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被沉淀池沉渣带走</w:t>
                  </w:r>
                </w:p>
              </w:tc>
              <w:tc>
                <w:tcPr>
                  <w:tcW w:w="782" w:type="dxa"/>
                  <w:vMerge w:val="continue"/>
                  <w:noWrap w:val="0"/>
                  <w:vAlign w:val="center"/>
                </w:tcPr>
                <w:p w14:paraId="0C7F2F33">
                  <w:pPr>
                    <w:jc w:val="center"/>
                    <w:rPr>
                      <w:rFonts w:hint="default" w:ascii="Times New Roman" w:hAnsi="Times New Roman" w:eastAsia="宋体" w:cs="Times New Roman"/>
                      <w:bCs/>
                      <w:color w:val="auto"/>
                      <w:sz w:val="21"/>
                      <w:szCs w:val="21"/>
                      <w:lang w:val="en-US" w:eastAsia="zh-CN"/>
                    </w:rPr>
                  </w:pPr>
                </w:p>
              </w:tc>
            </w:tr>
            <w:tr w14:paraId="0D6D4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04" w:type="dxa"/>
                  <w:noWrap w:val="0"/>
                  <w:vAlign w:val="center"/>
                </w:tcPr>
                <w:p w14:paraId="52D83E4A">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u w:val="none"/>
                      <w:lang w:eastAsia="zh-CN"/>
                    </w:rPr>
                    <w:t>地面清洁用水</w:t>
                  </w:r>
                </w:p>
              </w:tc>
              <w:tc>
                <w:tcPr>
                  <w:tcW w:w="1303" w:type="dxa"/>
                  <w:noWrap w:val="0"/>
                  <w:vAlign w:val="center"/>
                </w:tcPr>
                <w:p w14:paraId="551B1D7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L/m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•次</w:t>
                  </w:r>
                </w:p>
              </w:tc>
              <w:tc>
                <w:tcPr>
                  <w:tcW w:w="1294" w:type="dxa"/>
                  <w:noWrap w:val="0"/>
                  <w:vAlign w:val="center"/>
                </w:tcPr>
                <w:p w14:paraId="4306871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00</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2</w:t>
                  </w:r>
                </w:p>
              </w:tc>
              <w:tc>
                <w:tcPr>
                  <w:tcW w:w="1069" w:type="dxa"/>
                  <w:noWrap w:val="0"/>
                  <w:vAlign w:val="center"/>
                </w:tcPr>
                <w:p w14:paraId="4BFE0A58">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36</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3</w:t>
                  </w:r>
                  <w:r>
                    <w:rPr>
                      <w:rFonts w:hint="default" w:ascii="Times New Roman" w:hAnsi="Times New Roman" w:eastAsia="宋体" w:cs="Times New Roman"/>
                      <w:color w:val="auto"/>
                      <w:sz w:val="21"/>
                      <w:szCs w:val="21"/>
                      <w:lang w:eastAsia="zh-CN"/>
                    </w:rPr>
                    <w:t>/a</w:t>
                  </w:r>
                </w:p>
              </w:tc>
              <w:tc>
                <w:tcPr>
                  <w:tcW w:w="1706" w:type="dxa"/>
                  <w:noWrap w:val="0"/>
                  <w:vAlign w:val="center"/>
                </w:tcPr>
                <w:p w14:paraId="0F047F35">
                  <w:pPr>
                    <w:jc w:val="center"/>
                    <w:rPr>
                      <w:rFonts w:hint="default" w:ascii="Times New Roman" w:hAnsi="Times New Roman" w:eastAsia="宋体" w:cs="Times New Roman"/>
                      <w:color w:val="auto"/>
                      <w:sz w:val="21"/>
                      <w:szCs w:val="21"/>
                    </w:rPr>
                  </w:pPr>
                  <w:r>
                    <w:rPr>
                      <w:rFonts w:hint="eastAsia"/>
                      <w:color w:val="auto"/>
                      <w:sz w:val="21"/>
                      <w:szCs w:val="21"/>
                      <w:u w:val="none"/>
                      <w:lang w:val="en-US" w:eastAsia="zh-CN"/>
                    </w:rPr>
                    <w:t>34.2</w:t>
                  </w:r>
                  <w:r>
                    <w:rPr>
                      <w:rFonts w:hint="eastAsia"/>
                      <w:color w:val="auto"/>
                      <w:sz w:val="21"/>
                      <w:szCs w:val="21"/>
                      <w:u w:val="none"/>
                    </w:rPr>
                    <w:t>m</w:t>
                  </w:r>
                  <w:r>
                    <w:rPr>
                      <w:rFonts w:hint="eastAsia"/>
                      <w:color w:val="auto"/>
                      <w:sz w:val="21"/>
                      <w:szCs w:val="21"/>
                      <w:u w:val="none"/>
                      <w:vertAlign w:val="superscript"/>
                    </w:rPr>
                    <w:t>3</w:t>
                  </w:r>
                  <w:r>
                    <w:rPr>
                      <w:rFonts w:hint="eastAsia"/>
                      <w:color w:val="auto"/>
                      <w:sz w:val="21"/>
                      <w:szCs w:val="21"/>
                      <w:u w:val="none"/>
                    </w:rPr>
                    <w:t>/</w:t>
                  </w:r>
                  <w:r>
                    <w:rPr>
                      <w:rFonts w:hint="eastAsia"/>
                      <w:color w:val="auto"/>
                      <w:sz w:val="21"/>
                      <w:szCs w:val="21"/>
                      <w:u w:val="none"/>
                      <w:lang w:val="en-US" w:eastAsia="zh-CN"/>
                    </w:rPr>
                    <w:t>a</w:t>
                  </w:r>
                </w:p>
              </w:tc>
              <w:tc>
                <w:tcPr>
                  <w:tcW w:w="782" w:type="dxa"/>
                  <w:vMerge w:val="continue"/>
                  <w:noWrap w:val="0"/>
                  <w:vAlign w:val="center"/>
                </w:tcPr>
                <w:p w14:paraId="60002F65">
                  <w:pPr>
                    <w:jc w:val="center"/>
                    <w:rPr>
                      <w:rFonts w:hint="default" w:ascii="Times New Roman" w:hAnsi="Times New Roman" w:eastAsia="宋体" w:cs="Times New Roman"/>
                      <w:bCs/>
                      <w:color w:val="auto"/>
                      <w:sz w:val="21"/>
                      <w:szCs w:val="21"/>
                      <w:lang w:val="en-US" w:eastAsia="zh-CN"/>
                    </w:rPr>
                  </w:pPr>
                </w:p>
              </w:tc>
            </w:tr>
          </w:tbl>
          <w:p w14:paraId="0EAB799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bCs/>
                <w:color w:val="auto"/>
                <w:sz w:val="24"/>
                <w:szCs w:val="24"/>
                <w:u w:val="single"/>
                <w:lang w:val="en-US" w:eastAsia="zh-CN"/>
              </w:rPr>
            </w:pPr>
            <w:r>
              <w:rPr>
                <w:color w:val="auto"/>
                <w:kern w:val="0"/>
                <w:sz w:val="24"/>
              </w:rPr>
              <w:object>
                <v:shape id="_x0000_i1025" o:spt="75" type="#_x0000_t75" style="height:265.45pt;width:382.5pt;" o:ole="t" filled="f" o:preferrelative="t" stroked="f" coordsize="21600,21600">
                  <v:path/>
                  <v:fill on="f" focussize="0,0"/>
                  <v:stroke on="f"/>
                  <v:imagedata r:id="rId9" croptop="504f" cropright="6362f" cropbottom="24623f" o:title=""/>
                  <o:lock v:ext="edit" aspectratio="f"/>
                  <w10:wrap type="none"/>
                  <w10:anchorlock/>
                </v:shape>
                <o:OLEObject Type="Embed" ProgID="Visio.Drawing.11" ShapeID="_x0000_i1025" DrawAspect="Content" ObjectID="_1468075725" r:id="rId8">
                  <o:LockedField>false</o:LockedField>
                </o:OLEObject>
              </w:object>
            </w:r>
            <w:r>
              <w:rPr>
                <w:rFonts w:hint="default" w:ascii="Times New Roman" w:hAnsi="Times New Roman" w:eastAsia="宋体" w:cs="Times New Roman"/>
                <w:b/>
                <w:bCs/>
                <w:color w:val="auto"/>
                <w:sz w:val="24"/>
                <w:szCs w:val="24"/>
                <w:u w:val="single"/>
                <w:lang w:val="en-US" w:eastAsia="zh-CN"/>
              </w:rPr>
              <w:t>图2-</w:t>
            </w:r>
            <w:r>
              <w:rPr>
                <w:rFonts w:hint="eastAsia" w:cs="Times New Roman"/>
                <w:b/>
                <w:bCs/>
                <w:color w:val="auto"/>
                <w:sz w:val="24"/>
                <w:szCs w:val="24"/>
                <w:u w:val="single"/>
                <w:lang w:val="en-US" w:eastAsia="zh-CN"/>
              </w:rPr>
              <w:t>1</w:t>
            </w:r>
            <w:r>
              <w:rPr>
                <w:rFonts w:hint="default" w:ascii="Times New Roman" w:hAnsi="Times New Roman" w:eastAsia="宋体" w:cs="Times New Roman"/>
                <w:b/>
                <w:bCs/>
                <w:color w:val="auto"/>
                <w:sz w:val="24"/>
                <w:szCs w:val="24"/>
                <w:u w:val="single"/>
                <w:lang w:val="en-US" w:eastAsia="zh-CN"/>
              </w:rPr>
              <w:t xml:space="preserve">  项目水平衡图</w:t>
            </w:r>
            <w:r>
              <w:rPr>
                <w:rFonts w:hint="eastAsia" w:cs="Times New Roman"/>
                <w:b/>
                <w:bCs/>
                <w:color w:val="auto"/>
                <w:sz w:val="24"/>
                <w:szCs w:val="24"/>
                <w:u w:val="single"/>
                <w:lang w:val="en-US" w:eastAsia="zh-CN"/>
              </w:rPr>
              <w:t>（</w:t>
            </w:r>
            <w:r>
              <w:rPr>
                <w:rFonts w:hint="default" w:ascii="Times New Roman" w:hAnsi="Times New Roman" w:eastAsia="宋体" w:cs="Times New Roman"/>
                <w:b/>
                <w:bCs/>
                <w:color w:val="auto"/>
                <w:sz w:val="24"/>
                <w:szCs w:val="24"/>
                <w:u w:val="single"/>
                <w:lang w:val="en-US" w:eastAsia="zh-CN"/>
              </w:rPr>
              <w:t>单位：t/a</w:t>
            </w:r>
            <w:r>
              <w:rPr>
                <w:rFonts w:hint="eastAsia" w:cs="Times New Roman"/>
                <w:b/>
                <w:bCs/>
                <w:color w:val="auto"/>
                <w:sz w:val="24"/>
                <w:szCs w:val="24"/>
                <w:u w:val="single"/>
                <w:lang w:val="en-US" w:eastAsia="zh-CN"/>
              </w:rPr>
              <w:t>）</w:t>
            </w:r>
          </w:p>
          <w:p w14:paraId="71A8D832">
            <w:pPr>
              <w:pStyle w:val="95"/>
              <w:ind w:firstLine="480"/>
              <w:jc w:val="left"/>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w:t>
            </w:r>
            <w:r>
              <w:rPr>
                <w:rFonts w:hint="default" w:ascii="Times New Roman" w:hAnsi="Times New Roman" w:cs="Times New Roman"/>
                <w:color w:val="auto"/>
              </w:rPr>
              <w:t>供电</w:t>
            </w:r>
          </w:p>
          <w:p w14:paraId="47044719">
            <w:pPr>
              <w:pStyle w:val="95"/>
              <w:ind w:firstLine="480"/>
              <w:jc w:val="left"/>
              <w:rPr>
                <w:rFonts w:hint="default" w:ascii="Times New Roman" w:hAnsi="Times New Roman" w:cs="Times New Roman"/>
                <w:color w:val="auto"/>
              </w:rPr>
            </w:pPr>
            <w:r>
              <w:rPr>
                <w:rFonts w:hint="default" w:ascii="Times New Roman" w:hAnsi="Times New Roman" w:cs="Times New Roman"/>
                <w:color w:val="auto"/>
              </w:rPr>
              <w:t>项目用电由市政供电，市政供电设施已经连通至项目处</w:t>
            </w:r>
            <w:r>
              <w:rPr>
                <w:rFonts w:hint="eastAsia" w:ascii="Times New Roman" w:hAnsi="Times New Roman" w:cs="Times New Roman"/>
                <w:color w:val="auto"/>
                <w:lang w:eastAsia="zh-CN"/>
              </w:rPr>
              <w:t>，</w:t>
            </w:r>
            <w:r>
              <w:rPr>
                <w:rFonts w:hint="default" w:ascii="Times New Roman" w:hAnsi="Times New Roman" w:cs="Times New Roman"/>
                <w:color w:val="auto"/>
              </w:rPr>
              <w:t>供电能力要求满足需求。</w:t>
            </w:r>
          </w:p>
          <w:p w14:paraId="4DBF10AF">
            <w:pPr>
              <w:pStyle w:val="95"/>
              <w:ind w:firstLine="480"/>
              <w:jc w:val="left"/>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4</w:t>
            </w:r>
            <w:r>
              <w:rPr>
                <w:rFonts w:hint="eastAsia" w:ascii="Times New Roman" w:hAnsi="Times New Roman" w:cs="Times New Roman"/>
                <w:color w:val="auto"/>
                <w:lang w:eastAsia="zh-CN"/>
              </w:rPr>
              <w:t>）</w:t>
            </w:r>
            <w:r>
              <w:rPr>
                <w:rFonts w:hint="default" w:ascii="Times New Roman" w:hAnsi="Times New Roman" w:cs="Times New Roman"/>
                <w:color w:val="auto"/>
              </w:rPr>
              <w:t>供</w:t>
            </w:r>
            <w:r>
              <w:rPr>
                <w:rFonts w:hint="default" w:ascii="Times New Roman" w:hAnsi="Times New Roman" w:cs="Times New Roman"/>
                <w:color w:val="auto"/>
                <w:lang w:eastAsia="zh-CN"/>
              </w:rPr>
              <w:t>热</w:t>
            </w:r>
          </w:p>
          <w:p w14:paraId="1C568A90">
            <w:pPr>
              <w:pStyle w:val="95"/>
              <w:ind w:firstLine="48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设置了1台</w:t>
            </w:r>
            <w:r>
              <w:rPr>
                <w:rFonts w:hint="eastAsia" w:cs="Times New Roman"/>
                <w:color w:val="auto"/>
                <w:lang w:val="en-US" w:eastAsia="zh-CN"/>
              </w:rPr>
              <w:t>2.5t</w:t>
            </w:r>
            <w:r>
              <w:rPr>
                <w:rFonts w:hint="default" w:ascii="Times New Roman" w:hAnsi="Times New Roman" w:cs="Times New Roman"/>
                <w:color w:val="auto"/>
                <w:lang w:val="en-US" w:eastAsia="zh-CN"/>
              </w:rPr>
              <w:t>/h的生物质蒸汽发生器，用</w:t>
            </w:r>
            <w:r>
              <w:rPr>
                <w:rFonts w:hint="eastAsia" w:ascii="Times New Roman" w:hAnsi="Times New Roman" w:cs="Times New Roman"/>
                <w:color w:val="auto"/>
                <w:lang w:val="en-US" w:eastAsia="zh-CN"/>
              </w:rPr>
              <w:t>于原材料杀青；设置1台生物质</w:t>
            </w:r>
            <w:r>
              <w:rPr>
                <w:rFonts w:hint="eastAsia" w:cs="Times New Roman"/>
                <w:color w:val="auto"/>
                <w:lang w:val="en-US" w:eastAsia="zh-CN"/>
              </w:rPr>
              <w:t>热风炉</w:t>
            </w:r>
            <w:r>
              <w:rPr>
                <w:rFonts w:hint="eastAsia" w:ascii="Times New Roman" w:hAnsi="Times New Roman" w:cs="Times New Roman"/>
                <w:color w:val="auto"/>
                <w:lang w:val="en-US" w:eastAsia="zh-CN"/>
              </w:rPr>
              <w:t>用于烘干</w:t>
            </w:r>
            <w:r>
              <w:rPr>
                <w:rFonts w:hint="default" w:ascii="Times New Roman" w:hAnsi="Times New Roman" w:cs="Times New Roman"/>
                <w:color w:val="auto"/>
                <w:lang w:val="en-US" w:eastAsia="zh-CN"/>
              </w:rPr>
              <w:t>。</w:t>
            </w:r>
          </w:p>
          <w:p w14:paraId="134E73CF">
            <w:pPr>
              <w:pStyle w:val="82"/>
              <w:ind w:firstLine="482"/>
              <w:jc w:val="left"/>
              <w:rPr>
                <w:rFonts w:hint="default" w:ascii="Times New Roman" w:hAnsi="Times New Roman" w:cs="Times New Roman"/>
                <w:b/>
                <w:color w:val="auto"/>
              </w:rPr>
            </w:pPr>
            <w:r>
              <w:rPr>
                <w:rFonts w:hint="eastAsia" w:cs="Times New Roman"/>
                <w:b/>
                <w:color w:val="auto"/>
                <w:lang w:val="en-US" w:eastAsia="zh-CN"/>
              </w:rPr>
              <w:t>8</w:t>
            </w:r>
            <w:r>
              <w:rPr>
                <w:rFonts w:hint="default" w:ascii="Times New Roman" w:hAnsi="Times New Roman" w:cs="Times New Roman"/>
                <w:b/>
                <w:color w:val="auto"/>
              </w:rPr>
              <w:t>、项目平面布置</w:t>
            </w:r>
          </w:p>
          <w:p w14:paraId="5A033562">
            <w:pPr>
              <w:pStyle w:val="82"/>
              <w:jc w:val="left"/>
              <w:rPr>
                <w:rFonts w:hint="default" w:ascii="Times New Roman" w:hAnsi="Times New Roman" w:cs="Times New Roman"/>
                <w:bCs/>
                <w:color w:val="auto"/>
              </w:rPr>
            </w:pPr>
            <w:r>
              <w:rPr>
                <w:rFonts w:hint="eastAsia" w:ascii="Times New Roman" w:hAnsi="Times New Roman" w:cs="Times New Roman"/>
                <w:bCs/>
                <w:color w:val="auto"/>
                <w:lang w:eastAsia="zh-CN"/>
              </w:rPr>
              <w:t>项目位于</w:t>
            </w:r>
            <w:r>
              <w:rPr>
                <w:rFonts w:hint="eastAsia" w:cs="Times New Roman"/>
                <w:bCs/>
                <w:color w:val="auto"/>
                <w:lang w:eastAsia="zh-CN"/>
              </w:rPr>
              <w:t>龙潭镇岩板村和营盘村交界处、紧邻S312省道</w:t>
            </w:r>
            <w:r>
              <w:rPr>
                <w:rFonts w:hint="eastAsia" w:ascii="Times New Roman" w:hAnsi="Times New Roman" w:cs="Times New Roman"/>
                <w:bCs/>
                <w:color w:val="auto"/>
                <w:lang w:eastAsia="zh-CN"/>
              </w:rPr>
              <w:t>，项目</w:t>
            </w:r>
            <w:r>
              <w:rPr>
                <w:rFonts w:hint="eastAsia" w:cs="Times New Roman"/>
                <w:bCs/>
                <w:color w:val="auto"/>
                <w:lang w:val="en-US" w:eastAsia="zh-CN"/>
              </w:rPr>
              <w:t>用地南侧设置出入口与省道S322连接</w:t>
            </w:r>
            <w:r>
              <w:rPr>
                <w:rFonts w:hint="eastAsia" w:ascii="Times New Roman" w:hAnsi="Times New Roman" w:cs="Times New Roman"/>
                <w:bCs/>
                <w:color w:val="auto"/>
                <w:lang w:eastAsia="zh-CN"/>
              </w:rPr>
              <w:t>，</w:t>
            </w:r>
            <w:r>
              <w:rPr>
                <w:rFonts w:hint="eastAsia" w:cs="Times New Roman"/>
                <w:bCs/>
                <w:color w:val="auto"/>
                <w:lang w:val="en-US" w:eastAsia="zh-CN"/>
              </w:rPr>
              <w:t>交通便利；用地北侧布置1#仓库用于原材料的冷藏贮存；南侧布置2#厂房，2#厂房内分布生物质燃料暂存区、原料区、蒸汽发生器房、烘干区等。</w:t>
            </w:r>
            <w:r>
              <w:rPr>
                <w:rFonts w:hint="eastAsia"/>
                <w:color w:val="auto"/>
                <w:sz w:val="24"/>
                <w:szCs w:val="24"/>
              </w:rPr>
              <w:t>各区功能明确，员工办公区和生产区、环保设施区分流</w:t>
            </w:r>
            <w:r>
              <w:rPr>
                <w:rFonts w:hint="eastAsia"/>
                <w:color w:val="auto"/>
                <w:sz w:val="24"/>
                <w:szCs w:val="24"/>
                <w:lang w:eastAsia="zh-CN"/>
              </w:rPr>
              <w:t>，</w:t>
            </w:r>
            <w:r>
              <w:rPr>
                <w:rFonts w:hint="default" w:ascii="Times New Roman" w:hAnsi="Times New Roman" w:cs="Times New Roman"/>
                <w:bCs/>
                <w:color w:val="auto"/>
              </w:rPr>
              <w:t>项目总平面布局合理（项目总平面布局详见附图2）。</w:t>
            </w:r>
          </w:p>
        </w:tc>
      </w:tr>
      <w:tr w14:paraId="35D43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Align w:val="center"/>
          </w:tcPr>
          <w:p w14:paraId="4F784D91">
            <w:pPr>
              <w:pStyle w:val="27"/>
              <w:adjustRightInd w:val="0"/>
              <w:snapToGrid w:val="0"/>
              <w:spacing w:before="0" w:beforeAutospacing="0" w:after="0" w:afterAutospacing="0"/>
              <w:jc w:val="center"/>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工艺流程和产排污环节</w:t>
            </w:r>
          </w:p>
        </w:tc>
        <w:tc>
          <w:tcPr>
            <w:tcW w:w="4560" w:type="pct"/>
          </w:tcPr>
          <w:p w14:paraId="1359BC76">
            <w:pPr>
              <w:numPr>
                <w:ilvl w:val="0"/>
                <w:numId w:val="3"/>
              </w:numPr>
              <w:adjustRightInd w:val="0"/>
              <w:snapToGrid w:val="0"/>
              <w:spacing w:line="360" w:lineRule="auto"/>
              <w:ind w:firstLine="482" w:firstLineChars="200"/>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施工期</w:t>
            </w:r>
          </w:p>
          <w:p w14:paraId="27ADC896">
            <w:pPr>
              <w:numPr>
                <w:ilvl w:val="0"/>
                <w:numId w:val="0"/>
              </w:numPr>
              <w:adjustRightInd w:val="0"/>
              <w:snapToGrid w:val="0"/>
              <w:spacing w:line="360" w:lineRule="auto"/>
              <w:jc w:val="center"/>
              <w:rPr>
                <w:rFonts w:hint="eastAsia" w:ascii="Times New Roman" w:hAnsi="Times New Roman" w:cs="Times New Roman"/>
                <w:b/>
                <w:bCs/>
                <w:color w:val="auto"/>
                <w:sz w:val="24"/>
                <w:lang w:val="en-US" w:eastAsia="zh-CN"/>
              </w:rPr>
            </w:pPr>
            <w:r>
              <w:rPr>
                <w:color w:val="auto"/>
              </w:rPr>
              <w:drawing>
                <wp:inline distT="0" distB="0" distL="0" distR="0">
                  <wp:extent cx="4835525" cy="962660"/>
                  <wp:effectExtent l="0" t="0" r="0" b="0"/>
                  <wp:docPr id="1028" name="图片 363"/>
                  <wp:cNvGraphicFramePr/>
                  <a:graphic xmlns:a="http://schemas.openxmlformats.org/drawingml/2006/main">
                    <a:graphicData uri="http://schemas.openxmlformats.org/drawingml/2006/picture">
                      <pic:pic xmlns:pic="http://schemas.openxmlformats.org/drawingml/2006/picture">
                        <pic:nvPicPr>
                          <pic:cNvPr id="1028" name="图片 363"/>
                          <pic:cNvPicPr/>
                        </pic:nvPicPr>
                        <pic:blipFill>
                          <a:blip r:embed="rId10" cstate="print"/>
                          <a:srcRect t="3314" b="4948"/>
                          <a:stretch>
                            <a:fillRect/>
                          </a:stretch>
                        </pic:blipFill>
                        <pic:spPr>
                          <a:xfrm>
                            <a:off x="0" y="0"/>
                            <a:ext cx="4835525" cy="962660"/>
                          </a:xfrm>
                          <a:prstGeom prst="rect">
                            <a:avLst/>
                          </a:prstGeom>
                          <a:ln>
                            <a:noFill/>
                          </a:ln>
                        </pic:spPr>
                      </pic:pic>
                    </a:graphicData>
                  </a:graphic>
                </wp:inline>
              </w:drawing>
            </w:r>
            <w:r>
              <w:rPr>
                <w:rFonts w:hint="eastAsia" w:ascii="Times New Roman" w:hAnsi="Times New Roman" w:cs="Times New Roman"/>
                <w:b/>
                <w:bCs/>
                <w:color w:val="auto"/>
                <w:sz w:val="24"/>
                <w:lang w:val="en-US" w:eastAsia="zh-CN"/>
              </w:rPr>
              <w:br w:type="textWrapping"/>
            </w:r>
            <w:r>
              <w:rPr>
                <w:rFonts w:hint="eastAsia" w:ascii="Times New Roman" w:hAnsi="Times New Roman" w:cs="Times New Roman"/>
                <w:b/>
                <w:bCs/>
                <w:color w:val="auto"/>
                <w:sz w:val="24"/>
                <w:lang w:val="en-US" w:eastAsia="zh-CN"/>
              </w:rPr>
              <w:t>图2-2施工期工艺流程图</w:t>
            </w:r>
          </w:p>
          <w:p w14:paraId="2E5EC4D5">
            <w:pPr>
              <w:adjustRightInd w:val="0"/>
              <w:snapToGrid w:val="0"/>
              <w:spacing w:line="360" w:lineRule="auto"/>
              <w:ind w:firstLine="482" w:firstLineChars="200"/>
              <w:jc w:val="left"/>
              <w:rPr>
                <w:rFonts w:hint="default" w:ascii="Times New Roman" w:hAnsi="Times New Roman" w:cs="Times New Roman"/>
                <w:b/>
                <w:bCs/>
                <w:color w:val="auto"/>
                <w:sz w:val="24"/>
              </w:rPr>
            </w:pPr>
            <w:r>
              <w:rPr>
                <w:rFonts w:hint="eastAsia" w:cs="Times New Roman"/>
                <w:b/>
                <w:bCs/>
                <w:color w:val="auto"/>
                <w:sz w:val="24"/>
                <w:lang w:val="en-US" w:eastAsia="zh-CN"/>
              </w:rPr>
              <w:t>2、</w:t>
            </w:r>
            <w:r>
              <w:rPr>
                <w:rFonts w:hint="default" w:ascii="Times New Roman" w:hAnsi="Times New Roman" w:cs="Times New Roman"/>
                <w:b/>
                <w:bCs/>
                <w:color w:val="auto"/>
                <w:sz w:val="24"/>
              </w:rPr>
              <w:t>营运期工艺流程及产污环节</w:t>
            </w:r>
          </w:p>
          <w:p w14:paraId="48BE9DD0">
            <w:pPr>
              <w:pStyle w:val="82"/>
              <w:jc w:val="left"/>
              <w:rPr>
                <w:rFonts w:hint="default" w:ascii="Times New Roman" w:hAnsi="Times New Roman" w:eastAsia="宋体" w:cs="Times New Roman"/>
                <w:bCs/>
                <w:color w:val="auto"/>
                <w:lang w:val="en-US" w:eastAsia="zh-CN"/>
              </w:rPr>
            </w:pPr>
            <w:r>
              <w:rPr>
                <w:rFonts w:hint="eastAsia" w:cs="Times New Roman"/>
                <w:b/>
                <w:bCs/>
                <w:color w:val="auto"/>
                <w:sz w:val="24"/>
                <w:lang w:eastAsia="zh-CN"/>
              </w:rPr>
              <w:t>（</w:t>
            </w:r>
            <w:r>
              <w:rPr>
                <w:rFonts w:hint="eastAsia" w:cs="Times New Roman"/>
                <w:b/>
                <w:bCs/>
                <w:color w:val="auto"/>
                <w:sz w:val="24"/>
                <w:lang w:val="en-US" w:eastAsia="zh-CN"/>
              </w:rPr>
              <w:t>1</w:t>
            </w:r>
            <w:r>
              <w:rPr>
                <w:rFonts w:hint="eastAsia" w:cs="Times New Roman"/>
                <w:b/>
                <w:bCs/>
                <w:color w:val="auto"/>
                <w:sz w:val="24"/>
                <w:lang w:eastAsia="zh-CN"/>
              </w:rPr>
              <w:t>）</w:t>
            </w:r>
            <w:r>
              <w:rPr>
                <w:rFonts w:hint="eastAsia" w:cs="Times New Roman"/>
                <w:b/>
                <w:bCs/>
                <w:color w:val="auto"/>
                <w:sz w:val="24"/>
                <w:lang w:val="en-US" w:eastAsia="zh-CN"/>
              </w:rPr>
              <w:t>玉竹、石菖蒲加工工艺流程</w:t>
            </w:r>
          </w:p>
          <w:p w14:paraId="3FF3554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 w:val="24"/>
                <w:u w:val="single"/>
              </w:rPr>
            </w:pPr>
            <w:r>
              <w:rPr>
                <w:rFonts w:hint="default" w:ascii="Times New Roman" w:hAnsi="Times New Roman" w:eastAsia="宋体" w:cs="Times New Roman"/>
                <w:b/>
                <w:color w:val="auto"/>
                <w:sz w:val="24"/>
                <w:szCs w:val="24"/>
                <w:lang w:val="en-US" w:eastAsia="zh-CN"/>
              </w:rPr>
              <w:object>
                <v:shape id="_x0000_i1026" o:spt="75" type="#_x0000_t75" style="height:173.15pt;width:381.05pt;" o:ole="t" filled="f" o:preferrelative="t" stroked="f" coordsize="21600,21600">
                  <v:path/>
                  <v:fill on="f" focussize="0,0"/>
                  <v:stroke on="f"/>
                  <v:imagedata r:id="rId12" cropleft="2652f" cropright="3252f" o:title=""/>
                  <o:lock v:ext="edit" aspectratio="f"/>
                  <w10:wrap type="none"/>
                  <w10:anchorlock/>
                </v:shape>
                <o:OLEObject Type="Embed" ProgID="Visio.Drawing.11" ShapeID="_x0000_i1026" DrawAspect="Content" ObjectID="_1468075726" r:id="rId11">
                  <o:LockedField>false</o:LockedField>
                </o:OLEObject>
              </w:object>
            </w:r>
            <w:r>
              <w:rPr>
                <w:rFonts w:hint="default" w:ascii="Times New Roman" w:hAnsi="Times New Roman" w:eastAsia="宋体" w:cs="Times New Roman"/>
                <w:b/>
                <w:color w:val="auto"/>
                <w:sz w:val="24"/>
                <w:szCs w:val="24"/>
                <w:u w:val="single"/>
                <w:lang w:val="en-US" w:eastAsia="zh-CN"/>
              </w:rPr>
              <w:t>图2-</w:t>
            </w:r>
            <w:r>
              <w:rPr>
                <w:rFonts w:hint="eastAsia" w:cs="Times New Roman"/>
                <w:b/>
                <w:color w:val="auto"/>
                <w:sz w:val="24"/>
                <w:szCs w:val="24"/>
                <w:u w:val="single"/>
                <w:lang w:val="en-US" w:eastAsia="zh-CN"/>
              </w:rPr>
              <w:t>3</w:t>
            </w:r>
            <w:r>
              <w:rPr>
                <w:rFonts w:hint="default" w:ascii="Times New Roman" w:hAnsi="Times New Roman" w:eastAsia="宋体" w:cs="Times New Roman"/>
                <w:b/>
                <w:color w:val="auto"/>
                <w:sz w:val="24"/>
                <w:szCs w:val="24"/>
                <w:u w:val="single"/>
                <w:lang w:val="en-US" w:eastAsia="zh-CN"/>
              </w:rPr>
              <w:t xml:space="preserve">  </w:t>
            </w:r>
            <w:r>
              <w:rPr>
                <w:rFonts w:hint="eastAsia" w:ascii="Times New Roman" w:hAnsi="Times New Roman" w:eastAsia="宋体" w:cs="Times New Roman"/>
                <w:b/>
                <w:color w:val="auto"/>
                <w:sz w:val="24"/>
                <w:szCs w:val="24"/>
                <w:u w:val="single"/>
                <w:lang w:val="en-US" w:eastAsia="zh-CN"/>
              </w:rPr>
              <w:t xml:space="preserve"> 玉竹</w:t>
            </w:r>
            <w:r>
              <w:rPr>
                <w:rFonts w:hint="eastAsia" w:cs="Times New Roman"/>
                <w:b/>
                <w:color w:val="auto"/>
                <w:sz w:val="24"/>
                <w:szCs w:val="24"/>
                <w:u w:val="single"/>
                <w:lang w:val="en-US" w:eastAsia="zh-CN"/>
              </w:rPr>
              <w:t>、</w:t>
            </w:r>
            <w:r>
              <w:rPr>
                <w:rFonts w:hint="eastAsia" w:cs="Times New Roman"/>
                <w:b/>
                <w:bCs/>
                <w:color w:val="auto"/>
                <w:sz w:val="24"/>
                <w:u w:val="single"/>
                <w:lang w:val="en-US" w:eastAsia="zh-CN"/>
              </w:rPr>
              <w:t>石菖蒲、黄柏</w:t>
            </w:r>
            <w:r>
              <w:rPr>
                <w:rFonts w:hint="eastAsia" w:ascii="Times New Roman" w:hAnsi="Times New Roman" w:eastAsia="宋体" w:cs="Times New Roman"/>
                <w:b/>
                <w:color w:val="auto"/>
                <w:sz w:val="24"/>
                <w:szCs w:val="24"/>
                <w:u w:val="single"/>
                <w:lang w:val="en-US" w:eastAsia="zh-CN"/>
              </w:rPr>
              <w:t>加工工艺流</w:t>
            </w:r>
            <w:r>
              <w:rPr>
                <w:rFonts w:hint="eastAsia" w:cs="Times New Roman"/>
                <w:b/>
                <w:bCs/>
                <w:color w:val="auto"/>
                <w:sz w:val="24"/>
                <w:u w:val="single"/>
                <w:lang w:val="en-US" w:eastAsia="zh-CN"/>
              </w:rPr>
              <w:t>程</w:t>
            </w:r>
            <w:r>
              <w:rPr>
                <w:rFonts w:hint="default" w:ascii="Times New Roman" w:hAnsi="Times New Roman" w:eastAsia="宋体" w:cs="Times New Roman"/>
                <w:b/>
                <w:color w:val="auto"/>
                <w:sz w:val="24"/>
                <w:szCs w:val="24"/>
                <w:u w:val="single"/>
                <w:lang w:val="en-US" w:eastAsia="zh-CN"/>
              </w:rPr>
              <w:t>及产污环节</w:t>
            </w:r>
            <w:r>
              <w:rPr>
                <w:rFonts w:hint="eastAsia" w:ascii="Times New Roman" w:hAnsi="Times New Roman" w:eastAsia="宋体" w:cs="Times New Roman"/>
                <w:b/>
                <w:color w:val="auto"/>
                <w:sz w:val="24"/>
                <w:szCs w:val="24"/>
                <w:u w:val="single"/>
                <w:lang w:val="en-US" w:eastAsia="zh-CN"/>
              </w:rPr>
              <w:t>图</w:t>
            </w:r>
          </w:p>
          <w:p w14:paraId="63C19F7F">
            <w:pPr>
              <w:pStyle w:val="82"/>
              <w:jc w:val="left"/>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工艺流程简介：</w:t>
            </w:r>
          </w:p>
          <w:p w14:paraId="1C18C25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收购回的原料为袋装，登记入库。</w:t>
            </w:r>
          </w:p>
          <w:p w14:paraId="59116D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2）</w:t>
            </w:r>
            <w:r>
              <w:rPr>
                <w:rFonts w:hint="default" w:ascii="Times New Roman" w:hAnsi="Times New Roman" w:eastAsia="宋体" w:cs="Times New Roman"/>
                <w:color w:val="auto"/>
                <w:kern w:val="0"/>
                <w:sz w:val="24"/>
                <w:lang w:val="en-US" w:eastAsia="zh-CN"/>
              </w:rPr>
              <w:t>初选分级</w:t>
            </w:r>
            <w:r>
              <w:rPr>
                <w:rFonts w:hint="eastAsia" w:ascii="Times New Roman" w:hAnsi="Times New Roman"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为了满足客户和市场需求，本项目</w:t>
            </w:r>
            <w:r>
              <w:rPr>
                <w:rFonts w:hint="eastAsia" w:ascii="Times New Roman" w:hAnsi="Times New Roman" w:eastAsia="宋体" w:cs="Times New Roman"/>
                <w:color w:val="auto"/>
                <w:kern w:val="0"/>
                <w:sz w:val="24"/>
                <w:lang w:val="en-US" w:eastAsia="zh-CN"/>
              </w:rPr>
              <w:t>玉竹、石菖蒲</w:t>
            </w:r>
            <w:r>
              <w:rPr>
                <w:rFonts w:hint="default" w:ascii="Times New Roman" w:hAnsi="Times New Roman" w:eastAsia="宋体" w:cs="Times New Roman"/>
                <w:color w:val="auto"/>
                <w:kern w:val="0"/>
                <w:sz w:val="24"/>
                <w:lang w:val="en-US" w:eastAsia="zh-CN"/>
              </w:rPr>
              <w:t>需对其进行加工前的筛选分级，根据大小尺寸和色泽差异，分选为两个品级，为保证加工前原材料品质、色泽不受破坏，采用人工手选分级</w:t>
            </w:r>
            <w:r>
              <w:rPr>
                <w:rFonts w:hint="eastAsia" w:ascii="Times New Roman" w:hAnsi="Times New Roman" w:eastAsia="宋体" w:cs="Times New Roman"/>
                <w:color w:val="auto"/>
                <w:kern w:val="0"/>
                <w:sz w:val="24"/>
                <w:lang w:val="en-US" w:eastAsia="zh-CN"/>
              </w:rPr>
              <w:t>与机械筛分结合方式，筛分废弃物主要为树叶和树枝，此过程会产生废弃包装袋</w:t>
            </w:r>
            <w:r>
              <w:rPr>
                <w:rFonts w:hint="default" w:ascii="Times New Roman" w:hAnsi="Times New Roman" w:eastAsia="宋体" w:cs="Times New Roman"/>
                <w:color w:val="auto"/>
                <w:kern w:val="0"/>
                <w:sz w:val="24"/>
                <w:lang w:val="en-US" w:eastAsia="zh-CN"/>
              </w:rPr>
              <w:t>。</w:t>
            </w:r>
          </w:p>
          <w:p w14:paraId="2BE7A9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3）采用自动循环清洗机，清洗线利用清水进行清洗，不添加清洗剂，清洗水在清洗机中循环使用，每天更换一次水，产生清洗废水。</w:t>
            </w:r>
          </w:p>
          <w:p w14:paraId="09C0FA8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u w:val="single"/>
                <w:lang w:val="en-US" w:eastAsia="zh-CN"/>
              </w:rPr>
            </w:pPr>
            <w:r>
              <w:rPr>
                <w:rFonts w:hint="eastAsia" w:cs="Times New Roman"/>
                <w:color w:val="auto"/>
                <w:kern w:val="0"/>
                <w:sz w:val="24"/>
                <w:u w:val="single"/>
                <w:lang w:val="en-US" w:eastAsia="zh-CN"/>
              </w:rPr>
              <w:t>4）烘干生产线：清洗后的中药材，进入烘干生产线进行进一步烘干2~3小时，烘干初温以45~50℃为宜，烘干终段温度控制在50~60℃，最终定型干燥温度控制于55℃为最佳。由热风炉提供热源，该工序会产生生物质热风炉废气。</w:t>
            </w:r>
          </w:p>
          <w:p w14:paraId="2EB56AC8">
            <w:pPr>
              <w:pStyle w:val="82"/>
              <w:jc w:val="left"/>
              <w:rPr>
                <w:rFonts w:hint="eastAsia" w:ascii="Times New Roman" w:hAnsi="Times New Roman" w:eastAsia="宋体" w:cs="Times New Roman"/>
                <w:bCs/>
                <w:color w:val="auto"/>
                <w:lang w:val="en-US" w:eastAsia="zh-CN"/>
              </w:rPr>
            </w:pPr>
            <w:r>
              <w:rPr>
                <w:rFonts w:hint="eastAsia" w:cs="Times New Roman"/>
                <w:color w:val="auto"/>
                <w:kern w:val="0"/>
                <w:sz w:val="24"/>
                <w:lang w:val="en-US" w:eastAsia="zh-CN"/>
              </w:rPr>
              <w:t>5）烘干后的中药材经自然晾干后，包装入库，待售。</w:t>
            </w:r>
          </w:p>
          <w:p w14:paraId="048DFCCC">
            <w:pPr>
              <w:adjustRightInd w:val="0"/>
              <w:snapToGrid w:val="0"/>
              <w:spacing w:line="360" w:lineRule="auto"/>
              <w:ind w:firstLine="482" w:firstLineChars="200"/>
              <w:jc w:val="left"/>
              <w:rPr>
                <w:rFonts w:hint="default" w:ascii="Times New Roman" w:hAnsi="Times New Roman" w:eastAsia="宋体" w:cs="Times New Roman"/>
                <w:b/>
                <w:bCs/>
                <w:color w:val="auto"/>
                <w:sz w:val="24"/>
                <w:lang w:val="en-US" w:eastAsia="zh-CN"/>
              </w:rPr>
            </w:pPr>
            <w:r>
              <w:rPr>
                <w:rFonts w:hint="eastAsia" w:cs="Times New Roman"/>
                <w:b/>
                <w:bCs/>
                <w:color w:val="auto"/>
                <w:sz w:val="24"/>
                <w:lang w:eastAsia="zh-CN"/>
              </w:rPr>
              <w:t>（</w:t>
            </w:r>
            <w:r>
              <w:rPr>
                <w:rFonts w:hint="eastAsia" w:cs="Times New Roman"/>
                <w:b/>
                <w:bCs/>
                <w:color w:val="auto"/>
                <w:sz w:val="24"/>
                <w:lang w:val="en-US" w:eastAsia="zh-CN"/>
              </w:rPr>
              <w:t>2</w:t>
            </w:r>
            <w:r>
              <w:rPr>
                <w:rFonts w:hint="eastAsia" w:cs="Times New Roman"/>
                <w:b/>
                <w:bCs/>
                <w:color w:val="auto"/>
                <w:sz w:val="24"/>
                <w:lang w:eastAsia="zh-CN"/>
              </w:rPr>
              <w:t>）</w:t>
            </w:r>
            <w:r>
              <w:rPr>
                <w:rFonts w:hint="eastAsia" w:cs="Times New Roman"/>
                <w:b/>
                <w:bCs/>
                <w:color w:val="auto"/>
                <w:sz w:val="24"/>
                <w:lang w:val="en-US" w:eastAsia="zh-CN"/>
              </w:rPr>
              <w:t>山银花、野菊花加工工艺流程</w:t>
            </w:r>
          </w:p>
          <w:p w14:paraId="3AC3CE5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color w:val="auto"/>
                <w:sz w:val="24"/>
                <w:szCs w:val="24"/>
                <w:lang w:val="en-US" w:eastAsia="zh-CN"/>
              </w:rPr>
              <w:object>
                <v:shape id="_x0000_i1027" o:spt="75" type="#_x0000_t75" style="height:158.5pt;width:379pt;" o:ole="t" filled="f" o:preferrelative="t" stroked="f" coordsize="21600,21600">
                  <v:path/>
                  <v:fill on="f" focussize="0,0"/>
                  <v:stroke on="f"/>
                  <v:imagedata r:id="rId14" cropleft="3603f" o:title=""/>
                  <o:lock v:ext="edit" aspectratio="f"/>
                  <w10:wrap type="none"/>
                  <w10:anchorlock/>
                </v:shape>
                <o:OLEObject Type="Embed" ProgID="Visio.Drawing.11" ShapeID="_x0000_i1027" DrawAspect="Content" ObjectID="_1468075727" r:id="rId13">
                  <o:LockedField>false</o:LockedField>
                </o:OLEObject>
              </w:object>
            </w:r>
            <w:r>
              <w:rPr>
                <w:rFonts w:hint="default" w:ascii="Times New Roman" w:hAnsi="Times New Roman" w:eastAsia="宋体" w:cs="Times New Roman"/>
                <w:b/>
                <w:color w:val="auto"/>
                <w:sz w:val="24"/>
                <w:szCs w:val="24"/>
                <w:u w:val="single"/>
                <w:lang w:val="en-US" w:eastAsia="zh-CN"/>
              </w:rPr>
              <w:t>图2-</w:t>
            </w:r>
            <w:r>
              <w:rPr>
                <w:rFonts w:hint="eastAsia" w:cs="Times New Roman"/>
                <w:b/>
                <w:color w:val="auto"/>
                <w:sz w:val="24"/>
                <w:szCs w:val="24"/>
                <w:u w:val="single"/>
                <w:lang w:val="en-US" w:eastAsia="zh-CN"/>
              </w:rPr>
              <w:t>4</w:t>
            </w:r>
            <w:r>
              <w:rPr>
                <w:rFonts w:hint="default" w:ascii="Times New Roman" w:hAnsi="Times New Roman" w:eastAsia="宋体" w:cs="Times New Roman"/>
                <w:b/>
                <w:color w:val="auto"/>
                <w:sz w:val="24"/>
                <w:szCs w:val="24"/>
                <w:u w:val="single"/>
                <w:lang w:val="en-US" w:eastAsia="zh-CN"/>
              </w:rPr>
              <w:t xml:space="preserve">  </w:t>
            </w:r>
            <w:r>
              <w:rPr>
                <w:rFonts w:hint="eastAsia" w:ascii="Times New Roman" w:hAnsi="Times New Roman" w:eastAsia="宋体" w:cs="Times New Roman"/>
                <w:b/>
                <w:color w:val="auto"/>
                <w:sz w:val="24"/>
                <w:szCs w:val="24"/>
                <w:u w:val="single"/>
                <w:lang w:val="en-US" w:eastAsia="zh-CN"/>
              </w:rPr>
              <w:t xml:space="preserve"> </w:t>
            </w:r>
            <w:r>
              <w:rPr>
                <w:rFonts w:hint="eastAsia" w:cs="Times New Roman"/>
                <w:b/>
                <w:bCs/>
                <w:color w:val="auto"/>
                <w:sz w:val="24"/>
                <w:u w:val="single"/>
                <w:lang w:val="en-US" w:eastAsia="zh-CN"/>
              </w:rPr>
              <w:t>山银花、野菊花加工工艺</w:t>
            </w:r>
            <w:r>
              <w:rPr>
                <w:rFonts w:hint="default" w:ascii="Times New Roman" w:hAnsi="Times New Roman" w:eastAsia="宋体" w:cs="Times New Roman"/>
                <w:b/>
                <w:color w:val="auto"/>
                <w:sz w:val="24"/>
                <w:szCs w:val="24"/>
                <w:u w:val="single"/>
                <w:lang w:val="en-US" w:eastAsia="zh-CN"/>
              </w:rPr>
              <w:t>流程及产污环节</w:t>
            </w:r>
            <w:r>
              <w:rPr>
                <w:rFonts w:hint="eastAsia" w:ascii="Times New Roman" w:hAnsi="Times New Roman" w:eastAsia="宋体" w:cs="Times New Roman"/>
                <w:b/>
                <w:color w:val="auto"/>
                <w:sz w:val="24"/>
                <w:szCs w:val="24"/>
                <w:u w:val="single"/>
                <w:lang w:val="en-US" w:eastAsia="zh-CN"/>
              </w:rPr>
              <w:t>图</w:t>
            </w:r>
          </w:p>
          <w:p w14:paraId="7DB1BB7B">
            <w:pPr>
              <w:pStyle w:val="82"/>
              <w:jc w:val="left"/>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工艺流程简介：</w:t>
            </w:r>
          </w:p>
          <w:p w14:paraId="714CF3D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收购回的原料为袋装，登记入库。</w:t>
            </w:r>
          </w:p>
          <w:p w14:paraId="4CBC43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2）</w:t>
            </w:r>
            <w:r>
              <w:rPr>
                <w:rFonts w:hint="default" w:ascii="Times New Roman" w:hAnsi="Times New Roman" w:eastAsia="宋体" w:cs="Times New Roman"/>
                <w:color w:val="auto"/>
                <w:kern w:val="0"/>
                <w:sz w:val="24"/>
                <w:lang w:val="en-US" w:eastAsia="zh-CN"/>
              </w:rPr>
              <w:t>初选分级</w:t>
            </w:r>
            <w:r>
              <w:rPr>
                <w:rFonts w:hint="eastAsia" w:ascii="Times New Roman" w:hAnsi="Times New Roman"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为了满足客户</w:t>
            </w:r>
            <w:r>
              <w:rPr>
                <w:rFonts w:hint="eastAsia" w:cs="Times New Roman"/>
                <w:color w:val="auto"/>
                <w:kern w:val="0"/>
                <w:sz w:val="24"/>
                <w:lang w:val="en-US" w:eastAsia="zh-CN"/>
              </w:rPr>
              <w:t>和</w:t>
            </w:r>
            <w:r>
              <w:rPr>
                <w:rFonts w:hint="default" w:ascii="Times New Roman" w:hAnsi="Times New Roman" w:eastAsia="宋体" w:cs="Times New Roman"/>
                <w:color w:val="auto"/>
                <w:kern w:val="0"/>
                <w:sz w:val="24"/>
                <w:lang w:val="en-US" w:eastAsia="zh-CN"/>
              </w:rPr>
              <w:t>市场需求，本项目</w:t>
            </w:r>
            <w:r>
              <w:rPr>
                <w:rFonts w:hint="eastAsia" w:ascii="Times New Roman" w:hAnsi="Times New Roman" w:eastAsia="宋体" w:cs="Times New Roman"/>
                <w:color w:val="auto"/>
                <w:kern w:val="0"/>
                <w:sz w:val="24"/>
                <w:lang w:val="en-US" w:eastAsia="zh-CN"/>
              </w:rPr>
              <w:t>山</w:t>
            </w:r>
            <w:r>
              <w:rPr>
                <w:rFonts w:hint="default" w:ascii="Times New Roman" w:hAnsi="Times New Roman" w:eastAsia="宋体" w:cs="Times New Roman"/>
                <w:color w:val="auto"/>
                <w:kern w:val="0"/>
                <w:sz w:val="24"/>
                <w:lang w:val="en-US" w:eastAsia="zh-CN"/>
              </w:rPr>
              <w:t>银花</w:t>
            </w:r>
            <w:r>
              <w:rPr>
                <w:rFonts w:hint="eastAsia" w:ascii="Times New Roman" w:hAnsi="Times New Roman" w:cs="Times New Roman"/>
                <w:color w:val="auto"/>
                <w:kern w:val="0"/>
                <w:sz w:val="24"/>
                <w:lang w:val="en-US" w:eastAsia="zh-CN"/>
              </w:rPr>
              <w:t>、野菊花</w:t>
            </w:r>
            <w:r>
              <w:rPr>
                <w:rFonts w:hint="default" w:ascii="Times New Roman" w:hAnsi="Times New Roman" w:eastAsia="宋体" w:cs="Times New Roman"/>
                <w:color w:val="auto"/>
                <w:kern w:val="0"/>
                <w:sz w:val="24"/>
                <w:lang w:val="en-US" w:eastAsia="zh-CN"/>
              </w:rPr>
              <w:t>需对其进行加工前的筛选分级，根据大小尺寸和色泽差异，分选为两个品级，为保证加工前原材料品质、色泽不受破坏，采用人工手选分级</w:t>
            </w:r>
            <w:r>
              <w:rPr>
                <w:rFonts w:hint="eastAsia" w:ascii="Times New Roman" w:hAnsi="Times New Roman" w:eastAsia="宋体" w:cs="Times New Roman"/>
                <w:color w:val="auto"/>
                <w:kern w:val="0"/>
                <w:sz w:val="24"/>
                <w:lang w:val="en-US" w:eastAsia="zh-CN"/>
              </w:rPr>
              <w:t>与机械筛分结合方式，筛分废弃物主要为树叶和树枝，此过程会产生废弃包装袋</w:t>
            </w:r>
            <w:r>
              <w:rPr>
                <w:rFonts w:hint="default" w:ascii="Times New Roman" w:hAnsi="Times New Roman" w:eastAsia="宋体" w:cs="Times New Roman"/>
                <w:color w:val="auto"/>
                <w:kern w:val="0"/>
                <w:sz w:val="24"/>
                <w:lang w:val="en-US" w:eastAsia="zh-CN"/>
              </w:rPr>
              <w:t>。</w:t>
            </w:r>
          </w:p>
          <w:p w14:paraId="3EEF9D3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u w:val="single"/>
                <w:lang w:val="en-US" w:eastAsia="zh-CN"/>
              </w:rPr>
            </w:pPr>
            <w:r>
              <w:rPr>
                <w:rFonts w:hint="eastAsia" w:ascii="Times New Roman" w:hAnsi="Times New Roman" w:eastAsia="宋体" w:cs="Times New Roman"/>
                <w:color w:val="auto"/>
                <w:kern w:val="0"/>
                <w:sz w:val="24"/>
                <w:u w:val="single"/>
                <w:lang w:val="en-US" w:eastAsia="zh-CN"/>
              </w:rPr>
              <w:t>3）</w:t>
            </w:r>
            <w:r>
              <w:rPr>
                <w:rFonts w:hint="eastAsia" w:cs="Times New Roman"/>
                <w:color w:val="auto"/>
                <w:kern w:val="0"/>
                <w:sz w:val="24"/>
                <w:u w:val="single"/>
                <w:lang w:val="en-US" w:eastAsia="zh-CN"/>
              </w:rPr>
              <w:t>机械杀青：本项目采用杀青机为金属炉滚筒杀青机，温度调节范围在35~50℃，适用于中药材的第一道杀青工序。采用蒸汽作热源，中药材通过该机杀青后约五成干，无焦边爆点，品质匀透一致。由蒸汽提供热源。该工序会产生生物质蒸汽发生器废气。</w:t>
            </w:r>
          </w:p>
          <w:p w14:paraId="7E63F9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u w:val="single"/>
                <w:lang w:val="en-US" w:eastAsia="zh-CN"/>
              </w:rPr>
            </w:pPr>
            <w:r>
              <w:rPr>
                <w:rFonts w:hint="eastAsia" w:cs="Times New Roman"/>
                <w:color w:val="auto"/>
                <w:kern w:val="0"/>
                <w:sz w:val="24"/>
                <w:u w:val="single"/>
                <w:lang w:val="en-US" w:eastAsia="zh-CN"/>
              </w:rPr>
              <w:t>4）烘干生产线：杀青（预干燥）后的中药材，进入烘干生产线进行进一步烘干2-3小时，烘干初温以45~50℃为宜，烘干终段温度控制在50~60℃，最终定型干燥温度控制于55℃为最佳。由热风炉提供热源，该工序会产生生物质热风炉废气。</w:t>
            </w:r>
          </w:p>
          <w:p w14:paraId="0C0CC60D">
            <w:pPr>
              <w:pStyle w:val="82"/>
              <w:jc w:val="left"/>
              <w:rPr>
                <w:rFonts w:hint="default" w:ascii="Times New Roman" w:hAnsi="Times New Roman" w:eastAsia="宋体" w:cs="Times New Roman"/>
                <w:bCs/>
                <w:color w:val="auto"/>
                <w:lang w:val="en-US" w:eastAsia="zh-CN"/>
              </w:rPr>
            </w:pPr>
            <w:r>
              <w:rPr>
                <w:rFonts w:hint="eastAsia" w:cs="Times New Roman"/>
                <w:color w:val="auto"/>
                <w:kern w:val="0"/>
                <w:sz w:val="24"/>
                <w:lang w:val="en-US" w:eastAsia="zh-CN"/>
              </w:rPr>
              <w:t>5）烘干后的中药材经自然晾干后，包装入库，待售。</w:t>
            </w:r>
          </w:p>
        </w:tc>
      </w:tr>
      <w:tr w14:paraId="078C5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439" w:type="pct"/>
            <w:vAlign w:val="top"/>
          </w:tcPr>
          <w:p w14:paraId="4E89840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cs="Times New Roman"/>
                <w:color w:val="auto"/>
                <w:szCs w:val="24"/>
                <w:lang w:val="en-US" w:eastAsia="zh-CN"/>
              </w:rPr>
            </w:pPr>
            <w:r>
              <w:rPr>
                <w:rFonts w:hint="default" w:ascii="Times New Roman" w:hAnsi="Times New Roman" w:cs="Times New Roman"/>
                <w:bCs/>
                <w:color w:val="auto"/>
                <w:kern w:val="2"/>
                <w:szCs w:val="24"/>
                <w:lang w:val="en-US" w:eastAsia="zh-CN"/>
              </w:rPr>
              <w:t>与项目有关的原有环境污染问题</w:t>
            </w:r>
          </w:p>
        </w:tc>
        <w:tc>
          <w:tcPr>
            <w:tcW w:w="4560" w:type="pct"/>
          </w:tcPr>
          <w:p w14:paraId="762DB2F2">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本项目为新建项目，拟用厂区</w:t>
            </w:r>
            <w:r>
              <w:rPr>
                <w:rFonts w:hint="eastAsia" w:cs="Times New Roman"/>
                <w:color w:val="auto"/>
                <w:kern w:val="0"/>
                <w:sz w:val="24"/>
                <w:lang w:val="en-US" w:eastAsia="zh-CN"/>
              </w:rPr>
              <w:t>建筑物已开工建设，与本项目有关的原有污染物主要为施工过程产生的施工扬尘、施工废水、施工固体废物等，施工期的影响是短暂的，影响将随着施工期的结束而消失</w:t>
            </w:r>
            <w:r>
              <w:rPr>
                <w:rFonts w:hint="eastAsia" w:ascii="Times New Roman" w:hAnsi="Times New Roman" w:eastAsia="宋体" w:cs="Times New Roman"/>
                <w:color w:val="auto"/>
                <w:kern w:val="0"/>
                <w:sz w:val="24"/>
                <w:lang w:val="en-US" w:eastAsia="zh-CN"/>
              </w:rPr>
              <w:t>。</w:t>
            </w:r>
          </w:p>
          <w:p w14:paraId="439C56D5">
            <w:pPr>
              <w:pStyle w:val="31"/>
              <w:rPr>
                <w:rFonts w:hint="eastAsia" w:ascii="Times New Roman" w:hAnsi="Times New Roman" w:eastAsia="宋体" w:cs="Times New Roman"/>
                <w:color w:val="auto"/>
                <w:kern w:val="0"/>
                <w:sz w:val="24"/>
                <w:lang w:val="en-US" w:eastAsia="zh-CN"/>
              </w:rPr>
            </w:pPr>
          </w:p>
          <w:p w14:paraId="11314731">
            <w:pPr>
              <w:pStyle w:val="31"/>
              <w:rPr>
                <w:rFonts w:hint="eastAsia" w:ascii="Times New Roman" w:hAnsi="Times New Roman" w:eastAsia="宋体" w:cs="Times New Roman"/>
                <w:color w:val="auto"/>
                <w:kern w:val="0"/>
                <w:sz w:val="24"/>
                <w:lang w:val="en-US" w:eastAsia="zh-CN"/>
              </w:rPr>
            </w:pPr>
          </w:p>
          <w:p w14:paraId="331EFF75">
            <w:pPr>
              <w:pStyle w:val="31"/>
              <w:rPr>
                <w:rFonts w:hint="eastAsia" w:ascii="Times New Roman" w:hAnsi="Times New Roman" w:eastAsia="宋体" w:cs="Times New Roman"/>
                <w:color w:val="auto"/>
                <w:kern w:val="0"/>
                <w:sz w:val="24"/>
                <w:lang w:val="en-US" w:eastAsia="zh-CN"/>
              </w:rPr>
            </w:pPr>
          </w:p>
          <w:p w14:paraId="090AF373">
            <w:pPr>
              <w:pStyle w:val="31"/>
              <w:rPr>
                <w:rFonts w:hint="eastAsia" w:ascii="Times New Roman" w:hAnsi="Times New Roman" w:eastAsia="宋体" w:cs="Times New Roman"/>
                <w:color w:val="auto"/>
                <w:kern w:val="0"/>
                <w:sz w:val="24"/>
                <w:lang w:val="en-US" w:eastAsia="zh-CN"/>
              </w:rPr>
            </w:pPr>
          </w:p>
          <w:p w14:paraId="1EB1D917">
            <w:pPr>
              <w:pStyle w:val="31"/>
              <w:rPr>
                <w:rFonts w:hint="eastAsia" w:ascii="Times New Roman" w:hAnsi="Times New Roman" w:eastAsia="宋体" w:cs="Times New Roman"/>
                <w:color w:val="auto"/>
                <w:kern w:val="0"/>
                <w:sz w:val="24"/>
                <w:lang w:val="en-US" w:eastAsia="zh-CN"/>
              </w:rPr>
            </w:pPr>
          </w:p>
          <w:p w14:paraId="6EC65C62">
            <w:pPr>
              <w:pStyle w:val="31"/>
              <w:rPr>
                <w:rFonts w:hint="eastAsia" w:ascii="Times New Roman" w:hAnsi="Times New Roman" w:eastAsia="宋体" w:cs="Times New Roman"/>
                <w:color w:val="auto"/>
                <w:kern w:val="0"/>
                <w:sz w:val="24"/>
                <w:lang w:val="en-US" w:eastAsia="zh-CN"/>
              </w:rPr>
            </w:pPr>
          </w:p>
          <w:p w14:paraId="51E6D1AD">
            <w:pPr>
              <w:pStyle w:val="31"/>
              <w:rPr>
                <w:rFonts w:hint="eastAsia" w:ascii="Times New Roman" w:hAnsi="Times New Roman" w:eastAsia="宋体" w:cs="Times New Roman"/>
                <w:color w:val="auto"/>
                <w:kern w:val="0"/>
                <w:sz w:val="24"/>
                <w:lang w:val="en-US" w:eastAsia="zh-CN"/>
              </w:rPr>
            </w:pPr>
          </w:p>
          <w:p w14:paraId="5D4695F0">
            <w:pPr>
              <w:pStyle w:val="31"/>
              <w:rPr>
                <w:rFonts w:hint="eastAsia" w:ascii="Times New Roman" w:hAnsi="Times New Roman" w:eastAsia="宋体" w:cs="Times New Roman"/>
                <w:color w:val="auto"/>
                <w:kern w:val="0"/>
                <w:sz w:val="24"/>
                <w:lang w:val="en-US" w:eastAsia="zh-CN"/>
              </w:rPr>
            </w:pPr>
          </w:p>
          <w:p w14:paraId="55A23652">
            <w:pPr>
              <w:pStyle w:val="31"/>
              <w:rPr>
                <w:rFonts w:hint="eastAsia" w:ascii="Times New Roman" w:hAnsi="Times New Roman" w:eastAsia="宋体" w:cs="Times New Roman"/>
                <w:color w:val="auto"/>
                <w:kern w:val="0"/>
                <w:sz w:val="24"/>
                <w:lang w:val="en-US" w:eastAsia="zh-CN"/>
              </w:rPr>
            </w:pPr>
          </w:p>
          <w:p w14:paraId="18B958BB">
            <w:pPr>
              <w:pStyle w:val="31"/>
              <w:rPr>
                <w:rFonts w:hint="eastAsia" w:ascii="Times New Roman" w:hAnsi="Times New Roman" w:eastAsia="宋体" w:cs="Times New Roman"/>
                <w:color w:val="auto"/>
                <w:kern w:val="0"/>
                <w:sz w:val="24"/>
                <w:lang w:val="en-US" w:eastAsia="zh-CN"/>
              </w:rPr>
            </w:pPr>
          </w:p>
          <w:p w14:paraId="6AFECF69">
            <w:pPr>
              <w:pStyle w:val="31"/>
              <w:rPr>
                <w:rFonts w:hint="eastAsia" w:ascii="Times New Roman" w:hAnsi="Times New Roman" w:eastAsia="宋体" w:cs="Times New Roman"/>
                <w:color w:val="auto"/>
                <w:kern w:val="0"/>
                <w:sz w:val="24"/>
                <w:lang w:val="en-US" w:eastAsia="zh-CN"/>
              </w:rPr>
            </w:pPr>
          </w:p>
          <w:p w14:paraId="1FC6670D">
            <w:pPr>
              <w:pStyle w:val="31"/>
              <w:rPr>
                <w:rFonts w:hint="eastAsia" w:ascii="Times New Roman" w:hAnsi="Times New Roman" w:eastAsia="宋体" w:cs="Times New Roman"/>
                <w:color w:val="auto"/>
                <w:kern w:val="0"/>
                <w:sz w:val="24"/>
                <w:lang w:val="en-US" w:eastAsia="zh-CN"/>
              </w:rPr>
            </w:pPr>
          </w:p>
          <w:p w14:paraId="29FE5904">
            <w:pPr>
              <w:pStyle w:val="31"/>
              <w:rPr>
                <w:rFonts w:hint="eastAsia" w:ascii="Times New Roman" w:hAnsi="Times New Roman" w:eastAsia="宋体" w:cs="Times New Roman"/>
                <w:color w:val="auto"/>
                <w:kern w:val="0"/>
                <w:sz w:val="24"/>
                <w:lang w:val="en-US" w:eastAsia="zh-CN"/>
              </w:rPr>
            </w:pPr>
          </w:p>
          <w:p w14:paraId="667892FF">
            <w:pPr>
              <w:pStyle w:val="31"/>
              <w:rPr>
                <w:rFonts w:hint="eastAsia" w:ascii="Times New Roman" w:hAnsi="Times New Roman" w:eastAsia="宋体" w:cs="Times New Roman"/>
                <w:color w:val="auto"/>
                <w:kern w:val="0"/>
                <w:sz w:val="24"/>
                <w:lang w:val="en-US" w:eastAsia="zh-CN"/>
              </w:rPr>
            </w:pPr>
          </w:p>
          <w:p w14:paraId="63E78905">
            <w:pPr>
              <w:pStyle w:val="31"/>
              <w:rPr>
                <w:rFonts w:hint="eastAsia" w:ascii="Times New Roman" w:hAnsi="Times New Roman" w:eastAsia="宋体" w:cs="Times New Roman"/>
                <w:color w:val="auto"/>
                <w:kern w:val="0"/>
                <w:sz w:val="24"/>
                <w:lang w:val="en-US" w:eastAsia="zh-CN"/>
              </w:rPr>
            </w:pPr>
          </w:p>
          <w:p w14:paraId="0D6F3D94">
            <w:pPr>
              <w:pStyle w:val="31"/>
              <w:rPr>
                <w:rFonts w:hint="eastAsia" w:ascii="Times New Roman" w:hAnsi="Times New Roman" w:eastAsia="宋体" w:cs="Times New Roman"/>
                <w:color w:val="auto"/>
                <w:kern w:val="0"/>
                <w:sz w:val="24"/>
                <w:lang w:val="en-US" w:eastAsia="zh-CN"/>
              </w:rPr>
            </w:pPr>
          </w:p>
          <w:p w14:paraId="34EED570">
            <w:pPr>
              <w:pStyle w:val="31"/>
              <w:rPr>
                <w:rFonts w:hint="eastAsia" w:ascii="Times New Roman" w:hAnsi="Times New Roman" w:eastAsia="宋体" w:cs="Times New Roman"/>
                <w:color w:val="auto"/>
                <w:kern w:val="0"/>
                <w:sz w:val="24"/>
                <w:lang w:val="en-US" w:eastAsia="zh-CN"/>
              </w:rPr>
            </w:pPr>
          </w:p>
          <w:p w14:paraId="11F2A19F">
            <w:pPr>
              <w:pStyle w:val="31"/>
              <w:rPr>
                <w:rFonts w:hint="eastAsia" w:ascii="Times New Roman" w:hAnsi="Times New Roman" w:eastAsia="宋体" w:cs="Times New Roman"/>
                <w:color w:val="auto"/>
                <w:kern w:val="0"/>
                <w:sz w:val="24"/>
                <w:lang w:val="en-US" w:eastAsia="zh-CN"/>
              </w:rPr>
            </w:pPr>
          </w:p>
          <w:p w14:paraId="682210D4">
            <w:pPr>
              <w:pStyle w:val="31"/>
              <w:rPr>
                <w:rFonts w:hint="eastAsia" w:ascii="Times New Roman" w:hAnsi="Times New Roman" w:eastAsia="宋体" w:cs="Times New Roman"/>
                <w:color w:val="auto"/>
                <w:kern w:val="0"/>
                <w:sz w:val="24"/>
                <w:lang w:val="en-US" w:eastAsia="zh-CN"/>
              </w:rPr>
            </w:pPr>
          </w:p>
          <w:p w14:paraId="463DC493">
            <w:pPr>
              <w:pStyle w:val="31"/>
              <w:rPr>
                <w:rFonts w:hint="eastAsia" w:ascii="Times New Roman" w:hAnsi="Times New Roman" w:eastAsia="宋体" w:cs="Times New Roman"/>
                <w:color w:val="auto"/>
                <w:kern w:val="0"/>
                <w:sz w:val="24"/>
                <w:lang w:val="en-US" w:eastAsia="zh-CN"/>
              </w:rPr>
            </w:pPr>
          </w:p>
          <w:p w14:paraId="57FA0EDB">
            <w:pPr>
              <w:pStyle w:val="31"/>
              <w:rPr>
                <w:rFonts w:hint="eastAsia"/>
                <w:color w:val="auto"/>
                <w:lang w:val="en-US" w:eastAsia="zh-CN"/>
              </w:rPr>
            </w:pPr>
          </w:p>
          <w:p w14:paraId="3B0BA197">
            <w:pPr>
              <w:pStyle w:val="31"/>
              <w:rPr>
                <w:rFonts w:hint="default"/>
                <w:color w:val="auto"/>
                <w:lang w:val="en-US" w:eastAsia="zh-CN"/>
              </w:rPr>
            </w:pPr>
          </w:p>
        </w:tc>
      </w:tr>
    </w:tbl>
    <w:p w14:paraId="5EF5D542">
      <w:pPr>
        <w:pStyle w:val="27"/>
        <w:jc w:val="center"/>
        <w:rPr>
          <w:rFonts w:hint="default" w:ascii="Times New Roman" w:hAnsi="Times New Roman" w:eastAsia="黑体" w:cs="Times New Roman"/>
          <w:snapToGrid w:val="0"/>
          <w:color w:val="auto"/>
          <w:sz w:val="36"/>
          <w:szCs w:val="36"/>
        </w:rPr>
        <w:sectPr>
          <w:pgSz w:w="11905" w:h="16838"/>
          <w:pgMar w:top="1440" w:right="1803" w:bottom="1440" w:left="1803" w:header="851" w:footer="851" w:gutter="0"/>
          <w:pgBorders>
            <w:top w:val="none" w:sz="0" w:space="0"/>
            <w:left w:val="none" w:sz="0" w:space="0"/>
            <w:bottom w:val="none" w:sz="0" w:space="0"/>
            <w:right w:val="none" w:sz="0" w:space="0"/>
          </w:pgBorders>
          <w:pgNumType w:fmt="decimal"/>
          <w:cols w:space="0" w:num="1"/>
          <w:rtlGutter w:val="0"/>
          <w:docGrid w:linePitch="312" w:charSpace="0"/>
        </w:sectPr>
      </w:pPr>
    </w:p>
    <w:p w14:paraId="7175015F">
      <w:pPr>
        <w:pStyle w:val="2"/>
        <w:bidi w:val="0"/>
        <w:jc w:val="center"/>
        <w:rPr>
          <w:rFonts w:hint="default" w:asciiTheme="majorEastAsia" w:hAnsiTheme="majorEastAsia" w:eastAsiaTheme="majorEastAsia" w:cstheme="majorEastAsia"/>
          <w:b/>
          <w:bCs/>
          <w:color w:val="auto"/>
        </w:rPr>
      </w:pPr>
      <w:bookmarkStart w:id="30" w:name="_Toc16263"/>
      <w:bookmarkStart w:id="31" w:name="_Toc14218"/>
      <w:r>
        <w:rPr>
          <w:rFonts w:hint="default" w:asciiTheme="majorEastAsia" w:hAnsiTheme="majorEastAsia" w:eastAsiaTheme="majorEastAsia" w:cstheme="majorEastAsia"/>
          <w:b/>
          <w:bCs/>
          <w:color w:val="auto"/>
        </w:rPr>
        <w:t>三、区域环境质量现状、环境保护目标及评价标准</w:t>
      </w:r>
      <w:bookmarkEnd w:id="28"/>
      <w:bookmarkEnd w:id="30"/>
      <w:bookmarkEnd w:id="31"/>
    </w:p>
    <w:tbl>
      <w:tblPr>
        <w:tblStyle w:val="32"/>
        <w:tblW w:w="86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4"/>
        <w:gridCol w:w="7817"/>
      </w:tblGrid>
      <w:tr w14:paraId="70CBF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44" w:type="dxa"/>
            <w:vAlign w:val="center"/>
          </w:tcPr>
          <w:p w14:paraId="5FCB1DB8">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区域环境质量现状</w:t>
            </w:r>
          </w:p>
        </w:tc>
        <w:tc>
          <w:tcPr>
            <w:tcW w:w="7817" w:type="dxa"/>
            <w:vAlign w:val="center"/>
          </w:tcPr>
          <w:p w14:paraId="2EAB4D4A">
            <w:pPr>
              <w:spacing w:line="360" w:lineRule="auto"/>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1、环境空气质量现状</w:t>
            </w:r>
          </w:p>
          <w:p w14:paraId="3ACEB754">
            <w:pPr>
              <w:pStyle w:val="131"/>
              <w:ind w:firstLine="480"/>
              <w:rPr>
                <w:color w:val="auto"/>
              </w:rPr>
            </w:pPr>
            <w:bookmarkStart w:id="32" w:name="_Ref528415780"/>
            <w:r>
              <w:rPr>
                <w:rFonts w:hint="eastAsia" w:cs="Times New Roman"/>
                <w:color w:val="auto"/>
                <w:sz w:val="24"/>
                <w:u w:val="none" w:color="auto"/>
                <w:lang w:eastAsia="zh-CN"/>
              </w:rPr>
              <w:t>（</w:t>
            </w:r>
            <w:r>
              <w:rPr>
                <w:rFonts w:hint="eastAsia" w:cs="Times New Roman"/>
                <w:color w:val="auto"/>
                <w:sz w:val="24"/>
                <w:u w:val="none" w:color="auto"/>
                <w:lang w:val="en-US" w:eastAsia="zh-CN"/>
              </w:rPr>
              <w:t>1</w:t>
            </w:r>
            <w:r>
              <w:rPr>
                <w:rFonts w:hint="eastAsia" w:cs="Times New Roman"/>
                <w:color w:val="auto"/>
                <w:sz w:val="24"/>
                <w:u w:val="none" w:color="auto"/>
                <w:lang w:eastAsia="zh-CN"/>
              </w:rPr>
              <w:t>）</w:t>
            </w:r>
            <w:r>
              <w:rPr>
                <w:color w:val="auto"/>
                <w:szCs w:val="28"/>
              </w:rPr>
              <w:t>环境空气达标判定</w:t>
            </w:r>
          </w:p>
          <w:p w14:paraId="5D928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根据《环境影响评价技术导则-大气环境》（HJ2.2-2018），项目所在区域达标判定，优先采用国家或地方生态环境主管部门公开发布的评价基准年环境质量公告或环境质量报告中的数据或结论。</w:t>
            </w:r>
          </w:p>
          <w:bookmarkEnd w:id="32"/>
          <w:p w14:paraId="79D77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为了解项目所在区域的空气环境质量现状，本次评价采用怀化市生态环境主管部门公布的《2024年12月环境空气质量月报及空气质量年报》中</w:t>
            </w:r>
            <w:r>
              <w:rPr>
                <w:rFonts w:hint="eastAsia" w:cs="Times New Roman"/>
                <w:color w:val="auto"/>
                <w:sz w:val="24"/>
                <w:szCs w:val="24"/>
                <w:u w:val="none" w:color="auto"/>
                <w:lang w:val="en-US" w:eastAsia="zh-CN"/>
              </w:rPr>
              <w:t>溆浦县</w:t>
            </w:r>
            <w:r>
              <w:rPr>
                <w:rFonts w:hint="default" w:ascii="Times New Roman" w:hAnsi="Times New Roman" w:eastAsia="宋体" w:cs="Times New Roman"/>
                <w:color w:val="auto"/>
                <w:sz w:val="24"/>
                <w:szCs w:val="24"/>
                <w:u w:val="none" w:color="auto"/>
              </w:rPr>
              <w:t>的环境空气监测数据来说明环境空气质量情况，监测结果详见下表</w:t>
            </w:r>
            <w:r>
              <w:rPr>
                <w:rFonts w:hint="default" w:ascii="Times New Roman" w:hAnsi="Times New Roman" w:eastAsia="宋体" w:cs="Times New Roman"/>
                <w:color w:val="auto"/>
                <w:sz w:val="24"/>
                <w:szCs w:val="24"/>
                <w:u w:val="none" w:color="auto"/>
                <w:lang w:val="en-US" w:eastAsia="zh-CN"/>
              </w:rPr>
              <w:t>3-1</w:t>
            </w:r>
            <w:r>
              <w:rPr>
                <w:rFonts w:hint="default" w:ascii="Times New Roman" w:hAnsi="Times New Roman" w:eastAsia="宋体" w:cs="Times New Roman"/>
                <w:color w:val="auto"/>
                <w:sz w:val="24"/>
                <w:szCs w:val="24"/>
                <w:u w:val="none" w:color="auto"/>
              </w:rPr>
              <w:t>。</w:t>
            </w:r>
          </w:p>
          <w:p w14:paraId="4775E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szCs w:val="24"/>
                <w:u w:val="none" w:color="auto"/>
              </w:rPr>
            </w:pPr>
            <w:r>
              <w:rPr>
                <w:rFonts w:hint="default" w:ascii="Times New Roman" w:hAnsi="Times New Roman" w:eastAsia="宋体" w:cs="Times New Roman"/>
                <w:b/>
                <w:color w:val="auto"/>
                <w:sz w:val="24"/>
                <w:szCs w:val="24"/>
                <w:u w:val="none" w:color="auto"/>
              </w:rPr>
              <w:t xml:space="preserve">表3-1 </w:t>
            </w:r>
            <w:r>
              <w:rPr>
                <w:rFonts w:hint="default" w:ascii="Times New Roman" w:hAnsi="Times New Roman" w:eastAsia="宋体" w:cs="Times New Roman"/>
                <w:b/>
                <w:color w:val="auto"/>
                <w:sz w:val="24"/>
                <w:szCs w:val="24"/>
                <w:u w:val="none" w:color="auto"/>
                <w:lang w:val="en-US" w:eastAsia="zh-CN"/>
              </w:rPr>
              <w:t xml:space="preserve"> </w:t>
            </w:r>
            <w:r>
              <w:rPr>
                <w:rFonts w:hint="eastAsia" w:cs="Times New Roman"/>
                <w:b/>
                <w:color w:val="auto"/>
                <w:sz w:val="24"/>
                <w:szCs w:val="24"/>
                <w:u w:val="none" w:color="auto"/>
                <w:lang w:val="en-US" w:eastAsia="zh-CN"/>
              </w:rPr>
              <w:t xml:space="preserve"> </w:t>
            </w:r>
            <w:r>
              <w:rPr>
                <w:rFonts w:hint="eastAsia" w:ascii="Times New Roman" w:hAnsi="Times New Roman" w:eastAsia="宋体" w:cs="Times New Roman"/>
                <w:b/>
                <w:color w:val="auto"/>
                <w:sz w:val="24"/>
                <w:szCs w:val="24"/>
                <w:u w:val="none" w:color="auto"/>
                <w:lang w:val="en-US" w:eastAsia="zh-CN"/>
              </w:rPr>
              <w:t>2024</w:t>
            </w:r>
            <w:r>
              <w:rPr>
                <w:rFonts w:hint="default" w:ascii="Times New Roman" w:hAnsi="Times New Roman" w:eastAsia="宋体" w:cs="Times New Roman"/>
                <w:b/>
                <w:color w:val="auto"/>
                <w:sz w:val="24"/>
                <w:szCs w:val="24"/>
                <w:u w:val="none" w:color="auto"/>
              </w:rPr>
              <w:t>年</w:t>
            </w:r>
            <w:r>
              <w:rPr>
                <w:rFonts w:hint="eastAsia" w:ascii="Times New Roman" w:hAnsi="Times New Roman" w:eastAsia="宋体" w:cs="Times New Roman"/>
                <w:b/>
                <w:color w:val="auto"/>
                <w:sz w:val="24"/>
                <w:szCs w:val="24"/>
                <w:u w:val="none" w:color="auto"/>
                <w:lang w:val="en-US" w:eastAsia="zh-CN"/>
              </w:rPr>
              <w:t>溆浦县</w:t>
            </w:r>
            <w:r>
              <w:rPr>
                <w:rFonts w:hint="default" w:ascii="Times New Roman" w:hAnsi="Times New Roman" w:eastAsia="宋体" w:cs="Times New Roman"/>
                <w:b/>
                <w:color w:val="auto"/>
                <w:sz w:val="24"/>
                <w:szCs w:val="24"/>
                <w:u w:val="none" w:color="auto"/>
              </w:rPr>
              <w:t>环境空气质量评价结果</w:t>
            </w:r>
          </w:p>
          <w:p w14:paraId="6C3B89D2">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color w:val="auto"/>
                <w:sz w:val="24"/>
                <w:szCs w:val="24"/>
                <w:u w:val="none" w:color="auto"/>
              </w:rPr>
            </w:pPr>
            <w:r>
              <w:rPr>
                <w:rFonts w:hint="default" w:ascii="Times New Roman" w:hAnsi="Times New Roman" w:eastAsia="宋体" w:cs="Times New Roman"/>
                <w:b/>
                <w:color w:val="auto"/>
                <w:sz w:val="24"/>
                <w:szCs w:val="24"/>
                <w:u w:val="none" w:color="auto"/>
              </w:rPr>
              <w:t>单位：μg/m</w:t>
            </w:r>
            <w:r>
              <w:rPr>
                <w:rFonts w:hint="default" w:ascii="Times New Roman" w:hAnsi="Times New Roman" w:eastAsia="宋体" w:cs="Times New Roman"/>
                <w:b/>
                <w:color w:val="auto"/>
                <w:sz w:val="24"/>
                <w:szCs w:val="24"/>
                <w:u w:val="none" w:color="auto"/>
                <w:vertAlign w:val="superscript"/>
              </w:rPr>
              <w:t>3</w:t>
            </w:r>
            <w:r>
              <w:rPr>
                <w:rFonts w:hint="default" w:ascii="Times New Roman" w:hAnsi="Times New Roman" w:eastAsia="宋体" w:cs="Times New Roman"/>
                <w:b/>
                <w:color w:val="auto"/>
                <w:sz w:val="24"/>
                <w:szCs w:val="24"/>
                <w:u w:val="none" w:color="auto"/>
              </w:rPr>
              <w:t>（CO：mg/m</w:t>
            </w:r>
            <w:r>
              <w:rPr>
                <w:rFonts w:hint="default" w:ascii="Times New Roman" w:hAnsi="Times New Roman" w:eastAsia="宋体" w:cs="Times New Roman"/>
                <w:b/>
                <w:color w:val="auto"/>
                <w:sz w:val="24"/>
                <w:szCs w:val="24"/>
                <w:u w:val="none" w:color="auto"/>
                <w:vertAlign w:val="superscript"/>
              </w:rPr>
              <w:t>3</w:t>
            </w:r>
            <w:r>
              <w:rPr>
                <w:rFonts w:hint="default" w:ascii="Times New Roman" w:hAnsi="Times New Roman" w:eastAsia="宋体" w:cs="Times New Roman"/>
                <w:b/>
                <w:color w:val="auto"/>
                <w:sz w:val="24"/>
                <w:szCs w:val="24"/>
                <w:u w:val="none" w:color="auto"/>
              </w:rPr>
              <w:t>）</w:t>
            </w:r>
          </w:p>
          <w:tbl>
            <w:tblPr>
              <w:tblStyle w:val="33"/>
              <w:tblW w:w="7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41"/>
              <w:gridCol w:w="684"/>
              <w:gridCol w:w="601"/>
              <w:gridCol w:w="799"/>
              <w:gridCol w:w="800"/>
              <w:gridCol w:w="634"/>
              <w:gridCol w:w="840"/>
              <w:gridCol w:w="692"/>
            </w:tblGrid>
            <w:tr w14:paraId="3AD58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Merge w:val="restart"/>
                  <w:tcBorders>
                    <w:tl2br w:val="nil"/>
                    <w:tr2bl w:val="nil"/>
                  </w:tcBorders>
                  <w:shd w:val="clear" w:color="auto" w:fill="auto"/>
                  <w:vAlign w:val="center"/>
                </w:tcPr>
                <w:p w14:paraId="7F05D435">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污染物</w:t>
                  </w:r>
                </w:p>
              </w:tc>
              <w:tc>
                <w:tcPr>
                  <w:tcW w:w="1941" w:type="dxa"/>
                  <w:vMerge w:val="restart"/>
                  <w:tcBorders>
                    <w:tl2br w:val="nil"/>
                    <w:tr2bl w:val="nil"/>
                  </w:tcBorders>
                  <w:shd w:val="clear" w:color="auto" w:fill="auto"/>
                  <w:vAlign w:val="center"/>
                </w:tcPr>
                <w:p w14:paraId="6809727B">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年评价指标</w:t>
                  </w:r>
                </w:p>
              </w:tc>
              <w:tc>
                <w:tcPr>
                  <w:tcW w:w="684" w:type="dxa"/>
                  <w:vMerge w:val="restart"/>
                  <w:tcBorders>
                    <w:tl2br w:val="nil"/>
                    <w:tr2bl w:val="nil"/>
                  </w:tcBorders>
                  <w:shd w:val="clear" w:color="auto" w:fill="auto"/>
                  <w:vAlign w:val="center"/>
                </w:tcPr>
                <w:p w14:paraId="093E807C">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现状浓度</w:t>
                  </w:r>
                </w:p>
              </w:tc>
              <w:tc>
                <w:tcPr>
                  <w:tcW w:w="2200" w:type="dxa"/>
                  <w:gridSpan w:val="3"/>
                  <w:tcBorders>
                    <w:tl2br w:val="nil"/>
                    <w:tr2bl w:val="nil"/>
                  </w:tcBorders>
                  <w:shd w:val="clear" w:color="auto" w:fill="auto"/>
                  <w:vAlign w:val="center"/>
                </w:tcPr>
                <w:p w14:paraId="5140813C">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GB3095-2012</w:t>
                  </w:r>
                </w:p>
              </w:tc>
              <w:tc>
                <w:tcPr>
                  <w:tcW w:w="2166" w:type="dxa"/>
                  <w:gridSpan w:val="3"/>
                  <w:tcBorders>
                    <w:tl2br w:val="nil"/>
                    <w:tr2bl w:val="nil"/>
                  </w:tcBorders>
                  <w:shd w:val="clear" w:color="auto" w:fill="auto"/>
                  <w:vAlign w:val="center"/>
                </w:tcPr>
                <w:p w14:paraId="03A13DFE">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rPr>
                    <w:t>GB3095-20</w:t>
                  </w:r>
                  <w:r>
                    <w:rPr>
                      <w:rFonts w:hint="eastAsia" w:ascii="Times New Roman" w:hAnsi="Times New Roman" w:cs="Times New Roman" w:eastAsiaTheme="minorEastAsia"/>
                      <w:color w:val="auto"/>
                      <w:sz w:val="21"/>
                      <w:szCs w:val="21"/>
                      <w:u w:val="none" w:color="auto"/>
                      <w:lang w:val="en-US" w:eastAsia="zh-CN"/>
                    </w:rPr>
                    <w:t>26</w:t>
                  </w:r>
                </w:p>
              </w:tc>
            </w:tr>
            <w:tr w14:paraId="6A9C1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Merge w:val="continue"/>
                  <w:tcBorders>
                    <w:tl2br w:val="nil"/>
                    <w:tr2bl w:val="nil"/>
                  </w:tcBorders>
                  <w:shd w:val="clear" w:color="auto" w:fill="auto"/>
                  <w:vAlign w:val="center"/>
                </w:tcPr>
                <w:p w14:paraId="601865E1">
                  <w:pPr>
                    <w:bidi w:val="0"/>
                    <w:spacing w:line="240" w:lineRule="auto"/>
                    <w:jc w:val="center"/>
                    <w:rPr>
                      <w:rFonts w:hint="default" w:ascii="Times New Roman" w:hAnsi="Times New Roman" w:cs="Times New Roman" w:eastAsiaTheme="minorEastAsia"/>
                      <w:color w:val="auto"/>
                      <w:sz w:val="21"/>
                      <w:szCs w:val="21"/>
                      <w:u w:val="none" w:color="auto"/>
                    </w:rPr>
                  </w:pPr>
                </w:p>
              </w:tc>
              <w:tc>
                <w:tcPr>
                  <w:tcW w:w="1941" w:type="dxa"/>
                  <w:vMerge w:val="continue"/>
                  <w:tcBorders>
                    <w:tl2br w:val="nil"/>
                    <w:tr2bl w:val="nil"/>
                  </w:tcBorders>
                  <w:shd w:val="clear" w:color="auto" w:fill="auto"/>
                  <w:vAlign w:val="center"/>
                </w:tcPr>
                <w:p w14:paraId="32EEF540">
                  <w:pPr>
                    <w:bidi w:val="0"/>
                    <w:spacing w:line="240" w:lineRule="auto"/>
                    <w:jc w:val="center"/>
                    <w:rPr>
                      <w:rFonts w:hint="default" w:ascii="Times New Roman" w:hAnsi="Times New Roman" w:cs="Times New Roman" w:eastAsiaTheme="minorEastAsia"/>
                      <w:color w:val="auto"/>
                      <w:sz w:val="21"/>
                      <w:szCs w:val="21"/>
                      <w:u w:val="none" w:color="auto"/>
                    </w:rPr>
                  </w:pPr>
                </w:p>
              </w:tc>
              <w:tc>
                <w:tcPr>
                  <w:tcW w:w="684" w:type="dxa"/>
                  <w:vMerge w:val="continue"/>
                  <w:tcBorders>
                    <w:tl2br w:val="nil"/>
                    <w:tr2bl w:val="nil"/>
                  </w:tcBorders>
                  <w:shd w:val="clear" w:color="auto" w:fill="auto"/>
                  <w:vAlign w:val="center"/>
                </w:tcPr>
                <w:p w14:paraId="009C1E76">
                  <w:pPr>
                    <w:bidi w:val="0"/>
                    <w:spacing w:line="240" w:lineRule="auto"/>
                    <w:jc w:val="center"/>
                    <w:rPr>
                      <w:rFonts w:hint="default" w:ascii="Times New Roman" w:hAnsi="Times New Roman" w:cs="Times New Roman" w:eastAsiaTheme="minorEastAsia"/>
                      <w:color w:val="auto"/>
                      <w:sz w:val="21"/>
                      <w:szCs w:val="21"/>
                      <w:u w:val="none" w:color="auto"/>
                    </w:rPr>
                  </w:pPr>
                </w:p>
              </w:tc>
              <w:tc>
                <w:tcPr>
                  <w:tcW w:w="601" w:type="dxa"/>
                  <w:tcBorders>
                    <w:tl2br w:val="nil"/>
                    <w:tr2bl w:val="nil"/>
                  </w:tcBorders>
                  <w:shd w:val="clear" w:color="auto" w:fill="auto"/>
                  <w:vAlign w:val="center"/>
                </w:tcPr>
                <w:p w14:paraId="300ADCC4">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标准值</w:t>
                  </w:r>
                </w:p>
              </w:tc>
              <w:tc>
                <w:tcPr>
                  <w:tcW w:w="799" w:type="dxa"/>
                  <w:tcBorders>
                    <w:tl2br w:val="nil"/>
                    <w:tr2bl w:val="nil"/>
                  </w:tcBorders>
                  <w:shd w:val="clear" w:color="auto" w:fill="auto"/>
                  <w:vAlign w:val="center"/>
                </w:tcPr>
                <w:p w14:paraId="6BDE825B">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占标率（%）</w:t>
                  </w:r>
                </w:p>
              </w:tc>
              <w:tc>
                <w:tcPr>
                  <w:tcW w:w="800" w:type="dxa"/>
                  <w:tcBorders>
                    <w:tl2br w:val="nil"/>
                    <w:tr2bl w:val="nil"/>
                  </w:tcBorders>
                  <w:shd w:val="clear" w:color="auto" w:fill="auto"/>
                  <w:vAlign w:val="center"/>
                </w:tcPr>
                <w:p w14:paraId="38589D09">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达标情况</w:t>
                  </w:r>
                </w:p>
              </w:tc>
              <w:tc>
                <w:tcPr>
                  <w:tcW w:w="634" w:type="dxa"/>
                  <w:tcBorders>
                    <w:tl2br w:val="nil"/>
                    <w:tr2bl w:val="nil"/>
                  </w:tcBorders>
                  <w:shd w:val="clear" w:color="auto" w:fill="auto"/>
                  <w:vAlign w:val="center"/>
                </w:tcPr>
                <w:p w14:paraId="0855EFA4">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标准值</w:t>
                  </w:r>
                </w:p>
              </w:tc>
              <w:tc>
                <w:tcPr>
                  <w:tcW w:w="840" w:type="dxa"/>
                  <w:tcBorders>
                    <w:tl2br w:val="nil"/>
                    <w:tr2bl w:val="nil"/>
                  </w:tcBorders>
                  <w:shd w:val="clear" w:color="auto" w:fill="auto"/>
                  <w:vAlign w:val="center"/>
                </w:tcPr>
                <w:p w14:paraId="6384478D">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占标率（%）</w:t>
                  </w:r>
                </w:p>
              </w:tc>
              <w:tc>
                <w:tcPr>
                  <w:tcW w:w="692" w:type="dxa"/>
                  <w:tcBorders>
                    <w:tl2br w:val="nil"/>
                    <w:tr2bl w:val="nil"/>
                  </w:tcBorders>
                  <w:shd w:val="clear" w:color="auto" w:fill="auto"/>
                  <w:vAlign w:val="center"/>
                </w:tcPr>
                <w:p w14:paraId="665115A3">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达标情况</w:t>
                  </w:r>
                </w:p>
              </w:tc>
            </w:tr>
            <w:tr w14:paraId="1D409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l2br w:val="nil"/>
                    <w:tr2bl w:val="nil"/>
                  </w:tcBorders>
                  <w:shd w:val="clear" w:color="auto" w:fill="auto"/>
                  <w:vAlign w:val="center"/>
                </w:tcPr>
                <w:p w14:paraId="50B1286D">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SO</w:t>
                  </w:r>
                  <w:r>
                    <w:rPr>
                      <w:rFonts w:hint="default" w:ascii="Times New Roman" w:hAnsi="Times New Roman" w:cs="Times New Roman" w:eastAsiaTheme="minorEastAsia"/>
                      <w:color w:val="auto"/>
                      <w:sz w:val="21"/>
                      <w:szCs w:val="21"/>
                      <w:u w:val="none" w:color="auto"/>
                      <w:vertAlign w:val="subscript"/>
                    </w:rPr>
                    <w:t>2</w:t>
                  </w:r>
                </w:p>
              </w:tc>
              <w:tc>
                <w:tcPr>
                  <w:tcW w:w="1941" w:type="dxa"/>
                  <w:tcBorders>
                    <w:tl2br w:val="nil"/>
                    <w:tr2bl w:val="nil"/>
                  </w:tcBorders>
                  <w:shd w:val="clear" w:color="auto" w:fill="auto"/>
                  <w:vAlign w:val="center"/>
                </w:tcPr>
                <w:p w14:paraId="26378D4D">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年平均质量浓度</w:t>
                  </w:r>
                </w:p>
              </w:tc>
              <w:tc>
                <w:tcPr>
                  <w:tcW w:w="684" w:type="dxa"/>
                  <w:tcBorders>
                    <w:tl2br w:val="nil"/>
                    <w:tr2bl w:val="nil"/>
                  </w:tcBorders>
                  <w:shd w:val="clear" w:color="auto" w:fill="auto"/>
                  <w:vAlign w:val="center"/>
                </w:tcPr>
                <w:p w14:paraId="734D3110">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lang w:val="en-US" w:eastAsia="zh-CN"/>
                    </w:rPr>
                    <w:t>12</w:t>
                  </w:r>
                </w:p>
              </w:tc>
              <w:tc>
                <w:tcPr>
                  <w:tcW w:w="601" w:type="dxa"/>
                  <w:tcBorders>
                    <w:tl2br w:val="nil"/>
                    <w:tr2bl w:val="nil"/>
                  </w:tcBorders>
                  <w:shd w:val="clear" w:color="auto" w:fill="auto"/>
                  <w:vAlign w:val="center"/>
                </w:tcPr>
                <w:p w14:paraId="2E42EE45">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60</w:t>
                  </w:r>
                </w:p>
              </w:tc>
              <w:tc>
                <w:tcPr>
                  <w:tcW w:w="799" w:type="dxa"/>
                  <w:tcBorders>
                    <w:tl2br w:val="nil"/>
                    <w:tr2bl w:val="nil"/>
                  </w:tcBorders>
                  <w:shd w:val="clear" w:color="auto" w:fill="auto"/>
                  <w:vAlign w:val="center"/>
                </w:tcPr>
                <w:p w14:paraId="71FB4F30">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lang w:val="en-US" w:eastAsia="zh-CN"/>
                    </w:rPr>
                    <w:t>20</w:t>
                  </w:r>
                </w:p>
              </w:tc>
              <w:tc>
                <w:tcPr>
                  <w:tcW w:w="800" w:type="dxa"/>
                  <w:tcBorders>
                    <w:tl2br w:val="nil"/>
                    <w:tr2bl w:val="nil"/>
                  </w:tcBorders>
                  <w:shd w:val="clear" w:color="auto" w:fill="auto"/>
                  <w:vAlign w:val="center"/>
                </w:tcPr>
                <w:p w14:paraId="24FB35C4">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达标</w:t>
                  </w:r>
                </w:p>
              </w:tc>
              <w:tc>
                <w:tcPr>
                  <w:tcW w:w="634" w:type="dxa"/>
                  <w:tcBorders>
                    <w:tl2br w:val="nil"/>
                    <w:tr2bl w:val="nil"/>
                  </w:tcBorders>
                  <w:shd w:val="clear" w:color="auto" w:fill="auto"/>
                  <w:vAlign w:val="center"/>
                </w:tcPr>
                <w:p w14:paraId="08800245">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60</w:t>
                  </w:r>
                </w:p>
              </w:tc>
              <w:tc>
                <w:tcPr>
                  <w:tcW w:w="840" w:type="dxa"/>
                  <w:tcBorders>
                    <w:tl2br w:val="nil"/>
                    <w:tr2bl w:val="nil"/>
                  </w:tcBorders>
                  <w:shd w:val="clear" w:color="auto" w:fill="auto"/>
                  <w:vAlign w:val="center"/>
                </w:tcPr>
                <w:p w14:paraId="7DC249BD">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c>
                <w:tcPr>
                  <w:tcW w:w="692" w:type="dxa"/>
                  <w:tcBorders>
                    <w:tl2br w:val="nil"/>
                    <w:tr2bl w:val="nil"/>
                  </w:tcBorders>
                  <w:shd w:val="clear" w:color="auto" w:fill="auto"/>
                  <w:vAlign w:val="center"/>
                </w:tcPr>
                <w:p w14:paraId="22499E9F">
                  <w:pPr>
                    <w:bidi w:val="0"/>
                    <w:spacing w:line="240" w:lineRule="auto"/>
                    <w:jc w:val="center"/>
                    <w:rPr>
                      <w:rFonts w:hint="eastAsia"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达标</w:t>
                  </w:r>
                </w:p>
              </w:tc>
            </w:tr>
            <w:tr w14:paraId="279A2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l2br w:val="nil"/>
                    <w:tr2bl w:val="nil"/>
                  </w:tcBorders>
                  <w:shd w:val="clear" w:color="auto" w:fill="auto"/>
                  <w:vAlign w:val="center"/>
                </w:tcPr>
                <w:p w14:paraId="6A641C48">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NO</w:t>
                  </w:r>
                  <w:r>
                    <w:rPr>
                      <w:rFonts w:hint="default" w:ascii="Times New Roman" w:hAnsi="Times New Roman" w:cs="Times New Roman" w:eastAsiaTheme="minorEastAsia"/>
                      <w:color w:val="auto"/>
                      <w:sz w:val="21"/>
                      <w:szCs w:val="21"/>
                      <w:u w:val="none" w:color="auto"/>
                      <w:vertAlign w:val="subscript"/>
                    </w:rPr>
                    <w:t>2</w:t>
                  </w:r>
                </w:p>
              </w:tc>
              <w:tc>
                <w:tcPr>
                  <w:tcW w:w="1941" w:type="dxa"/>
                  <w:tcBorders>
                    <w:tl2br w:val="nil"/>
                    <w:tr2bl w:val="nil"/>
                  </w:tcBorders>
                  <w:shd w:val="clear" w:color="auto" w:fill="auto"/>
                  <w:vAlign w:val="center"/>
                </w:tcPr>
                <w:p w14:paraId="5BF31B8B">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年平均质量浓度</w:t>
                  </w:r>
                </w:p>
              </w:tc>
              <w:tc>
                <w:tcPr>
                  <w:tcW w:w="684" w:type="dxa"/>
                  <w:tcBorders>
                    <w:tl2br w:val="nil"/>
                    <w:tr2bl w:val="nil"/>
                  </w:tcBorders>
                  <w:shd w:val="clear" w:color="auto" w:fill="auto"/>
                  <w:vAlign w:val="center"/>
                </w:tcPr>
                <w:p w14:paraId="41B700FA">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lang w:val="en-US" w:eastAsia="zh-CN"/>
                    </w:rPr>
                    <w:t>7</w:t>
                  </w:r>
                </w:p>
              </w:tc>
              <w:tc>
                <w:tcPr>
                  <w:tcW w:w="601" w:type="dxa"/>
                  <w:tcBorders>
                    <w:tl2br w:val="nil"/>
                    <w:tr2bl w:val="nil"/>
                  </w:tcBorders>
                  <w:shd w:val="clear" w:color="auto" w:fill="auto"/>
                  <w:vAlign w:val="center"/>
                </w:tcPr>
                <w:p w14:paraId="352AB226">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40</w:t>
                  </w:r>
                </w:p>
              </w:tc>
              <w:tc>
                <w:tcPr>
                  <w:tcW w:w="799" w:type="dxa"/>
                  <w:tcBorders>
                    <w:tl2br w:val="nil"/>
                    <w:tr2bl w:val="nil"/>
                  </w:tcBorders>
                  <w:shd w:val="clear" w:color="auto" w:fill="auto"/>
                  <w:vAlign w:val="center"/>
                </w:tcPr>
                <w:p w14:paraId="5CB75E28">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lang w:val="en-US" w:eastAsia="zh-CN"/>
                    </w:rPr>
                    <w:t>17.5</w:t>
                  </w:r>
                </w:p>
              </w:tc>
              <w:tc>
                <w:tcPr>
                  <w:tcW w:w="800" w:type="dxa"/>
                  <w:tcBorders>
                    <w:tl2br w:val="nil"/>
                    <w:tr2bl w:val="nil"/>
                  </w:tcBorders>
                  <w:shd w:val="clear" w:color="auto" w:fill="auto"/>
                  <w:vAlign w:val="center"/>
                </w:tcPr>
                <w:p w14:paraId="6738182A">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达标</w:t>
                  </w:r>
                </w:p>
              </w:tc>
              <w:tc>
                <w:tcPr>
                  <w:tcW w:w="634" w:type="dxa"/>
                  <w:tcBorders>
                    <w:tl2br w:val="nil"/>
                    <w:tr2bl w:val="nil"/>
                  </w:tcBorders>
                  <w:shd w:val="clear" w:color="auto" w:fill="auto"/>
                  <w:vAlign w:val="center"/>
                </w:tcPr>
                <w:p w14:paraId="1749D361">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40</w:t>
                  </w:r>
                </w:p>
              </w:tc>
              <w:tc>
                <w:tcPr>
                  <w:tcW w:w="840" w:type="dxa"/>
                  <w:tcBorders>
                    <w:tl2br w:val="nil"/>
                    <w:tr2bl w:val="nil"/>
                  </w:tcBorders>
                  <w:shd w:val="clear" w:color="auto" w:fill="auto"/>
                  <w:vAlign w:val="center"/>
                </w:tcPr>
                <w:p w14:paraId="23ADD393">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692" w:type="dxa"/>
                  <w:tcBorders>
                    <w:tl2br w:val="nil"/>
                    <w:tr2bl w:val="nil"/>
                  </w:tcBorders>
                  <w:shd w:val="clear" w:color="auto" w:fill="auto"/>
                  <w:vAlign w:val="center"/>
                </w:tcPr>
                <w:p w14:paraId="035B0E08">
                  <w:pPr>
                    <w:bidi w:val="0"/>
                    <w:spacing w:line="240" w:lineRule="auto"/>
                    <w:jc w:val="center"/>
                    <w:rPr>
                      <w:rFonts w:hint="default" w:ascii="Times New Roman" w:hAnsi="Times New Roman" w:cs="Times New Roman" w:eastAsiaTheme="minorEastAsia"/>
                      <w:color w:val="auto"/>
                      <w:sz w:val="21"/>
                      <w:szCs w:val="21"/>
                      <w:u w:val="none" w:color="auto"/>
                    </w:rPr>
                  </w:pPr>
                  <w:r>
                    <w:rPr>
                      <w:rFonts w:hint="eastAsia" w:cs="Times New Roman" w:eastAsiaTheme="minorEastAsia"/>
                      <w:color w:val="auto"/>
                      <w:sz w:val="21"/>
                      <w:szCs w:val="21"/>
                      <w:u w:val="none" w:color="auto"/>
                      <w:lang w:val="en-US" w:eastAsia="zh-CN"/>
                    </w:rPr>
                    <w:t>达标</w:t>
                  </w:r>
                </w:p>
              </w:tc>
            </w:tr>
            <w:tr w14:paraId="6B8F8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l2br w:val="nil"/>
                    <w:tr2bl w:val="nil"/>
                  </w:tcBorders>
                  <w:shd w:val="clear" w:color="auto" w:fill="auto"/>
                  <w:vAlign w:val="center"/>
                </w:tcPr>
                <w:p w14:paraId="6474097C">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PM</w:t>
                  </w:r>
                  <w:r>
                    <w:rPr>
                      <w:rFonts w:hint="default" w:ascii="Times New Roman" w:hAnsi="Times New Roman" w:cs="Times New Roman" w:eastAsiaTheme="minorEastAsia"/>
                      <w:color w:val="auto"/>
                      <w:sz w:val="21"/>
                      <w:szCs w:val="21"/>
                      <w:u w:val="none" w:color="auto"/>
                      <w:vertAlign w:val="subscript"/>
                    </w:rPr>
                    <w:t>10</w:t>
                  </w:r>
                </w:p>
              </w:tc>
              <w:tc>
                <w:tcPr>
                  <w:tcW w:w="1941" w:type="dxa"/>
                  <w:tcBorders>
                    <w:tl2br w:val="nil"/>
                    <w:tr2bl w:val="nil"/>
                  </w:tcBorders>
                  <w:shd w:val="clear" w:color="auto" w:fill="auto"/>
                  <w:vAlign w:val="center"/>
                </w:tcPr>
                <w:p w14:paraId="4DACF492">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年平均质量浓度</w:t>
                  </w:r>
                </w:p>
              </w:tc>
              <w:tc>
                <w:tcPr>
                  <w:tcW w:w="684" w:type="dxa"/>
                  <w:tcBorders>
                    <w:tl2br w:val="nil"/>
                    <w:tr2bl w:val="nil"/>
                  </w:tcBorders>
                  <w:shd w:val="clear" w:color="auto" w:fill="auto"/>
                  <w:vAlign w:val="center"/>
                </w:tcPr>
                <w:p w14:paraId="2D4D4F9E">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lang w:val="en-US" w:eastAsia="zh-CN"/>
                    </w:rPr>
                    <w:t>29</w:t>
                  </w:r>
                </w:p>
              </w:tc>
              <w:tc>
                <w:tcPr>
                  <w:tcW w:w="601" w:type="dxa"/>
                  <w:tcBorders>
                    <w:tl2br w:val="nil"/>
                    <w:tr2bl w:val="nil"/>
                  </w:tcBorders>
                  <w:shd w:val="clear" w:color="auto" w:fill="auto"/>
                  <w:vAlign w:val="center"/>
                </w:tcPr>
                <w:p w14:paraId="784D895B">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70</w:t>
                  </w:r>
                </w:p>
              </w:tc>
              <w:tc>
                <w:tcPr>
                  <w:tcW w:w="799" w:type="dxa"/>
                  <w:tcBorders>
                    <w:tl2br w:val="nil"/>
                    <w:tr2bl w:val="nil"/>
                  </w:tcBorders>
                  <w:shd w:val="clear" w:color="auto" w:fill="auto"/>
                  <w:vAlign w:val="center"/>
                </w:tcPr>
                <w:p w14:paraId="7D843718">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lang w:val="en-US" w:eastAsia="zh-CN"/>
                    </w:rPr>
                    <w:t>41.4</w:t>
                  </w:r>
                </w:p>
              </w:tc>
              <w:tc>
                <w:tcPr>
                  <w:tcW w:w="800" w:type="dxa"/>
                  <w:tcBorders>
                    <w:tl2br w:val="nil"/>
                    <w:tr2bl w:val="nil"/>
                  </w:tcBorders>
                  <w:shd w:val="clear" w:color="auto" w:fill="auto"/>
                  <w:vAlign w:val="center"/>
                </w:tcPr>
                <w:p w14:paraId="6C2556F0">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达标</w:t>
                  </w:r>
                </w:p>
              </w:tc>
              <w:tc>
                <w:tcPr>
                  <w:tcW w:w="634" w:type="dxa"/>
                  <w:tcBorders>
                    <w:tl2br w:val="nil"/>
                    <w:tr2bl w:val="nil"/>
                  </w:tcBorders>
                  <w:shd w:val="clear" w:color="auto" w:fill="auto"/>
                  <w:vAlign w:val="center"/>
                </w:tcPr>
                <w:p w14:paraId="723DB717">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60</w:t>
                  </w:r>
                </w:p>
              </w:tc>
              <w:tc>
                <w:tcPr>
                  <w:tcW w:w="840" w:type="dxa"/>
                  <w:tcBorders>
                    <w:tl2br w:val="nil"/>
                    <w:tr2bl w:val="nil"/>
                  </w:tcBorders>
                  <w:shd w:val="clear" w:color="auto" w:fill="auto"/>
                  <w:vAlign w:val="center"/>
                </w:tcPr>
                <w:p w14:paraId="1840A357">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48</w:t>
                  </w:r>
                </w:p>
              </w:tc>
              <w:tc>
                <w:tcPr>
                  <w:tcW w:w="692" w:type="dxa"/>
                  <w:tcBorders>
                    <w:tl2br w:val="nil"/>
                    <w:tr2bl w:val="nil"/>
                  </w:tcBorders>
                  <w:shd w:val="clear" w:color="auto" w:fill="auto"/>
                  <w:vAlign w:val="center"/>
                </w:tcPr>
                <w:p w14:paraId="45B5A2F8">
                  <w:pPr>
                    <w:bidi w:val="0"/>
                    <w:spacing w:line="240" w:lineRule="auto"/>
                    <w:jc w:val="center"/>
                    <w:rPr>
                      <w:rFonts w:hint="default" w:ascii="Times New Roman" w:hAnsi="Times New Roman" w:cs="Times New Roman" w:eastAsiaTheme="minorEastAsia"/>
                      <w:color w:val="auto"/>
                      <w:sz w:val="21"/>
                      <w:szCs w:val="21"/>
                      <w:u w:val="none" w:color="auto"/>
                    </w:rPr>
                  </w:pPr>
                  <w:r>
                    <w:rPr>
                      <w:rFonts w:hint="eastAsia" w:cs="Times New Roman" w:eastAsiaTheme="minorEastAsia"/>
                      <w:color w:val="auto"/>
                      <w:sz w:val="21"/>
                      <w:szCs w:val="21"/>
                      <w:u w:val="none" w:color="auto"/>
                      <w:lang w:val="en-US" w:eastAsia="zh-CN"/>
                    </w:rPr>
                    <w:t>达标</w:t>
                  </w:r>
                </w:p>
              </w:tc>
            </w:tr>
            <w:tr w14:paraId="52438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l2br w:val="nil"/>
                    <w:tr2bl w:val="nil"/>
                  </w:tcBorders>
                  <w:shd w:val="clear" w:color="auto" w:fill="auto"/>
                  <w:vAlign w:val="center"/>
                </w:tcPr>
                <w:p w14:paraId="30ACC2CC">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PM</w:t>
                  </w:r>
                  <w:r>
                    <w:rPr>
                      <w:rFonts w:hint="default" w:ascii="Times New Roman" w:hAnsi="Times New Roman" w:cs="Times New Roman" w:eastAsiaTheme="minorEastAsia"/>
                      <w:color w:val="auto"/>
                      <w:sz w:val="21"/>
                      <w:szCs w:val="21"/>
                      <w:u w:val="none" w:color="auto"/>
                      <w:vertAlign w:val="subscript"/>
                    </w:rPr>
                    <w:t>2.5</w:t>
                  </w:r>
                </w:p>
              </w:tc>
              <w:tc>
                <w:tcPr>
                  <w:tcW w:w="1941" w:type="dxa"/>
                  <w:tcBorders>
                    <w:tl2br w:val="nil"/>
                    <w:tr2bl w:val="nil"/>
                  </w:tcBorders>
                  <w:shd w:val="clear" w:color="auto" w:fill="auto"/>
                  <w:vAlign w:val="center"/>
                </w:tcPr>
                <w:p w14:paraId="164A1BB1">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年平均质量浓度</w:t>
                  </w:r>
                </w:p>
              </w:tc>
              <w:tc>
                <w:tcPr>
                  <w:tcW w:w="684" w:type="dxa"/>
                  <w:tcBorders>
                    <w:tl2br w:val="nil"/>
                    <w:tr2bl w:val="nil"/>
                  </w:tcBorders>
                  <w:shd w:val="clear" w:color="auto" w:fill="auto"/>
                  <w:vAlign w:val="center"/>
                </w:tcPr>
                <w:p w14:paraId="5D0BDCFE">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lang w:val="en-US" w:eastAsia="zh-CN"/>
                    </w:rPr>
                    <w:t>23</w:t>
                  </w:r>
                </w:p>
              </w:tc>
              <w:tc>
                <w:tcPr>
                  <w:tcW w:w="601" w:type="dxa"/>
                  <w:tcBorders>
                    <w:tl2br w:val="nil"/>
                    <w:tr2bl w:val="nil"/>
                  </w:tcBorders>
                  <w:shd w:val="clear" w:color="auto" w:fill="auto"/>
                  <w:vAlign w:val="center"/>
                </w:tcPr>
                <w:p w14:paraId="79CABB06">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35</w:t>
                  </w:r>
                </w:p>
              </w:tc>
              <w:tc>
                <w:tcPr>
                  <w:tcW w:w="799" w:type="dxa"/>
                  <w:tcBorders>
                    <w:tl2br w:val="nil"/>
                    <w:tr2bl w:val="nil"/>
                  </w:tcBorders>
                  <w:shd w:val="clear" w:color="auto" w:fill="auto"/>
                  <w:vAlign w:val="center"/>
                </w:tcPr>
                <w:p w14:paraId="28D6C801">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lang w:val="en-US" w:eastAsia="zh-CN"/>
                    </w:rPr>
                    <w:t>65.7</w:t>
                  </w:r>
                </w:p>
              </w:tc>
              <w:tc>
                <w:tcPr>
                  <w:tcW w:w="800" w:type="dxa"/>
                  <w:tcBorders>
                    <w:tl2br w:val="nil"/>
                    <w:tr2bl w:val="nil"/>
                  </w:tcBorders>
                  <w:shd w:val="clear" w:color="auto" w:fill="auto"/>
                  <w:vAlign w:val="center"/>
                </w:tcPr>
                <w:p w14:paraId="34BFCD64">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达标</w:t>
                  </w:r>
                </w:p>
              </w:tc>
              <w:tc>
                <w:tcPr>
                  <w:tcW w:w="634" w:type="dxa"/>
                  <w:tcBorders>
                    <w:tl2br w:val="nil"/>
                    <w:tr2bl w:val="nil"/>
                  </w:tcBorders>
                  <w:shd w:val="clear" w:color="auto" w:fill="auto"/>
                  <w:vAlign w:val="center"/>
                </w:tcPr>
                <w:p w14:paraId="0BFE8602">
                  <w:pPr>
                    <w:bidi w:val="0"/>
                    <w:spacing w:line="240" w:lineRule="auto"/>
                    <w:jc w:val="center"/>
                    <w:rPr>
                      <w:rFonts w:hint="default" w:ascii="Times New Roman" w:hAnsi="Times New Roman" w:cs="Times New Roman" w:eastAsiaTheme="minorEastAsia"/>
                      <w:color w:val="auto"/>
                      <w:sz w:val="21"/>
                      <w:szCs w:val="21"/>
                      <w:u w:val="none" w:color="auto"/>
                    </w:rPr>
                  </w:pPr>
                  <w:r>
                    <w:rPr>
                      <w:rFonts w:hint="eastAsia" w:cs="Times New Roman" w:eastAsiaTheme="minorEastAsia"/>
                      <w:color w:val="auto"/>
                      <w:sz w:val="21"/>
                      <w:szCs w:val="21"/>
                      <w:u w:val="none" w:color="auto"/>
                      <w:lang w:val="en-US" w:eastAsia="zh-CN"/>
                    </w:rPr>
                    <w:t>30</w:t>
                  </w:r>
                </w:p>
              </w:tc>
              <w:tc>
                <w:tcPr>
                  <w:tcW w:w="840" w:type="dxa"/>
                  <w:tcBorders>
                    <w:tl2br w:val="nil"/>
                    <w:tr2bl w:val="nil"/>
                  </w:tcBorders>
                  <w:shd w:val="clear" w:color="auto" w:fill="auto"/>
                  <w:vAlign w:val="center"/>
                </w:tcPr>
                <w:p w14:paraId="7DD43958">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77</w:t>
                  </w:r>
                </w:p>
              </w:tc>
              <w:tc>
                <w:tcPr>
                  <w:tcW w:w="692" w:type="dxa"/>
                  <w:tcBorders>
                    <w:tl2br w:val="nil"/>
                    <w:tr2bl w:val="nil"/>
                  </w:tcBorders>
                  <w:shd w:val="clear" w:color="auto" w:fill="auto"/>
                  <w:vAlign w:val="center"/>
                </w:tcPr>
                <w:p w14:paraId="460C4353">
                  <w:pPr>
                    <w:bidi w:val="0"/>
                    <w:spacing w:line="240" w:lineRule="auto"/>
                    <w:jc w:val="center"/>
                    <w:rPr>
                      <w:rFonts w:hint="default" w:ascii="Times New Roman" w:hAnsi="Times New Roman" w:cs="Times New Roman" w:eastAsiaTheme="minorEastAsia"/>
                      <w:color w:val="auto"/>
                      <w:sz w:val="21"/>
                      <w:szCs w:val="21"/>
                      <w:u w:val="none" w:color="auto"/>
                    </w:rPr>
                  </w:pPr>
                  <w:r>
                    <w:rPr>
                      <w:rFonts w:hint="eastAsia" w:cs="Times New Roman" w:eastAsiaTheme="minorEastAsia"/>
                      <w:color w:val="auto"/>
                      <w:sz w:val="21"/>
                      <w:szCs w:val="21"/>
                      <w:u w:val="none" w:color="auto"/>
                      <w:lang w:val="en-US" w:eastAsia="zh-CN"/>
                    </w:rPr>
                    <w:t>达标</w:t>
                  </w:r>
                </w:p>
              </w:tc>
            </w:tr>
            <w:tr w14:paraId="17013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l2br w:val="nil"/>
                    <w:tr2bl w:val="nil"/>
                  </w:tcBorders>
                  <w:shd w:val="clear" w:color="auto" w:fill="auto"/>
                  <w:vAlign w:val="center"/>
                </w:tcPr>
                <w:p w14:paraId="75524AB0">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O</w:t>
                  </w:r>
                  <w:r>
                    <w:rPr>
                      <w:rFonts w:hint="default" w:ascii="Times New Roman" w:hAnsi="Times New Roman" w:cs="Times New Roman" w:eastAsiaTheme="minorEastAsia"/>
                      <w:color w:val="auto"/>
                      <w:sz w:val="21"/>
                      <w:szCs w:val="21"/>
                      <w:u w:val="none" w:color="auto"/>
                      <w:vertAlign w:val="subscript"/>
                    </w:rPr>
                    <w:t>3</w:t>
                  </w:r>
                </w:p>
              </w:tc>
              <w:tc>
                <w:tcPr>
                  <w:tcW w:w="1941" w:type="dxa"/>
                  <w:tcBorders>
                    <w:tl2br w:val="nil"/>
                    <w:tr2bl w:val="nil"/>
                  </w:tcBorders>
                  <w:shd w:val="clear" w:color="auto" w:fill="auto"/>
                  <w:vAlign w:val="center"/>
                </w:tcPr>
                <w:p w14:paraId="39A313AC">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90百分位数最大8小时平均质量浓度</w:t>
                  </w:r>
                </w:p>
              </w:tc>
              <w:tc>
                <w:tcPr>
                  <w:tcW w:w="684" w:type="dxa"/>
                  <w:tcBorders>
                    <w:tl2br w:val="nil"/>
                    <w:tr2bl w:val="nil"/>
                  </w:tcBorders>
                  <w:shd w:val="clear" w:color="auto" w:fill="auto"/>
                  <w:vAlign w:val="center"/>
                </w:tcPr>
                <w:p w14:paraId="3BDFF91E">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cs="Times New Roman" w:eastAsiaTheme="minorEastAsia"/>
                      <w:color w:val="auto"/>
                      <w:sz w:val="21"/>
                      <w:szCs w:val="21"/>
                      <w:u w:val="none" w:color="auto"/>
                      <w:lang w:val="en-US" w:eastAsia="zh-CN"/>
                    </w:rPr>
                    <w:t>123</w:t>
                  </w:r>
                </w:p>
              </w:tc>
              <w:tc>
                <w:tcPr>
                  <w:tcW w:w="601" w:type="dxa"/>
                  <w:tcBorders>
                    <w:tl2br w:val="nil"/>
                    <w:tr2bl w:val="nil"/>
                  </w:tcBorders>
                  <w:shd w:val="clear" w:color="auto" w:fill="auto"/>
                  <w:vAlign w:val="center"/>
                </w:tcPr>
                <w:p w14:paraId="3BDBD5A6">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160</w:t>
                  </w:r>
                </w:p>
              </w:tc>
              <w:tc>
                <w:tcPr>
                  <w:tcW w:w="799" w:type="dxa"/>
                  <w:tcBorders>
                    <w:tl2br w:val="nil"/>
                    <w:tr2bl w:val="nil"/>
                  </w:tcBorders>
                  <w:shd w:val="clear" w:color="auto" w:fill="auto"/>
                  <w:vAlign w:val="center"/>
                </w:tcPr>
                <w:p w14:paraId="69EFE6C6">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lang w:val="en-US" w:eastAsia="zh-CN"/>
                    </w:rPr>
                    <w:t>76.9</w:t>
                  </w:r>
                </w:p>
              </w:tc>
              <w:tc>
                <w:tcPr>
                  <w:tcW w:w="800" w:type="dxa"/>
                  <w:tcBorders>
                    <w:tl2br w:val="nil"/>
                    <w:tr2bl w:val="nil"/>
                  </w:tcBorders>
                  <w:shd w:val="clear" w:color="auto" w:fill="auto"/>
                  <w:vAlign w:val="center"/>
                </w:tcPr>
                <w:p w14:paraId="70CF012B">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达标</w:t>
                  </w:r>
                </w:p>
              </w:tc>
              <w:tc>
                <w:tcPr>
                  <w:tcW w:w="634" w:type="dxa"/>
                  <w:tcBorders>
                    <w:tl2br w:val="nil"/>
                    <w:tr2bl w:val="nil"/>
                  </w:tcBorders>
                  <w:shd w:val="clear" w:color="auto" w:fill="auto"/>
                  <w:vAlign w:val="center"/>
                </w:tcPr>
                <w:p w14:paraId="729D3EDA">
                  <w:pPr>
                    <w:bidi w:val="0"/>
                    <w:spacing w:line="240" w:lineRule="auto"/>
                    <w:jc w:val="center"/>
                    <w:rPr>
                      <w:rFonts w:hint="default"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160</w:t>
                  </w:r>
                </w:p>
              </w:tc>
              <w:tc>
                <w:tcPr>
                  <w:tcW w:w="840" w:type="dxa"/>
                  <w:tcBorders>
                    <w:tl2br w:val="nil"/>
                    <w:tr2bl w:val="nil"/>
                  </w:tcBorders>
                  <w:shd w:val="clear" w:color="auto" w:fill="auto"/>
                  <w:vAlign w:val="center"/>
                </w:tcPr>
                <w:p w14:paraId="21EB2C77">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77</w:t>
                  </w:r>
                </w:p>
              </w:tc>
              <w:tc>
                <w:tcPr>
                  <w:tcW w:w="692" w:type="dxa"/>
                  <w:tcBorders>
                    <w:tl2br w:val="nil"/>
                    <w:tr2bl w:val="nil"/>
                  </w:tcBorders>
                  <w:shd w:val="clear" w:color="auto" w:fill="auto"/>
                  <w:vAlign w:val="center"/>
                </w:tcPr>
                <w:p w14:paraId="6B8392C8">
                  <w:pPr>
                    <w:bidi w:val="0"/>
                    <w:spacing w:line="240" w:lineRule="auto"/>
                    <w:jc w:val="center"/>
                    <w:rPr>
                      <w:rFonts w:hint="default" w:ascii="Times New Roman" w:hAnsi="Times New Roman" w:cs="Times New Roman" w:eastAsiaTheme="minorEastAsia"/>
                      <w:color w:val="auto"/>
                      <w:sz w:val="21"/>
                      <w:szCs w:val="21"/>
                      <w:u w:val="none" w:color="auto"/>
                    </w:rPr>
                  </w:pPr>
                  <w:r>
                    <w:rPr>
                      <w:rFonts w:hint="eastAsia" w:cs="Times New Roman" w:eastAsiaTheme="minorEastAsia"/>
                      <w:color w:val="auto"/>
                      <w:sz w:val="21"/>
                      <w:szCs w:val="21"/>
                      <w:u w:val="none" w:color="auto"/>
                      <w:lang w:val="en-US" w:eastAsia="zh-CN"/>
                    </w:rPr>
                    <w:t>达标</w:t>
                  </w:r>
                </w:p>
              </w:tc>
            </w:tr>
            <w:tr w14:paraId="770D2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l2br w:val="nil"/>
                    <w:tr2bl w:val="nil"/>
                  </w:tcBorders>
                  <w:shd w:val="clear" w:color="auto" w:fill="auto"/>
                  <w:vAlign w:val="center"/>
                </w:tcPr>
                <w:p w14:paraId="1B867E1A">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CO</w:t>
                  </w:r>
                </w:p>
              </w:tc>
              <w:tc>
                <w:tcPr>
                  <w:tcW w:w="1941" w:type="dxa"/>
                  <w:tcBorders>
                    <w:tl2br w:val="nil"/>
                    <w:tr2bl w:val="nil"/>
                  </w:tcBorders>
                  <w:shd w:val="clear" w:color="auto" w:fill="auto"/>
                  <w:vAlign w:val="center"/>
                </w:tcPr>
                <w:p w14:paraId="19C6D868">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95百分位数日平均质量浓度</w:t>
                  </w:r>
                </w:p>
              </w:tc>
              <w:tc>
                <w:tcPr>
                  <w:tcW w:w="684" w:type="dxa"/>
                  <w:tcBorders>
                    <w:tl2br w:val="nil"/>
                    <w:tr2bl w:val="nil"/>
                  </w:tcBorders>
                  <w:shd w:val="clear" w:color="auto" w:fill="auto"/>
                  <w:vAlign w:val="center"/>
                </w:tcPr>
                <w:p w14:paraId="58CBF7C4">
                  <w:pPr>
                    <w:bidi w:val="0"/>
                    <w:spacing w:line="240" w:lineRule="auto"/>
                    <w:jc w:val="center"/>
                    <w:rPr>
                      <w:rFonts w:hint="default" w:ascii="Times New Roman" w:hAnsi="Times New Roman" w:cs="Times New Roman" w:eastAsiaTheme="minorEastAsia"/>
                      <w:color w:val="auto"/>
                      <w:sz w:val="21"/>
                      <w:szCs w:val="21"/>
                      <w:u w:val="none" w:color="auto"/>
                    </w:rPr>
                  </w:pPr>
                  <w:r>
                    <w:rPr>
                      <w:rFonts w:hint="default" w:ascii="Times New Roman" w:hAnsi="Times New Roman" w:cs="Times New Roman" w:eastAsiaTheme="minorEastAsia"/>
                      <w:color w:val="auto"/>
                      <w:sz w:val="21"/>
                      <w:szCs w:val="21"/>
                      <w:u w:val="none" w:color="auto"/>
                    </w:rPr>
                    <w:t>0.9</w:t>
                  </w:r>
                </w:p>
              </w:tc>
              <w:tc>
                <w:tcPr>
                  <w:tcW w:w="601" w:type="dxa"/>
                  <w:tcBorders>
                    <w:tl2br w:val="nil"/>
                    <w:tr2bl w:val="nil"/>
                  </w:tcBorders>
                  <w:shd w:val="clear" w:color="auto" w:fill="auto"/>
                  <w:vAlign w:val="center"/>
                </w:tcPr>
                <w:p w14:paraId="37708C85">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4.0</w:t>
                  </w:r>
                </w:p>
              </w:tc>
              <w:tc>
                <w:tcPr>
                  <w:tcW w:w="799" w:type="dxa"/>
                  <w:tcBorders>
                    <w:tl2br w:val="nil"/>
                    <w:tr2bl w:val="nil"/>
                  </w:tcBorders>
                  <w:shd w:val="clear" w:color="auto" w:fill="auto"/>
                  <w:vAlign w:val="center"/>
                </w:tcPr>
                <w:p w14:paraId="4F6004D1">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22.5</w:t>
                  </w:r>
                </w:p>
              </w:tc>
              <w:tc>
                <w:tcPr>
                  <w:tcW w:w="800" w:type="dxa"/>
                  <w:tcBorders>
                    <w:tl2br w:val="nil"/>
                    <w:tr2bl w:val="nil"/>
                  </w:tcBorders>
                  <w:shd w:val="clear" w:color="auto" w:fill="auto"/>
                  <w:vAlign w:val="center"/>
                </w:tcPr>
                <w:p w14:paraId="60F24ECB">
                  <w:pPr>
                    <w:bidi w:val="0"/>
                    <w:spacing w:line="240" w:lineRule="auto"/>
                    <w:jc w:val="center"/>
                    <w:rPr>
                      <w:rFonts w:hint="default" w:ascii="Times New Roman" w:hAnsi="Times New Roman" w:cs="Times New Roman" w:eastAsiaTheme="minorEastAsia"/>
                      <w:color w:val="auto"/>
                      <w:kern w:val="2"/>
                      <w:sz w:val="21"/>
                      <w:szCs w:val="21"/>
                      <w:u w:val="none" w:color="auto"/>
                      <w:lang w:val="en-US" w:eastAsia="zh-CN" w:bidi="ar-SA"/>
                    </w:rPr>
                  </w:pPr>
                  <w:r>
                    <w:rPr>
                      <w:rFonts w:hint="default" w:ascii="Times New Roman" w:hAnsi="Times New Roman" w:cs="Times New Roman" w:eastAsiaTheme="minorEastAsia"/>
                      <w:color w:val="auto"/>
                      <w:sz w:val="21"/>
                      <w:szCs w:val="21"/>
                      <w:u w:val="none" w:color="auto"/>
                    </w:rPr>
                    <w:t>达标</w:t>
                  </w:r>
                </w:p>
              </w:tc>
              <w:tc>
                <w:tcPr>
                  <w:tcW w:w="634" w:type="dxa"/>
                  <w:tcBorders>
                    <w:tl2br w:val="nil"/>
                    <w:tr2bl w:val="nil"/>
                  </w:tcBorders>
                  <w:shd w:val="clear" w:color="auto" w:fill="auto"/>
                  <w:vAlign w:val="center"/>
                </w:tcPr>
                <w:p w14:paraId="27B084F8">
                  <w:pPr>
                    <w:bidi w:val="0"/>
                    <w:spacing w:line="240" w:lineRule="auto"/>
                    <w:jc w:val="center"/>
                    <w:rPr>
                      <w:rFonts w:hint="eastAsia" w:ascii="Times New Roman" w:hAnsi="Times New Roman" w:cs="Times New Roman" w:eastAsiaTheme="minorEastAsia"/>
                      <w:color w:val="auto"/>
                      <w:sz w:val="21"/>
                      <w:szCs w:val="21"/>
                      <w:u w:val="none" w:color="auto"/>
                      <w:lang w:val="en-US" w:eastAsia="zh-CN"/>
                    </w:rPr>
                  </w:pPr>
                  <w:r>
                    <w:rPr>
                      <w:rFonts w:hint="eastAsia" w:cs="Times New Roman" w:eastAsiaTheme="minorEastAsia"/>
                      <w:color w:val="auto"/>
                      <w:sz w:val="21"/>
                      <w:szCs w:val="21"/>
                      <w:u w:val="none" w:color="auto"/>
                      <w:lang w:val="en-US" w:eastAsia="zh-CN"/>
                    </w:rPr>
                    <w:t>4</w:t>
                  </w:r>
                </w:p>
              </w:tc>
              <w:tc>
                <w:tcPr>
                  <w:tcW w:w="840" w:type="dxa"/>
                  <w:tcBorders>
                    <w:tl2br w:val="nil"/>
                    <w:tr2bl w:val="nil"/>
                  </w:tcBorders>
                  <w:shd w:val="clear" w:color="auto" w:fill="auto"/>
                  <w:vAlign w:val="center"/>
                </w:tcPr>
                <w:p w14:paraId="31B7A9D6">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color="auto"/>
                    </w:rPr>
                  </w:pPr>
                  <w:r>
                    <w:rPr>
                      <w:rFonts w:hint="default" w:ascii="Times New Roman" w:hAnsi="Times New Roman" w:eastAsia="宋体" w:cs="Times New Roman"/>
                      <w:i w:val="0"/>
                      <w:iCs w:val="0"/>
                      <w:color w:val="auto"/>
                      <w:kern w:val="0"/>
                      <w:sz w:val="21"/>
                      <w:szCs w:val="21"/>
                      <w:u w:val="none"/>
                      <w:lang w:val="en-US" w:eastAsia="zh-CN" w:bidi="ar"/>
                    </w:rPr>
                    <w:t>23</w:t>
                  </w:r>
                </w:p>
              </w:tc>
              <w:tc>
                <w:tcPr>
                  <w:tcW w:w="692" w:type="dxa"/>
                  <w:tcBorders>
                    <w:tl2br w:val="nil"/>
                    <w:tr2bl w:val="nil"/>
                  </w:tcBorders>
                  <w:shd w:val="clear" w:color="auto" w:fill="auto"/>
                  <w:vAlign w:val="center"/>
                </w:tcPr>
                <w:p w14:paraId="6D160A00">
                  <w:pPr>
                    <w:bidi w:val="0"/>
                    <w:spacing w:line="240" w:lineRule="auto"/>
                    <w:jc w:val="center"/>
                    <w:rPr>
                      <w:rFonts w:hint="default" w:ascii="Times New Roman" w:hAnsi="Times New Roman" w:cs="Times New Roman" w:eastAsiaTheme="minorEastAsia"/>
                      <w:color w:val="auto"/>
                      <w:sz w:val="21"/>
                      <w:szCs w:val="21"/>
                      <w:u w:val="none" w:color="auto"/>
                    </w:rPr>
                  </w:pPr>
                  <w:r>
                    <w:rPr>
                      <w:rFonts w:hint="eastAsia" w:cs="Times New Roman" w:eastAsiaTheme="minorEastAsia"/>
                      <w:color w:val="auto"/>
                      <w:sz w:val="21"/>
                      <w:szCs w:val="21"/>
                      <w:u w:val="none" w:color="auto"/>
                      <w:lang w:val="en-US" w:eastAsia="zh-CN"/>
                    </w:rPr>
                    <w:t>达标</w:t>
                  </w:r>
                </w:p>
              </w:tc>
            </w:tr>
          </w:tbl>
          <w:p w14:paraId="4760728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综上所述，本项目所在区域的SO</w:t>
            </w:r>
            <w:r>
              <w:rPr>
                <w:rFonts w:hint="default" w:ascii="Times New Roman" w:hAnsi="Times New Roman" w:eastAsia="宋体" w:cs="Times New Roman"/>
                <w:b w:val="0"/>
                <w:bCs w:val="0"/>
                <w:color w:val="auto"/>
                <w:sz w:val="24"/>
                <w:szCs w:val="24"/>
                <w:u w:val="none" w:color="auto"/>
                <w:vertAlign w:val="subscript"/>
              </w:rPr>
              <w:t>2</w:t>
            </w:r>
            <w:r>
              <w:rPr>
                <w:rFonts w:hint="default" w:ascii="Times New Roman" w:hAnsi="Times New Roman" w:eastAsia="宋体" w:cs="Times New Roman"/>
                <w:b w:val="0"/>
                <w:bCs w:val="0"/>
                <w:color w:val="auto"/>
                <w:sz w:val="24"/>
                <w:szCs w:val="24"/>
                <w:u w:val="none" w:color="auto"/>
              </w:rPr>
              <w:t>、PM</w:t>
            </w:r>
            <w:r>
              <w:rPr>
                <w:rFonts w:hint="default" w:ascii="Times New Roman" w:hAnsi="Times New Roman" w:eastAsia="宋体" w:cs="Times New Roman"/>
                <w:b w:val="0"/>
                <w:bCs w:val="0"/>
                <w:color w:val="auto"/>
                <w:sz w:val="24"/>
                <w:szCs w:val="24"/>
                <w:u w:val="none" w:color="auto"/>
                <w:vertAlign w:val="subscript"/>
              </w:rPr>
              <w:t>2.5</w:t>
            </w:r>
            <w:r>
              <w:rPr>
                <w:rFonts w:hint="default" w:ascii="Times New Roman" w:hAnsi="Times New Roman" w:eastAsia="宋体" w:cs="Times New Roman"/>
                <w:b w:val="0"/>
                <w:bCs w:val="0"/>
                <w:color w:val="auto"/>
                <w:sz w:val="24"/>
                <w:szCs w:val="24"/>
                <w:u w:val="none" w:color="auto"/>
              </w:rPr>
              <w:t>、PM</w:t>
            </w:r>
            <w:r>
              <w:rPr>
                <w:rFonts w:hint="default" w:ascii="Times New Roman" w:hAnsi="Times New Roman" w:eastAsia="宋体" w:cs="Times New Roman"/>
                <w:b w:val="0"/>
                <w:bCs w:val="0"/>
                <w:color w:val="auto"/>
                <w:sz w:val="24"/>
                <w:szCs w:val="24"/>
                <w:u w:val="none" w:color="auto"/>
                <w:vertAlign w:val="subscript"/>
              </w:rPr>
              <w:t>10</w:t>
            </w:r>
            <w:r>
              <w:rPr>
                <w:rFonts w:hint="default" w:ascii="Times New Roman" w:hAnsi="Times New Roman" w:eastAsia="宋体" w:cs="Times New Roman"/>
                <w:b w:val="0"/>
                <w:bCs w:val="0"/>
                <w:color w:val="auto"/>
                <w:sz w:val="24"/>
                <w:szCs w:val="24"/>
                <w:u w:val="none" w:color="auto"/>
              </w:rPr>
              <w:t>、NO</w:t>
            </w:r>
            <w:r>
              <w:rPr>
                <w:rFonts w:hint="default" w:ascii="Times New Roman" w:hAnsi="Times New Roman" w:eastAsia="宋体" w:cs="Times New Roman"/>
                <w:b w:val="0"/>
                <w:bCs w:val="0"/>
                <w:color w:val="auto"/>
                <w:sz w:val="24"/>
                <w:szCs w:val="24"/>
                <w:u w:val="none" w:color="auto"/>
                <w:vertAlign w:val="subscript"/>
              </w:rPr>
              <w:t>2</w:t>
            </w:r>
            <w:r>
              <w:rPr>
                <w:rFonts w:hint="default" w:ascii="Times New Roman" w:hAnsi="Times New Roman" w:eastAsia="宋体" w:cs="Times New Roman"/>
                <w:b w:val="0"/>
                <w:bCs w:val="0"/>
                <w:color w:val="auto"/>
                <w:sz w:val="24"/>
                <w:szCs w:val="24"/>
                <w:u w:val="none" w:color="auto"/>
              </w:rPr>
              <w:t>年平均质量浓度、CO第95百分位数日平均质量浓度和臭氧百分位数日最大8小时平均质量浓度均</w:t>
            </w:r>
            <w:r>
              <w:rPr>
                <w:rFonts w:hint="eastAsia" w:cs="Times New Roman"/>
                <w:b w:val="0"/>
                <w:bCs w:val="0"/>
                <w:color w:val="auto"/>
                <w:sz w:val="24"/>
                <w:szCs w:val="24"/>
                <w:u w:val="none" w:color="auto"/>
                <w:lang w:val="en-US" w:eastAsia="zh-CN"/>
              </w:rPr>
              <w:t>符合</w:t>
            </w:r>
            <w:r>
              <w:rPr>
                <w:rFonts w:hint="default" w:ascii="Times New Roman" w:hAnsi="Times New Roman" w:eastAsia="宋体" w:cs="Times New Roman"/>
                <w:b w:val="0"/>
                <w:bCs w:val="0"/>
                <w:color w:val="auto"/>
                <w:sz w:val="24"/>
                <w:szCs w:val="24"/>
                <w:u w:val="none" w:color="auto"/>
              </w:rPr>
              <w:t>《环境空气质量标准》（GB3095-2012）及其修改单二级标准</w:t>
            </w:r>
            <w:r>
              <w:rPr>
                <w:rFonts w:hint="eastAsia" w:cs="Times New Roman"/>
                <w:b w:val="0"/>
                <w:bCs w:val="0"/>
                <w:color w:val="auto"/>
                <w:sz w:val="24"/>
                <w:szCs w:val="24"/>
                <w:u w:val="none" w:color="auto"/>
                <w:lang w:eastAsia="zh-CN"/>
              </w:rPr>
              <w:t>；</w:t>
            </w:r>
            <w:r>
              <w:rPr>
                <w:rFonts w:hint="eastAsia" w:cs="Times New Roman"/>
                <w:b w:val="0"/>
                <w:bCs w:val="0"/>
                <w:color w:val="auto"/>
                <w:sz w:val="24"/>
                <w:szCs w:val="24"/>
                <w:u w:val="none" w:color="auto"/>
                <w:lang w:val="en-US" w:eastAsia="zh-CN"/>
              </w:rPr>
              <w:t>同时符合</w:t>
            </w:r>
            <w:r>
              <w:rPr>
                <w:rFonts w:hint="default" w:ascii="Times New Roman" w:hAnsi="Times New Roman" w:eastAsia="宋体" w:cs="Times New Roman"/>
                <w:b w:val="0"/>
                <w:bCs w:val="0"/>
                <w:color w:val="auto"/>
                <w:sz w:val="24"/>
                <w:szCs w:val="24"/>
                <w:u w:val="none" w:color="auto"/>
              </w:rPr>
              <w:t>《环境空气质量标准》（GB3095-20</w:t>
            </w:r>
            <w:r>
              <w:rPr>
                <w:rFonts w:hint="eastAsia" w:cs="Times New Roman"/>
                <w:b w:val="0"/>
                <w:bCs w:val="0"/>
                <w:color w:val="auto"/>
                <w:sz w:val="24"/>
                <w:szCs w:val="24"/>
                <w:u w:val="none" w:color="auto"/>
                <w:lang w:val="en-US" w:eastAsia="zh-CN"/>
              </w:rPr>
              <w:t>26</w:t>
            </w:r>
            <w:r>
              <w:rPr>
                <w:rFonts w:hint="default" w:ascii="Times New Roman" w:hAnsi="Times New Roman" w:eastAsia="宋体" w:cs="Times New Roman"/>
                <w:b w:val="0"/>
                <w:bCs w:val="0"/>
                <w:color w:val="auto"/>
                <w:sz w:val="24"/>
                <w:szCs w:val="24"/>
                <w:u w:val="none" w:color="auto"/>
              </w:rPr>
              <w:t>）二级标准。因此，项目区域所在</w:t>
            </w:r>
            <w:r>
              <w:rPr>
                <w:rFonts w:hint="eastAsia" w:ascii="Times New Roman" w:hAnsi="Times New Roman" w:eastAsia="宋体" w:cs="Times New Roman"/>
                <w:b w:val="0"/>
                <w:bCs w:val="0"/>
                <w:color w:val="auto"/>
                <w:sz w:val="24"/>
                <w:szCs w:val="24"/>
                <w:u w:val="none" w:color="auto"/>
                <w:lang w:val="en-US" w:eastAsia="zh-CN"/>
              </w:rPr>
              <w:t>溆浦县属于</w:t>
            </w:r>
            <w:r>
              <w:rPr>
                <w:rFonts w:hint="default" w:ascii="Times New Roman" w:hAnsi="Times New Roman" w:eastAsia="宋体" w:cs="Times New Roman"/>
                <w:b w:val="0"/>
                <w:bCs w:val="0"/>
                <w:color w:val="auto"/>
                <w:sz w:val="24"/>
                <w:szCs w:val="24"/>
                <w:u w:val="none" w:color="auto"/>
              </w:rPr>
              <w:t>环境空气质量达标区。</w:t>
            </w:r>
          </w:p>
          <w:p w14:paraId="34BA13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eastAsia" w:ascii="Times New Roman" w:hAnsi="Times New Roman" w:eastAsia="宋体" w:cs="Times New Roman"/>
                <w:color w:val="auto"/>
                <w:sz w:val="24"/>
              </w:rPr>
              <w:t>其他污染物</w:t>
            </w:r>
            <w:r>
              <w:rPr>
                <w:rFonts w:ascii="Times New Roman" w:hAnsi="Times New Roman" w:eastAsia="宋体" w:cs="Times New Roman"/>
                <w:color w:val="auto"/>
                <w:sz w:val="24"/>
              </w:rPr>
              <w:t>监测</w:t>
            </w:r>
          </w:p>
          <w:p w14:paraId="32B5F1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为了解本项目特征因子质量现状，本</w:t>
            </w:r>
            <w:r>
              <w:rPr>
                <w:rFonts w:hint="eastAsia" w:ascii="Times New Roman" w:hAnsi="Times New Roman" w:eastAsia="宋体" w:cs="Times New Roman"/>
                <w:color w:val="auto"/>
                <w:sz w:val="24"/>
                <w:lang w:val="en-US" w:eastAsia="zh-CN"/>
              </w:rPr>
              <w:t>次评价引用怀化市友钰建设有限公司《年处理10万吨麻石废料加工生产线建设项目</w:t>
            </w:r>
            <w:r>
              <w:rPr>
                <w:rFonts w:hint="eastAsia" w:ascii="Times New Roman" w:hAnsi="Times New Roman" w:eastAsia="宋体" w:cs="Times New Roman"/>
                <w:color w:val="auto"/>
                <w:sz w:val="24"/>
              </w:rPr>
              <w:t>环境影响报告表</w:t>
            </w:r>
            <w:r>
              <w:rPr>
                <w:rFonts w:hint="eastAsia" w:ascii="Times New Roman" w:hAnsi="Times New Roman" w:eastAsia="宋体" w:cs="Times New Roman"/>
                <w:color w:val="auto"/>
                <w:sz w:val="24"/>
                <w:lang w:val="en-US" w:eastAsia="zh-CN"/>
              </w:rPr>
              <w:t>》中</w:t>
            </w:r>
            <w:r>
              <w:rPr>
                <w:rFonts w:hint="default" w:ascii="Times New Roman" w:hAnsi="Times New Roman" w:eastAsia="宋体" w:cs="Times New Roman"/>
                <w:color w:val="auto"/>
                <w:sz w:val="24"/>
              </w:rPr>
              <w:t>湖南</w:t>
            </w:r>
            <w:r>
              <w:rPr>
                <w:rFonts w:hint="eastAsia" w:ascii="Times New Roman" w:hAnsi="Times New Roman" w:eastAsia="宋体" w:cs="Times New Roman"/>
                <w:color w:val="auto"/>
                <w:sz w:val="24"/>
                <w:lang w:val="en-US" w:eastAsia="zh-CN"/>
              </w:rPr>
              <w:t>中青检测</w:t>
            </w:r>
            <w:r>
              <w:rPr>
                <w:rFonts w:hint="default" w:ascii="Times New Roman" w:hAnsi="Times New Roman" w:eastAsia="宋体" w:cs="Times New Roman"/>
                <w:color w:val="auto"/>
                <w:sz w:val="24"/>
              </w:rPr>
              <w:t>有限公司于2024年</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月</w:t>
            </w:r>
            <w:r>
              <w:rPr>
                <w:rFonts w:hint="eastAsia"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日到</w:t>
            </w:r>
            <w:r>
              <w:rPr>
                <w:rFonts w:hint="eastAsia" w:ascii="Times New Roman" w:hAnsi="Times New Roman" w:eastAsia="宋体" w:cs="Times New Roman"/>
                <w:color w:val="auto"/>
                <w:sz w:val="24"/>
                <w:lang w:val="en-US" w:eastAsia="zh-CN"/>
              </w:rPr>
              <w:t>11</w:t>
            </w:r>
            <w:r>
              <w:rPr>
                <w:rFonts w:hint="default" w:ascii="Times New Roman" w:hAnsi="Times New Roman" w:eastAsia="宋体" w:cs="Times New Roman"/>
                <w:color w:val="auto"/>
                <w:sz w:val="24"/>
              </w:rPr>
              <w:t>日对</w:t>
            </w:r>
            <w:r>
              <w:rPr>
                <w:rFonts w:hint="eastAsia" w:ascii="Times New Roman" w:hAnsi="Times New Roman" w:eastAsia="宋体" w:cs="Times New Roman"/>
                <w:color w:val="auto"/>
                <w:sz w:val="24"/>
                <w:lang w:val="en-US" w:eastAsia="zh-CN"/>
              </w:rPr>
              <w:t>该</w:t>
            </w:r>
            <w:r>
              <w:rPr>
                <w:rFonts w:hint="default" w:ascii="Times New Roman" w:hAnsi="Times New Roman" w:eastAsia="宋体" w:cs="Times New Roman"/>
                <w:color w:val="auto"/>
                <w:sz w:val="24"/>
              </w:rPr>
              <w:t>项目下风向</w:t>
            </w:r>
            <w:r>
              <w:rPr>
                <w:rFonts w:hint="default" w:ascii="Times New Roman" w:hAnsi="Times New Roman" w:eastAsia="宋体" w:cs="Times New Roman"/>
                <w:color w:val="auto"/>
                <w:sz w:val="24"/>
                <w:lang w:val="en-US" w:eastAsia="zh-CN"/>
              </w:rPr>
              <w:t>居民点</w:t>
            </w:r>
            <w:r>
              <w:rPr>
                <w:rFonts w:hint="default" w:ascii="Times New Roman" w:hAnsi="Times New Roman" w:eastAsia="宋体" w:cs="Times New Roman"/>
                <w:color w:val="auto"/>
                <w:sz w:val="24"/>
              </w:rPr>
              <w:t>进行</w:t>
            </w:r>
            <w:r>
              <w:rPr>
                <w:rFonts w:hint="eastAsia" w:ascii="Times New Roman" w:hAnsi="Times New Roman" w:eastAsia="宋体" w:cs="Times New Roman"/>
                <w:color w:val="auto"/>
                <w:sz w:val="24"/>
                <w:lang w:eastAsia="zh-CN"/>
              </w:rPr>
              <w:t>的</w:t>
            </w:r>
            <w:r>
              <w:rPr>
                <w:rFonts w:hint="default" w:ascii="Times New Roman" w:hAnsi="Times New Roman" w:eastAsia="宋体" w:cs="Times New Roman"/>
                <w:color w:val="auto"/>
                <w:sz w:val="24"/>
              </w:rPr>
              <w:t>颗粒物监测，具体监测结果详见下表。</w:t>
            </w:r>
          </w:p>
          <w:p w14:paraId="7077B6AF">
            <w:pPr>
              <w:widowControl/>
              <w:jc w:val="center"/>
              <w:rPr>
                <w:rFonts w:hint="eastAsia"/>
                <w:b/>
                <w:bCs/>
                <w:color w:val="auto"/>
                <w:sz w:val="24"/>
              </w:rPr>
            </w:pPr>
            <w:r>
              <w:rPr>
                <w:rFonts w:hint="eastAsia"/>
                <w:b/>
                <w:bCs/>
                <w:color w:val="auto"/>
                <w:sz w:val="24"/>
              </w:rPr>
              <w:t>表3-2   引用监测点位基本信息</w:t>
            </w:r>
          </w:p>
          <w:tbl>
            <w:tblPr>
              <w:tblStyle w:val="32"/>
              <w:tblW w:w="76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1"/>
              <w:gridCol w:w="1328"/>
              <w:gridCol w:w="1648"/>
              <w:gridCol w:w="2280"/>
            </w:tblGrid>
            <w:tr w14:paraId="7EBD5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41" w:type="dxa"/>
                  <w:noWrap w:val="0"/>
                  <w:vAlign w:val="center"/>
                </w:tcPr>
                <w:p w14:paraId="038298B7">
                  <w:pPr>
                    <w:jc w:val="center"/>
                    <w:rPr>
                      <w:color w:val="auto"/>
                      <w:szCs w:val="21"/>
                      <w:u w:val="none"/>
                    </w:rPr>
                  </w:pPr>
                  <w:r>
                    <w:rPr>
                      <w:color w:val="auto"/>
                      <w:szCs w:val="21"/>
                      <w:u w:val="none"/>
                    </w:rPr>
                    <w:t>监测点名称</w:t>
                  </w:r>
                </w:p>
              </w:tc>
              <w:tc>
                <w:tcPr>
                  <w:tcW w:w="1328" w:type="dxa"/>
                  <w:noWrap w:val="0"/>
                  <w:vAlign w:val="center"/>
                </w:tcPr>
                <w:p w14:paraId="6E77796A">
                  <w:pPr>
                    <w:jc w:val="center"/>
                    <w:rPr>
                      <w:color w:val="auto"/>
                      <w:szCs w:val="21"/>
                      <w:u w:val="none"/>
                    </w:rPr>
                  </w:pPr>
                  <w:r>
                    <w:rPr>
                      <w:color w:val="auto"/>
                      <w:szCs w:val="21"/>
                      <w:u w:val="none"/>
                    </w:rPr>
                    <w:t>监测因子</w:t>
                  </w:r>
                </w:p>
              </w:tc>
              <w:tc>
                <w:tcPr>
                  <w:tcW w:w="1648" w:type="dxa"/>
                  <w:noWrap w:val="0"/>
                  <w:vAlign w:val="center"/>
                </w:tcPr>
                <w:p w14:paraId="76FE4EA2">
                  <w:pPr>
                    <w:jc w:val="center"/>
                    <w:rPr>
                      <w:color w:val="auto"/>
                      <w:szCs w:val="21"/>
                      <w:u w:val="none"/>
                    </w:rPr>
                  </w:pPr>
                  <w:r>
                    <w:rPr>
                      <w:color w:val="auto"/>
                      <w:szCs w:val="21"/>
                      <w:u w:val="none"/>
                    </w:rPr>
                    <w:t>监测频次</w:t>
                  </w:r>
                </w:p>
              </w:tc>
              <w:tc>
                <w:tcPr>
                  <w:tcW w:w="2280" w:type="dxa"/>
                  <w:noWrap w:val="0"/>
                  <w:vAlign w:val="center"/>
                </w:tcPr>
                <w:p w14:paraId="10D17BEB">
                  <w:pPr>
                    <w:jc w:val="center"/>
                    <w:rPr>
                      <w:color w:val="auto"/>
                      <w:szCs w:val="21"/>
                      <w:u w:val="none"/>
                    </w:rPr>
                  </w:pPr>
                  <w:r>
                    <w:rPr>
                      <w:color w:val="auto"/>
                      <w:szCs w:val="21"/>
                      <w:u w:val="none"/>
                    </w:rPr>
                    <w:t>与本项目位置关系</w:t>
                  </w:r>
                </w:p>
              </w:tc>
            </w:tr>
            <w:tr w14:paraId="771AD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41" w:type="dxa"/>
                  <w:noWrap w:val="0"/>
                  <w:vAlign w:val="center"/>
                </w:tcPr>
                <w:p w14:paraId="748951CB">
                  <w:pPr>
                    <w:jc w:val="center"/>
                    <w:rPr>
                      <w:rFonts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lang w:val="en-US" w:eastAsia="zh-CN"/>
                    </w:rPr>
                    <w:t>麻石废料加工</w:t>
                  </w:r>
                  <w:r>
                    <w:rPr>
                      <w:rFonts w:hint="default" w:ascii="Times New Roman" w:hAnsi="Times New Roman" w:eastAsia="宋体" w:cs="Times New Roman"/>
                      <w:color w:val="auto"/>
                      <w:szCs w:val="21"/>
                      <w:u w:val="none"/>
                      <w:lang w:val="en-US" w:eastAsia="zh-CN"/>
                    </w:rPr>
                    <w:t>项目厂界下风向蚂蟥岩居民点</w:t>
                  </w:r>
                </w:p>
              </w:tc>
              <w:tc>
                <w:tcPr>
                  <w:tcW w:w="1328" w:type="dxa"/>
                  <w:noWrap w:val="0"/>
                  <w:vAlign w:val="center"/>
                </w:tcPr>
                <w:p w14:paraId="792B2E57">
                  <w:pPr>
                    <w:jc w:val="center"/>
                    <w:rPr>
                      <w:rFonts w:hint="default" w:ascii="Times New Roman" w:hAnsi="Times New Roman" w:eastAsia="宋体" w:cs="Times New Roman"/>
                      <w:color w:val="auto"/>
                      <w:szCs w:val="21"/>
                      <w:u w:val="none"/>
                      <w:lang w:val="en-US" w:eastAsia="zh-CN"/>
                    </w:rPr>
                  </w:pPr>
                  <w:r>
                    <w:rPr>
                      <w:rFonts w:ascii="Times New Roman" w:hAnsi="Times New Roman" w:eastAsia="宋体" w:cs="Times New Roman"/>
                      <w:color w:val="auto"/>
                      <w:szCs w:val="21"/>
                      <w:u w:val="none"/>
                    </w:rPr>
                    <w:t>T</w:t>
                  </w:r>
                  <w:r>
                    <w:rPr>
                      <w:rFonts w:hint="eastAsia" w:ascii="Times New Roman" w:hAnsi="Times New Roman" w:eastAsia="宋体" w:cs="Times New Roman"/>
                      <w:color w:val="auto"/>
                      <w:szCs w:val="21"/>
                      <w:u w:val="none"/>
                      <w:lang w:val="en-US" w:eastAsia="zh-CN"/>
                    </w:rPr>
                    <w:t>SP</w:t>
                  </w:r>
                </w:p>
              </w:tc>
              <w:tc>
                <w:tcPr>
                  <w:tcW w:w="1648" w:type="dxa"/>
                  <w:noWrap w:val="0"/>
                  <w:vAlign w:val="center"/>
                </w:tcPr>
                <w:p w14:paraId="1A8F0920">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连续3天，每天1次</w:t>
                  </w:r>
                </w:p>
              </w:tc>
              <w:tc>
                <w:tcPr>
                  <w:tcW w:w="2280" w:type="dxa"/>
                  <w:noWrap w:val="0"/>
                  <w:vAlign w:val="center"/>
                </w:tcPr>
                <w:p w14:paraId="44591480">
                  <w:pPr>
                    <w:jc w:val="center"/>
                    <w:rPr>
                      <w:color w:val="auto"/>
                      <w:szCs w:val="21"/>
                      <w:u w:val="none"/>
                    </w:rPr>
                  </w:pPr>
                  <w:r>
                    <w:rPr>
                      <w:color w:val="auto"/>
                      <w:szCs w:val="21"/>
                      <w:u w:val="none"/>
                    </w:rPr>
                    <w:t>位于本项目</w:t>
                  </w:r>
                  <w:r>
                    <w:rPr>
                      <w:rFonts w:hint="eastAsia"/>
                      <w:color w:val="auto"/>
                      <w:szCs w:val="21"/>
                      <w:u w:val="none"/>
                      <w:lang w:val="en-US" w:eastAsia="zh-CN"/>
                    </w:rPr>
                    <w:t>东北</w:t>
                  </w:r>
                  <w:r>
                    <w:rPr>
                      <w:color w:val="auto"/>
                      <w:szCs w:val="21"/>
                      <w:u w:val="none"/>
                    </w:rPr>
                    <w:t>侧约</w:t>
                  </w:r>
                  <w:r>
                    <w:rPr>
                      <w:rFonts w:hint="eastAsia"/>
                      <w:color w:val="auto"/>
                      <w:szCs w:val="21"/>
                      <w:u w:val="none"/>
                      <w:lang w:val="en-US" w:eastAsia="zh-CN"/>
                    </w:rPr>
                    <w:t>4.2</w:t>
                  </w:r>
                  <w:r>
                    <w:rPr>
                      <w:color w:val="auto"/>
                      <w:szCs w:val="21"/>
                      <w:u w:val="none"/>
                    </w:rPr>
                    <w:t>km</w:t>
                  </w:r>
                </w:p>
              </w:tc>
            </w:tr>
          </w:tbl>
          <w:p w14:paraId="3E77C2A8">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Times New Roman" w:hAnsi="Times New Roman" w:cs="Times New Roman"/>
                <w:b/>
                <w:bCs/>
                <w:color w:val="auto"/>
                <w:kern w:val="0"/>
                <w:sz w:val="24"/>
                <w:szCs w:val="24"/>
                <w:u w:val="none"/>
                <w:lang w:bidi="ar"/>
              </w:rPr>
            </w:pPr>
            <w:r>
              <w:rPr>
                <w:rFonts w:hint="default" w:ascii="Times New Roman" w:hAnsi="Times New Roman" w:cs="Times New Roman"/>
                <w:b/>
                <w:bCs/>
                <w:color w:val="auto"/>
                <w:kern w:val="0"/>
                <w:sz w:val="24"/>
                <w:szCs w:val="24"/>
                <w:u w:val="none"/>
                <w:lang w:bidi="ar"/>
              </w:rPr>
              <w:t>表3-</w:t>
            </w:r>
            <w:r>
              <w:rPr>
                <w:rFonts w:hint="eastAsia" w:ascii="Times New Roman" w:hAnsi="Times New Roman" w:cs="Times New Roman"/>
                <w:b/>
                <w:bCs/>
                <w:color w:val="auto"/>
                <w:kern w:val="0"/>
                <w:sz w:val="24"/>
                <w:szCs w:val="24"/>
                <w:u w:val="none"/>
                <w:lang w:val="en-US" w:eastAsia="zh-CN" w:bidi="ar"/>
              </w:rPr>
              <w:t xml:space="preserve">3  </w:t>
            </w:r>
            <w:r>
              <w:rPr>
                <w:rFonts w:hint="default" w:ascii="Times New Roman" w:hAnsi="Times New Roman" w:cs="Times New Roman"/>
                <w:b/>
                <w:bCs/>
                <w:color w:val="auto"/>
                <w:kern w:val="0"/>
                <w:sz w:val="24"/>
                <w:szCs w:val="24"/>
                <w:u w:val="none"/>
                <w:lang w:bidi="ar"/>
              </w:rPr>
              <w:t xml:space="preserve"> 环境空气监测结果</w:t>
            </w:r>
          </w:p>
          <w:tbl>
            <w:tblPr>
              <w:tblStyle w:val="32"/>
              <w:tblW w:w="7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255"/>
              <w:gridCol w:w="1494"/>
              <w:gridCol w:w="970"/>
              <w:gridCol w:w="1255"/>
              <w:gridCol w:w="869"/>
            </w:tblGrid>
            <w:tr w14:paraId="3A56C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pct"/>
                  <w:tcBorders>
                    <w:tl2br w:val="nil"/>
                    <w:tr2bl w:val="nil"/>
                  </w:tcBorders>
                  <w:noWrap w:val="0"/>
                  <w:vAlign w:val="center"/>
                </w:tcPr>
                <w:p w14:paraId="46F42BC0">
                  <w:pPr>
                    <w:pStyle w:val="132"/>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监测点</w:t>
                  </w:r>
                </w:p>
              </w:tc>
              <w:tc>
                <w:tcPr>
                  <w:tcW w:w="815" w:type="pct"/>
                  <w:tcBorders>
                    <w:tl2br w:val="nil"/>
                    <w:tr2bl w:val="nil"/>
                  </w:tcBorders>
                  <w:noWrap w:val="0"/>
                  <w:vAlign w:val="center"/>
                </w:tcPr>
                <w:p w14:paraId="332403B2">
                  <w:pPr>
                    <w:pStyle w:val="132"/>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检测项目</w:t>
                  </w:r>
                </w:p>
              </w:tc>
              <w:tc>
                <w:tcPr>
                  <w:tcW w:w="1600" w:type="pct"/>
                  <w:gridSpan w:val="2"/>
                  <w:tcBorders>
                    <w:tl2br w:val="nil"/>
                    <w:tr2bl w:val="nil"/>
                  </w:tcBorders>
                  <w:noWrap w:val="0"/>
                  <w:vAlign w:val="center"/>
                </w:tcPr>
                <w:p w14:paraId="12506F12">
                  <w:pPr>
                    <w:pStyle w:val="132"/>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监测日期及检测结果</w:t>
                  </w:r>
                </w:p>
              </w:tc>
              <w:tc>
                <w:tcPr>
                  <w:tcW w:w="815" w:type="pct"/>
                  <w:tcBorders>
                    <w:tl2br w:val="nil"/>
                    <w:tr2bl w:val="nil"/>
                  </w:tcBorders>
                  <w:noWrap w:val="0"/>
                  <w:vAlign w:val="center"/>
                </w:tcPr>
                <w:p w14:paraId="346988F6">
                  <w:pPr>
                    <w:pStyle w:val="132"/>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标准限值</w:t>
                  </w:r>
                </w:p>
              </w:tc>
              <w:tc>
                <w:tcPr>
                  <w:tcW w:w="564" w:type="pct"/>
                  <w:tcBorders>
                    <w:tl2br w:val="nil"/>
                    <w:tr2bl w:val="nil"/>
                  </w:tcBorders>
                  <w:noWrap w:val="0"/>
                  <w:vAlign w:val="center"/>
                </w:tcPr>
                <w:p w14:paraId="63CDD0DF">
                  <w:pPr>
                    <w:pStyle w:val="132"/>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单位</w:t>
                  </w:r>
                </w:p>
              </w:tc>
            </w:tr>
            <w:tr w14:paraId="4642C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pct"/>
                  <w:vMerge w:val="restart"/>
                  <w:tcBorders>
                    <w:tl2br w:val="nil"/>
                    <w:tr2bl w:val="nil"/>
                  </w:tcBorders>
                  <w:shd w:val="clear" w:color="auto" w:fill="auto"/>
                  <w:noWrap w:val="0"/>
                  <w:vAlign w:val="center"/>
                </w:tcPr>
                <w:p w14:paraId="5446414F">
                  <w:pPr>
                    <w:pStyle w:val="133"/>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麻石废料加工项目厂界下风向蚂蟥岩居民点</w:t>
                  </w:r>
                </w:p>
              </w:tc>
              <w:tc>
                <w:tcPr>
                  <w:tcW w:w="815" w:type="pct"/>
                  <w:vMerge w:val="restart"/>
                  <w:tcBorders>
                    <w:tl2br w:val="nil"/>
                    <w:tr2bl w:val="nil"/>
                  </w:tcBorders>
                  <w:shd w:val="clear" w:color="auto" w:fill="auto"/>
                  <w:noWrap w:val="0"/>
                  <w:vAlign w:val="center"/>
                </w:tcPr>
                <w:p w14:paraId="682597FA">
                  <w:pPr>
                    <w:pStyle w:val="133"/>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TSP</w:t>
                  </w:r>
                </w:p>
              </w:tc>
              <w:tc>
                <w:tcPr>
                  <w:tcW w:w="970" w:type="pct"/>
                  <w:tcBorders>
                    <w:tl2br w:val="nil"/>
                    <w:tr2bl w:val="nil"/>
                  </w:tcBorders>
                  <w:noWrap w:val="0"/>
                  <w:vAlign w:val="center"/>
                </w:tcPr>
                <w:p w14:paraId="7B96B620">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2024.</w:t>
                  </w:r>
                  <w:r>
                    <w:rPr>
                      <w:rFonts w:hint="default" w:ascii="Times New Roman" w:hAnsi="Times New Roman" w:cs="Times New Roman"/>
                      <w:color w:val="auto"/>
                      <w:sz w:val="21"/>
                      <w:szCs w:val="21"/>
                      <w:u w:val="none"/>
                      <w:lang w:val="en-US" w:eastAsia="zh-CN"/>
                    </w:rPr>
                    <w:t>7.9</w:t>
                  </w:r>
                </w:p>
              </w:tc>
              <w:tc>
                <w:tcPr>
                  <w:tcW w:w="630" w:type="pct"/>
                  <w:tcBorders>
                    <w:tl2br w:val="nil"/>
                    <w:tr2bl w:val="nil"/>
                  </w:tcBorders>
                  <w:noWrap w:val="0"/>
                  <w:vAlign w:val="center"/>
                </w:tcPr>
                <w:p w14:paraId="3ACEEEE6">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0.251</w:t>
                  </w:r>
                </w:p>
              </w:tc>
              <w:tc>
                <w:tcPr>
                  <w:tcW w:w="815" w:type="pct"/>
                  <w:vMerge w:val="restart"/>
                  <w:tcBorders>
                    <w:tl2br w:val="nil"/>
                    <w:tr2bl w:val="nil"/>
                  </w:tcBorders>
                  <w:noWrap w:val="0"/>
                  <w:vAlign w:val="center"/>
                </w:tcPr>
                <w:p w14:paraId="15A6E5AC">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0.3</w:t>
                  </w:r>
                </w:p>
              </w:tc>
              <w:tc>
                <w:tcPr>
                  <w:tcW w:w="564" w:type="pct"/>
                  <w:vMerge w:val="restart"/>
                  <w:tcBorders>
                    <w:tl2br w:val="nil"/>
                    <w:tr2bl w:val="nil"/>
                  </w:tcBorders>
                  <w:noWrap w:val="0"/>
                  <w:vAlign w:val="center"/>
                </w:tcPr>
                <w:p w14:paraId="5FC780D3">
                  <w:pPr>
                    <w:pStyle w:val="133"/>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m</w:t>
                  </w:r>
                  <w:r>
                    <w:rPr>
                      <w:rFonts w:hint="default" w:ascii="Times New Roman" w:hAnsi="Times New Roman" w:cs="Times New Roman"/>
                      <w:color w:val="auto"/>
                      <w:sz w:val="21"/>
                      <w:szCs w:val="21"/>
                      <w:u w:val="none"/>
                    </w:rPr>
                    <w:t>g/m</w:t>
                  </w:r>
                  <w:r>
                    <w:rPr>
                      <w:rFonts w:hint="default" w:ascii="Times New Roman" w:hAnsi="Times New Roman" w:cs="Times New Roman"/>
                      <w:color w:val="auto"/>
                      <w:sz w:val="21"/>
                      <w:szCs w:val="21"/>
                      <w:u w:val="none"/>
                      <w:vertAlign w:val="superscript"/>
                    </w:rPr>
                    <w:t>3</w:t>
                  </w:r>
                </w:p>
              </w:tc>
            </w:tr>
            <w:tr w14:paraId="6D46D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pct"/>
                  <w:vMerge w:val="continue"/>
                  <w:tcBorders>
                    <w:tl2br w:val="nil"/>
                    <w:tr2bl w:val="nil"/>
                  </w:tcBorders>
                  <w:noWrap w:val="0"/>
                  <w:vAlign w:val="center"/>
                </w:tcPr>
                <w:p w14:paraId="3AAFCD41">
                  <w:pPr>
                    <w:pStyle w:val="133"/>
                    <w:rPr>
                      <w:rFonts w:hint="default" w:ascii="Times New Roman" w:hAnsi="Times New Roman" w:cs="Times New Roman"/>
                      <w:color w:val="auto"/>
                      <w:sz w:val="21"/>
                      <w:szCs w:val="21"/>
                      <w:u w:val="none"/>
                    </w:rPr>
                  </w:pPr>
                </w:p>
              </w:tc>
              <w:tc>
                <w:tcPr>
                  <w:tcW w:w="815" w:type="pct"/>
                  <w:vMerge w:val="continue"/>
                  <w:tcBorders>
                    <w:tl2br w:val="nil"/>
                    <w:tr2bl w:val="nil"/>
                  </w:tcBorders>
                  <w:noWrap w:val="0"/>
                  <w:vAlign w:val="center"/>
                </w:tcPr>
                <w:p w14:paraId="47A82C4E">
                  <w:pPr>
                    <w:pStyle w:val="133"/>
                    <w:rPr>
                      <w:rFonts w:hint="default" w:ascii="Times New Roman" w:hAnsi="Times New Roman" w:cs="Times New Roman"/>
                      <w:color w:val="auto"/>
                      <w:sz w:val="21"/>
                      <w:szCs w:val="21"/>
                      <w:u w:val="none"/>
                    </w:rPr>
                  </w:pPr>
                </w:p>
              </w:tc>
              <w:tc>
                <w:tcPr>
                  <w:tcW w:w="970" w:type="pct"/>
                  <w:tcBorders>
                    <w:tl2br w:val="nil"/>
                    <w:tr2bl w:val="nil"/>
                  </w:tcBorders>
                  <w:noWrap w:val="0"/>
                  <w:vAlign w:val="center"/>
                </w:tcPr>
                <w:p w14:paraId="3F0D8A77">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2024.</w:t>
                  </w:r>
                  <w:r>
                    <w:rPr>
                      <w:rFonts w:hint="default" w:ascii="Times New Roman" w:hAnsi="Times New Roman" w:cs="Times New Roman"/>
                      <w:color w:val="auto"/>
                      <w:sz w:val="21"/>
                      <w:szCs w:val="21"/>
                      <w:u w:val="none"/>
                      <w:lang w:val="en-US" w:eastAsia="zh-CN"/>
                    </w:rPr>
                    <w:t>7.10</w:t>
                  </w:r>
                </w:p>
              </w:tc>
              <w:tc>
                <w:tcPr>
                  <w:tcW w:w="630" w:type="pct"/>
                  <w:tcBorders>
                    <w:tl2br w:val="nil"/>
                    <w:tr2bl w:val="nil"/>
                  </w:tcBorders>
                  <w:noWrap w:val="0"/>
                  <w:vAlign w:val="center"/>
                </w:tcPr>
                <w:p w14:paraId="2563EC76">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0.192</w:t>
                  </w:r>
                </w:p>
              </w:tc>
              <w:tc>
                <w:tcPr>
                  <w:tcW w:w="815" w:type="pct"/>
                  <w:vMerge w:val="continue"/>
                  <w:tcBorders>
                    <w:tl2br w:val="nil"/>
                    <w:tr2bl w:val="nil"/>
                  </w:tcBorders>
                  <w:noWrap w:val="0"/>
                  <w:vAlign w:val="center"/>
                </w:tcPr>
                <w:p w14:paraId="1DC0926E">
                  <w:pPr>
                    <w:pStyle w:val="133"/>
                    <w:rPr>
                      <w:rFonts w:hint="default" w:ascii="Times New Roman" w:hAnsi="Times New Roman" w:cs="Times New Roman"/>
                      <w:color w:val="auto"/>
                      <w:sz w:val="21"/>
                      <w:szCs w:val="21"/>
                      <w:u w:val="none"/>
                    </w:rPr>
                  </w:pPr>
                </w:p>
              </w:tc>
              <w:tc>
                <w:tcPr>
                  <w:tcW w:w="564" w:type="pct"/>
                  <w:vMerge w:val="continue"/>
                  <w:tcBorders>
                    <w:tl2br w:val="nil"/>
                    <w:tr2bl w:val="nil"/>
                  </w:tcBorders>
                  <w:noWrap w:val="0"/>
                  <w:vAlign w:val="center"/>
                </w:tcPr>
                <w:p w14:paraId="1997FB11">
                  <w:pPr>
                    <w:pStyle w:val="133"/>
                    <w:rPr>
                      <w:rFonts w:hint="default" w:ascii="Times New Roman" w:hAnsi="Times New Roman" w:cs="Times New Roman"/>
                      <w:color w:val="auto"/>
                      <w:sz w:val="21"/>
                      <w:szCs w:val="21"/>
                      <w:u w:val="none"/>
                    </w:rPr>
                  </w:pPr>
                </w:p>
              </w:tc>
            </w:tr>
            <w:tr w14:paraId="20E55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pct"/>
                  <w:vMerge w:val="continue"/>
                  <w:tcBorders>
                    <w:tl2br w:val="nil"/>
                    <w:tr2bl w:val="nil"/>
                  </w:tcBorders>
                  <w:noWrap w:val="0"/>
                  <w:vAlign w:val="center"/>
                </w:tcPr>
                <w:p w14:paraId="2D6C276F">
                  <w:pPr>
                    <w:pStyle w:val="133"/>
                    <w:rPr>
                      <w:rFonts w:hint="default" w:ascii="Times New Roman" w:hAnsi="Times New Roman" w:cs="Times New Roman"/>
                      <w:color w:val="auto"/>
                      <w:sz w:val="21"/>
                      <w:szCs w:val="21"/>
                      <w:u w:val="none"/>
                    </w:rPr>
                  </w:pPr>
                </w:p>
              </w:tc>
              <w:tc>
                <w:tcPr>
                  <w:tcW w:w="815" w:type="pct"/>
                  <w:vMerge w:val="continue"/>
                  <w:tcBorders>
                    <w:tl2br w:val="nil"/>
                    <w:tr2bl w:val="nil"/>
                  </w:tcBorders>
                  <w:noWrap w:val="0"/>
                  <w:vAlign w:val="center"/>
                </w:tcPr>
                <w:p w14:paraId="686AC081">
                  <w:pPr>
                    <w:pStyle w:val="133"/>
                    <w:rPr>
                      <w:rFonts w:hint="default" w:ascii="Times New Roman" w:hAnsi="Times New Roman" w:cs="Times New Roman"/>
                      <w:color w:val="auto"/>
                      <w:sz w:val="21"/>
                      <w:szCs w:val="21"/>
                      <w:u w:val="none"/>
                    </w:rPr>
                  </w:pPr>
                </w:p>
              </w:tc>
              <w:tc>
                <w:tcPr>
                  <w:tcW w:w="970" w:type="pct"/>
                  <w:tcBorders>
                    <w:tl2br w:val="nil"/>
                    <w:tr2bl w:val="nil"/>
                  </w:tcBorders>
                  <w:noWrap w:val="0"/>
                  <w:vAlign w:val="center"/>
                </w:tcPr>
                <w:p w14:paraId="655EF68F">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2024.</w:t>
                  </w:r>
                  <w:r>
                    <w:rPr>
                      <w:rFonts w:hint="default" w:ascii="Times New Roman" w:hAnsi="Times New Roman" w:cs="Times New Roman"/>
                      <w:color w:val="auto"/>
                      <w:sz w:val="21"/>
                      <w:szCs w:val="21"/>
                      <w:u w:val="none"/>
                      <w:lang w:val="en-US" w:eastAsia="zh-CN"/>
                    </w:rPr>
                    <w:t>7.11</w:t>
                  </w:r>
                </w:p>
              </w:tc>
              <w:tc>
                <w:tcPr>
                  <w:tcW w:w="630" w:type="pct"/>
                  <w:tcBorders>
                    <w:tl2br w:val="nil"/>
                    <w:tr2bl w:val="nil"/>
                  </w:tcBorders>
                  <w:noWrap w:val="0"/>
                  <w:vAlign w:val="center"/>
                </w:tcPr>
                <w:p w14:paraId="54580A21">
                  <w:pPr>
                    <w:pStyle w:val="133"/>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0.244</w:t>
                  </w:r>
                </w:p>
              </w:tc>
              <w:tc>
                <w:tcPr>
                  <w:tcW w:w="815" w:type="pct"/>
                  <w:vMerge w:val="continue"/>
                  <w:tcBorders>
                    <w:tl2br w:val="nil"/>
                    <w:tr2bl w:val="nil"/>
                  </w:tcBorders>
                  <w:noWrap w:val="0"/>
                  <w:vAlign w:val="center"/>
                </w:tcPr>
                <w:p w14:paraId="2E5E83E5">
                  <w:pPr>
                    <w:pStyle w:val="133"/>
                    <w:rPr>
                      <w:rFonts w:hint="default" w:ascii="Times New Roman" w:hAnsi="Times New Roman" w:cs="Times New Roman"/>
                      <w:color w:val="auto"/>
                      <w:sz w:val="21"/>
                      <w:szCs w:val="21"/>
                      <w:u w:val="none"/>
                    </w:rPr>
                  </w:pPr>
                </w:p>
              </w:tc>
              <w:tc>
                <w:tcPr>
                  <w:tcW w:w="564" w:type="pct"/>
                  <w:vMerge w:val="continue"/>
                  <w:tcBorders>
                    <w:tl2br w:val="nil"/>
                    <w:tr2bl w:val="nil"/>
                  </w:tcBorders>
                  <w:noWrap w:val="0"/>
                  <w:vAlign w:val="center"/>
                </w:tcPr>
                <w:p w14:paraId="0945B655">
                  <w:pPr>
                    <w:pStyle w:val="133"/>
                    <w:rPr>
                      <w:rFonts w:hint="default" w:ascii="Times New Roman" w:hAnsi="Times New Roman" w:cs="Times New Roman"/>
                      <w:color w:val="auto"/>
                      <w:sz w:val="21"/>
                      <w:szCs w:val="21"/>
                      <w:u w:val="none"/>
                    </w:rPr>
                  </w:pPr>
                </w:p>
              </w:tc>
            </w:tr>
          </w:tbl>
          <w:p w14:paraId="49D0236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w:t>
            </w:r>
            <w:r>
              <w:rPr>
                <w:rFonts w:hint="eastAsia" w:cs="Times New Roman"/>
                <w:color w:val="auto"/>
                <w:sz w:val="24"/>
                <w:lang w:val="en-US" w:eastAsia="zh-CN"/>
              </w:rPr>
              <w:t>引用</w:t>
            </w:r>
            <w:r>
              <w:rPr>
                <w:rFonts w:hint="default" w:ascii="Times New Roman" w:hAnsi="Times New Roman" w:eastAsia="宋体" w:cs="Times New Roman"/>
                <w:color w:val="auto"/>
                <w:sz w:val="24"/>
              </w:rPr>
              <w:t>监测结果，本项目所在区域特征因子颗粒物（TSP）满足《环境空气质量标准》（GB3095-20</w:t>
            </w:r>
            <w:r>
              <w:rPr>
                <w:rFonts w:hint="eastAsia" w:cs="Times New Roman"/>
                <w:color w:val="auto"/>
                <w:sz w:val="24"/>
                <w:lang w:val="en-US" w:eastAsia="zh-CN"/>
              </w:rPr>
              <w:t>26</w:t>
            </w:r>
            <w:r>
              <w:rPr>
                <w:rFonts w:hint="default" w:ascii="Times New Roman" w:hAnsi="Times New Roman" w:eastAsia="宋体" w:cs="Times New Roman"/>
                <w:color w:val="auto"/>
                <w:sz w:val="24"/>
              </w:rPr>
              <w:t>）二级浓度限值（24小时平均值）。</w:t>
            </w:r>
          </w:p>
          <w:p w14:paraId="669CD5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2、地表水环境质量现状</w:t>
            </w:r>
          </w:p>
          <w:p w14:paraId="083C0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rPr>
              <w:t>根据怀化市生态环境局发布的《</w:t>
            </w:r>
            <w:r>
              <w:rPr>
                <w:rFonts w:hint="eastAsia" w:ascii="Times New Roman" w:hAnsi="Times New Roman" w:eastAsia="宋体" w:cs="Times New Roman"/>
                <w:color w:val="auto"/>
                <w:sz w:val="24"/>
                <w:u w:val="none" w:color="auto"/>
              </w:rPr>
              <w:t>2025年怀化市水环境质量年报</w:t>
            </w:r>
            <w:r>
              <w:rPr>
                <w:rFonts w:hint="default" w:ascii="Times New Roman" w:hAnsi="Times New Roman" w:eastAsia="宋体" w:cs="Times New Roman"/>
                <w:color w:val="auto"/>
                <w:sz w:val="24"/>
                <w:u w:val="none" w:color="auto"/>
              </w:rPr>
              <w:t>》可知</w:t>
            </w:r>
            <w:r>
              <w:rPr>
                <w:rFonts w:hint="eastAsia" w:ascii="Times New Roman" w:hAnsi="Times New Roman" w:eastAsia="宋体" w:cs="Times New Roman"/>
                <w:color w:val="auto"/>
                <w:sz w:val="24"/>
                <w:u w:val="none" w:color="auto"/>
                <w:lang w:eastAsia="zh-CN"/>
              </w:rPr>
              <w:t>：</w:t>
            </w:r>
          </w:p>
          <w:p w14:paraId="289FA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color="auto"/>
                <w:lang w:eastAsia="zh-CN"/>
              </w:rPr>
            </w:pPr>
            <w:r>
              <w:rPr>
                <w:rFonts w:hint="eastAsia" w:cs="Times New Roman"/>
                <w:color w:val="auto"/>
                <w:sz w:val="24"/>
                <w:u w:val="none" w:color="auto"/>
                <w:lang w:eastAsia="zh-CN"/>
              </w:rPr>
              <w:t>国考网络：202</w:t>
            </w:r>
            <w:r>
              <w:rPr>
                <w:rFonts w:hint="eastAsia" w:cs="Times New Roman"/>
                <w:color w:val="auto"/>
                <w:sz w:val="24"/>
                <w:u w:val="none" w:color="auto"/>
                <w:lang w:val="en-US" w:eastAsia="zh-CN"/>
              </w:rPr>
              <w:t>5</w:t>
            </w:r>
            <w:r>
              <w:rPr>
                <w:rFonts w:hint="eastAsia" w:cs="Times New Roman"/>
                <w:color w:val="auto"/>
                <w:sz w:val="24"/>
                <w:u w:val="none" w:color="auto"/>
                <w:lang w:eastAsia="zh-CN"/>
              </w:rPr>
              <w:t>年全市14个国控考核断面地表水水质总体为优，</w:t>
            </w:r>
            <w:r>
              <w:rPr>
                <w:rFonts w:hint="eastAsia" w:cs="Times New Roman"/>
                <w:color w:val="auto"/>
                <w:sz w:val="24"/>
                <w:u w:val="none" w:color="auto"/>
                <w:lang w:val="en-US" w:eastAsia="zh-CN"/>
              </w:rPr>
              <w:t>均</w:t>
            </w:r>
            <w:r>
              <w:rPr>
                <w:rFonts w:hint="default" w:ascii="Times New Roman" w:hAnsi="Times New Roman" w:cs="Times New Roman"/>
                <w:color w:val="auto"/>
                <w:sz w:val="24"/>
                <w:u w:val="none" w:color="auto"/>
                <w:lang w:val="en-US" w:eastAsia="zh-CN"/>
              </w:rPr>
              <w:t>为</w:t>
            </w:r>
            <w:r>
              <w:rPr>
                <w:rFonts w:hint="default" w:ascii="Times New Roman" w:hAnsi="Times New Roman" w:cs="Times New Roman"/>
                <w:color w:val="auto"/>
                <w:sz w:val="24"/>
                <w:u w:val="none" w:color="auto"/>
                <w:lang w:eastAsia="zh-CN"/>
              </w:rPr>
              <w:t>Ⅱ类水质。14个国控考核断面均达到年度水质目标。</w:t>
            </w:r>
          </w:p>
          <w:p w14:paraId="79350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lang w:eastAsia="zh-CN"/>
              </w:rPr>
              <w:t>省考网络：202</w:t>
            </w:r>
            <w:r>
              <w:rPr>
                <w:rFonts w:hint="default" w:ascii="Times New Roman" w:hAnsi="Times New Roman" w:cs="Times New Roman"/>
                <w:color w:val="auto"/>
                <w:sz w:val="24"/>
                <w:u w:val="none" w:color="auto"/>
                <w:lang w:val="en-US" w:eastAsia="zh-CN"/>
              </w:rPr>
              <w:t>5</w:t>
            </w:r>
            <w:r>
              <w:rPr>
                <w:rFonts w:hint="default" w:ascii="Times New Roman" w:hAnsi="Times New Roman" w:cs="Times New Roman"/>
                <w:color w:val="auto"/>
                <w:sz w:val="24"/>
                <w:u w:val="none" w:color="auto"/>
                <w:lang w:eastAsia="zh-CN"/>
              </w:rPr>
              <w:t>年全市35个省控考核断面地表水水质总体为优，均为Ⅱ类水质。35个省控考核断面均达到年度水质目标。</w:t>
            </w:r>
          </w:p>
          <w:p w14:paraId="06D79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本项目周边最近的地表水体为溆水，其水质监测情况如下表所示：</w:t>
            </w:r>
          </w:p>
          <w:tbl>
            <w:tblPr>
              <w:tblStyle w:val="33"/>
              <w:tblpPr w:leftFromText="180" w:rightFromText="180" w:vertAnchor="text" w:horzAnchor="page" w:tblpX="99" w:tblpY="312"/>
              <w:tblOverlap w:val="never"/>
              <w:tblW w:w="7650"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24"/>
              <w:gridCol w:w="877"/>
              <w:gridCol w:w="1527"/>
              <w:gridCol w:w="852"/>
              <w:gridCol w:w="735"/>
              <w:gridCol w:w="1020"/>
              <w:gridCol w:w="1144"/>
            </w:tblGrid>
            <w:tr w14:paraId="6A2E7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8" w:type="pct"/>
                  <w:vMerge w:val="restart"/>
                  <w:tcBorders>
                    <w:tl2br w:val="nil"/>
                    <w:tr2bl w:val="nil"/>
                  </w:tcBorders>
                  <w:noWrap w:val="0"/>
                  <w:vAlign w:val="center"/>
                </w:tcPr>
                <w:p w14:paraId="7B474D3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序号</w:t>
                  </w:r>
                </w:p>
              </w:tc>
              <w:tc>
                <w:tcPr>
                  <w:tcW w:w="538" w:type="pct"/>
                  <w:vMerge w:val="restart"/>
                  <w:tcBorders>
                    <w:tl2br w:val="nil"/>
                    <w:tr2bl w:val="nil"/>
                  </w:tcBorders>
                  <w:noWrap w:val="0"/>
                  <w:vAlign w:val="center"/>
                </w:tcPr>
                <w:p w14:paraId="2057FBB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河流名称</w:t>
                  </w:r>
                </w:p>
              </w:tc>
              <w:tc>
                <w:tcPr>
                  <w:tcW w:w="573" w:type="pct"/>
                  <w:vMerge w:val="restart"/>
                  <w:tcBorders>
                    <w:tl2br w:val="nil"/>
                    <w:tr2bl w:val="nil"/>
                  </w:tcBorders>
                  <w:noWrap w:val="0"/>
                  <w:vAlign w:val="center"/>
                </w:tcPr>
                <w:p w14:paraId="400ED94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断面所属地</w:t>
                  </w:r>
                </w:p>
              </w:tc>
              <w:tc>
                <w:tcPr>
                  <w:tcW w:w="998" w:type="pct"/>
                  <w:vMerge w:val="restart"/>
                  <w:tcBorders>
                    <w:tl2br w:val="nil"/>
                    <w:tr2bl w:val="nil"/>
                  </w:tcBorders>
                  <w:noWrap w:val="0"/>
                  <w:vAlign w:val="center"/>
                </w:tcPr>
                <w:p w14:paraId="3DE9134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断面名称</w:t>
                  </w:r>
                </w:p>
              </w:tc>
              <w:tc>
                <w:tcPr>
                  <w:tcW w:w="556" w:type="pct"/>
                  <w:vMerge w:val="restart"/>
                  <w:tcBorders>
                    <w:tl2br w:val="nil"/>
                    <w:tr2bl w:val="nil"/>
                  </w:tcBorders>
                  <w:noWrap w:val="0"/>
                  <w:vAlign w:val="center"/>
                </w:tcPr>
                <w:p w14:paraId="1F7D240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断面性质</w:t>
                  </w:r>
                </w:p>
              </w:tc>
              <w:tc>
                <w:tcPr>
                  <w:tcW w:w="1894" w:type="pct"/>
                  <w:gridSpan w:val="3"/>
                  <w:tcBorders>
                    <w:tl2br w:val="nil"/>
                    <w:tr2bl w:val="nil"/>
                  </w:tcBorders>
                  <w:noWrap w:val="0"/>
                  <w:vAlign w:val="center"/>
                </w:tcPr>
                <w:p w14:paraId="65DBA28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达到水质类别</w:t>
                  </w:r>
                </w:p>
              </w:tc>
            </w:tr>
            <w:tr w14:paraId="6A9D8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8" w:type="pct"/>
                  <w:vMerge w:val="continue"/>
                  <w:tcBorders>
                    <w:tl2br w:val="nil"/>
                    <w:tr2bl w:val="nil"/>
                  </w:tcBorders>
                  <w:noWrap w:val="0"/>
                  <w:vAlign w:val="center"/>
                </w:tcPr>
                <w:p w14:paraId="6F24AED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rPr>
                  </w:pPr>
                </w:p>
              </w:tc>
              <w:tc>
                <w:tcPr>
                  <w:tcW w:w="538" w:type="pct"/>
                  <w:vMerge w:val="continue"/>
                  <w:tcBorders>
                    <w:tl2br w:val="nil"/>
                    <w:tr2bl w:val="nil"/>
                  </w:tcBorders>
                  <w:noWrap w:val="0"/>
                  <w:vAlign w:val="center"/>
                </w:tcPr>
                <w:p w14:paraId="23C6B8F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rPr>
                  </w:pPr>
                </w:p>
              </w:tc>
              <w:tc>
                <w:tcPr>
                  <w:tcW w:w="573" w:type="pct"/>
                  <w:vMerge w:val="continue"/>
                  <w:tcBorders>
                    <w:tl2br w:val="nil"/>
                    <w:tr2bl w:val="nil"/>
                  </w:tcBorders>
                  <w:noWrap w:val="0"/>
                  <w:vAlign w:val="center"/>
                </w:tcPr>
                <w:p w14:paraId="5206D63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rPr>
                  </w:pPr>
                </w:p>
              </w:tc>
              <w:tc>
                <w:tcPr>
                  <w:tcW w:w="998" w:type="pct"/>
                  <w:vMerge w:val="continue"/>
                  <w:tcBorders>
                    <w:tl2br w:val="nil"/>
                    <w:tr2bl w:val="nil"/>
                  </w:tcBorders>
                  <w:noWrap w:val="0"/>
                  <w:vAlign w:val="center"/>
                </w:tcPr>
                <w:p w14:paraId="6F2C41A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rPr>
                  </w:pPr>
                </w:p>
              </w:tc>
              <w:tc>
                <w:tcPr>
                  <w:tcW w:w="556" w:type="pct"/>
                  <w:vMerge w:val="continue"/>
                  <w:tcBorders>
                    <w:tl2br w:val="nil"/>
                    <w:tr2bl w:val="nil"/>
                  </w:tcBorders>
                  <w:noWrap w:val="0"/>
                  <w:vAlign w:val="center"/>
                </w:tcPr>
                <w:p w14:paraId="5AD3628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rPr>
                  </w:pPr>
                </w:p>
              </w:tc>
              <w:tc>
                <w:tcPr>
                  <w:tcW w:w="480" w:type="pct"/>
                  <w:tcBorders>
                    <w:tl2br w:val="nil"/>
                    <w:tr2bl w:val="nil"/>
                  </w:tcBorders>
                  <w:noWrap w:val="0"/>
                  <w:vAlign w:val="center"/>
                </w:tcPr>
                <w:p w14:paraId="55DEC6F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本年</w:t>
                  </w:r>
                </w:p>
              </w:tc>
              <w:tc>
                <w:tcPr>
                  <w:tcW w:w="666" w:type="pct"/>
                  <w:tcBorders>
                    <w:tl2br w:val="nil"/>
                    <w:tr2bl w:val="nil"/>
                  </w:tcBorders>
                  <w:noWrap w:val="0"/>
                  <w:vAlign w:val="center"/>
                </w:tcPr>
                <w:p w14:paraId="76DA997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上年同期</w:t>
                  </w:r>
                </w:p>
              </w:tc>
              <w:tc>
                <w:tcPr>
                  <w:tcW w:w="747" w:type="pct"/>
                  <w:tcBorders>
                    <w:tl2br w:val="nil"/>
                    <w:tr2bl w:val="nil"/>
                  </w:tcBorders>
                  <w:noWrap w:val="0"/>
                  <w:vAlign w:val="center"/>
                </w:tcPr>
                <w:p w14:paraId="1B8CF05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bCs w:val="0"/>
                      <w:color w:val="auto"/>
                      <w:sz w:val="21"/>
                      <w:szCs w:val="21"/>
                      <w:u w:val="none" w:color="auto"/>
                      <w:vertAlign w:val="baseline"/>
                      <w:lang w:eastAsia="zh-CN"/>
                    </w:rPr>
                  </w:pPr>
                  <w:r>
                    <w:rPr>
                      <w:rFonts w:hint="default" w:ascii="Times New Roman" w:hAnsi="Times New Roman" w:cs="Times New Roman" w:eastAsiaTheme="minorEastAsia"/>
                      <w:b/>
                      <w:bCs w:val="0"/>
                      <w:color w:val="auto"/>
                      <w:sz w:val="21"/>
                      <w:szCs w:val="21"/>
                      <w:u w:val="none" w:color="auto"/>
                      <w:vertAlign w:val="baseline"/>
                      <w:lang w:eastAsia="zh-CN"/>
                    </w:rPr>
                    <w:t>同比变化</w:t>
                  </w:r>
                </w:p>
              </w:tc>
            </w:tr>
            <w:tr w14:paraId="6AF2B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8" w:type="pct"/>
                  <w:tcBorders>
                    <w:tl2br w:val="nil"/>
                    <w:tr2bl w:val="nil"/>
                  </w:tcBorders>
                  <w:noWrap w:val="0"/>
                  <w:vAlign w:val="center"/>
                </w:tcPr>
                <w:p w14:paraId="1D0F5AC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1</w:t>
                  </w:r>
                </w:p>
              </w:tc>
              <w:tc>
                <w:tcPr>
                  <w:tcW w:w="538" w:type="pct"/>
                  <w:vMerge w:val="restart"/>
                  <w:tcBorders>
                    <w:tl2br w:val="nil"/>
                    <w:tr2bl w:val="nil"/>
                  </w:tcBorders>
                  <w:noWrap w:val="0"/>
                  <w:vAlign w:val="center"/>
                </w:tcPr>
                <w:p w14:paraId="17BEC20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溆水</w:t>
                  </w:r>
                </w:p>
              </w:tc>
              <w:tc>
                <w:tcPr>
                  <w:tcW w:w="573" w:type="pct"/>
                  <w:vMerge w:val="restart"/>
                  <w:tcBorders>
                    <w:tl2br w:val="nil"/>
                    <w:tr2bl w:val="nil"/>
                  </w:tcBorders>
                  <w:noWrap w:val="0"/>
                  <w:vAlign w:val="center"/>
                </w:tcPr>
                <w:p w14:paraId="4BD3032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溆浦县</w:t>
                  </w:r>
                </w:p>
              </w:tc>
              <w:tc>
                <w:tcPr>
                  <w:tcW w:w="998" w:type="pct"/>
                  <w:tcBorders>
                    <w:tl2br w:val="nil"/>
                    <w:tr2bl w:val="nil"/>
                  </w:tcBorders>
                  <w:noWrap w:val="0"/>
                  <w:vAlign w:val="center"/>
                </w:tcPr>
                <w:p w14:paraId="77187DA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龙潭</w:t>
                  </w:r>
                </w:p>
              </w:tc>
              <w:tc>
                <w:tcPr>
                  <w:tcW w:w="556" w:type="pct"/>
                  <w:tcBorders>
                    <w:tl2br w:val="nil"/>
                    <w:tr2bl w:val="nil"/>
                  </w:tcBorders>
                  <w:noWrap w:val="0"/>
                  <w:vAlign w:val="center"/>
                </w:tcPr>
                <w:p w14:paraId="0E6C98E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省控</w:t>
                  </w:r>
                </w:p>
              </w:tc>
              <w:tc>
                <w:tcPr>
                  <w:tcW w:w="480" w:type="pct"/>
                  <w:tcBorders>
                    <w:tl2br w:val="nil"/>
                    <w:tr2bl w:val="nil"/>
                  </w:tcBorders>
                  <w:noWrap w:val="0"/>
                  <w:vAlign w:val="center"/>
                </w:tcPr>
                <w:p w14:paraId="5BE6054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666" w:type="pct"/>
                  <w:tcBorders>
                    <w:tl2br w:val="nil"/>
                    <w:tr2bl w:val="nil"/>
                  </w:tcBorders>
                  <w:noWrap w:val="0"/>
                  <w:vAlign w:val="center"/>
                </w:tcPr>
                <w:p w14:paraId="59FA09B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747" w:type="pct"/>
                  <w:tcBorders>
                    <w:tl2br w:val="nil"/>
                    <w:tr2bl w:val="nil"/>
                  </w:tcBorders>
                  <w:noWrap w:val="0"/>
                  <w:vAlign w:val="center"/>
                </w:tcPr>
                <w:p w14:paraId="0730591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w:t>
                  </w:r>
                </w:p>
              </w:tc>
            </w:tr>
            <w:tr w14:paraId="62C4E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8" w:type="pct"/>
                  <w:tcBorders>
                    <w:tl2br w:val="nil"/>
                    <w:tr2bl w:val="nil"/>
                  </w:tcBorders>
                  <w:noWrap w:val="0"/>
                  <w:vAlign w:val="center"/>
                </w:tcPr>
                <w:p w14:paraId="3F8A4E4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2</w:t>
                  </w:r>
                </w:p>
              </w:tc>
              <w:tc>
                <w:tcPr>
                  <w:tcW w:w="538" w:type="pct"/>
                  <w:vMerge w:val="continue"/>
                  <w:tcBorders>
                    <w:tl2br w:val="nil"/>
                    <w:tr2bl w:val="nil"/>
                  </w:tcBorders>
                  <w:noWrap w:val="0"/>
                  <w:vAlign w:val="center"/>
                </w:tcPr>
                <w:p w14:paraId="1595D15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p>
              </w:tc>
              <w:tc>
                <w:tcPr>
                  <w:tcW w:w="573" w:type="pct"/>
                  <w:vMerge w:val="continue"/>
                  <w:tcBorders>
                    <w:tl2br w:val="nil"/>
                    <w:tr2bl w:val="nil"/>
                  </w:tcBorders>
                  <w:noWrap w:val="0"/>
                  <w:vAlign w:val="center"/>
                </w:tcPr>
                <w:p w14:paraId="1A44891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p>
              </w:tc>
              <w:tc>
                <w:tcPr>
                  <w:tcW w:w="998" w:type="pct"/>
                  <w:tcBorders>
                    <w:tl2br w:val="nil"/>
                    <w:tr2bl w:val="nil"/>
                  </w:tcBorders>
                  <w:noWrap w:val="0"/>
                  <w:vAlign w:val="center"/>
                </w:tcPr>
                <w:p w14:paraId="7335EDA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溆浦县水厂</w:t>
                  </w:r>
                </w:p>
              </w:tc>
              <w:tc>
                <w:tcPr>
                  <w:tcW w:w="556" w:type="pct"/>
                  <w:tcBorders>
                    <w:tl2br w:val="nil"/>
                    <w:tr2bl w:val="nil"/>
                  </w:tcBorders>
                  <w:noWrap w:val="0"/>
                  <w:vAlign w:val="center"/>
                </w:tcPr>
                <w:p w14:paraId="45416BD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省控</w:t>
                  </w:r>
                </w:p>
              </w:tc>
              <w:tc>
                <w:tcPr>
                  <w:tcW w:w="480" w:type="pct"/>
                  <w:tcBorders>
                    <w:tl2br w:val="nil"/>
                    <w:tr2bl w:val="nil"/>
                  </w:tcBorders>
                  <w:noWrap w:val="0"/>
                  <w:vAlign w:val="center"/>
                </w:tcPr>
                <w:p w14:paraId="6B3F524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666" w:type="pct"/>
                  <w:tcBorders>
                    <w:tl2br w:val="nil"/>
                    <w:tr2bl w:val="nil"/>
                  </w:tcBorders>
                  <w:noWrap w:val="0"/>
                  <w:vAlign w:val="center"/>
                </w:tcPr>
                <w:p w14:paraId="1888021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747" w:type="pct"/>
                  <w:tcBorders>
                    <w:tl2br w:val="nil"/>
                    <w:tr2bl w:val="nil"/>
                  </w:tcBorders>
                  <w:noWrap w:val="0"/>
                  <w:vAlign w:val="center"/>
                </w:tcPr>
                <w:p w14:paraId="4B66FAA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w:t>
                  </w:r>
                </w:p>
              </w:tc>
            </w:tr>
            <w:tr w14:paraId="541E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8" w:type="pct"/>
                  <w:tcBorders>
                    <w:tl2br w:val="nil"/>
                    <w:tr2bl w:val="nil"/>
                  </w:tcBorders>
                  <w:noWrap w:val="0"/>
                  <w:vAlign w:val="center"/>
                </w:tcPr>
                <w:p w14:paraId="3319FE1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3</w:t>
                  </w:r>
                </w:p>
              </w:tc>
              <w:tc>
                <w:tcPr>
                  <w:tcW w:w="538" w:type="pct"/>
                  <w:vMerge w:val="continue"/>
                  <w:tcBorders>
                    <w:tl2br w:val="nil"/>
                    <w:tr2bl w:val="nil"/>
                  </w:tcBorders>
                  <w:noWrap w:val="0"/>
                  <w:vAlign w:val="center"/>
                </w:tcPr>
                <w:p w14:paraId="1B2A4C4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p>
              </w:tc>
              <w:tc>
                <w:tcPr>
                  <w:tcW w:w="573" w:type="pct"/>
                  <w:vMerge w:val="continue"/>
                  <w:tcBorders>
                    <w:tl2br w:val="nil"/>
                    <w:tr2bl w:val="nil"/>
                  </w:tcBorders>
                  <w:noWrap w:val="0"/>
                  <w:vAlign w:val="center"/>
                </w:tcPr>
                <w:p w14:paraId="5539515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p>
              </w:tc>
              <w:tc>
                <w:tcPr>
                  <w:tcW w:w="998" w:type="pct"/>
                  <w:tcBorders>
                    <w:tl2br w:val="nil"/>
                    <w:tr2bl w:val="nil"/>
                  </w:tcBorders>
                  <w:noWrap w:val="0"/>
                  <w:vAlign w:val="center"/>
                </w:tcPr>
                <w:p w14:paraId="1DEC02C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仲夏村</w:t>
                  </w:r>
                </w:p>
              </w:tc>
              <w:tc>
                <w:tcPr>
                  <w:tcW w:w="556" w:type="pct"/>
                  <w:tcBorders>
                    <w:tl2br w:val="nil"/>
                    <w:tr2bl w:val="nil"/>
                  </w:tcBorders>
                  <w:noWrap w:val="0"/>
                  <w:vAlign w:val="center"/>
                </w:tcPr>
                <w:p w14:paraId="1C6C397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省控</w:t>
                  </w:r>
                </w:p>
              </w:tc>
              <w:tc>
                <w:tcPr>
                  <w:tcW w:w="480" w:type="pct"/>
                  <w:tcBorders>
                    <w:tl2br w:val="nil"/>
                    <w:tr2bl w:val="nil"/>
                  </w:tcBorders>
                  <w:noWrap w:val="0"/>
                  <w:vAlign w:val="center"/>
                </w:tcPr>
                <w:p w14:paraId="12002F6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666" w:type="pct"/>
                  <w:tcBorders>
                    <w:tl2br w:val="nil"/>
                    <w:tr2bl w:val="nil"/>
                  </w:tcBorders>
                  <w:noWrap w:val="0"/>
                  <w:vAlign w:val="center"/>
                </w:tcPr>
                <w:p w14:paraId="293252C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747" w:type="pct"/>
                  <w:tcBorders>
                    <w:tl2br w:val="nil"/>
                    <w:tr2bl w:val="nil"/>
                  </w:tcBorders>
                  <w:noWrap w:val="0"/>
                  <w:vAlign w:val="center"/>
                </w:tcPr>
                <w:p w14:paraId="099F3DB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w:t>
                  </w:r>
                </w:p>
              </w:tc>
            </w:tr>
            <w:tr w14:paraId="219AA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8" w:type="pct"/>
                  <w:tcBorders>
                    <w:tl2br w:val="nil"/>
                    <w:tr2bl w:val="nil"/>
                  </w:tcBorders>
                  <w:noWrap w:val="0"/>
                  <w:vAlign w:val="center"/>
                </w:tcPr>
                <w:p w14:paraId="0A16831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4</w:t>
                  </w:r>
                </w:p>
              </w:tc>
              <w:tc>
                <w:tcPr>
                  <w:tcW w:w="538" w:type="pct"/>
                  <w:vMerge w:val="continue"/>
                  <w:tcBorders>
                    <w:tl2br w:val="nil"/>
                    <w:tr2bl w:val="nil"/>
                  </w:tcBorders>
                  <w:noWrap w:val="0"/>
                  <w:vAlign w:val="center"/>
                </w:tcPr>
                <w:p w14:paraId="1A97850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p>
              </w:tc>
              <w:tc>
                <w:tcPr>
                  <w:tcW w:w="573" w:type="pct"/>
                  <w:vMerge w:val="continue"/>
                  <w:tcBorders>
                    <w:tl2br w:val="nil"/>
                    <w:tr2bl w:val="nil"/>
                  </w:tcBorders>
                  <w:noWrap w:val="0"/>
                  <w:vAlign w:val="center"/>
                </w:tcPr>
                <w:p w14:paraId="4FC2A5B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p>
              </w:tc>
              <w:tc>
                <w:tcPr>
                  <w:tcW w:w="998" w:type="pct"/>
                  <w:tcBorders>
                    <w:tl2br w:val="nil"/>
                    <w:tr2bl w:val="nil"/>
                  </w:tcBorders>
                  <w:noWrap w:val="0"/>
                  <w:vAlign w:val="center"/>
                </w:tcPr>
                <w:p w14:paraId="672684A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溆水入沅江口</w:t>
                  </w:r>
                </w:p>
              </w:tc>
              <w:tc>
                <w:tcPr>
                  <w:tcW w:w="556" w:type="pct"/>
                  <w:tcBorders>
                    <w:tl2br w:val="nil"/>
                    <w:tr2bl w:val="nil"/>
                  </w:tcBorders>
                  <w:noWrap w:val="0"/>
                  <w:vAlign w:val="center"/>
                </w:tcPr>
                <w:p w14:paraId="73F2FCB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国控</w:t>
                  </w:r>
                </w:p>
              </w:tc>
              <w:tc>
                <w:tcPr>
                  <w:tcW w:w="480" w:type="pct"/>
                  <w:tcBorders>
                    <w:tl2br w:val="nil"/>
                    <w:tr2bl w:val="nil"/>
                  </w:tcBorders>
                  <w:noWrap w:val="0"/>
                  <w:vAlign w:val="center"/>
                </w:tcPr>
                <w:p w14:paraId="7D37740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666" w:type="pct"/>
                  <w:tcBorders>
                    <w:tl2br w:val="nil"/>
                    <w:tr2bl w:val="nil"/>
                  </w:tcBorders>
                  <w:noWrap w:val="0"/>
                  <w:vAlign w:val="center"/>
                </w:tcPr>
                <w:p w14:paraId="21C7E33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eastAsia="zh-CN"/>
                    </w:rPr>
                  </w:pPr>
                  <w:r>
                    <w:rPr>
                      <w:rFonts w:hint="default" w:ascii="Times New Roman" w:hAnsi="Times New Roman" w:cs="Times New Roman" w:eastAsiaTheme="minorEastAsia"/>
                      <w:bCs/>
                      <w:color w:val="auto"/>
                      <w:sz w:val="21"/>
                      <w:szCs w:val="21"/>
                      <w:u w:val="none" w:color="auto"/>
                      <w:vertAlign w:val="baseline"/>
                      <w:lang w:eastAsia="zh-CN"/>
                    </w:rPr>
                    <w:t>Ⅱ类</w:t>
                  </w:r>
                </w:p>
              </w:tc>
              <w:tc>
                <w:tcPr>
                  <w:tcW w:w="747" w:type="pct"/>
                  <w:tcBorders>
                    <w:tl2br w:val="nil"/>
                    <w:tr2bl w:val="nil"/>
                  </w:tcBorders>
                  <w:noWrap w:val="0"/>
                  <w:vAlign w:val="center"/>
                </w:tcPr>
                <w:p w14:paraId="33EB3A3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Cs/>
                      <w:color w:val="auto"/>
                      <w:sz w:val="21"/>
                      <w:szCs w:val="21"/>
                      <w:u w:val="none" w:color="auto"/>
                      <w:vertAlign w:val="baseline"/>
                      <w:lang w:val="en-US" w:eastAsia="zh-CN"/>
                    </w:rPr>
                  </w:pPr>
                  <w:r>
                    <w:rPr>
                      <w:rFonts w:hint="default" w:ascii="Times New Roman" w:hAnsi="Times New Roman" w:cs="Times New Roman" w:eastAsiaTheme="minorEastAsia"/>
                      <w:bCs/>
                      <w:color w:val="auto"/>
                      <w:sz w:val="21"/>
                      <w:szCs w:val="21"/>
                      <w:u w:val="none" w:color="auto"/>
                      <w:vertAlign w:val="baseline"/>
                      <w:lang w:val="en-US" w:eastAsia="zh-CN"/>
                    </w:rPr>
                    <w:t>/</w:t>
                  </w:r>
                </w:p>
              </w:tc>
            </w:tr>
          </w:tbl>
          <w:p w14:paraId="316439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color w:val="auto"/>
                <w:sz w:val="24"/>
                <w:szCs w:val="24"/>
                <w:u w:val="none" w:color="auto"/>
                <w:lang w:val="en-US" w:eastAsia="zh-CN"/>
              </w:rPr>
            </w:pPr>
            <w:r>
              <w:rPr>
                <w:rFonts w:hint="default" w:ascii="Times New Roman" w:hAnsi="Times New Roman" w:eastAsia="宋体" w:cs="Times New Roman"/>
                <w:b/>
                <w:color w:val="auto"/>
                <w:sz w:val="24"/>
                <w:szCs w:val="24"/>
                <w:u w:val="none" w:color="auto"/>
              </w:rPr>
              <w:t>表3-</w:t>
            </w:r>
            <w:r>
              <w:rPr>
                <w:rFonts w:hint="eastAsia" w:cs="Times New Roman"/>
                <w:b/>
                <w:color w:val="auto"/>
                <w:sz w:val="24"/>
                <w:szCs w:val="24"/>
                <w:u w:val="none" w:color="auto"/>
                <w:lang w:val="en-US" w:eastAsia="zh-CN"/>
              </w:rPr>
              <w:t>4</w:t>
            </w:r>
            <w:r>
              <w:rPr>
                <w:rFonts w:hint="default" w:ascii="Times New Roman" w:hAnsi="Times New Roman" w:eastAsia="宋体" w:cs="Times New Roman"/>
                <w:b/>
                <w:color w:val="auto"/>
                <w:sz w:val="24"/>
                <w:szCs w:val="24"/>
                <w:u w:val="none" w:color="auto"/>
              </w:rPr>
              <w:t xml:space="preserve">  </w:t>
            </w:r>
            <w:r>
              <w:rPr>
                <w:rFonts w:hint="eastAsia" w:cs="Times New Roman"/>
                <w:b/>
                <w:color w:val="auto"/>
                <w:sz w:val="24"/>
                <w:szCs w:val="24"/>
                <w:u w:val="none" w:color="auto"/>
                <w:lang w:val="en-US" w:eastAsia="zh-CN"/>
              </w:rPr>
              <w:t xml:space="preserve"> </w:t>
            </w:r>
            <w:r>
              <w:rPr>
                <w:rFonts w:hint="default" w:ascii="Times New Roman" w:hAnsi="Times New Roman" w:eastAsia="宋体" w:cs="Times New Roman"/>
                <w:b/>
                <w:color w:val="auto"/>
                <w:sz w:val="24"/>
                <w:szCs w:val="24"/>
                <w:u w:val="none" w:color="auto"/>
              </w:rPr>
              <w:t>202</w:t>
            </w:r>
            <w:r>
              <w:rPr>
                <w:rFonts w:hint="eastAsia" w:cs="Times New Roman"/>
                <w:b/>
                <w:color w:val="auto"/>
                <w:sz w:val="24"/>
                <w:szCs w:val="24"/>
                <w:u w:val="none" w:color="auto"/>
                <w:lang w:val="en-US" w:eastAsia="zh-CN"/>
              </w:rPr>
              <w:t>4</w:t>
            </w:r>
            <w:r>
              <w:rPr>
                <w:rFonts w:hint="default" w:ascii="Times New Roman" w:hAnsi="Times New Roman" w:eastAsia="宋体" w:cs="Times New Roman"/>
                <w:b/>
                <w:color w:val="auto"/>
                <w:sz w:val="24"/>
                <w:szCs w:val="24"/>
                <w:u w:val="none" w:color="auto"/>
              </w:rPr>
              <w:t>年</w:t>
            </w:r>
            <w:r>
              <w:rPr>
                <w:rFonts w:hint="eastAsia" w:cs="Times New Roman"/>
                <w:b/>
                <w:color w:val="auto"/>
                <w:sz w:val="24"/>
                <w:szCs w:val="24"/>
                <w:u w:val="none" w:color="auto"/>
                <w:lang w:val="en-US" w:eastAsia="zh-CN"/>
              </w:rPr>
              <w:t>溆水</w:t>
            </w:r>
            <w:r>
              <w:rPr>
                <w:rFonts w:hint="default" w:ascii="Times New Roman" w:hAnsi="Times New Roman" w:eastAsia="宋体" w:cs="Times New Roman"/>
                <w:b/>
                <w:color w:val="auto"/>
                <w:sz w:val="24"/>
                <w:szCs w:val="24"/>
                <w:u w:val="none" w:color="auto"/>
              </w:rPr>
              <w:t>水质</w:t>
            </w:r>
            <w:r>
              <w:rPr>
                <w:rFonts w:hint="eastAsia" w:cs="Times New Roman"/>
                <w:b/>
                <w:color w:val="auto"/>
                <w:sz w:val="24"/>
                <w:szCs w:val="24"/>
                <w:u w:val="none" w:color="auto"/>
                <w:lang w:val="en-US" w:eastAsia="zh-CN"/>
              </w:rPr>
              <w:t>状况</w:t>
            </w:r>
          </w:p>
          <w:p w14:paraId="15684ABE">
            <w:pPr>
              <w:pStyle w:val="122"/>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color w:val="auto"/>
                <w:sz w:val="24"/>
                <w:u w:val="none" w:color="auto"/>
              </w:rPr>
            </w:pPr>
            <w:r>
              <w:rPr>
                <w:rFonts w:hint="eastAsia" w:ascii="Times New Roman" w:hAnsi="Times New Roman" w:eastAsia="宋体" w:cs="Times New Roman"/>
                <w:bCs/>
                <w:color w:val="auto"/>
                <w:sz w:val="24"/>
                <w:u w:val="none" w:color="auto"/>
                <w:lang w:eastAsia="zh-CN"/>
              </w:rPr>
              <w:t>项目与</w:t>
            </w:r>
            <w:r>
              <w:rPr>
                <w:rFonts w:hint="default" w:ascii="Times New Roman" w:hAnsi="Times New Roman" w:eastAsia="宋体" w:cs="Times New Roman"/>
                <w:bCs/>
                <w:color w:val="auto"/>
                <w:sz w:val="24"/>
                <w:u w:val="none" w:color="auto"/>
                <w:lang w:eastAsia="zh-CN"/>
              </w:rPr>
              <w:t>龙潭</w:t>
            </w:r>
            <w:r>
              <w:rPr>
                <w:rFonts w:hint="eastAsia" w:ascii="Times New Roman" w:hAnsi="Times New Roman" w:eastAsia="宋体" w:cs="Times New Roman"/>
                <w:bCs/>
                <w:color w:val="auto"/>
                <w:sz w:val="24"/>
                <w:u w:val="none" w:color="auto"/>
                <w:lang w:eastAsia="zh-CN"/>
              </w:rPr>
              <w:t>溆水监测断面最近，</w:t>
            </w:r>
            <w:r>
              <w:rPr>
                <w:rFonts w:hint="default" w:ascii="Times New Roman" w:hAnsi="Times New Roman" w:eastAsia="宋体" w:cs="Times New Roman"/>
                <w:bCs/>
                <w:color w:val="auto"/>
                <w:sz w:val="24"/>
                <w:u w:val="none" w:color="auto"/>
              </w:rPr>
              <w:t>由上表分析评价可知，</w:t>
            </w:r>
            <w:r>
              <w:rPr>
                <w:rFonts w:hint="default" w:ascii="Times New Roman" w:hAnsi="Times New Roman" w:eastAsia="宋体" w:cs="Times New Roman"/>
                <w:bCs/>
                <w:color w:val="auto"/>
                <w:sz w:val="24"/>
                <w:u w:val="none" w:color="auto"/>
                <w:lang w:eastAsia="zh-CN"/>
              </w:rPr>
              <w:t>溆水监测断面</w:t>
            </w:r>
            <w:r>
              <w:rPr>
                <w:rFonts w:hint="default" w:ascii="Times New Roman" w:hAnsi="Times New Roman" w:eastAsia="宋体" w:cs="Times New Roman"/>
                <w:bCs/>
                <w:color w:val="auto"/>
                <w:sz w:val="24"/>
                <w:u w:val="none" w:color="auto"/>
              </w:rPr>
              <w:t>水质均达到《地表水环境质量标准》（GB3838-2002）</w:t>
            </w:r>
            <w:r>
              <w:rPr>
                <w:rFonts w:hint="default" w:ascii="Times New Roman" w:hAnsi="Times New Roman" w:eastAsia="宋体" w:cs="Times New Roman"/>
                <w:color w:val="auto"/>
                <w:sz w:val="24"/>
                <w:u w:val="none" w:color="auto"/>
              </w:rPr>
              <w:t>Ⅱ</w:t>
            </w:r>
            <w:r>
              <w:rPr>
                <w:rFonts w:hint="default" w:ascii="Times New Roman" w:hAnsi="Times New Roman" w:eastAsia="宋体" w:cs="Times New Roman"/>
                <w:bCs/>
                <w:color w:val="auto"/>
                <w:sz w:val="24"/>
                <w:u w:val="none" w:color="auto"/>
              </w:rPr>
              <w:t>类标准，区域地表水环境</w:t>
            </w:r>
            <w:r>
              <w:rPr>
                <w:rFonts w:hint="eastAsia" w:hAnsi="Times New Roman" w:cs="Times New Roman"/>
                <w:bCs/>
                <w:color w:val="auto"/>
                <w:sz w:val="24"/>
                <w:u w:val="none" w:color="auto"/>
                <w:lang w:val="en-US" w:eastAsia="zh-CN"/>
              </w:rPr>
              <w:t>良好</w:t>
            </w:r>
            <w:r>
              <w:rPr>
                <w:rFonts w:hint="default" w:ascii="Times New Roman" w:hAnsi="Times New Roman" w:eastAsia="宋体" w:cs="Times New Roman"/>
                <w:bCs/>
                <w:color w:val="auto"/>
                <w:sz w:val="24"/>
                <w:u w:val="none" w:color="auto"/>
              </w:rPr>
              <w:t>。</w:t>
            </w:r>
          </w:p>
          <w:p w14:paraId="4EFA06C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Cs/>
                <w:color w:val="auto"/>
                <w:sz w:val="24"/>
              </w:rPr>
            </w:pPr>
            <w:r>
              <w:rPr>
                <w:rFonts w:hint="default" w:ascii="Times New Roman" w:hAnsi="Times New Roman" w:cs="Times New Roman"/>
                <w:b/>
                <w:bCs/>
                <w:color w:val="auto"/>
                <w:sz w:val="24"/>
              </w:rPr>
              <w:t>3</w:t>
            </w:r>
            <w:bookmarkStart w:id="53" w:name="_GoBack"/>
            <w:bookmarkEnd w:id="53"/>
          </w:p>
          <w:p w14:paraId="1FF57791">
            <w:pPr>
              <w:pStyle w:val="47"/>
              <w:adjustRightInd/>
              <w:spacing w:line="360" w:lineRule="auto"/>
              <w:rPr>
                <w:rFonts w:hint="default" w:ascii="Times New Roman" w:hAnsi="Times New Roman" w:cs="Times New Roman"/>
                <w:b/>
                <w:bCs/>
                <w:color w:val="auto"/>
                <w:kern w:val="2"/>
              </w:rPr>
            </w:pPr>
            <w:r>
              <w:rPr>
                <w:rFonts w:hint="default" w:ascii="Times New Roman" w:hAnsi="Times New Roman" w:cs="Times New Roman"/>
                <w:b/>
                <w:bCs/>
                <w:color w:val="auto"/>
                <w:kern w:val="2"/>
              </w:rPr>
              <w:t>4、生态环境现状</w:t>
            </w:r>
          </w:p>
          <w:p w14:paraId="218970DD">
            <w:pPr>
              <w:pStyle w:val="31"/>
              <w:spacing w:after="0" w:line="360" w:lineRule="auto"/>
              <w:ind w:left="0" w:leftChars="0" w:firstLine="480"/>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项目位于</w:t>
            </w:r>
            <w:r>
              <w:rPr>
                <w:rFonts w:hint="eastAsia" w:cs="Times New Roman"/>
                <w:color w:val="auto"/>
                <w:kern w:val="2"/>
                <w:szCs w:val="24"/>
                <w:lang w:val="en-US" w:eastAsia="zh-CN"/>
              </w:rPr>
              <w:t>龙潭镇岩板村和营盘村交界处、紧邻S312省道</w:t>
            </w:r>
            <w:r>
              <w:rPr>
                <w:rFonts w:hint="default" w:ascii="Times New Roman" w:hAnsi="Times New Roman" w:cs="Times New Roman"/>
                <w:color w:val="auto"/>
                <w:kern w:val="2"/>
                <w:szCs w:val="24"/>
                <w:lang w:val="en-US" w:eastAsia="zh-CN"/>
              </w:rPr>
              <w:t>，周围、区域自然植被少，主要为人工种植的树木，项目区域内无珍稀动、植物也无古稀树木和保护树种，因此区域生态系统敏感程度低。</w:t>
            </w:r>
          </w:p>
          <w:p w14:paraId="40FAB2AD">
            <w:pPr>
              <w:pStyle w:val="47"/>
              <w:adjustRightInd/>
              <w:spacing w:line="360" w:lineRule="auto"/>
              <w:rPr>
                <w:rFonts w:hint="default" w:ascii="Times New Roman" w:hAnsi="Times New Roman" w:cs="Times New Roman"/>
                <w:b/>
                <w:bCs/>
                <w:color w:val="auto"/>
                <w:kern w:val="2"/>
              </w:rPr>
            </w:pPr>
            <w:r>
              <w:rPr>
                <w:rFonts w:hint="default" w:ascii="Times New Roman" w:hAnsi="Times New Roman" w:cs="Times New Roman"/>
                <w:b/>
                <w:bCs/>
                <w:color w:val="auto"/>
                <w:kern w:val="2"/>
              </w:rPr>
              <w:t>5、地下水、土壤环境现状</w:t>
            </w:r>
          </w:p>
          <w:p w14:paraId="48822534">
            <w:pPr>
              <w:pStyle w:val="31"/>
              <w:spacing w:after="0" w:line="360" w:lineRule="auto"/>
              <w:ind w:left="0" w:leftChars="0" w:firstLine="480"/>
              <w:rPr>
                <w:rFonts w:hint="default"/>
                <w:color w:val="auto"/>
                <w:lang w:val="en-US" w:eastAsia="zh-CN"/>
              </w:rPr>
            </w:pPr>
            <w:r>
              <w:rPr>
                <w:rFonts w:hint="default" w:ascii="Times New Roman" w:hAnsi="Times New Roman" w:cs="Times New Roman"/>
                <w:color w:val="auto"/>
                <w:kern w:val="2"/>
                <w:szCs w:val="24"/>
                <w:lang w:val="en-US" w:eastAsia="zh-CN"/>
              </w:rPr>
              <w:t>根据生态环境部办公厅2020年12月24日印发的《建设项目环境影响报告表编制技术指南（污染影响类）（试行）》中的要求：</w:t>
            </w:r>
            <w:r>
              <w:rPr>
                <w:rFonts w:hint="eastAsia" w:cs="Times New Roman"/>
                <w:color w:val="auto"/>
                <w:kern w:val="2"/>
                <w:szCs w:val="24"/>
                <w:lang w:val="en-US" w:eastAsia="zh-CN"/>
              </w:rPr>
              <w:t>“</w:t>
            </w:r>
            <w:r>
              <w:rPr>
                <w:rFonts w:hint="default" w:ascii="Times New Roman" w:hAnsi="Times New Roman" w:cs="Times New Roman"/>
                <w:color w:val="auto"/>
                <w:kern w:val="2"/>
                <w:szCs w:val="24"/>
                <w:lang w:val="en-US" w:eastAsia="zh-CN"/>
              </w:rPr>
              <w:t>地下水、土壤环境。原则上不开展环境质量现状调查。建设项目存在土壤、地下水环境污染途径的，应结合污染源、保护目标分布情况开展现状调查以留作背景值。</w:t>
            </w:r>
            <w:r>
              <w:rPr>
                <w:rFonts w:hint="eastAsia" w:cs="Times New Roman"/>
                <w:color w:val="auto"/>
                <w:kern w:val="2"/>
                <w:szCs w:val="24"/>
                <w:lang w:val="en-US" w:eastAsia="zh-CN"/>
              </w:rPr>
              <w:t>”</w:t>
            </w:r>
            <w:r>
              <w:rPr>
                <w:rFonts w:hint="default" w:ascii="Times New Roman" w:hAnsi="Times New Roman" w:cs="Times New Roman"/>
                <w:color w:val="auto"/>
                <w:kern w:val="2"/>
                <w:szCs w:val="24"/>
                <w:lang w:val="en-US" w:eastAsia="zh-CN"/>
              </w:rPr>
              <w:t>结合本项目工程分析，本</w:t>
            </w:r>
            <w:r>
              <w:rPr>
                <w:rFonts w:hint="eastAsia" w:cs="Times New Roman"/>
                <w:color w:val="auto"/>
                <w:kern w:val="2"/>
                <w:szCs w:val="24"/>
                <w:lang w:val="en-US" w:eastAsia="zh-CN"/>
              </w:rPr>
              <w:t>项目</w:t>
            </w:r>
            <w:r>
              <w:rPr>
                <w:rFonts w:hint="default" w:ascii="Times New Roman" w:hAnsi="Times New Roman" w:cs="Times New Roman"/>
                <w:color w:val="auto"/>
                <w:kern w:val="2"/>
                <w:szCs w:val="24"/>
                <w:lang w:val="en-US" w:eastAsia="zh-CN"/>
              </w:rPr>
              <w:t>地面均按要求进行防渗措施，故项目不存在土壤、地下水环境污染途径，因此，可不开展土壤、地下水环境质量现状调查。</w:t>
            </w:r>
          </w:p>
        </w:tc>
      </w:tr>
      <w:tr w14:paraId="15461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844" w:type="dxa"/>
            <w:vAlign w:val="center"/>
          </w:tcPr>
          <w:p w14:paraId="329332FF">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环境</w:t>
            </w:r>
          </w:p>
          <w:p w14:paraId="6B88106C">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保护</w:t>
            </w:r>
          </w:p>
          <w:p w14:paraId="09BF0B8C">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目标</w:t>
            </w:r>
          </w:p>
        </w:tc>
        <w:tc>
          <w:tcPr>
            <w:tcW w:w="7817" w:type="dxa"/>
            <w:vAlign w:val="center"/>
          </w:tcPr>
          <w:p w14:paraId="42AA871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color w:val="auto"/>
                <w:kern w:val="0"/>
                <w:sz w:val="24"/>
              </w:rPr>
            </w:pPr>
            <w:r>
              <w:rPr>
                <w:color w:val="auto"/>
                <w:kern w:val="0"/>
                <w:sz w:val="24"/>
              </w:rPr>
              <w:t>经初步调查，本次评价范围内无风景名胜区、饮用水源地等敏感点。项目厂区周边环境保护目标详见下表及附图</w:t>
            </w:r>
            <w:r>
              <w:rPr>
                <w:rFonts w:hint="eastAsia"/>
                <w:color w:val="auto"/>
                <w:kern w:val="0"/>
                <w:sz w:val="24"/>
                <w:lang w:val="en-US" w:eastAsia="zh-CN"/>
              </w:rPr>
              <w:t>3</w:t>
            </w:r>
            <w:r>
              <w:rPr>
                <w:color w:val="auto"/>
                <w:kern w:val="0"/>
                <w:sz w:val="24"/>
              </w:rPr>
              <w:t>。</w:t>
            </w:r>
          </w:p>
          <w:p w14:paraId="3BA3BE59">
            <w:pPr>
              <w:pStyle w:val="127"/>
              <w:topLinePunct/>
              <w:rPr>
                <w:rFonts w:ascii="Times New Roman" w:hAnsi="Times New Roman"/>
                <w:bCs/>
                <w:color w:val="auto"/>
                <w:kern w:val="2"/>
                <w:sz w:val="24"/>
              </w:rPr>
            </w:pPr>
            <w:r>
              <w:rPr>
                <w:rFonts w:ascii="Times New Roman" w:hAnsi="Times New Roman"/>
                <w:bCs/>
                <w:color w:val="auto"/>
                <w:kern w:val="2"/>
                <w:sz w:val="24"/>
              </w:rPr>
              <w:t>表3-</w:t>
            </w:r>
            <w:r>
              <w:rPr>
                <w:rFonts w:hint="eastAsia" w:ascii="Times New Roman" w:hAnsi="Times New Roman"/>
                <w:bCs/>
                <w:color w:val="auto"/>
                <w:kern w:val="2"/>
                <w:sz w:val="24"/>
                <w:lang w:val="en-US" w:eastAsia="zh-CN"/>
              </w:rPr>
              <w:t>6</w:t>
            </w:r>
            <w:r>
              <w:rPr>
                <w:rFonts w:hint="eastAsia" w:ascii="Times New Roman" w:hAnsi="Times New Roman"/>
                <w:bCs/>
                <w:color w:val="auto"/>
                <w:kern w:val="2"/>
                <w:sz w:val="24"/>
              </w:rPr>
              <w:t xml:space="preserve">   </w:t>
            </w:r>
            <w:r>
              <w:rPr>
                <w:rFonts w:ascii="Times New Roman" w:hAnsi="Times New Roman"/>
                <w:bCs/>
                <w:color w:val="auto"/>
                <w:kern w:val="2"/>
                <w:sz w:val="24"/>
              </w:rPr>
              <w:t>环境保护目标一览表</w:t>
            </w:r>
          </w:p>
          <w:tbl>
            <w:tblPr>
              <w:tblStyle w:val="32"/>
              <w:tblW w:w="76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8"/>
              <w:gridCol w:w="1120"/>
              <w:gridCol w:w="674"/>
              <w:gridCol w:w="757"/>
              <w:gridCol w:w="770"/>
              <w:gridCol w:w="746"/>
              <w:gridCol w:w="662"/>
              <w:gridCol w:w="975"/>
              <w:gridCol w:w="1374"/>
            </w:tblGrid>
            <w:tr w14:paraId="0F636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restart"/>
                  <w:tcBorders>
                    <w:tl2br w:val="nil"/>
                    <w:tr2bl w:val="nil"/>
                  </w:tcBorders>
                  <w:noWrap w:val="0"/>
                  <w:vAlign w:val="center"/>
                </w:tcPr>
                <w:p w14:paraId="0C2C68FB">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环境</w:t>
                  </w:r>
                </w:p>
                <w:p w14:paraId="131BBB51">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要素</w:t>
                  </w:r>
                </w:p>
              </w:tc>
              <w:tc>
                <w:tcPr>
                  <w:tcW w:w="1120" w:type="dxa"/>
                  <w:vMerge w:val="restart"/>
                  <w:tcBorders>
                    <w:tl2br w:val="nil"/>
                    <w:tr2bl w:val="nil"/>
                  </w:tcBorders>
                  <w:noWrap w:val="0"/>
                  <w:vAlign w:val="center"/>
                </w:tcPr>
                <w:p w14:paraId="04C03E43">
                  <w:pPr>
                    <w:pStyle w:val="129"/>
                    <w:spacing w:line="240" w:lineRule="auto"/>
                    <w:rPr>
                      <w:color w:val="auto"/>
                      <w:szCs w:val="21"/>
                    </w:rPr>
                  </w:pPr>
                  <w:r>
                    <w:rPr>
                      <w:color w:val="auto"/>
                      <w:szCs w:val="21"/>
                    </w:rPr>
                    <w:t>保护目标名称</w:t>
                  </w:r>
                </w:p>
              </w:tc>
              <w:tc>
                <w:tcPr>
                  <w:tcW w:w="1431" w:type="dxa"/>
                  <w:gridSpan w:val="2"/>
                  <w:tcBorders>
                    <w:tl2br w:val="nil"/>
                    <w:tr2bl w:val="nil"/>
                  </w:tcBorders>
                  <w:noWrap w:val="0"/>
                  <w:vAlign w:val="center"/>
                </w:tcPr>
                <w:p w14:paraId="62B4BBA4">
                  <w:pPr>
                    <w:pStyle w:val="129"/>
                    <w:spacing w:line="240" w:lineRule="auto"/>
                    <w:rPr>
                      <w:color w:val="auto"/>
                      <w:szCs w:val="21"/>
                    </w:rPr>
                  </w:pPr>
                  <w:r>
                    <w:rPr>
                      <w:color w:val="auto"/>
                      <w:szCs w:val="21"/>
                    </w:rPr>
                    <w:t>坐标</w:t>
                  </w:r>
                </w:p>
              </w:tc>
              <w:tc>
                <w:tcPr>
                  <w:tcW w:w="770" w:type="dxa"/>
                  <w:vMerge w:val="restart"/>
                  <w:tcBorders>
                    <w:tl2br w:val="nil"/>
                    <w:tr2bl w:val="nil"/>
                  </w:tcBorders>
                  <w:noWrap w:val="0"/>
                  <w:vAlign w:val="center"/>
                </w:tcPr>
                <w:p w14:paraId="09013E6B">
                  <w:pPr>
                    <w:pStyle w:val="129"/>
                    <w:spacing w:line="240" w:lineRule="auto"/>
                    <w:rPr>
                      <w:color w:val="auto"/>
                      <w:szCs w:val="21"/>
                    </w:rPr>
                  </w:pPr>
                  <w:r>
                    <w:rPr>
                      <w:color w:val="auto"/>
                      <w:szCs w:val="21"/>
                    </w:rPr>
                    <w:t>方位</w:t>
                  </w:r>
                </w:p>
              </w:tc>
              <w:tc>
                <w:tcPr>
                  <w:tcW w:w="746" w:type="dxa"/>
                  <w:vMerge w:val="restart"/>
                  <w:tcBorders>
                    <w:tl2br w:val="nil"/>
                    <w:tr2bl w:val="nil"/>
                  </w:tcBorders>
                  <w:noWrap w:val="0"/>
                  <w:vAlign w:val="center"/>
                </w:tcPr>
                <w:p w14:paraId="73213F52">
                  <w:pPr>
                    <w:pStyle w:val="129"/>
                    <w:spacing w:line="240" w:lineRule="auto"/>
                    <w:rPr>
                      <w:color w:val="auto"/>
                      <w:szCs w:val="21"/>
                    </w:rPr>
                  </w:pPr>
                  <w:r>
                    <w:rPr>
                      <w:color w:val="auto"/>
                      <w:szCs w:val="21"/>
                    </w:rPr>
                    <w:t>距离</w:t>
                  </w:r>
                </w:p>
                <w:p w14:paraId="3F719E89">
                  <w:pPr>
                    <w:pStyle w:val="129"/>
                    <w:spacing w:line="240" w:lineRule="auto"/>
                    <w:rPr>
                      <w:color w:val="auto"/>
                      <w:szCs w:val="21"/>
                    </w:rPr>
                  </w:pPr>
                  <w:r>
                    <w:rPr>
                      <w:color w:val="auto"/>
                      <w:szCs w:val="21"/>
                    </w:rPr>
                    <w:t>（m）</w:t>
                  </w:r>
                </w:p>
              </w:tc>
              <w:tc>
                <w:tcPr>
                  <w:tcW w:w="662" w:type="dxa"/>
                  <w:vMerge w:val="restart"/>
                  <w:tcBorders>
                    <w:tl2br w:val="nil"/>
                    <w:tr2bl w:val="nil"/>
                  </w:tcBorders>
                  <w:noWrap w:val="0"/>
                  <w:vAlign w:val="center"/>
                </w:tcPr>
                <w:p w14:paraId="2D59DA9C">
                  <w:pPr>
                    <w:pStyle w:val="129"/>
                    <w:spacing w:line="240" w:lineRule="auto"/>
                    <w:rPr>
                      <w:color w:val="auto"/>
                      <w:szCs w:val="21"/>
                    </w:rPr>
                  </w:pPr>
                  <w:r>
                    <w:rPr>
                      <w:color w:val="auto"/>
                      <w:szCs w:val="21"/>
                    </w:rPr>
                    <w:t>性质</w:t>
                  </w:r>
                </w:p>
              </w:tc>
              <w:tc>
                <w:tcPr>
                  <w:tcW w:w="975" w:type="dxa"/>
                  <w:vMerge w:val="restart"/>
                  <w:tcBorders>
                    <w:tl2br w:val="nil"/>
                    <w:tr2bl w:val="nil"/>
                  </w:tcBorders>
                  <w:noWrap w:val="0"/>
                  <w:vAlign w:val="center"/>
                </w:tcPr>
                <w:p w14:paraId="68364EA6">
                  <w:pPr>
                    <w:pStyle w:val="129"/>
                    <w:spacing w:line="240" w:lineRule="auto"/>
                    <w:rPr>
                      <w:color w:val="auto"/>
                      <w:szCs w:val="21"/>
                    </w:rPr>
                  </w:pPr>
                  <w:r>
                    <w:rPr>
                      <w:color w:val="auto"/>
                      <w:szCs w:val="21"/>
                    </w:rPr>
                    <w:t>规模</w:t>
                  </w:r>
                </w:p>
              </w:tc>
              <w:tc>
                <w:tcPr>
                  <w:tcW w:w="1374" w:type="dxa"/>
                  <w:vMerge w:val="restart"/>
                  <w:tcBorders>
                    <w:tl2br w:val="nil"/>
                    <w:tr2bl w:val="nil"/>
                  </w:tcBorders>
                  <w:noWrap w:val="0"/>
                  <w:vAlign w:val="center"/>
                </w:tcPr>
                <w:p w14:paraId="69F8EF75">
                  <w:pPr>
                    <w:pStyle w:val="129"/>
                    <w:spacing w:line="240" w:lineRule="auto"/>
                    <w:rPr>
                      <w:color w:val="auto"/>
                      <w:szCs w:val="21"/>
                    </w:rPr>
                  </w:pPr>
                  <w:r>
                    <w:rPr>
                      <w:color w:val="auto"/>
                      <w:szCs w:val="21"/>
                    </w:rPr>
                    <w:t>保护级别</w:t>
                  </w:r>
                </w:p>
              </w:tc>
            </w:tr>
            <w:tr w14:paraId="09479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4CFB43B1">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vMerge w:val="continue"/>
                  <w:tcBorders>
                    <w:tl2br w:val="nil"/>
                    <w:tr2bl w:val="nil"/>
                  </w:tcBorders>
                  <w:noWrap w:val="0"/>
                  <w:vAlign w:val="center"/>
                </w:tcPr>
                <w:p w14:paraId="7045C3FA">
                  <w:pPr>
                    <w:pStyle w:val="129"/>
                    <w:spacing w:line="240" w:lineRule="auto"/>
                    <w:rPr>
                      <w:color w:val="auto"/>
                      <w:szCs w:val="21"/>
                    </w:rPr>
                  </w:pPr>
                </w:p>
              </w:tc>
              <w:tc>
                <w:tcPr>
                  <w:tcW w:w="674" w:type="dxa"/>
                  <w:tcBorders>
                    <w:tl2br w:val="nil"/>
                    <w:tr2bl w:val="nil"/>
                  </w:tcBorders>
                  <w:noWrap w:val="0"/>
                  <w:vAlign w:val="center"/>
                </w:tcPr>
                <w:p w14:paraId="235D1DCA">
                  <w:pPr>
                    <w:pStyle w:val="129"/>
                    <w:spacing w:line="240" w:lineRule="auto"/>
                    <w:rPr>
                      <w:color w:val="auto"/>
                      <w:szCs w:val="21"/>
                    </w:rPr>
                  </w:pPr>
                  <w:r>
                    <w:rPr>
                      <w:color w:val="auto"/>
                      <w:szCs w:val="21"/>
                    </w:rPr>
                    <w:t>X</w:t>
                  </w:r>
                </w:p>
              </w:tc>
              <w:tc>
                <w:tcPr>
                  <w:tcW w:w="757" w:type="dxa"/>
                  <w:tcBorders>
                    <w:tl2br w:val="nil"/>
                    <w:tr2bl w:val="nil"/>
                  </w:tcBorders>
                  <w:noWrap w:val="0"/>
                  <w:vAlign w:val="center"/>
                </w:tcPr>
                <w:p w14:paraId="158C0077">
                  <w:pPr>
                    <w:pStyle w:val="129"/>
                    <w:spacing w:line="240" w:lineRule="auto"/>
                    <w:rPr>
                      <w:color w:val="auto"/>
                      <w:szCs w:val="21"/>
                    </w:rPr>
                  </w:pPr>
                  <w:r>
                    <w:rPr>
                      <w:color w:val="auto"/>
                      <w:szCs w:val="21"/>
                    </w:rPr>
                    <w:t>Y</w:t>
                  </w:r>
                </w:p>
              </w:tc>
              <w:tc>
                <w:tcPr>
                  <w:tcW w:w="770" w:type="dxa"/>
                  <w:vMerge w:val="continue"/>
                  <w:tcBorders>
                    <w:tl2br w:val="nil"/>
                    <w:tr2bl w:val="nil"/>
                  </w:tcBorders>
                  <w:noWrap w:val="0"/>
                  <w:vAlign w:val="center"/>
                </w:tcPr>
                <w:p w14:paraId="78813731">
                  <w:pPr>
                    <w:pStyle w:val="129"/>
                    <w:spacing w:line="240" w:lineRule="auto"/>
                    <w:rPr>
                      <w:color w:val="auto"/>
                      <w:szCs w:val="21"/>
                    </w:rPr>
                  </w:pPr>
                </w:p>
              </w:tc>
              <w:tc>
                <w:tcPr>
                  <w:tcW w:w="746" w:type="dxa"/>
                  <w:vMerge w:val="continue"/>
                  <w:tcBorders>
                    <w:tl2br w:val="nil"/>
                    <w:tr2bl w:val="nil"/>
                  </w:tcBorders>
                  <w:noWrap w:val="0"/>
                  <w:vAlign w:val="center"/>
                </w:tcPr>
                <w:p w14:paraId="087471B6">
                  <w:pPr>
                    <w:pStyle w:val="129"/>
                    <w:spacing w:line="240" w:lineRule="auto"/>
                    <w:rPr>
                      <w:color w:val="auto"/>
                      <w:szCs w:val="21"/>
                    </w:rPr>
                  </w:pPr>
                </w:p>
              </w:tc>
              <w:tc>
                <w:tcPr>
                  <w:tcW w:w="662" w:type="dxa"/>
                  <w:vMerge w:val="continue"/>
                  <w:tcBorders>
                    <w:tl2br w:val="nil"/>
                    <w:tr2bl w:val="nil"/>
                  </w:tcBorders>
                  <w:noWrap w:val="0"/>
                  <w:vAlign w:val="center"/>
                </w:tcPr>
                <w:p w14:paraId="4CBA548D">
                  <w:pPr>
                    <w:pStyle w:val="129"/>
                    <w:spacing w:line="240" w:lineRule="auto"/>
                    <w:rPr>
                      <w:color w:val="auto"/>
                      <w:szCs w:val="21"/>
                    </w:rPr>
                  </w:pPr>
                </w:p>
              </w:tc>
              <w:tc>
                <w:tcPr>
                  <w:tcW w:w="975" w:type="dxa"/>
                  <w:vMerge w:val="continue"/>
                  <w:tcBorders>
                    <w:tl2br w:val="nil"/>
                    <w:tr2bl w:val="nil"/>
                  </w:tcBorders>
                  <w:noWrap w:val="0"/>
                  <w:vAlign w:val="center"/>
                </w:tcPr>
                <w:p w14:paraId="44D328B6">
                  <w:pPr>
                    <w:pStyle w:val="129"/>
                    <w:spacing w:line="240" w:lineRule="auto"/>
                    <w:rPr>
                      <w:color w:val="auto"/>
                      <w:szCs w:val="21"/>
                    </w:rPr>
                  </w:pPr>
                </w:p>
              </w:tc>
              <w:tc>
                <w:tcPr>
                  <w:tcW w:w="1374" w:type="dxa"/>
                  <w:vMerge w:val="continue"/>
                  <w:tcBorders>
                    <w:tl2br w:val="nil"/>
                    <w:tr2bl w:val="nil"/>
                  </w:tcBorders>
                  <w:noWrap w:val="0"/>
                  <w:vAlign w:val="center"/>
                </w:tcPr>
                <w:p w14:paraId="44D561D0">
                  <w:pPr>
                    <w:pStyle w:val="129"/>
                    <w:spacing w:line="240" w:lineRule="auto"/>
                    <w:rPr>
                      <w:color w:val="auto"/>
                      <w:szCs w:val="21"/>
                    </w:rPr>
                  </w:pPr>
                </w:p>
              </w:tc>
            </w:tr>
            <w:tr w14:paraId="0FA7E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restart"/>
                  <w:tcBorders>
                    <w:tl2br w:val="nil"/>
                    <w:tr2bl w:val="nil"/>
                  </w:tcBorders>
                  <w:noWrap w:val="0"/>
                  <w:vAlign w:val="center"/>
                </w:tcPr>
                <w:p w14:paraId="1F4CE85D">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大气环境</w:t>
                  </w:r>
                </w:p>
              </w:tc>
              <w:tc>
                <w:tcPr>
                  <w:tcW w:w="1120" w:type="dxa"/>
                  <w:tcBorders>
                    <w:tl2br w:val="nil"/>
                    <w:tr2bl w:val="nil"/>
                  </w:tcBorders>
                  <w:noWrap w:val="0"/>
                  <w:vAlign w:val="center"/>
                </w:tcPr>
                <w:p w14:paraId="20FDFB4F">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项目东北侧、北侧居民</w:t>
                  </w:r>
                </w:p>
              </w:tc>
              <w:tc>
                <w:tcPr>
                  <w:tcW w:w="674" w:type="dxa"/>
                  <w:tcBorders>
                    <w:tl2br w:val="nil"/>
                    <w:tr2bl w:val="nil"/>
                  </w:tcBorders>
                  <w:noWrap w:val="0"/>
                  <w:vAlign w:val="center"/>
                </w:tcPr>
                <w:p w14:paraId="4D3CA9A1">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110.53055</w:t>
                  </w:r>
                </w:p>
              </w:tc>
              <w:tc>
                <w:tcPr>
                  <w:tcW w:w="757" w:type="dxa"/>
                  <w:tcBorders>
                    <w:tl2br w:val="nil"/>
                    <w:tr2bl w:val="nil"/>
                  </w:tcBorders>
                  <w:noWrap w:val="0"/>
                  <w:vAlign w:val="center"/>
                </w:tcPr>
                <w:p w14:paraId="20F3A04F">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27.41725</w:t>
                  </w:r>
                </w:p>
              </w:tc>
              <w:tc>
                <w:tcPr>
                  <w:tcW w:w="770" w:type="dxa"/>
                  <w:tcBorders>
                    <w:tl2br w:val="nil"/>
                    <w:tr2bl w:val="nil"/>
                  </w:tcBorders>
                  <w:noWrap w:val="0"/>
                  <w:vAlign w:val="center"/>
                </w:tcPr>
                <w:p w14:paraId="4D874E51">
                  <w:pPr>
                    <w:spacing w:line="240" w:lineRule="atLeast"/>
                    <w:jc w:val="center"/>
                    <w:rPr>
                      <w:rFonts w:hint="eastAsia" w:ascii="Times New Roman" w:hAnsi="Times New Roman" w:eastAsia="宋体" w:cs="Times New Roman"/>
                      <w:color w:val="auto"/>
                      <w:sz w:val="21"/>
                      <w:szCs w:val="24"/>
                      <w:lang w:eastAsia="zh-CN"/>
                    </w:rPr>
                  </w:pPr>
                  <w:r>
                    <w:rPr>
                      <w:rFonts w:hint="eastAsia" w:cs="Times New Roman"/>
                      <w:color w:val="auto"/>
                      <w:sz w:val="21"/>
                      <w:szCs w:val="24"/>
                      <w:lang w:val="en-US" w:eastAsia="zh-CN"/>
                    </w:rPr>
                    <w:t>东北、北</w:t>
                  </w:r>
                </w:p>
              </w:tc>
              <w:tc>
                <w:tcPr>
                  <w:tcW w:w="746" w:type="dxa"/>
                  <w:tcBorders>
                    <w:tl2br w:val="nil"/>
                    <w:tr2bl w:val="nil"/>
                  </w:tcBorders>
                  <w:noWrap w:val="0"/>
                  <w:vAlign w:val="center"/>
                </w:tcPr>
                <w:p w14:paraId="42CD6C21">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7~67</w:t>
                  </w:r>
                </w:p>
              </w:tc>
              <w:tc>
                <w:tcPr>
                  <w:tcW w:w="662" w:type="dxa"/>
                  <w:tcBorders>
                    <w:tl2br w:val="nil"/>
                    <w:tr2bl w:val="nil"/>
                  </w:tcBorders>
                  <w:noWrap w:val="0"/>
                  <w:vAlign w:val="center"/>
                </w:tcPr>
                <w:p w14:paraId="7B5E31EF">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居民</w:t>
                  </w:r>
                </w:p>
              </w:tc>
              <w:tc>
                <w:tcPr>
                  <w:tcW w:w="975" w:type="dxa"/>
                  <w:tcBorders>
                    <w:tl2br w:val="nil"/>
                    <w:tr2bl w:val="nil"/>
                  </w:tcBorders>
                  <w:noWrap w:val="0"/>
                  <w:vAlign w:val="center"/>
                </w:tcPr>
                <w:p w14:paraId="74B0C7AB">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约13人</w:t>
                  </w:r>
                </w:p>
              </w:tc>
              <w:tc>
                <w:tcPr>
                  <w:tcW w:w="1374" w:type="dxa"/>
                  <w:vMerge w:val="restart"/>
                  <w:tcBorders>
                    <w:tl2br w:val="nil"/>
                    <w:tr2bl w:val="nil"/>
                  </w:tcBorders>
                  <w:noWrap w:val="0"/>
                  <w:vAlign w:val="center"/>
                </w:tcPr>
                <w:p w14:paraId="1D1A84C1">
                  <w:pPr>
                    <w:pStyle w:val="129"/>
                    <w:spacing w:line="240" w:lineRule="auto"/>
                    <w:rPr>
                      <w:color w:val="auto"/>
                      <w:szCs w:val="21"/>
                    </w:rPr>
                  </w:pPr>
                  <w:r>
                    <w:rPr>
                      <w:color w:val="auto"/>
                      <w:szCs w:val="21"/>
                    </w:rPr>
                    <w:t>《环境空气质量标准》（GB3095-20</w:t>
                  </w:r>
                  <w:r>
                    <w:rPr>
                      <w:rFonts w:hint="eastAsia"/>
                      <w:color w:val="auto"/>
                      <w:szCs w:val="21"/>
                      <w:lang w:val="en-US" w:eastAsia="zh-CN"/>
                    </w:rPr>
                    <w:t>26</w:t>
                  </w:r>
                  <w:r>
                    <w:rPr>
                      <w:color w:val="auto"/>
                      <w:szCs w:val="21"/>
                    </w:rPr>
                    <w:t>）中二级标准</w:t>
                  </w:r>
                </w:p>
              </w:tc>
            </w:tr>
            <w:tr w14:paraId="35866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0631CFAA">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0F814978">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杞子湾居民</w:t>
                  </w:r>
                </w:p>
              </w:tc>
              <w:tc>
                <w:tcPr>
                  <w:tcW w:w="674" w:type="dxa"/>
                  <w:tcBorders>
                    <w:tl2br w:val="nil"/>
                    <w:tr2bl w:val="nil"/>
                  </w:tcBorders>
                  <w:shd w:val="clear" w:color="auto" w:fill="auto"/>
                  <w:noWrap w:val="0"/>
                  <w:vAlign w:val="center"/>
                </w:tcPr>
                <w:p w14:paraId="351295BB">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110.</w:t>
                  </w:r>
                  <w:r>
                    <w:rPr>
                      <w:rFonts w:hint="eastAsia" w:ascii="Times New Roman" w:hAnsi="Times New Roman" w:eastAsia="宋体" w:cs="Times New Roman"/>
                      <w:color w:val="auto"/>
                      <w:sz w:val="21"/>
                      <w:szCs w:val="24"/>
                      <w:lang w:val="en-US" w:eastAsia="zh-CN"/>
                    </w:rPr>
                    <w:t>53181</w:t>
                  </w:r>
                </w:p>
              </w:tc>
              <w:tc>
                <w:tcPr>
                  <w:tcW w:w="757" w:type="dxa"/>
                  <w:tcBorders>
                    <w:tl2br w:val="nil"/>
                    <w:tr2bl w:val="nil"/>
                  </w:tcBorders>
                  <w:shd w:val="clear" w:color="auto" w:fill="auto"/>
                  <w:noWrap w:val="0"/>
                  <w:vAlign w:val="center"/>
                </w:tcPr>
                <w:p w14:paraId="3D0E00CD">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27.4</w:t>
                  </w:r>
                  <w:r>
                    <w:rPr>
                      <w:rFonts w:hint="eastAsia" w:ascii="Times New Roman" w:hAnsi="Times New Roman" w:eastAsia="宋体" w:cs="Times New Roman"/>
                      <w:color w:val="auto"/>
                      <w:sz w:val="21"/>
                      <w:szCs w:val="24"/>
                      <w:lang w:val="en-US" w:eastAsia="zh-CN"/>
                    </w:rPr>
                    <w:t>1615</w:t>
                  </w:r>
                </w:p>
              </w:tc>
              <w:tc>
                <w:tcPr>
                  <w:tcW w:w="770" w:type="dxa"/>
                  <w:tcBorders>
                    <w:tl2br w:val="nil"/>
                    <w:tr2bl w:val="nil"/>
                  </w:tcBorders>
                  <w:shd w:val="clear" w:color="auto" w:fill="auto"/>
                  <w:noWrap w:val="0"/>
                  <w:vAlign w:val="center"/>
                </w:tcPr>
                <w:p w14:paraId="52B8B4C8">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val="en-US" w:eastAsia="zh-CN"/>
                    </w:rPr>
                    <w:t>东</w:t>
                  </w:r>
                  <w:r>
                    <w:rPr>
                      <w:rFonts w:hint="eastAsia" w:cs="Times New Roman"/>
                      <w:color w:val="auto"/>
                      <w:sz w:val="21"/>
                      <w:szCs w:val="24"/>
                      <w:lang w:val="en-US" w:eastAsia="zh-CN"/>
                    </w:rPr>
                    <w:t>南</w:t>
                  </w:r>
                </w:p>
              </w:tc>
              <w:tc>
                <w:tcPr>
                  <w:tcW w:w="746" w:type="dxa"/>
                  <w:tcBorders>
                    <w:tl2br w:val="nil"/>
                    <w:tr2bl w:val="nil"/>
                  </w:tcBorders>
                  <w:shd w:val="clear" w:color="auto" w:fill="auto"/>
                  <w:noWrap w:val="0"/>
                  <w:vAlign w:val="center"/>
                </w:tcPr>
                <w:p w14:paraId="36909FF1">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35~325</w:t>
                  </w:r>
                </w:p>
              </w:tc>
              <w:tc>
                <w:tcPr>
                  <w:tcW w:w="662" w:type="dxa"/>
                  <w:tcBorders>
                    <w:tl2br w:val="nil"/>
                    <w:tr2bl w:val="nil"/>
                  </w:tcBorders>
                  <w:shd w:val="clear" w:color="auto" w:fill="auto"/>
                  <w:noWrap w:val="0"/>
                  <w:vAlign w:val="center"/>
                </w:tcPr>
                <w:p w14:paraId="4EDA36E8">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居民</w:t>
                  </w:r>
                </w:p>
              </w:tc>
              <w:tc>
                <w:tcPr>
                  <w:tcW w:w="975" w:type="dxa"/>
                  <w:tcBorders>
                    <w:tl2br w:val="nil"/>
                    <w:tr2bl w:val="nil"/>
                  </w:tcBorders>
                  <w:shd w:val="clear" w:color="auto" w:fill="auto"/>
                  <w:noWrap w:val="0"/>
                  <w:vAlign w:val="center"/>
                </w:tcPr>
                <w:p w14:paraId="5CBB4183">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约200人</w:t>
                  </w:r>
                </w:p>
              </w:tc>
              <w:tc>
                <w:tcPr>
                  <w:tcW w:w="1374" w:type="dxa"/>
                  <w:vMerge w:val="continue"/>
                  <w:tcBorders>
                    <w:tl2br w:val="nil"/>
                    <w:tr2bl w:val="nil"/>
                  </w:tcBorders>
                  <w:noWrap w:val="0"/>
                  <w:vAlign w:val="center"/>
                </w:tcPr>
                <w:p w14:paraId="12C5EF6B">
                  <w:pPr>
                    <w:pStyle w:val="129"/>
                    <w:spacing w:line="240" w:lineRule="auto"/>
                    <w:rPr>
                      <w:color w:val="auto"/>
                      <w:szCs w:val="21"/>
                    </w:rPr>
                  </w:pPr>
                </w:p>
              </w:tc>
            </w:tr>
            <w:tr w14:paraId="09C48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1D24DFE9">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246B93F1">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龙潭</w:t>
                  </w:r>
                  <w:r>
                    <w:rPr>
                      <w:rFonts w:hint="eastAsia" w:ascii="Times New Roman" w:hAnsi="Times New Roman" w:eastAsia="宋体" w:cs="Times New Roman"/>
                      <w:color w:val="auto"/>
                      <w:sz w:val="21"/>
                      <w:szCs w:val="24"/>
                      <w:lang w:eastAsia="zh-CN"/>
                    </w:rPr>
                    <w:t>院子小区</w:t>
                  </w:r>
                </w:p>
              </w:tc>
              <w:tc>
                <w:tcPr>
                  <w:tcW w:w="674" w:type="dxa"/>
                  <w:tcBorders>
                    <w:tl2br w:val="nil"/>
                    <w:tr2bl w:val="nil"/>
                  </w:tcBorders>
                  <w:shd w:val="clear" w:color="auto" w:fill="auto"/>
                  <w:noWrap w:val="0"/>
                  <w:vAlign w:val="center"/>
                </w:tcPr>
                <w:p w14:paraId="6D925410">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val="en-US" w:eastAsia="zh-CN"/>
                    </w:rPr>
                    <w:t>110.52995</w:t>
                  </w:r>
                </w:p>
              </w:tc>
              <w:tc>
                <w:tcPr>
                  <w:tcW w:w="757" w:type="dxa"/>
                  <w:tcBorders>
                    <w:tl2br w:val="nil"/>
                    <w:tr2bl w:val="nil"/>
                  </w:tcBorders>
                  <w:shd w:val="clear" w:color="auto" w:fill="auto"/>
                  <w:noWrap w:val="0"/>
                  <w:vAlign w:val="center"/>
                </w:tcPr>
                <w:p w14:paraId="03CCF8E7">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27.</w:t>
                  </w:r>
                  <w:r>
                    <w:rPr>
                      <w:rFonts w:hint="eastAsia" w:ascii="Times New Roman" w:hAnsi="Times New Roman" w:eastAsia="宋体" w:cs="Times New Roman"/>
                      <w:color w:val="auto"/>
                      <w:sz w:val="21"/>
                      <w:szCs w:val="24"/>
                      <w:lang w:val="en-US" w:eastAsia="zh-CN"/>
                    </w:rPr>
                    <w:t>41569</w:t>
                  </w:r>
                </w:p>
              </w:tc>
              <w:tc>
                <w:tcPr>
                  <w:tcW w:w="770" w:type="dxa"/>
                  <w:tcBorders>
                    <w:tl2br w:val="nil"/>
                    <w:tr2bl w:val="nil"/>
                  </w:tcBorders>
                  <w:shd w:val="clear" w:color="auto" w:fill="auto"/>
                  <w:noWrap w:val="0"/>
                  <w:vAlign w:val="center"/>
                </w:tcPr>
                <w:p w14:paraId="7D75BEAE">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南</w:t>
                  </w:r>
                </w:p>
              </w:tc>
              <w:tc>
                <w:tcPr>
                  <w:tcW w:w="746" w:type="dxa"/>
                  <w:tcBorders>
                    <w:tl2br w:val="nil"/>
                    <w:tr2bl w:val="nil"/>
                  </w:tcBorders>
                  <w:shd w:val="clear" w:color="auto" w:fill="auto"/>
                  <w:noWrap w:val="0"/>
                  <w:vAlign w:val="center"/>
                </w:tcPr>
                <w:p w14:paraId="752853C3">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42~155</w:t>
                  </w:r>
                </w:p>
              </w:tc>
              <w:tc>
                <w:tcPr>
                  <w:tcW w:w="662" w:type="dxa"/>
                  <w:tcBorders>
                    <w:tl2br w:val="nil"/>
                    <w:tr2bl w:val="nil"/>
                  </w:tcBorders>
                  <w:shd w:val="clear" w:color="auto" w:fill="auto"/>
                  <w:noWrap w:val="0"/>
                  <w:vAlign w:val="center"/>
                </w:tcPr>
                <w:p w14:paraId="4B516A04">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居民</w:t>
                  </w:r>
                </w:p>
              </w:tc>
              <w:tc>
                <w:tcPr>
                  <w:tcW w:w="975" w:type="dxa"/>
                  <w:tcBorders>
                    <w:tl2br w:val="nil"/>
                    <w:tr2bl w:val="nil"/>
                  </w:tcBorders>
                  <w:shd w:val="clear" w:color="auto" w:fill="auto"/>
                  <w:noWrap w:val="0"/>
                  <w:vAlign w:val="center"/>
                </w:tcPr>
                <w:p w14:paraId="2CA9208B">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约</w:t>
                  </w:r>
                  <w:r>
                    <w:rPr>
                      <w:rFonts w:hint="eastAsia" w:ascii="Times New Roman" w:hAnsi="Times New Roman" w:eastAsia="宋体" w:cs="Times New Roman"/>
                      <w:color w:val="auto"/>
                      <w:sz w:val="21"/>
                      <w:szCs w:val="24"/>
                      <w:lang w:val="en-US" w:eastAsia="zh-CN"/>
                    </w:rPr>
                    <w:t>2</w:t>
                  </w:r>
                  <w:r>
                    <w:rPr>
                      <w:rFonts w:hint="default" w:ascii="Times New Roman" w:hAnsi="Times New Roman" w:eastAsia="宋体" w:cs="Times New Roman"/>
                      <w:color w:val="auto"/>
                      <w:sz w:val="21"/>
                      <w:szCs w:val="24"/>
                      <w:lang w:val="en-US" w:eastAsia="zh-CN"/>
                    </w:rPr>
                    <w:t>00</w:t>
                  </w:r>
                  <w:r>
                    <w:rPr>
                      <w:rFonts w:hint="default" w:ascii="Times New Roman" w:hAnsi="Times New Roman" w:eastAsia="宋体" w:cs="Times New Roman"/>
                      <w:color w:val="auto"/>
                      <w:sz w:val="21"/>
                      <w:szCs w:val="24"/>
                      <w:lang w:eastAsia="zh-CN"/>
                    </w:rPr>
                    <w:t>人</w:t>
                  </w:r>
                </w:p>
              </w:tc>
              <w:tc>
                <w:tcPr>
                  <w:tcW w:w="1374" w:type="dxa"/>
                  <w:vMerge w:val="continue"/>
                  <w:tcBorders>
                    <w:tl2br w:val="nil"/>
                    <w:tr2bl w:val="nil"/>
                  </w:tcBorders>
                  <w:noWrap w:val="0"/>
                  <w:vAlign w:val="center"/>
                </w:tcPr>
                <w:p w14:paraId="33ADFD4F">
                  <w:pPr>
                    <w:pStyle w:val="129"/>
                    <w:spacing w:line="240" w:lineRule="auto"/>
                    <w:rPr>
                      <w:color w:val="auto"/>
                      <w:szCs w:val="21"/>
                    </w:rPr>
                  </w:pPr>
                </w:p>
              </w:tc>
            </w:tr>
            <w:tr w14:paraId="6B5A5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523EFE93">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59447911">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龙潭</w:t>
                  </w:r>
                  <w:r>
                    <w:rPr>
                      <w:rFonts w:hint="eastAsia" w:ascii="Times New Roman" w:hAnsi="Times New Roman" w:eastAsia="宋体" w:cs="Times New Roman"/>
                      <w:color w:val="auto"/>
                      <w:sz w:val="21"/>
                      <w:szCs w:val="24"/>
                      <w:lang w:eastAsia="zh-CN"/>
                    </w:rPr>
                    <w:t>派出所</w:t>
                  </w:r>
                </w:p>
              </w:tc>
              <w:tc>
                <w:tcPr>
                  <w:tcW w:w="674" w:type="dxa"/>
                  <w:tcBorders>
                    <w:tl2br w:val="nil"/>
                    <w:tr2bl w:val="nil"/>
                  </w:tcBorders>
                  <w:shd w:val="clear" w:color="auto" w:fill="auto"/>
                  <w:noWrap w:val="0"/>
                  <w:vAlign w:val="center"/>
                </w:tcPr>
                <w:p w14:paraId="458A39EA">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110.5</w:t>
                  </w:r>
                  <w:r>
                    <w:rPr>
                      <w:rFonts w:hint="eastAsia" w:ascii="Times New Roman" w:hAnsi="Times New Roman" w:eastAsia="宋体" w:cs="Times New Roman"/>
                      <w:color w:val="auto"/>
                      <w:sz w:val="21"/>
                      <w:szCs w:val="24"/>
                      <w:lang w:val="en-US" w:eastAsia="zh-CN"/>
                    </w:rPr>
                    <w:t>2839</w:t>
                  </w:r>
                </w:p>
              </w:tc>
              <w:tc>
                <w:tcPr>
                  <w:tcW w:w="757" w:type="dxa"/>
                  <w:tcBorders>
                    <w:tl2br w:val="nil"/>
                    <w:tr2bl w:val="nil"/>
                  </w:tcBorders>
                  <w:shd w:val="clear" w:color="auto" w:fill="auto"/>
                  <w:noWrap w:val="0"/>
                  <w:vAlign w:val="center"/>
                </w:tcPr>
                <w:p w14:paraId="545020C0">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27.4</w:t>
                  </w:r>
                  <w:r>
                    <w:rPr>
                      <w:rFonts w:hint="eastAsia" w:ascii="Times New Roman" w:hAnsi="Times New Roman" w:eastAsia="宋体" w:cs="Times New Roman"/>
                      <w:color w:val="auto"/>
                      <w:sz w:val="21"/>
                      <w:szCs w:val="24"/>
                      <w:lang w:val="en-US" w:eastAsia="zh-CN"/>
                    </w:rPr>
                    <w:t>1528</w:t>
                  </w:r>
                </w:p>
              </w:tc>
              <w:tc>
                <w:tcPr>
                  <w:tcW w:w="770" w:type="dxa"/>
                  <w:tcBorders>
                    <w:tl2br w:val="nil"/>
                    <w:tr2bl w:val="nil"/>
                  </w:tcBorders>
                  <w:shd w:val="clear" w:color="auto" w:fill="auto"/>
                  <w:noWrap w:val="0"/>
                  <w:vAlign w:val="center"/>
                </w:tcPr>
                <w:p w14:paraId="1D31131D">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西南</w:t>
                  </w:r>
                </w:p>
              </w:tc>
              <w:tc>
                <w:tcPr>
                  <w:tcW w:w="746" w:type="dxa"/>
                  <w:tcBorders>
                    <w:tl2br w:val="nil"/>
                    <w:tr2bl w:val="nil"/>
                  </w:tcBorders>
                  <w:shd w:val="clear" w:color="auto" w:fill="auto"/>
                  <w:noWrap w:val="0"/>
                  <w:vAlign w:val="center"/>
                </w:tcPr>
                <w:p w14:paraId="07B30AD1">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170~225</w:t>
                  </w:r>
                </w:p>
              </w:tc>
              <w:tc>
                <w:tcPr>
                  <w:tcW w:w="662" w:type="dxa"/>
                  <w:tcBorders>
                    <w:tl2br w:val="nil"/>
                    <w:tr2bl w:val="nil"/>
                  </w:tcBorders>
                  <w:shd w:val="clear" w:color="auto" w:fill="auto"/>
                  <w:noWrap w:val="0"/>
                  <w:vAlign w:val="center"/>
                </w:tcPr>
                <w:p w14:paraId="0266A287">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行政办公</w:t>
                  </w:r>
                </w:p>
              </w:tc>
              <w:tc>
                <w:tcPr>
                  <w:tcW w:w="975" w:type="dxa"/>
                  <w:tcBorders>
                    <w:tl2br w:val="nil"/>
                    <w:tr2bl w:val="nil"/>
                  </w:tcBorders>
                  <w:shd w:val="clear" w:color="auto" w:fill="auto"/>
                  <w:noWrap w:val="0"/>
                  <w:vAlign w:val="center"/>
                </w:tcPr>
                <w:p w14:paraId="3B26C1D2">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约</w:t>
                  </w:r>
                  <w:r>
                    <w:rPr>
                      <w:rFonts w:hint="eastAsia" w:ascii="Times New Roman" w:hAnsi="Times New Roman" w:eastAsia="宋体" w:cs="Times New Roman"/>
                      <w:color w:val="auto"/>
                      <w:sz w:val="21"/>
                      <w:szCs w:val="24"/>
                      <w:lang w:val="en-US" w:eastAsia="zh-CN"/>
                    </w:rPr>
                    <w:t>10</w:t>
                  </w:r>
                  <w:r>
                    <w:rPr>
                      <w:rFonts w:hint="default" w:ascii="Times New Roman" w:hAnsi="Times New Roman" w:eastAsia="宋体" w:cs="Times New Roman"/>
                      <w:color w:val="auto"/>
                      <w:sz w:val="21"/>
                      <w:szCs w:val="24"/>
                      <w:lang w:eastAsia="zh-CN"/>
                    </w:rPr>
                    <w:t>人</w:t>
                  </w:r>
                </w:p>
              </w:tc>
              <w:tc>
                <w:tcPr>
                  <w:tcW w:w="1374" w:type="dxa"/>
                  <w:vMerge w:val="continue"/>
                  <w:tcBorders>
                    <w:tl2br w:val="nil"/>
                    <w:tr2bl w:val="nil"/>
                  </w:tcBorders>
                  <w:noWrap w:val="0"/>
                  <w:vAlign w:val="center"/>
                </w:tcPr>
                <w:p w14:paraId="7B5B6B53">
                  <w:pPr>
                    <w:pStyle w:val="129"/>
                    <w:spacing w:line="240" w:lineRule="auto"/>
                    <w:rPr>
                      <w:color w:val="auto"/>
                      <w:szCs w:val="21"/>
                    </w:rPr>
                  </w:pPr>
                </w:p>
              </w:tc>
            </w:tr>
            <w:tr w14:paraId="22F9B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05B6C021">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2E91E94E">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油麻湾居民</w:t>
                  </w:r>
                </w:p>
              </w:tc>
              <w:tc>
                <w:tcPr>
                  <w:tcW w:w="674" w:type="dxa"/>
                  <w:tcBorders>
                    <w:tl2br w:val="nil"/>
                    <w:tr2bl w:val="nil"/>
                  </w:tcBorders>
                  <w:shd w:val="clear" w:color="auto" w:fill="auto"/>
                  <w:noWrap w:val="0"/>
                  <w:vAlign w:val="center"/>
                </w:tcPr>
                <w:p w14:paraId="4F541B4B">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11</w:t>
                  </w:r>
                  <w:r>
                    <w:rPr>
                      <w:rFonts w:hint="eastAsia" w:ascii="Times New Roman" w:hAnsi="Times New Roman" w:eastAsia="宋体" w:cs="Times New Roman"/>
                      <w:color w:val="auto"/>
                      <w:sz w:val="21"/>
                      <w:szCs w:val="24"/>
                      <w:lang w:val="en-US" w:eastAsia="zh-CN"/>
                    </w:rPr>
                    <w:t>0.52699</w:t>
                  </w:r>
                </w:p>
              </w:tc>
              <w:tc>
                <w:tcPr>
                  <w:tcW w:w="757" w:type="dxa"/>
                  <w:tcBorders>
                    <w:tl2br w:val="nil"/>
                    <w:tr2bl w:val="nil"/>
                  </w:tcBorders>
                  <w:shd w:val="clear" w:color="auto" w:fill="auto"/>
                  <w:noWrap w:val="0"/>
                  <w:vAlign w:val="center"/>
                </w:tcPr>
                <w:p w14:paraId="0B88A0E1">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27.4</w:t>
                  </w:r>
                  <w:r>
                    <w:rPr>
                      <w:rFonts w:hint="eastAsia" w:ascii="Times New Roman" w:hAnsi="Times New Roman" w:eastAsia="宋体" w:cs="Times New Roman"/>
                      <w:color w:val="auto"/>
                      <w:sz w:val="21"/>
                      <w:szCs w:val="24"/>
                      <w:lang w:val="en-US" w:eastAsia="zh-CN"/>
                    </w:rPr>
                    <w:t>1410</w:t>
                  </w:r>
                </w:p>
              </w:tc>
              <w:tc>
                <w:tcPr>
                  <w:tcW w:w="770" w:type="dxa"/>
                  <w:tcBorders>
                    <w:tl2br w:val="nil"/>
                    <w:tr2bl w:val="nil"/>
                  </w:tcBorders>
                  <w:shd w:val="clear" w:color="auto" w:fill="auto"/>
                  <w:noWrap w:val="0"/>
                  <w:vAlign w:val="center"/>
                </w:tcPr>
                <w:p w14:paraId="61F39CD9">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西南</w:t>
                  </w:r>
                </w:p>
              </w:tc>
              <w:tc>
                <w:tcPr>
                  <w:tcW w:w="746" w:type="dxa"/>
                  <w:tcBorders>
                    <w:tl2br w:val="nil"/>
                    <w:tr2bl w:val="nil"/>
                  </w:tcBorders>
                  <w:shd w:val="clear" w:color="auto" w:fill="auto"/>
                  <w:noWrap w:val="0"/>
                  <w:vAlign w:val="center"/>
                </w:tcPr>
                <w:p w14:paraId="6C2DC070">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355~415</w:t>
                  </w:r>
                </w:p>
              </w:tc>
              <w:tc>
                <w:tcPr>
                  <w:tcW w:w="662" w:type="dxa"/>
                  <w:tcBorders>
                    <w:tl2br w:val="nil"/>
                    <w:tr2bl w:val="nil"/>
                  </w:tcBorders>
                  <w:shd w:val="clear" w:color="auto" w:fill="auto"/>
                  <w:noWrap w:val="0"/>
                  <w:vAlign w:val="center"/>
                </w:tcPr>
                <w:p w14:paraId="3FD593D6">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居民</w:t>
                  </w:r>
                </w:p>
              </w:tc>
              <w:tc>
                <w:tcPr>
                  <w:tcW w:w="975" w:type="dxa"/>
                  <w:tcBorders>
                    <w:tl2br w:val="nil"/>
                    <w:tr2bl w:val="nil"/>
                  </w:tcBorders>
                  <w:shd w:val="clear" w:color="auto" w:fill="auto"/>
                  <w:noWrap w:val="0"/>
                  <w:vAlign w:val="center"/>
                </w:tcPr>
                <w:p w14:paraId="6967B340">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约</w:t>
                  </w:r>
                  <w:r>
                    <w:rPr>
                      <w:rFonts w:hint="eastAsia" w:ascii="Times New Roman" w:hAnsi="Times New Roman" w:eastAsia="宋体" w:cs="Times New Roman"/>
                      <w:color w:val="auto"/>
                      <w:sz w:val="21"/>
                      <w:szCs w:val="24"/>
                      <w:lang w:val="en-US" w:eastAsia="zh-CN"/>
                    </w:rPr>
                    <w:t>80</w:t>
                  </w:r>
                  <w:r>
                    <w:rPr>
                      <w:rFonts w:hint="default" w:ascii="Times New Roman" w:hAnsi="Times New Roman" w:eastAsia="宋体" w:cs="Times New Roman"/>
                      <w:color w:val="auto"/>
                      <w:sz w:val="21"/>
                      <w:szCs w:val="24"/>
                      <w:lang w:eastAsia="zh-CN"/>
                    </w:rPr>
                    <w:t>人</w:t>
                  </w:r>
                </w:p>
              </w:tc>
              <w:tc>
                <w:tcPr>
                  <w:tcW w:w="1374" w:type="dxa"/>
                  <w:vMerge w:val="continue"/>
                  <w:tcBorders>
                    <w:tl2br w:val="nil"/>
                    <w:tr2bl w:val="nil"/>
                  </w:tcBorders>
                  <w:noWrap w:val="0"/>
                  <w:vAlign w:val="center"/>
                </w:tcPr>
                <w:p w14:paraId="74B3D09C">
                  <w:pPr>
                    <w:pStyle w:val="129"/>
                    <w:spacing w:line="240" w:lineRule="auto"/>
                    <w:rPr>
                      <w:color w:val="auto"/>
                      <w:szCs w:val="21"/>
                    </w:rPr>
                  </w:pPr>
                </w:p>
              </w:tc>
            </w:tr>
            <w:tr w14:paraId="21931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4D8A58B3">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2F7F34A5">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岩板村</w:t>
                  </w:r>
                </w:p>
              </w:tc>
              <w:tc>
                <w:tcPr>
                  <w:tcW w:w="674" w:type="dxa"/>
                  <w:tcBorders>
                    <w:tl2br w:val="nil"/>
                    <w:tr2bl w:val="nil"/>
                  </w:tcBorders>
                  <w:shd w:val="clear" w:color="auto" w:fill="auto"/>
                  <w:noWrap w:val="0"/>
                  <w:vAlign w:val="center"/>
                </w:tcPr>
                <w:p w14:paraId="4FC73CA0">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110.52883</w:t>
                  </w:r>
                </w:p>
              </w:tc>
              <w:tc>
                <w:tcPr>
                  <w:tcW w:w="757" w:type="dxa"/>
                  <w:tcBorders>
                    <w:tl2br w:val="nil"/>
                    <w:tr2bl w:val="nil"/>
                  </w:tcBorders>
                  <w:shd w:val="clear" w:color="auto" w:fill="auto"/>
                  <w:noWrap w:val="0"/>
                  <w:vAlign w:val="center"/>
                </w:tcPr>
                <w:p w14:paraId="70501D91">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27.41215</w:t>
                  </w:r>
                </w:p>
              </w:tc>
              <w:tc>
                <w:tcPr>
                  <w:tcW w:w="770" w:type="dxa"/>
                  <w:tcBorders>
                    <w:tl2br w:val="nil"/>
                    <w:tr2bl w:val="nil"/>
                  </w:tcBorders>
                  <w:shd w:val="clear" w:color="auto" w:fill="auto"/>
                  <w:noWrap w:val="0"/>
                  <w:vAlign w:val="center"/>
                </w:tcPr>
                <w:p w14:paraId="2D55425C">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西南、南、东南</w:t>
                  </w:r>
                </w:p>
              </w:tc>
              <w:tc>
                <w:tcPr>
                  <w:tcW w:w="746" w:type="dxa"/>
                  <w:tcBorders>
                    <w:tl2br w:val="nil"/>
                    <w:tr2bl w:val="nil"/>
                  </w:tcBorders>
                  <w:shd w:val="clear" w:color="auto" w:fill="auto"/>
                  <w:noWrap w:val="0"/>
                  <w:vAlign w:val="center"/>
                </w:tcPr>
                <w:p w14:paraId="01B9F915">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270~500</w:t>
                  </w:r>
                </w:p>
              </w:tc>
              <w:tc>
                <w:tcPr>
                  <w:tcW w:w="662" w:type="dxa"/>
                  <w:tcBorders>
                    <w:tl2br w:val="nil"/>
                    <w:tr2bl w:val="nil"/>
                  </w:tcBorders>
                  <w:shd w:val="clear" w:color="auto" w:fill="auto"/>
                  <w:noWrap w:val="0"/>
                  <w:vAlign w:val="center"/>
                </w:tcPr>
                <w:p w14:paraId="35EEAB40">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居民</w:t>
                  </w:r>
                </w:p>
              </w:tc>
              <w:tc>
                <w:tcPr>
                  <w:tcW w:w="975" w:type="dxa"/>
                  <w:tcBorders>
                    <w:tl2br w:val="nil"/>
                    <w:tr2bl w:val="nil"/>
                  </w:tcBorders>
                  <w:shd w:val="clear" w:color="auto" w:fill="auto"/>
                  <w:noWrap w:val="0"/>
                  <w:vAlign w:val="center"/>
                </w:tcPr>
                <w:p w14:paraId="3A24FA7E">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约</w:t>
                  </w:r>
                  <w:r>
                    <w:rPr>
                      <w:rFonts w:hint="eastAsia" w:ascii="Times New Roman" w:hAnsi="Times New Roman" w:eastAsia="宋体" w:cs="Times New Roman"/>
                      <w:color w:val="auto"/>
                      <w:sz w:val="21"/>
                      <w:szCs w:val="24"/>
                      <w:lang w:val="en-US" w:eastAsia="zh-CN"/>
                    </w:rPr>
                    <w:t>4</w:t>
                  </w:r>
                  <w:r>
                    <w:rPr>
                      <w:rFonts w:hint="default" w:ascii="Times New Roman" w:hAnsi="Times New Roman" w:eastAsia="宋体" w:cs="Times New Roman"/>
                      <w:color w:val="auto"/>
                      <w:sz w:val="21"/>
                      <w:szCs w:val="24"/>
                      <w:lang w:val="en-US" w:eastAsia="zh-CN"/>
                    </w:rPr>
                    <w:t>00</w:t>
                  </w:r>
                  <w:r>
                    <w:rPr>
                      <w:rFonts w:hint="default" w:ascii="Times New Roman" w:hAnsi="Times New Roman" w:eastAsia="宋体" w:cs="Times New Roman"/>
                      <w:color w:val="auto"/>
                      <w:sz w:val="21"/>
                      <w:szCs w:val="24"/>
                      <w:lang w:eastAsia="zh-CN"/>
                    </w:rPr>
                    <w:t>人</w:t>
                  </w:r>
                </w:p>
              </w:tc>
              <w:tc>
                <w:tcPr>
                  <w:tcW w:w="1374" w:type="dxa"/>
                  <w:vMerge w:val="continue"/>
                  <w:tcBorders>
                    <w:tl2br w:val="nil"/>
                    <w:tr2bl w:val="nil"/>
                  </w:tcBorders>
                  <w:noWrap w:val="0"/>
                  <w:vAlign w:val="center"/>
                </w:tcPr>
                <w:p w14:paraId="32819E1B">
                  <w:pPr>
                    <w:pStyle w:val="129"/>
                    <w:spacing w:line="240" w:lineRule="auto"/>
                    <w:rPr>
                      <w:color w:val="auto"/>
                      <w:szCs w:val="21"/>
                    </w:rPr>
                  </w:pPr>
                </w:p>
              </w:tc>
            </w:tr>
            <w:tr w14:paraId="47951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753A4B78">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159464AE">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val="en-US" w:eastAsia="zh-CN"/>
                    </w:rPr>
                    <w:t>崇实书院</w:t>
                  </w:r>
                </w:p>
              </w:tc>
              <w:tc>
                <w:tcPr>
                  <w:tcW w:w="674" w:type="dxa"/>
                  <w:tcBorders>
                    <w:tl2br w:val="nil"/>
                    <w:tr2bl w:val="nil"/>
                  </w:tcBorders>
                  <w:shd w:val="clear" w:color="auto" w:fill="auto"/>
                  <w:noWrap w:val="0"/>
                  <w:vAlign w:val="center"/>
                </w:tcPr>
                <w:p w14:paraId="224DD377">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110.53265</w:t>
                  </w:r>
                </w:p>
              </w:tc>
              <w:tc>
                <w:tcPr>
                  <w:tcW w:w="757" w:type="dxa"/>
                  <w:tcBorders>
                    <w:tl2br w:val="nil"/>
                    <w:tr2bl w:val="nil"/>
                  </w:tcBorders>
                  <w:shd w:val="clear" w:color="auto" w:fill="auto"/>
                  <w:noWrap w:val="0"/>
                  <w:vAlign w:val="center"/>
                </w:tcPr>
                <w:p w14:paraId="281AB779">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27.41275</w:t>
                  </w:r>
                </w:p>
              </w:tc>
              <w:tc>
                <w:tcPr>
                  <w:tcW w:w="770" w:type="dxa"/>
                  <w:tcBorders>
                    <w:tl2br w:val="nil"/>
                    <w:tr2bl w:val="nil"/>
                  </w:tcBorders>
                  <w:shd w:val="clear" w:color="auto" w:fill="auto"/>
                  <w:noWrap w:val="0"/>
                  <w:vAlign w:val="center"/>
                </w:tcPr>
                <w:p w14:paraId="0BF2AB04">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东南</w:t>
                  </w:r>
                </w:p>
              </w:tc>
              <w:tc>
                <w:tcPr>
                  <w:tcW w:w="746" w:type="dxa"/>
                  <w:tcBorders>
                    <w:tl2br w:val="nil"/>
                    <w:tr2bl w:val="nil"/>
                  </w:tcBorders>
                  <w:shd w:val="clear" w:color="auto" w:fill="auto"/>
                  <w:noWrap w:val="0"/>
                  <w:vAlign w:val="center"/>
                </w:tcPr>
                <w:p w14:paraId="792093ED">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435~490</w:t>
                  </w:r>
                </w:p>
              </w:tc>
              <w:tc>
                <w:tcPr>
                  <w:tcW w:w="662" w:type="dxa"/>
                  <w:tcBorders>
                    <w:tl2br w:val="nil"/>
                    <w:tr2bl w:val="nil"/>
                  </w:tcBorders>
                  <w:shd w:val="clear" w:color="auto" w:fill="auto"/>
                  <w:noWrap w:val="0"/>
                  <w:vAlign w:val="center"/>
                </w:tcPr>
                <w:p w14:paraId="3983ABB1">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Helvetica" w:hAnsi="Helvetica" w:eastAsia="宋体" w:cs="Helvetica"/>
                      <w:i w:val="0"/>
                      <w:iCs w:val="0"/>
                      <w:caps w:val="0"/>
                      <w:color w:val="auto"/>
                      <w:spacing w:val="0"/>
                      <w:sz w:val="21"/>
                      <w:szCs w:val="21"/>
                      <w:shd w:val="clear" w:fill="FFFFFF"/>
                      <w:lang w:val="en-US" w:eastAsia="zh-CN"/>
                    </w:rPr>
                    <w:t>清代</w:t>
                  </w:r>
                  <w:r>
                    <w:rPr>
                      <w:rFonts w:ascii="Helvetica" w:hAnsi="Helvetica" w:eastAsia="Helvetica" w:cs="Helvetica"/>
                      <w:i w:val="0"/>
                      <w:iCs w:val="0"/>
                      <w:caps w:val="0"/>
                      <w:color w:val="auto"/>
                      <w:spacing w:val="0"/>
                      <w:sz w:val="21"/>
                      <w:szCs w:val="21"/>
                      <w:shd w:val="clear" w:fill="FFFFFF"/>
                    </w:rPr>
                    <w:t>氏族书院</w:t>
                  </w:r>
                </w:p>
              </w:tc>
              <w:tc>
                <w:tcPr>
                  <w:tcW w:w="975" w:type="dxa"/>
                  <w:tcBorders>
                    <w:tl2br w:val="nil"/>
                    <w:tr2bl w:val="nil"/>
                  </w:tcBorders>
                  <w:shd w:val="clear" w:color="auto" w:fill="auto"/>
                  <w:noWrap w:val="0"/>
                  <w:vAlign w:val="center"/>
                </w:tcPr>
                <w:p w14:paraId="074FD529">
                  <w:pPr>
                    <w:spacing w:line="240" w:lineRule="atLeast"/>
                    <w:jc w:val="center"/>
                    <w:rPr>
                      <w:rFonts w:hint="default" w:ascii="Times New Roman" w:hAnsi="Times New Roman" w:eastAsia="宋体" w:cs="Times New Roman"/>
                      <w:color w:val="auto"/>
                      <w:kern w:val="2"/>
                      <w:sz w:val="21"/>
                      <w:szCs w:val="24"/>
                      <w:lang w:val="en-US" w:eastAsia="zh-CN" w:bidi="ar-SA"/>
                    </w:rPr>
                  </w:pPr>
                  <w:r>
                    <w:rPr>
                      <w:rFonts w:ascii="Helvetica" w:hAnsi="Helvetica" w:eastAsia="Helvetica" w:cs="Helvetica"/>
                      <w:i w:val="0"/>
                      <w:iCs w:val="0"/>
                      <w:caps w:val="0"/>
                      <w:color w:val="auto"/>
                      <w:spacing w:val="0"/>
                      <w:sz w:val="21"/>
                      <w:szCs w:val="21"/>
                      <w:shd w:val="clear" w:fill="FFFFFF"/>
                    </w:rPr>
                    <w:t>溆浦县</w:t>
                  </w:r>
                  <w:r>
                    <w:rPr>
                      <w:rFonts w:hint="default" w:ascii="Helvetica" w:hAnsi="Helvetica" w:eastAsia="Helvetica" w:cs="Helvetica"/>
                      <w:i w:val="0"/>
                      <w:iCs w:val="0"/>
                      <w:caps w:val="0"/>
                      <w:color w:val="auto"/>
                      <w:spacing w:val="0"/>
                      <w:sz w:val="21"/>
                      <w:szCs w:val="21"/>
                      <w:shd w:val="clear" w:fill="FFFFFF"/>
                    </w:rPr>
                    <w:t>文物保护单位</w:t>
                  </w:r>
                </w:p>
              </w:tc>
              <w:tc>
                <w:tcPr>
                  <w:tcW w:w="1374" w:type="dxa"/>
                  <w:vMerge w:val="continue"/>
                  <w:tcBorders>
                    <w:tl2br w:val="nil"/>
                    <w:tr2bl w:val="nil"/>
                  </w:tcBorders>
                  <w:noWrap w:val="0"/>
                  <w:vAlign w:val="center"/>
                </w:tcPr>
                <w:p w14:paraId="67601EE3">
                  <w:pPr>
                    <w:pStyle w:val="129"/>
                    <w:spacing w:line="240" w:lineRule="auto"/>
                    <w:rPr>
                      <w:color w:val="auto"/>
                      <w:szCs w:val="21"/>
                    </w:rPr>
                  </w:pPr>
                </w:p>
              </w:tc>
            </w:tr>
            <w:tr w14:paraId="1C9BE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53198C8F">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shd w:val="clear" w:color="auto" w:fill="auto"/>
                  <w:noWrap w:val="0"/>
                  <w:vAlign w:val="center"/>
                </w:tcPr>
                <w:p w14:paraId="3E765C1F">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御景龙苑</w:t>
                  </w:r>
                  <w:r>
                    <w:rPr>
                      <w:rFonts w:hint="eastAsia" w:ascii="Times New Roman" w:hAnsi="Times New Roman" w:eastAsia="宋体" w:cs="Times New Roman"/>
                      <w:color w:val="auto"/>
                      <w:sz w:val="21"/>
                      <w:szCs w:val="24"/>
                      <w:lang w:val="en-US" w:eastAsia="zh-CN"/>
                    </w:rPr>
                    <w:t>小区</w:t>
                  </w:r>
                </w:p>
              </w:tc>
              <w:tc>
                <w:tcPr>
                  <w:tcW w:w="674" w:type="dxa"/>
                  <w:tcBorders>
                    <w:tl2br w:val="nil"/>
                    <w:tr2bl w:val="nil"/>
                  </w:tcBorders>
                  <w:shd w:val="clear" w:color="auto" w:fill="auto"/>
                  <w:noWrap w:val="0"/>
                  <w:vAlign w:val="center"/>
                </w:tcPr>
                <w:p w14:paraId="2DCC6B47">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110.53334</w:t>
                  </w:r>
                </w:p>
              </w:tc>
              <w:tc>
                <w:tcPr>
                  <w:tcW w:w="757" w:type="dxa"/>
                  <w:tcBorders>
                    <w:tl2br w:val="nil"/>
                    <w:tr2bl w:val="nil"/>
                  </w:tcBorders>
                  <w:shd w:val="clear" w:color="auto" w:fill="auto"/>
                  <w:noWrap w:val="0"/>
                  <w:vAlign w:val="center"/>
                </w:tcPr>
                <w:p w14:paraId="37949DD6">
                  <w:pPr>
                    <w:spacing w:line="240" w:lineRule="atLeas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eastAsia="zh-CN"/>
                    </w:rPr>
                    <w:t>27.41441</w:t>
                  </w:r>
                </w:p>
              </w:tc>
              <w:tc>
                <w:tcPr>
                  <w:tcW w:w="770" w:type="dxa"/>
                  <w:tcBorders>
                    <w:tl2br w:val="nil"/>
                    <w:tr2bl w:val="nil"/>
                  </w:tcBorders>
                  <w:shd w:val="clear" w:color="auto" w:fill="auto"/>
                  <w:noWrap w:val="0"/>
                  <w:vAlign w:val="center"/>
                </w:tcPr>
                <w:p w14:paraId="1F389B3D">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东南</w:t>
                  </w:r>
                </w:p>
              </w:tc>
              <w:tc>
                <w:tcPr>
                  <w:tcW w:w="746" w:type="dxa"/>
                  <w:tcBorders>
                    <w:tl2br w:val="nil"/>
                    <w:tr2bl w:val="nil"/>
                  </w:tcBorders>
                  <w:shd w:val="clear" w:color="auto" w:fill="auto"/>
                  <w:noWrap w:val="0"/>
                  <w:vAlign w:val="center"/>
                </w:tcPr>
                <w:p w14:paraId="655592D1">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285~380</w:t>
                  </w:r>
                </w:p>
              </w:tc>
              <w:tc>
                <w:tcPr>
                  <w:tcW w:w="662" w:type="dxa"/>
                  <w:tcBorders>
                    <w:tl2br w:val="nil"/>
                    <w:tr2bl w:val="nil"/>
                  </w:tcBorders>
                  <w:shd w:val="clear" w:color="auto" w:fill="auto"/>
                  <w:noWrap w:val="0"/>
                  <w:vAlign w:val="center"/>
                </w:tcPr>
                <w:p w14:paraId="0289CB95">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eastAsia="zh-CN"/>
                    </w:rPr>
                    <w:t>居民</w:t>
                  </w:r>
                </w:p>
              </w:tc>
              <w:tc>
                <w:tcPr>
                  <w:tcW w:w="975" w:type="dxa"/>
                  <w:tcBorders>
                    <w:tl2br w:val="nil"/>
                    <w:tr2bl w:val="nil"/>
                  </w:tcBorders>
                  <w:shd w:val="clear" w:color="auto" w:fill="auto"/>
                  <w:noWrap w:val="0"/>
                  <w:vAlign w:val="center"/>
                </w:tcPr>
                <w:p w14:paraId="5AC8FF6B">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4"/>
                      <w:lang w:val="en-US" w:eastAsia="zh-CN"/>
                    </w:rPr>
                    <w:t>约200人</w:t>
                  </w:r>
                </w:p>
              </w:tc>
              <w:tc>
                <w:tcPr>
                  <w:tcW w:w="1374" w:type="dxa"/>
                  <w:vMerge w:val="continue"/>
                  <w:tcBorders>
                    <w:tl2br w:val="nil"/>
                    <w:tr2bl w:val="nil"/>
                  </w:tcBorders>
                  <w:noWrap w:val="0"/>
                  <w:vAlign w:val="center"/>
                </w:tcPr>
                <w:p w14:paraId="17AD04A2">
                  <w:pPr>
                    <w:pStyle w:val="129"/>
                    <w:spacing w:line="240" w:lineRule="auto"/>
                    <w:rPr>
                      <w:color w:val="auto"/>
                      <w:szCs w:val="21"/>
                    </w:rPr>
                  </w:pPr>
                </w:p>
              </w:tc>
            </w:tr>
            <w:tr w14:paraId="04FF7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692E4611">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noWrap w:val="0"/>
                  <w:vAlign w:val="center"/>
                </w:tcPr>
                <w:p w14:paraId="515BEC67">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云盘村</w:t>
                  </w:r>
                </w:p>
              </w:tc>
              <w:tc>
                <w:tcPr>
                  <w:tcW w:w="674" w:type="dxa"/>
                  <w:tcBorders>
                    <w:tl2br w:val="nil"/>
                    <w:tr2bl w:val="nil"/>
                  </w:tcBorders>
                  <w:noWrap w:val="0"/>
                  <w:vAlign w:val="center"/>
                </w:tcPr>
                <w:p w14:paraId="5D9CC030">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110.53548</w:t>
                  </w:r>
                </w:p>
              </w:tc>
              <w:tc>
                <w:tcPr>
                  <w:tcW w:w="757" w:type="dxa"/>
                  <w:tcBorders>
                    <w:tl2br w:val="nil"/>
                    <w:tr2bl w:val="nil"/>
                  </w:tcBorders>
                  <w:noWrap w:val="0"/>
                  <w:vAlign w:val="center"/>
                </w:tcPr>
                <w:p w14:paraId="2B1DB687">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27.41384</w:t>
                  </w:r>
                </w:p>
              </w:tc>
              <w:tc>
                <w:tcPr>
                  <w:tcW w:w="770" w:type="dxa"/>
                  <w:tcBorders>
                    <w:tl2br w:val="nil"/>
                    <w:tr2bl w:val="nil"/>
                  </w:tcBorders>
                  <w:noWrap w:val="0"/>
                  <w:vAlign w:val="center"/>
                </w:tcPr>
                <w:p w14:paraId="4302B815">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东南</w:t>
                  </w:r>
                </w:p>
              </w:tc>
              <w:tc>
                <w:tcPr>
                  <w:tcW w:w="746" w:type="dxa"/>
                  <w:tcBorders>
                    <w:tl2br w:val="nil"/>
                    <w:tr2bl w:val="nil"/>
                  </w:tcBorders>
                  <w:noWrap w:val="0"/>
                  <w:vAlign w:val="center"/>
                </w:tcPr>
                <w:p w14:paraId="075A677A">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325~500</w:t>
                  </w:r>
                </w:p>
              </w:tc>
              <w:tc>
                <w:tcPr>
                  <w:tcW w:w="662" w:type="dxa"/>
                  <w:tcBorders>
                    <w:tl2br w:val="nil"/>
                    <w:tr2bl w:val="nil"/>
                  </w:tcBorders>
                  <w:noWrap w:val="0"/>
                  <w:vAlign w:val="center"/>
                </w:tcPr>
                <w:p w14:paraId="23606859">
                  <w:pPr>
                    <w:spacing w:line="240" w:lineRule="atLeast"/>
                    <w:jc w:val="center"/>
                    <w:rPr>
                      <w:rFonts w:hint="eastAsia"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居民</w:t>
                  </w:r>
                </w:p>
              </w:tc>
              <w:tc>
                <w:tcPr>
                  <w:tcW w:w="975" w:type="dxa"/>
                  <w:tcBorders>
                    <w:tl2br w:val="nil"/>
                    <w:tr2bl w:val="nil"/>
                  </w:tcBorders>
                  <w:noWrap w:val="0"/>
                  <w:vAlign w:val="center"/>
                </w:tcPr>
                <w:p w14:paraId="61A19687">
                  <w:pPr>
                    <w:spacing w:line="240" w:lineRule="atLeast"/>
                    <w:jc w:val="center"/>
                    <w:rPr>
                      <w:rFonts w:hint="default"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约</w:t>
                  </w:r>
                  <w:r>
                    <w:rPr>
                      <w:rFonts w:hint="eastAsia" w:cs="Times New Roman"/>
                      <w:color w:val="auto"/>
                      <w:sz w:val="21"/>
                      <w:szCs w:val="24"/>
                      <w:lang w:val="en-US" w:eastAsia="zh-CN"/>
                    </w:rPr>
                    <w:t>1</w:t>
                  </w:r>
                  <w:r>
                    <w:rPr>
                      <w:rFonts w:hint="eastAsia" w:ascii="Times New Roman" w:hAnsi="Times New Roman" w:eastAsia="宋体" w:cs="Times New Roman"/>
                      <w:color w:val="auto"/>
                      <w:sz w:val="21"/>
                      <w:szCs w:val="24"/>
                      <w:lang w:val="en-US" w:eastAsia="zh-CN"/>
                    </w:rPr>
                    <w:t>00人</w:t>
                  </w:r>
                </w:p>
              </w:tc>
              <w:tc>
                <w:tcPr>
                  <w:tcW w:w="1374" w:type="dxa"/>
                  <w:vMerge w:val="continue"/>
                  <w:tcBorders>
                    <w:tl2br w:val="nil"/>
                    <w:tr2bl w:val="nil"/>
                  </w:tcBorders>
                  <w:noWrap w:val="0"/>
                  <w:vAlign w:val="center"/>
                </w:tcPr>
                <w:p w14:paraId="794BB732">
                  <w:pPr>
                    <w:pStyle w:val="129"/>
                    <w:spacing w:line="240" w:lineRule="auto"/>
                    <w:rPr>
                      <w:color w:val="auto"/>
                      <w:szCs w:val="21"/>
                    </w:rPr>
                  </w:pPr>
                </w:p>
              </w:tc>
            </w:tr>
            <w:tr w14:paraId="76349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43B1CE93">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noWrap w:val="0"/>
                  <w:vAlign w:val="center"/>
                </w:tcPr>
                <w:p w14:paraId="394951C7">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溆浦县第三人民医院</w:t>
                  </w:r>
                </w:p>
              </w:tc>
              <w:tc>
                <w:tcPr>
                  <w:tcW w:w="674" w:type="dxa"/>
                  <w:tcBorders>
                    <w:tl2br w:val="nil"/>
                    <w:tr2bl w:val="nil"/>
                  </w:tcBorders>
                  <w:noWrap w:val="0"/>
                  <w:vAlign w:val="center"/>
                </w:tcPr>
                <w:p w14:paraId="3F79C644">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110.53522</w:t>
                  </w:r>
                </w:p>
              </w:tc>
              <w:tc>
                <w:tcPr>
                  <w:tcW w:w="757" w:type="dxa"/>
                  <w:tcBorders>
                    <w:tl2br w:val="nil"/>
                    <w:tr2bl w:val="nil"/>
                  </w:tcBorders>
                  <w:noWrap w:val="0"/>
                  <w:vAlign w:val="center"/>
                </w:tcPr>
                <w:p w14:paraId="432D8CF2">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27.41851</w:t>
                  </w:r>
                </w:p>
              </w:tc>
              <w:tc>
                <w:tcPr>
                  <w:tcW w:w="770" w:type="dxa"/>
                  <w:tcBorders>
                    <w:tl2br w:val="nil"/>
                    <w:tr2bl w:val="nil"/>
                  </w:tcBorders>
                  <w:noWrap w:val="0"/>
                  <w:vAlign w:val="center"/>
                </w:tcPr>
                <w:p w14:paraId="4013A1FE">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东北</w:t>
                  </w:r>
                </w:p>
              </w:tc>
              <w:tc>
                <w:tcPr>
                  <w:tcW w:w="746" w:type="dxa"/>
                  <w:tcBorders>
                    <w:tl2br w:val="nil"/>
                    <w:tr2bl w:val="nil"/>
                  </w:tcBorders>
                  <w:noWrap w:val="0"/>
                  <w:vAlign w:val="center"/>
                </w:tcPr>
                <w:p w14:paraId="0DCC981D">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485~670</w:t>
                  </w:r>
                </w:p>
              </w:tc>
              <w:tc>
                <w:tcPr>
                  <w:tcW w:w="662" w:type="dxa"/>
                  <w:tcBorders>
                    <w:tl2br w:val="nil"/>
                    <w:tr2bl w:val="nil"/>
                  </w:tcBorders>
                  <w:noWrap w:val="0"/>
                  <w:vAlign w:val="center"/>
                </w:tcPr>
                <w:p w14:paraId="6E79FAF8">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医院</w:t>
                  </w:r>
                </w:p>
              </w:tc>
              <w:tc>
                <w:tcPr>
                  <w:tcW w:w="975" w:type="dxa"/>
                  <w:tcBorders>
                    <w:tl2br w:val="nil"/>
                    <w:tr2bl w:val="nil"/>
                  </w:tcBorders>
                  <w:noWrap w:val="0"/>
                  <w:vAlign w:val="center"/>
                </w:tcPr>
                <w:p w14:paraId="7362F852">
                  <w:pPr>
                    <w:spacing w:line="240" w:lineRule="atLeast"/>
                    <w:jc w:val="center"/>
                    <w:rPr>
                      <w:rFonts w:hint="eastAsia" w:ascii="Times New Roman" w:hAnsi="Times New Roman" w:eastAsia="宋体" w:cs="Times New Roman"/>
                      <w:color w:val="auto"/>
                      <w:sz w:val="21"/>
                      <w:szCs w:val="24"/>
                      <w:lang w:val="en-US" w:eastAsia="zh-CN"/>
                    </w:rPr>
                  </w:pPr>
                </w:p>
              </w:tc>
              <w:tc>
                <w:tcPr>
                  <w:tcW w:w="1374" w:type="dxa"/>
                  <w:vMerge w:val="continue"/>
                  <w:tcBorders>
                    <w:tl2br w:val="nil"/>
                    <w:tr2bl w:val="nil"/>
                  </w:tcBorders>
                  <w:noWrap w:val="0"/>
                  <w:vAlign w:val="center"/>
                </w:tcPr>
                <w:p w14:paraId="1DD3F7FB">
                  <w:pPr>
                    <w:pStyle w:val="129"/>
                    <w:spacing w:line="240" w:lineRule="auto"/>
                    <w:rPr>
                      <w:color w:val="auto"/>
                      <w:szCs w:val="21"/>
                    </w:rPr>
                  </w:pPr>
                </w:p>
              </w:tc>
            </w:tr>
            <w:tr w14:paraId="47C68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restart"/>
                  <w:tcBorders>
                    <w:tl2br w:val="nil"/>
                    <w:tr2bl w:val="nil"/>
                  </w:tcBorders>
                  <w:noWrap w:val="0"/>
                  <w:vAlign w:val="center"/>
                </w:tcPr>
                <w:p w14:paraId="63F255B1">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声环境</w:t>
                  </w:r>
                </w:p>
              </w:tc>
              <w:tc>
                <w:tcPr>
                  <w:tcW w:w="1120" w:type="dxa"/>
                  <w:tcBorders>
                    <w:tl2br w:val="nil"/>
                    <w:tr2bl w:val="nil"/>
                  </w:tcBorders>
                  <w:noWrap w:val="0"/>
                  <w:vAlign w:val="center"/>
                </w:tcPr>
                <w:p w14:paraId="4E540053">
                  <w:pPr>
                    <w:spacing w:line="240" w:lineRule="atLeast"/>
                    <w:jc w:val="center"/>
                    <w:rPr>
                      <w:rFonts w:hint="eastAsia" w:ascii="Times New Roman" w:hAnsi="Times New Roman" w:eastAsia="宋体" w:cs="Times New Roman"/>
                      <w:color w:val="auto"/>
                      <w:sz w:val="21"/>
                      <w:szCs w:val="24"/>
                      <w:lang w:eastAsia="zh-CN"/>
                    </w:rPr>
                  </w:pPr>
                  <w:r>
                    <w:rPr>
                      <w:rFonts w:hint="eastAsia"/>
                      <w:color w:val="auto"/>
                    </w:rPr>
                    <w:t>龙潭院子小区</w:t>
                  </w:r>
                </w:p>
              </w:tc>
              <w:tc>
                <w:tcPr>
                  <w:tcW w:w="674" w:type="dxa"/>
                  <w:tcBorders>
                    <w:tl2br w:val="nil"/>
                    <w:tr2bl w:val="nil"/>
                  </w:tcBorders>
                  <w:noWrap w:val="0"/>
                  <w:vAlign w:val="center"/>
                </w:tcPr>
                <w:p w14:paraId="6044D9F1">
                  <w:pPr>
                    <w:spacing w:line="240" w:lineRule="atLeast"/>
                    <w:jc w:val="center"/>
                    <w:rPr>
                      <w:rFonts w:hint="eastAsia" w:ascii="Times New Roman" w:hAnsi="Times New Roman" w:eastAsia="宋体" w:cs="Times New Roman"/>
                      <w:color w:val="auto"/>
                      <w:sz w:val="21"/>
                      <w:szCs w:val="24"/>
                      <w:lang w:eastAsia="zh-CN"/>
                    </w:rPr>
                  </w:pPr>
                  <w:r>
                    <w:rPr>
                      <w:rFonts w:hint="eastAsia"/>
                      <w:color w:val="auto"/>
                    </w:rPr>
                    <w:t>110.53037</w:t>
                  </w:r>
                </w:p>
              </w:tc>
              <w:tc>
                <w:tcPr>
                  <w:tcW w:w="757" w:type="dxa"/>
                  <w:tcBorders>
                    <w:tl2br w:val="nil"/>
                    <w:tr2bl w:val="nil"/>
                  </w:tcBorders>
                  <w:noWrap w:val="0"/>
                  <w:vAlign w:val="center"/>
                </w:tcPr>
                <w:p w14:paraId="3E7132E3">
                  <w:pPr>
                    <w:spacing w:line="240" w:lineRule="atLeast"/>
                    <w:jc w:val="center"/>
                    <w:rPr>
                      <w:rFonts w:hint="eastAsia" w:ascii="Times New Roman" w:hAnsi="Times New Roman" w:eastAsia="宋体" w:cs="Times New Roman"/>
                      <w:color w:val="auto"/>
                      <w:sz w:val="21"/>
                      <w:szCs w:val="24"/>
                      <w:lang w:eastAsia="zh-CN"/>
                    </w:rPr>
                  </w:pPr>
                  <w:r>
                    <w:rPr>
                      <w:rFonts w:hint="eastAsia"/>
                      <w:color w:val="auto"/>
                    </w:rPr>
                    <w:t>27.41581</w:t>
                  </w:r>
                </w:p>
              </w:tc>
              <w:tc>
                <w:tcPr>
                  <w:tcW w:w="770" w:type="dxa"/>
                  <w:tcBorders>
                    <w:tl2br w:val="nil"/>
                    <w:tr2bl w:val="nil"/>
                  </w:tcBorders>
                  <w:noWrap w:val="0"/>
                  <w:vAlign w:val="center"/>
                </w:tcPr>
                <w:p w14:paraId="395C9172">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南</w:t>
                  </w:r>
                </w:p>
              </w:tc>
              <w:tc>
                <w:tcPr>
                  <w:tcW w:w="746" w:type="dxa"/>
                  <w:tcBorders>
                    <w:tl2br w:val="nil"/>
                    <w:tr2bl w:val="nil"/>
                  </w:tcBorders>
                  <w:noWrap w:val="0"/>
                  <w:vAlign w:val="center"/>
                </w:tcPr>
                <w:p w14:paraId="6652C3B1">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42~50</w:t>
                  </w:r>
                </w:p>
              </w:tc>
              <w:tc>
                <w:tcPr>
                  <w:tcW w:w="662" w:type="dxa"/>
                  <w:tcBorders>
                    <w:tl2br w:val="nil"/>
                    <w:tr2bl w:val="nil"/>
                  </w:tcBorders>
                  <w:noWrap w:val="0"/>
                  <w:vAlign w:val="center"/>
                </w:tcPr>
                <w:p w14:paraId="66E4D378">
                  <w:pPr>
                    <w:spacing w:line="240" w:lineRule="atLeast"/>
                    <w:jc w:val="center"/>
                    <w:rPr>
                      <w:rFonts w:hint="eastAsia" w:ascii="Times New Roman" w:hAnsi="Times New Roman" w:eastAsia="宋体" w:cs="Times New Roman"/>
                      <w:color w:val="auto"/>
                      <w:sz w:val="21"/>
                      <w:szCs w:val="24"/>
                      <w:lang w:eastAsia="zh-CN"/>
                    </w:rPr>
                  </w:pPr>
                  <w:r>
                    <w:rPr>
                      <w:rFonts w:hint="eastAsia"/>
                      <w:color w:val="auto"/>
                    </w:rPr>
                    <w:t>居民</w:t>
                  </w:r>
                </w:p>
              </w:tc>
              <w:tc>
                <w:tcPr>
                  <w:tcW w:w="975" w:type="dxa"/>
                  <w:tcBorders>
                    <w:tl2br w:val="nil"/>
                    <w:tr2bl w:val="nil"/>
                  </w:tcBorders>
                  <w:noWrap w:val="0"/>
                  <w:vAlign w:val="center"/>
                </w:tcPr>
                <w:p w14:paraId="7E3950D4">
                  <w:pPr>
                    <w:spacing w:line="240" w:lineRule="atLeast"/>
                    <w:jc w:val="center"/>
                    <w:rPr>
                      <w:rFonts w:hint="eastAsia" w:ascii="Times New Roman" w:hAnsi="Times New Roman" w:eastAsia="宋体" w:cs="Times New Roman"/>
                      <w:color w:val="auto"/>
                      <w:sz w:val="21"/>
                      <w:szCs w:val="24"/>
                      <w:lang w:eastAsia="zh-CN"/>
                    </w:rPr>
                  </w:pPr>
                  <w:r>
                    <w:rPr>
                      <w:rFonts w:hint="eastAsia"/>
                      <w:color w:val="auto"/>
                    </w:rPr>
                    <w:t>约</w:t>
                  </w:r>
                  <w:r>
                    <w:rPr>
                      <w:rFonts w:hint="eastAsia"/>
                      <w:color w:val="auto"/>
                      <w:lang w:val="en-US" w:eastAsia="zh-CN"/>
                    </w:rPr>
                    <w:t>7</w:t>
                  </w:r>
                  <w:r>
                    <w:rPr>
                      <w:rFonts w:hint="eastAsia"/>
                      <w:color w:val="auto"/>
                    </w:rPr>
                    <w:t>0人</w:t>
                  </w:r>
                </w:p>
              </w:tc>
              <w:tc>
                <w:tcPr>
                  <w:tcW w:w="1374" w:type="dxa"/>
                  <w:vMerge w:val="restart"/>
                  <w:tcBorders>
                    <w:tl2br w:val="nil"/>
                    <w:tr2bl w:val="nil"/>
                  </w:tcBorders>
                  <w:noWrap w:val="0"/>
                  <w:vAlign w:val="center"/>
                </w:tcPr>
                <w:p w14:paraId="402156CF">
                  <w:pPr>
                    <w:pStyle w:val="129"/>
                    <w:spacing w:line="240" w:lineRule="auto"/>
                    <w:rPr>
                      <w:color w:val="auto"/>
                      <w:szCs w:val="21"/>
                    </w:rPr>
                  </w:pPr>
                  <w:r>
                    <w:rPr>
                      <w:color w:val="auto"/>
                      <w:szCs w:val="21"/>
                    </w:rPr>
                    <w:t>《声环境质量标准》（GB3096-2008）中</w:t>
                  </w:r>
                  <w:r>
                    <w:rPr>
                      <w:rFonts w:hint="eastAsia"/>
                      <w:color w:val="auto"/>
                      <w:szCs w:val="21"/>
                      <w:lang w:val="en-US" w:eastAsia="zh-CN"/>
                    </w:rPr>
                    <w:t>2</w:t>
                  </w:r>
                  <w:r>
                    <w:rPr>
                      <w:color w:val="auto"/>
                      <w:szCs w:val="21"/>
                    </w:rPr>
                    <w:t>类标准</w:t>
                  </w:r>
                </w:p>
              </w:tc>
            </w:tr>
            <w:tr w14:paraId="30159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72706C2A">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noWrap w:val="0"/>
                  <w:vAlign w:val="center"/>
                </w:tcPr>
                <w:p w14:paraId="07DA0D5B">
                  <w:pPr>
                    <w:spacing w:line="240" w:lineRule="atLeast"/>
                    <w:jc w:val="center"/>
                    <w:rPr>
                      <w:rFonts w:hint="eastAsia"/>
                      <w:color w:val="auto"/>
                    </w:rPr>
                  </w:pPr>
                  <w:r>
                    <w:rPr>
                      <w:rFonts w:hint="eastAsia" w:ascii="Times New Roman" w:hAnsi="Times New Roman" w:eastAsia="宋体" w:cs="Times New Roman"/>
                      <w:color w:val="auto"/>
                      <w:sz w:val="21"/>
                      <w:szCs w:val="24"/>
                      <w:lang w:eastAsia="zh-CN"/>
                    </w:rPr>
                    <w:t>杞子湾居民</w:t>
                  </w:r>
                </w:p>
              </w:tc>
              <w:tc>
                <w:tcPr>
                  <w:tcW w:w="674" w:type="dxa"/>
                  <w:tcBorders>
                    <w:tl2br w:val="nil"/>
                    <w:tr2bl w:val="nil"/>
                  </w:tcBorders>
                  <w:noWrap w:val="0"/>
                  <w:vAlign w:val="center"/>
                </w:tcPr>
                <w:p w14:paraId="2F03E434">
                  <w:pPr>
                    <w:spacing w:line="240" w:lineRule="atLeast"/>
                    <w:jc w:val="center"/>
                    <w:rPr>
                      <w:rFonts w:hint="eastAsia"/>
                      <w:color w:val="auto"/>
                    </w:rPr>
                  </w:pPr>
                  <w:r>
                    <w:rPr>
                      <w:rFonts w:hint="eastAsia"/>
                      <w:color w:val="auto"/>
                    </w:rPr>
                    <w:t>110.53113</w:t>
                  </w:r>
                </w:p>
              </w:tc>
              <w:tc>
                <w:tcPr>
                  <w:tcW w:w="757" w:type="dxa"/>
                  <w:tcBorders>
                    <w:tl2br w:val="nil"/>
                    <w:tr2bl w:val="nil"/>
                  </w:tcBorders>
                  <w:noWrap w:val="0"/>
                  <w:vAlign w:val="center"/>
                </w:tcPr>
                <w:p w14:paraId="65C49555">
                  <w:pPr>
                    <w:spacing w:line="240" w:lineRule="atLeast"/>
                    <w:jc w:val="center"/>
                    <w:rPr>
                      <w:rFonts w:hint="eastAsia"/>
                      <w:color w:val="auto"/>
                    </w:rPr>
                  </w:pPr>
                  <w:r>
                    <w:rPr>
                      <w:rFonts w:hint="eastAsia"/>
                      <w:color w:val="auto"/>
                    </w:rPr>
                    <w:t>27.41616</w:t>
                  </w:r>
                </w:p>
              </w:tc>
              <w:tc>
                <w:tcPr>
                  <w:tcW w:w="770" w:type="dxa"/>
                  <w:tcBorders>
                    <w:tl2br w:val="nil"/>
                    <w:tr2bl w:val="nil"/>
                  </w:tcBorders>
                  <w:noWrap w:val="0"/>
                  <w:vAlign w:val="center"/>
                </w:tcPr>
                <w:p w14:paraId="1E77CD1C">
                  <w:pPr>
                    <w:spacing w:line="240" w:lineRule="atLeast"/>
                    <w:jc w:val="center"/>
                    <w:rPr>
                      <w:rFonts w:hint="eastAsia"/>
                      <w:color w:val="auto"/>
                    </w:rPr>
                  </w:pPr>
                  <w:r>
                    <w:rPr>
                      <w:rFonts w:hint="eastAsia" w:cs="Times New Roman"/>
                      <w:color w:val="auto"/>
                      <w:sz w:val="21"/>
                      <w:szCs w:val="24"/>
                      <w:lang w:val="en-US" w:eastAsia="zh-CN"/>
                    </w:rPr>
                    <w:t>东南</w:t>
                  </w:r>
                </w:p>
              </w:tc>
              <w:tc>
                <w:tcPr>
                  <w:tcW w:w="746" w:type="dxa"/>
                  <w:tcBorders>
                    <w:tl2br w:val="nil"/>
                    <w:tr2bl w:val="nil"/>
                  </w:tcBorders>
                  <w:noWrap w:val="0"/>
                  <w:vAlign w:val="center"/>
                </w:tcPr>
                <w:p w14:paraId="31310A22">
                  <w:pPr>
                    <w:spacing w:line="240" w:lineRule="atLeast"/>
                    <w:jc w:val="center"/>
                    <w:rPr>
                      <w:rFonts w:hint="default" w:eastAsia="宋体"/>
                      <w:color w:val="auto"/>
                      <w:lang w:val="en-US" w:eastAsia="zh-CN"/>
                    </w:rPr>
                  </w:pPr>
                  <w:r>
                    <w:rPr>
                      <w:rFonts w:hint="eastAsia"/>
                      <w:color w:val="auto"/>
                      <w:lang w:val="en-US" w:eastAsia="zh-CN"/>
                    </w:rPr>
                    <w:t>35~50</w:t>
                  </w:r>
                </w:p>
              </w:tc>
              <w:tc>
                <w:tcPr>
                  <w:tcW w:w="662" w:type="dxa"/>
                  <w:tcBorders>
                    <w:tl2br w:val="nil"/>
                    <w:tr2bl w:val="nil"/>
                  </w:tcBorders>
                  <w:noWrap w:val="0"/>
                  <w:vAlign w:val="center"/>
                </w:tcPr>
                <w:p w14:paraId="62309821">
                  <w:pPr>
                    <w:spacing w:line="240" w:lineRule="atLeast"/>
                    <w:jc w:val="center"/>
                    <w:rPr>
                      <w:rFonts w:hint="eastAsia"/>
                      <w:color w:val="auto"/>
                    </w:rPr>
                  </w:pPr>
                  <w:r>
                    <w:rPr>
                      <w:rFonts w:hint="eastAsia"/>
                      <w:color w:val="auto"/>
                    </w:rPr>
                    <w:t>居民</w:t>
                  </w:r>
                </w:p>
              </w:tc>
              <w:tc>
                <w:tcPr>
                  <w:tcW w:w="975" w:type="dxa"/>
                  <w:tcBorders>
                    <w:tl2br w:val="nil"/>
                    <w:tr2bl w:val="nil"/>
                  </w:tcBorders>
                  <w:noWrap w:val="0"/>
                  <w:vAlign w:val="center"/>
                </w:tcPr>
                <w:p w14:paraId="68306E98">
                  <w:pPr>
                    <w:spacing w:line="240" w:lineRule="atLeast"/>
                    <w:jc w:val="center"/>
                    <w:rPr>
                      <w:rFonts w:hint="default" w:eastAsia="宋体"/>
                      <w:color w:val="auto"/>
                      <w:lang w:val="en-US" w:eastAsia="zh-CN"/>
                    </w:rPr>
                  </w:pPr>
                  <w:r>
                    <w:rPr>
                      <w:rFonts w:hint="eastAsia"/>
                      <w:color w:val="auto"/>
                      <w:lang w:val="en-US" w:eastAsia="zh-CN"/>
                    </w:rPr>
                    <w:t>约4人</w:t>
                  </w:r>
                </w:p>
              </w:tc>
              <w:tc>
                <w:tcPr>
                  <w:tcW w:w="1374" w:type="dxa"/>
                  <w:vMerge w:val="continue"/>
                  <w:tcBorders>
                    <w:tl2br w:val="nil"/>
                    <w:tr2bl w:val="nil"/>
                  </w:tcBorders>
                  <w:noWrap w:val="0"/>
                  <w:vAlign w:val="center"/>
                </w:tcPr>
                <w:p w14:paraId="3897F96C">
                  <w:pPr>
                    <w:pStyle w:val="129"/>
                    <w:spacing w:line="240" w:lineRule="auto"/>
                    <w:rPr>
                      <w:color w:val="auto"/>
                      <w:szCs w:val="21"/>
                    </w:rPr>
                  </w:pPr>
                </w:p>
              </w:tc>
            </w:tr>
            <w:tr w14:paraId="4F195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vMerge w:val="continue"/>
                  <w:tcBorders>
                    <w:tl2br w:val="nil"/>
                    <w:tr2bl w:val="nil"/>
                  </w:tcBorders>
                  <w:noWrap w:val="0"/>
                  <w:vAlign w:val="center"/>
                </w:tcPr>
                <w:p w14:paraId="4A15D804">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p>
              </w:tc>
              <w:tc>
                <w:tcPr>
                  <w:tcW w:w="1120" w:type="dxa"/>
                  <w:tcBorders>
                    <w:tl2br w:val="nil"/>
                    <w:tr2bl w:val="nil"/>
                  </w:tcBorders>
                  <w:noWrap w:val="0"/>
                  <w:vAlign w:val="center"/>
                </w:tcPr>
                <w:p w14:paraId="7FA04C0B">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项目东北侧居民</w:t>
                  </w:r>
                </w:p>
              </w:tc>
              <w:tc>
                <w:tcPr>
                  <w:tcW w:w="674" w:type="dxa"/>
                  <w:tcBorders>
                    <w:tl2br w:val="nil"/>
                    <w:tr2bl w:val="nil"/>
                  </w:tcBorders>
                  <w:noWrap w:val="0"/>
                  <w:vAlign w:val="center"/>
                </w:tcPr>
                <w:p w14:paraId="5F15A88B">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110.53057</w:t>
                  </w:r>
                </w:p>
              </w:tc>
              <w:tc>
                <w:tcPr>
                  <w:tcW w:w="757" w:type="dxa"/>
                  <w:tcBorders>
                    <w:tl2br w:val="nil"/>
                    <w:tr2bl w:val="nil"/>
                  </w:tcBorders>
                  <w:noWrap w:val="0"/>
                  <w:vAlign w:val="center"/>
                </w:tcPr>
                <w:p w14:paraId="5AFE6A2F">
                  <w:pPr>
                    <w:spacing w:line="240" w:lineRule="atLeast"/>
                    <w:jc w:val="center"/>
                    <w:rPr>
                      <w:rFonts w:hint="eastAsia" w:ascii="Times New Roman" w:hAnsi="Times New Roman" w:eastAsia="宋体" w:cs="Times New Roman"/>
                      <w:color w:val="auto"/>
                      <w:sz w:val="21"/>
                      <w:szCs w:val="24"/>
                      <w:lang w:eastAsia="zh-CN"/>
                    </w:rPr>
                  </w:pPr>
                  <w:r>
                    <w:rPr>
                      <w:rFonts w:hint="eastAsia" w:ascii="Times New Roman" w:hAnsi="Times New Roman" w:eastAsia="宋体" w:cs="Times New Roman"/>
                      <w:color w:val="auto"/>
                      <w:sz w:val="21"/>
                      <w:szCs w:val="24"/>
                      <w:lang w:eastAsia="zh-CN"/>
                    </w:rPr>
                    <w:t>27.41724</w:t>
                  </w:r>
                </w:p>
              </w:tc>
              <w:tc>
                <w:tcPr>
                  <w:tcW w:w="770" w:type="dxa"/>
                  <w:tcBorders>
                    <w:tl2br w:val="nil"/>
                    <w:tr2bl w:val="nil"/>
                  </w:tcBorders>
                  <w:noWrap w:val="0"/>
                  <w:vAlign w:val="center"/>
                </w:tcPr>
                <w:p w14:paraId="54FC6185">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东北</w:t>
                  </w:r>
                </w:p>
              </w:tc>
              <w:tc>
                <w:tcPr>
                  <w:tcW w:w="746" w:type="dxa"/>
                  <w:tcBorders>
                    <w:tl2br w:val="nil"/>
                    <w:tr2bl w:val="nil"/>
                  </w:tcBorders>
                  <w:noWrap w:val="0"/>
                  <w:vAlign w:val="center"/>
                </w:tcPr>
                <w:p w14:paraId="17251E0D">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7~50</w:t>
                  </w:r>
                </w:p>
              </w:tc>
              <w:tc>
                <w:tcPr>
                  <w:tcW w:w="662" w:type="dxa"/>
                  <w:tcBorders>
                    <w:tl2br w:val="nil"/>
                    <w:tr2bl w:val="nil"/>
                  </w:tcBorders>
                  <w:noWrap w:val="0"/>
                  <w:vAlign w:val="center"/>
                </w:tcPr>
                <w:p w14:paraId="176CC641">
                  <w:pPr>
                    <w:spacing w:line="240" w:lineRule="atLeast"/>
                    <w:jc w:val="center"/>
                    <w:rPr>
                      <w:rFonts w:hint="default" w:ascii="Times New Roman" w:hAnsi="Times New Roman" w:eastAsia="宋体" w:cs="Times New Roman"/>
                      <w:color w:val="auto"/>
                      <w:sz w:val="21"/>
                      <w:szCs w:val="24"/>
                      <w:lang w:eastAsia="zh-CN"/>
                    </w:rPr>
                  </w:pPr>
                  <w:r>
                    <w:rPr>
                      <w:rFonts w:hint="eastAsia"/>
                      <w:color w:val="auto"/>
                    </w:rPr>
                    <w:t>居民</w:t>
                  </w:r>
                </w:p>
              </w:tc>
              <w:tc>
                <w:tcPr>
                  <w:tcW w:w="975" w:type="dxa"/>
                  <w:tcBorders>
                    <w:tl2br w:val="nil"/>
                    <w:tr2bl w:val="nil"/>
                  </w:tcBorders>
                  <w:shd w:val="clear" w:color="auto" w:fill="auto"/>
                  <w:noWrap w:val="0"/>
                  <w:vAlign w:val="center"/>
                </w:tcPr>
                <w:p w14:paraId="77B9D7ED">
                  <w:pPr>
                    <w:spacing w:line="240" w:lineRule="atLeast"/>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约10人</w:t>
                  </w:r>
                </w:p>
              </w:tc>
              <w:tc>
                <w:tcPr>
                  <w:tcW w:w="1374" w:type="dxa"/>
                  <w:vMerge w:val="continue"/>
                  <w:tcBorders>
                    <w:tl2br w:val="nil"/>
                    <w:tr2bl w:val="nil"/>
                  </w:tcBorders>
                  <w:shd w:val="clear" w:color="auto" w:fill="auto"/>
                  <w:noWrap w:val="0"/>
                  <w:vAlign w:val="center"/>
                </w:tcPr>
                <w:p w14:paraId="3586E19B">
                  <w:pPr>
                    <w:spacing w:line="240" w:lineRule="atLeast"/>
                    <w:jc w:val="center"/>
                    <w:rPr>
                      <w:rFonts w:hint="default" w:ascii="Times New Roman" w:hAnsi="Times New Roman" w:eastAsia="宋体" w:cs="Times New Roman"/>
                      <w:color w:val="auto"/>
                      <w:kern w:val="2"/>
                      <w:sz w:val="21"/>
                      <w:szCs w:val="24"/>
                      <w:lang w:val="en-US" w:eastAsia="zh-CN" w:bidi="ar-SA"/>
                    </w:rPr>
                  </w:pPr>
                  <w:r>
                    <w:rPr>
                      <w:rFonts w:ascii="Helvetica" w:hAnsi="Helvetica" w:eastAsia="Helvetica" w:cs="Helvetica"/>
                      <w:i w:val="0"/>
                      <w:iCs w:val="0"/>
                      <w:caps w:val="0"/>
                      <w:color w:val="auto"/>
                      <w:spacing w:val="0"/>
                      <w:sz w:val="21"/>
                      <w:szCs w:val="21"/>
                      <w:shd w:val="clear" w:fill="FFFFFF"/>
                    </w:rPr>
                    <w:t>溆浦县第一批</w:t>
                  </w:r>
                  <w:r>
                    <w:rPr>
                      <w:rFonts w:hint="default" w:ascii="Helvetica" w:hAnsi="Helvetica" w:eastAsia="Helvetica" w:cs="Helvetica"/>
                      <w:i w:val="0"/>
                      <w:iCs w:val="0"/>
                      <w:caps w:val="0"/>
                      <w:color w:val="auto"/>
                      <w:spacing w:val="0"/>
                      <w:sz w:val="21"/>
                      <w:szCs w:val="21"/>
                      <w:shd w:val="clear" w:fill="FFFFFF"/>
                    </w:rPr>
                    <w:t>文物保护单位</w:t>
                  </w:r>
                </w:p>
              </w:tc>
            </w:tr>
            <w:tr w14:paraId="3339B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tcBorders>
                    <w:tl2br w:val="nil"/>
                    <w:tr2bl w:val="nil"/>
                  </w:tcBorders>
                  <w:noWrap w:val="0"/>
                  <w:vAlign w:val="center"/>
                </w:tcPr>
                <w:p w14:paraId="19BE1C2A">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hint="eastAsia" w:ascii="Times New Roman" w:hAnsi="Times New Roman" w:eastAsia="宋体" w:cs="Times New Roman"/>
                      <w:b w:val="0"/>
                      <w:color w:val="auto"/>
                      <w:sz w:val="21"/>
                      <w:szCs w:val="21"/>
                      <w:lang w:val="en-US" w:eastAsia="zh-CN"/>
                    </w:rPr>
                    <w:t>地表水环境</w:t>
                  </w:r>
                </w:p>
              </w:tc>
              <w:tc>
                <w:tcPr>
                  <w:tcW w:w="1120" w:type="dxa"/>
                  <w:tcBorders>
                    <w:tl2br w:val="nil"/>
                    <w:tr2bl w:val="nil"/>
                  </w:tcBorders>
                  <w:noWrap w:val="0"/>
                  <w:vAlign w:val="center"/>
                </w:tcPr>
                <w:p w14:paraId="16D08A05">
                  <w:pPr>
                    <w:spacing w:line="240" w:lineRule="atLeast"/>
                    <w:jc w:val="center"/>
                    <w:rPr>
                      <w:rFonts w:hint="default" w:cs="Times New Roman"/>
                      <w:color w:val="auto"/>
                      <w:sz w:val="21"/>
                      <w:szCs w:val="24"/>
                      <w:lang w:val="en-US" w:eastAsia="zh-CN"/>
                    </w:rPr>
                  </w:pPr>
                  <w:r>
                    <w:rPr>
                      <w:rFonts w:hint="eastAsia" w:cs="Times New Roman"/>
                      <w:color w:val="auto"/>
                      <w:sz w:val="21"/>
                      <w:szCs w:val="24"/>
                      <w:lang w:val="en-US" w:eastAsia="zh-CN"/>
                    </w:rPr>
                    <w:t>溆水</w:t>
                  </w:r>
                </w:p>
              </w:tc>
              <w:tc>
                <w:tcPr>
                  <w:tcW w:w="674" w:type="dxa"/>
                  <w:tcBorders>
                    <w:tl2br w:val="nil"/>
                    <w:tr2bl w:val="nil"/>
                  </w:tcBorders>
                  <w:noWrap w:val="0"/>
                  <w:vAlign w:val="center"/>
                </w:tcPr>
                <w:p w14:paraId="7C562588">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w:t>
                  </w:r>
                </w:p>
              </w:tc>
              <w:tc>
                <w:tcPr>
                  <w:tcW w:w="757" w:type="dxa"/>
                  <w:tcBorders>
                    <w:tl2br w:val="nil"/>
                    <w:tr2bl w:val="nil"/>
                  </w:tcBorders>
                  <w:noWrap w:val="0"/>
                  <w:vAlign w:val="center"/>
                </w:tcPr>
                <w:p w14:paraId="6EBC50C8">
                  <w:pPr>
                    <w:spacing w:line="240" w:lineRule="atLeast"/>
                    <w:jc w:val="center"/>
                    <w:rPr>
                      <w:rFonts w:hint="default" w:ascii="Times New Roman" w:hAnsi="Times New Roman" w:eastAsia="宋体" w:cs="Times New Roman"/>
                      <w:color w:val="auto"/>
                      <w:sz w:val="21"/>
                      <w:szCs w:val="24"/>
                      <w:lang w:val="en-US" w:eastAsia="zh-CN"/>
                    </w:rPr>
                  </w:pPr>
                  <w:r>
                    <w:rPr>
                      <w:rFonts w:hint="eastAsia" w:cs="Times New Roman"/>
                      <w:color w:val="auto"/>
                      <w:sz w:val="21"/>
                      <w:szCs w:val="24"/>
                      <w:lang w:val="en-US" w:eastAsia="zh-CN"/>
                    </w:rPr>
                    <w:t>/</w:t>
                  </w:r>
                </w:p>
              </w:tc>
              <w:tc>
                <w:tcPr>
                  <w:tcW w:w="770" w:type="dxa"/>
                  <w:tcBorders>
                    <w:tl2br w:val="nil"/>
                    <w:tr2bl w:val="nil"/>
                  </w:tcBorders>
                  <w:noWrap w:val="0"/>
                  <w:vAlign w:val="center"/>
                </w:tcPr>
                <w:p w14:paraId="3A2E3E70">
                  <w:pPr>
                    <w:spacing w:line="240" w:lineRule="atLeast"/>
                    <w:jc w:val="center"/>
                    <w:rPr>
                      <w:rFonts w:hint="default" w:cs="Times New Roman"/>
                      <w:color w:val="auto"/>
                      <w:sz w:val="21"/>
                      <w:szCs w:val="24"/>
                      <w:lang w:val="en-US" w:eastAsia="zh-CN"/>
                    </w:rPr>
                  </w:pPr>
                  <w:r>
                    <w:rPr>
                      <w:rFonts w:hint="eastAsia" w:cs="Times New Roman"/>
                      <w:color w:val="auto"/>
                      <w:sz w:val="21"/>
                      <w:szCs w:val="24"/>
                      <w:lang w:val="en-US" w:eastAsia="zh-CN"/>
                    </w:rPr>
                    <w:t>南</w:t>
                  </w:r>
                </w:p>
              </w:tc>
              <w:tc>
                <w:tcPr>
                  <w:tcW w:w="746" w:type="dxa"/>
                  <w:tcBorders>
                    <w:tl2br w:val="nil"/>
                    <w:tr2bl w:val="nil"/>
                  </w:tcBorders>
                  <w:noWrap w:val="0"/>
                  <w:vAlign w:val="center"/>
                </w:tcPr>
                <w:p w14:paraId="15368153">
                  <w:pPr>
                    <w:spacing w:line="240" w:lineRule="atLeast"/>
                    <w:jc w:val="center"/>
                    <w:rPr>
                      <w:rFonts w:hint="default" w:cs="Times New Roman"/>
                      <w:color w:val="auto"/>
                      <w:sz w:val="21"/>
                      <w:szCs w:val="24"/>
                      <w:lang w:val="en-US" w:eastAsia="zh-CN"/>
                    </w:rPr>
                  </w:pPr>
                  <w:r>
                    <w:rPr>
                      <w:rFonts w:hint="eastAsia" w:cs="Times New Roman"/>
                      <w:color w:val="auto"/>
                      <w:sz w:val="21"/>
                      <w:szCs w:val="24"/>
                      <w:lang w:val="en-US" w:eastAsia="zh-CN"/>
                    </w:rPr>
                    <w:t>550</w:t>
                  </w:r>
                </w:p>
              </w:tc>
              <w:tc>
                <w:tcPr>
                  <w:tcW w:w="662" w:type="dxa"/>
                  <w:tcBorders>
                    <w:tl2br w:val="nil"/>
                    <w:tr2bl w:val="nil"/>
                  </w:tcBorders>
                  <w:noWrap w:val="0"/>
                  <w:vAlign w:val="center"/>
                </w:tcPr>
                <w:p w14:paraId="1413F06C">
                  <w:pPr>
                    <w:spacing w:line="240" w:lineRule="atLeast"/>
                    <w:jc w:val="center"/>
                    <w:rPr>
                      <w:rFonts w:hint="eastAsia" w:eastAsia="宋体"/>
                      <w:color w:val="auto"/>
                      <w:lang w:val="en-US" w:eastAsia="zh-CN"/>
                    </w:rPr>
                  </w:pPr>
                  <w:r>
                    <w:rPr>
                      <w:rFonts w:hint="eastAsia"/>
                      <w:color w:val="auto"/>
                      <w:lang w:val="en-US" w:eastAsia="zh-CN"/>
                    </w:rPr>
                    <w:t>地表水</w:t>
                  </w:r>
                </w:p>
              </w:tc>
              <w:tc>
                <w:tcPr>
                  <w:tcW w:w="975" w:type="dxa"/>
                  <w:tcBorders>
                    <w:tl2br w:val="nil"/>
                    <w:tr2bl w:val="nil"/>
                  </w:tcBorders>
                  <w:shd w:val="clear" w:color="auto" w:fill="auto"/>
                  <w:noWrap w:val="0"/>
                  <w:vAlign w:val="center"/>
                </w:tcPr>
                <w:p w14:paraId="00768811">
                  <w:pPr>
                    <w:spacing w:line="240" w:lineRule="atLeast"/>
                    <w:jc w:val="center"/>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中河</w:t>
                  </w:r>
                </w:p>
              </w:tc>
              <w:tc>
                <w:tcPr>
                  <w:tcW w:w="1374" w:type="dxa"/>
                  <w:tcBorders>
                    <w:tl2br w:val="nil"/>
                    <w:tr2bl w:val="nil"/>
                  </w:tcBorders>
                  <w:shd w:val="clear" w:color="auto" w:fill="auto"/>
                  <w:noWrap w:val="0"/>
                  <w:vAlign w:val="center"/>
                </w:tcPr>
                <w:p w14:paraId="2A2852C6">
                  <w:pPr>
                    <w:spacing w:line="240" w:lineRule="atLeast"/>
                    <w:jc w:val="center"/>
                    <w:rPr>
                      <w:rFonts w:ascii="Helvetica" w:hAnsi="Helvetica" w:eastAsia="Helvetica" w:cs="Helvetica"/>
                      <w:i w:val="0"/>
                      <w:iCs w:val="0"/>
                      <w:caps w:val="0"/>
                      <w:color w:val="auto"/>
                      <w:spacing w:val="0"/>
                      <w:sz w:val="21"/>
                      <w:szCs w:val="21"/>
                      <w:shd w:val="clear" w:fill="FFFFFF"/>
                    </w:rPr>
                  </w:pPr>
                  <w:r>
                    <w:rPr>
                      <w:rFonts w:hint="default" w:ascii="Times New Roman" w:hAnsi="Times New Roman" w:eastAsia="宋体" w:cs="Times New Roman"/>
                      <w:b w:val="0"/>
                      <w:color w:val="auto"/>
                      <w:sz w:val="21"/>
                      <w:szCs w:val="21"/>
                      <w:lang w:val="en-US" w:eastAsia="zh-CN"/>
                    </w:rPr>
                    <w:t>《地表水环境质量标准》（GB3838-2002）</w:t>
                  </w:r>
                  <w:r>
                    <w:rPr>
                      <w:rFonts w:hint="eastAsia" w:ascii="Times New Roman" w:hAnsi="Times New Roman" w:eastAsia="宋体" w:cs="Times New Roman"/>
                      <w:b w:val="0"/>
                      <w:color w:val="auto"/>
                      <w:sz w:val="21"/>
                      <w:szCs w:val="21"/>
                      <w:lang w:val="en-US" w:eastAsia="zh-CN"/>
                    </w:rPr>
                    <w:t>Ⅲ类</w:t>
                  </w:r>
                </w:p>
              </w:tc>
            </w:tr>
            <w:tr w14:paraId="72E39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tcBorders>
                    <w:tl2br w:val="nil"/>
                    <w:tr2bl w:val="nil"/>
                  </w:tcBorders>
                  <w:noWrap w:val="0"/>
                  <w:vAlign w:val="center"/>
                </w:tcPr>
                <w:p w14:paraId="0819E57E">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地下水</w:t>
                  </w:r>
                </w:p>
              </w:tc>
              <w:tc>
                <w:tcPr>
                  <w:tcW w:w="7078" w:type="dxa"/>
                  <w:gridSpan w:val="8"/>
                  <w:tcBorders>
                    <w:tl2br w:val="nil"/>
                    <w:tr2bl w:val="nil"/>
                  </w:tcBorders>
                  <w:noWrap w:val="0"/>
                  <w:vAlign w:val="center"/>
                </w:tcPr>
                <w:p w14:paraId="565A9349">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left"/>
                    <w:textAlignment w:val="baseline"/>
                    <w:rPr>
                      <w:color w:val="auto"/>
                      <w:sz w:val="21"/>
                      <w:szCs w:val="21"/>
                    </w:rPr>
                  </w:pPr>
                  <w:r>
                    <w:rPr>
                      <w:color w:val="auto"/>
                      <w:sz w:val="21"/>
                      <w:szCs w:val="21"/>
                    </w:rPr>
                    <w:t>无。项目厂界外500m内无地下水集中式饮用水源和热水、矿泉水、温泉等特殊地下水资源。</w:t>
                  </w:r>
                </w:p>
              </w:tc>
            </w:tr>
            <w:tr w14:paraId="0FDB9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8" w:type="dxa"/>
                  <w:tcBorders>
                    <w:tl2br w:val="nil"/>
                    <w:tr2bl w:val="nil"/>
                  </w:tcBorders>
                  <w:noWrap w:val="0"/>
                  <w:vAlign w:val="center"/>
                </w:tcPr>
                <w:p w14:paraId="4CAED8B2">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center"/>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生态环境</w:t>
                  </w:r>
                </w:p>
              </w:tc>
              <w:tc>
                <w:tcPr>
                  <w:tcW w:w="7078" w:type="dxa"/>
                  <w:gridSpan w:val="8"/>
                  <w:tcBorders>
                    <w:tl2br w:val="nil"/>
                    <w:tr2bl w:val="nil"/>
                  </w:tcBorders>
                  <w:noWrap w:val="0"/>
                  <w:vAlign w:val="center"/>
                </w:tcPr>
                <w:p w14:paraId="60936A0B">
                  <w:pPr>
                    <w:pStyle w:val="128"/>
                    <w:keepNext w:val="0"/>
                    <w:keepLines w:val="0"/>
                    <w:pageBreakBefore w:val="0"/>
                    <w:widowControl/>
                    <w:kinsoku/>
                    <w:wordWrap/>
                    <w:overflowPunct w:val="0"/>
                    <w:topLinePunct w:val="0"/>
                    <w:autoSpaceDE w:val="0"/>
                    <w:autoSpaceDN w:val="0"/>
                    <w:bidi w:val="0"/>
                    <w:adjustRightInd/>
                    <w:snapToGrid w:val="0"/>
                    <w:spacing w:before="0" w:after="0" w:line="240" w:lineRule="auto"/>
                    <w:ind w:right="0"/>
                    <w:jc w:val="left"/>
                    <w:textAlignment w:val="baseline"/>
                    <w:rPr>
                      <w:color w:val="auto"/>
                      <w:sz w:val="21"/>
                      <w:szCs w:val="21"/>
                    </w:rPr>
                  </w:pPr>
                  <w:r>
                    <w:rPr>
                      <w:rFonts w:ascii="Times New Roman" w:hAnsi="Times New Roman" w:eastAsia="宋体" w:cs="Times New Roman"/>
                      <w:color w:val="auto"/>
                      <w:sz w:val="21"/>
                      <w:szCs w:val="21"/>
                    </w:rPr>
                    <w:t>无。项目</w:t>
                  </w:r>
                  <w:r>
                    <w:rPr>
                      <w:rFonts w:hint="eastAsia" w:cs="Times New Roman"/>
                      <w:color w:val="auto"/>
                      <w:sz w:val="21"/>
                      <w:szCs w:val="21"/>
                      <w:lang w:val="en-US" w:eastAsia="zh-CN"/>
                    </w:rPr>
                    <w:t>位于城镇建成区</w:t>
                  </w:r>
                  <w:r>
                    <w:rPr>
                      <w:rFonts w:ascii="Times New Roman" w:hAnsi="Times New Roman" w:eastAsia="宋体" w:cs="Times New Roman"/>
                      <w:color w:val="auto"/>
                      <w:sz w:val="21"/>
                      <w:szCs w:val="21"/>
                    </w:rPr>
                    <w:t>，不涉及生态环境保护目标</w:t>
                  </w:r>
                </w:p>
              </w:tc>
            </w:tr>
          </w:tbl>
          <w:p w14:paraId="2547C52D">
            <w:pPr>
              <w:pStyle w:val="84"/>
              <w:keepNext w:val="0"/>
              <w:keepLines w:val="0"/>
              <w:pageBreakBefore w:val="0"/>
              <w:widowControl w:val="0"/>
              <w:kinsoku/>
              <w:wordWrap/>
              <w:overflowPunct/>
              <w:topLinePunct w:val="0"/>
              <w:autoSpaceDE/>
              <w:autoSpaceDN/>
              <w:bidi w:val="0"/>
              <w:adjustRightInd/>
              <w:snapToGrid/>
              <w:spacing w:before="157" w:beforeLines="50" w:after="0" w:afterLines="0"/>
              <w:textAlignment w:val="auto"/>
              <w:rPr>
                <w:rFonts w:hint="default" w:ascii="Times New Roman" w:hAnsi="Times New Roman" w:eastAsia="宋体" w:cs="Times New Roman"/>
                <w:b/>
                <w:bCs/>
                <w:color w:val="auto"/>
                <w:u w:val="none"/>
                <w:lang w:val="en-US" w:eastAsia="zh-CN"/>
              </w:rPr>
            </w:pPr>
            <w:r>
              <w:rPr>
                <w:rFonts w:hint="default" w:ascii="Times New Roman" w:hAnsi="Times New Roman" w:eastAsia="宋体" w:cs="Times New Roman"/>
                <w:b/>
                <w:bCs/>
                <w:color w:val="auto"/>
                <w:u w:val="none"/>
                <w:lang w:val="en-US" w:eastAsia="zh-CN"/>
              </w:rPr>
              <w:t>表3-</w:t>
            </w:r>
            <w:r>
              <w:rPr>
                <w:rFonts w:hint="eastAsia" w:ascii="Times New Roman" w:hAnsi="Times New Roman" w:eastAsia="宋体" w:cs="Times New Roman"/>
                <w:b/>
                <w:bCs/>
                <w:color w:val="auto"/>
                <w:u w:val="none"/>
                <w:lang w:val="en-US" w:eastAsia="zh-CN"/>
              </w:rPr>
              <w:t>7</w:t>
            </w:r>
            <w:r>
              <w:rPr>
                <w:rFonts w:hint="default" w:ascii="Times New Roman" w:hAnsi="Times New Roman" w:eastAsia="宋体" w:cs="Times New Roman"/>
                <w:b/>
                <w:bCs/>
                <w:color w:val="auto"/>
                <w:u w:val="none"/>
                <w:lang w:val="en-US" w:eastAsia="zh-CN"/>
              </w:rPr>
              <w:t xml:space="preserve">  </w:t>
            </w:r>
            <w:r>
              <w:rPr>
                <w:rFonts w:hint="eastAsia" w:cs="Times New Roman"/>
                <w:b/>
                <w:bCs/>
                <w:color w:val="auto"/>
                <w:u w:val="none"/>
                <w:lang w:val="en-US" w:eastAsia="zh-CN"/>
              </w:rPr>
              <w:t xml:space="preserve"> </w:t>
            </w:r>
            <w:r>
              <w:rPr>
                <w:rFonts w:hint="default" w:ascii="Times New Roman" w:hAnsi="Times New Roman" w:eastAsia="宋体" w:cs="Times New Roman"/>
                <w:b/>
                <w:bCs/>
                <w:color w:val="auto"/>
                <w:u w:val="none"/>
                <w:lang w:val="en-US" w:eastAsia="zh-CN"/>
              </w:rPr>
              <w:t>主要</w:t>
            </w:r>
            <w:r>
              <w:rPr>
                <w:rFonts w:hint="eastAsia" w:ascii="Times New Roman" w:hAnsi="Times New Roman" w:eastAsia="宋体" w:cs="Times New Roman"/>
                <w:b/>
                <w:bCs/>
                <w:color w:val="auto"/>
                <w:u w:val="none"/>
                <w:lang w:val="en-US" w:eastAsia="zh-CN"/>
              </w:rPr>
              <w:t>社会</w:t>
            </w:r>
            <w:r>
              <w:rPr>
                <w:rFonts w:hint="default" w:ascii="Times New Roman" w:hAnsi="Times New Roman" w:eastAsia="宋体" w:cs="Times New Roman"/>
                <w:b/>
                <w:bCs/>
                <w:color w:val="auto"/>
                <w:u w:val="none"/>
                <w:lang w:val="en-US" w:eastAsia="zh-CN"/>
              </w:rPr>
              <w:t>环境保护目标</w:t>
            </w:r>
          </w:p>
          <w:tbl>
            <w:tblPr>
              <w:tblStyle w:val="32"/>
              <w:tblW w:w="77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19"/>
              <w:gridCol w:w="1012"/>
              <w:gridCol w:w="895"/>
              <w:gridCol w:w="624"/>
              <w:gridCol w:w="670"/>
              <w:gridCol w:w="703"/>
              <w:gridCol w:w="730"/>
              <w:gridCol w:w="995"/>
            </w:tblGrid>
            <w:tr w14:paraId="601B8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3" w:type="pct"/>
                  <w:vMerge w:val="restart"/>
                  <w:vAlign w:val="center"/>
                </w:tcPr>
                <w:p w14:paraId="7A4BD942">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敏感要素</w:t>
                  </w:r>
                </w:p>
              </w:tc>
              <w:tc>
                <w:tcPr>
                  <w:tcW w:w="658" w:type="pct"/>
                  <w:vMerge w:val="restart"/>
                  <w:vAlign w:val="center"/>
                </w:tcPr>
                <w:p w14:paraId="625716FC">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名称</w:t>
                  </w:r>
                </w:p>
              </w:tc>
              <w:tc>
                <w:tcPr>
                  <w:tcW w:w="1232" w:type="pct"/>
                  <w:gridSpan w:val="2"/>
                  <w:vAlign w:val="center"/>
                </w:tcPr>
                <w:p w14:paraId="33699D67">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距厂界最近点坐标</w:t>
                  </w:r>
                </w:p>
              </w:tc>
              <w:tc>
                <w:tcPr>
                  <w:tcW w:w="403" w:type="pct"/>
                  <w:vMerge w:val="restart"/>
                  <w:vAlign w:val="center"/>
                </w:tcPr>
                <w:p w14:paraId="006CCBC1">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保护对象</w:t>
                  </w:r>
                </w:p>
              </w:tc>
              <w:tc>
                <w:tcPr>
                  <w:tcW w:w="433" w:type="pct"/>
                  <w:vMerge w:val="restart"/>
                  <w:vAlign w:val="center"/>
                </w:tcPr>
                <w:p w14:paraId="67B41355">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保护内容</w:t>
                  </w:r>
                </w:p>
              </w:tc>
              <w:tc>
                <w:tcPr>
                  <w:tcW w:w="454" w:type="pct"/>
                  <w:vMerge w:val="restart"/>
                  <w:vAlign w:val="center"/>
                </w:tcPr>
                <w:p w14:paraId="70E515E2">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环境功能区</w:t>
                  </w:r>
                </w:p>
              </w:tc>
              <w:tc>
                <w:tcPr>
                  <w:tcW w:w="471" w:type="pct"/>
                  <w:vMerge w:val="restart"/>
                  <w:vAlign w:val="center"/>
                </w:tcPr>
                <w:p w14:paraId="64396545">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相对厂址方位</w:t>
                  </w:r>
                </w:p>
              </w:tc>
              <w:tc>
                <w:tcPr>
                  <w:tcW w:w="643" w:type="pct"/>
                  <w:vMerge w:val="restart"/>
                  <w:vAlign w:val="center"/>
                </w:tcPr>
                <w:p w14:paraId="19F3A798">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相对厂界距离范围（m）</w:t>
                  </w:r>
                </w:p>
              </w:tc>
            </w:tr>
            <w:tr w14:paraId="40E63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3" w:type="pct"/>
                  <w:vMerge w:val="continue"/>
                  <w:vAlign w:val="center"/>
                </w:tcPr>
                <w:p w14:paraId="3646E91A">
                  <w:pPr>
                    <w:spacing w:line="240" w:lineRule="atLeast"/>
                    <w:jc w:val="center"/>
                    <w:rPr>
                      <w:rFonts w:hint="default" w:ascii="Times New Roman" w:hAnsi="Times New Roman" w:cs="Times New Roman" w:eastAsiaTheme="minorEastAsia"/>
                      <w:color w:val="auto"/>
                      <w:sz w:val="21"/>
                      <w:szCs w:val="21"/>
                      <w:u w:val="none"/>
                    </w:rPr>
                  </w:pPr>
                </w:p>
              </w:tc>
              <w:tc>
                <w:tcPr>
                  <w:tcW w:w="658" w:type="pct"/>
                  <w:vMerge w:val="continue"/>
                  <w:vAlign w:val="center"/>
                </w:tcPr>
                <w:p w14:paraId="08BD44CE">
                  <w:pPr>
                    <w:spacing w:line="240" w:lineRule="atLeast"/>
                    <w:jc w:val="center"/>
                    <w:rPr>
                      <w:rFonts w:hint="default" w:ascii="Times New Roman" w:hAnsi="Times New Roman" w:cs="Times New Roman" w:eastAsiaTheme="minorEastAsia"/>
                      <w:color w:val="auto"/>
                      <w:sz w:val="21"/>
                      <w:szCs w:val="21"/>
                      <w:u w:val="none"/>
                    </w:rPr>
                  </w:pPr>
                </w:p>
              </w:tc>
              <w:tc>
                <w:tcPr>
                  <w:tcW w:w="654" w:type="pct"/>
                  <w:vAlign w:val="center"/>
                </w:tcPr>
                <w:p w14:paraId="71425819">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经度E</w:t>
                  </w:r>
                </w:p>
              </w:tc>
              <w:tc>
                <w:tcPr>
                  <w:tcW w:w="578" w:type="pct"/>
                  <w:vAlign w:val="center"/>
                </w:tcPr>
                <w:p w14:paraId="50C3F211">
                  <w:pPr>
                    <w:spacing w:line="240" w:lineRule="atLeast"/>
                    <w:jc w:val="center"/>
                    <w:rPr>
                      <w:rFonts w:hint="default" w:ascii="Times New Roman" w:hAnsi="Times New Roman" w:cs="Times New Roman" w:eastAsiaTheme="minorEastAsia"/>
                      <w:b/>
                      <w:bCs/>
                      <w:color w:val="auto"/>
                      <w:sz w:val="21"/>
                      <w:szCs w:val="21"/>
                      <w:u w:val="none"/>
                    </w:rPr>
                  </w:pPr>
                  <w:r>
                    <w:rPr>
                      <w:rFonts w:hint="default" w:ascii="Times New Roman" w:hAnsi="Times New Roman" w:cs="Times New Roman" w:eastAsiaTheme="minorEastAsia"/>
                      <w:b/>
                      <w:bCs/>
                      <w:color w:val="auto"/>
                      <w:sz w:val="21"/>
                      <w:szCs w:val="21"/>
                      <w:u w:val="none"/>
                    </w:rPr>
                    <w:t>纬度N</w:t>
                  </w:r>
                </w:p>
              </w:tc>
              <w:tc>
                <w:tcPr>
                  <w:tcW w:w="403" w:type="pct"/>
                  <w:vMerge w:val="continue"/>
                  <w:vAlign w:val="center"/>
                </w:tcPr>
                <w:p w14:paraId="29E64B90">
                  <w:pPr>
                    <w:spacing w:line="240" w:lineRule="atLeast"/>
                    <w:jc w:val="center"/>
                    <w:rPr>
                      <w:rFonts w:hint="default" w:ascii="Times New Roman" w:hAnsi="Times New Roman" w:cs="Times New Roman" w:eastAsiaTheme="minorEastAsia"/>
                      <w:color w:val="auto"/>
                      <w:sz w:val="21"/>
                      <w:szCs w:val="21"/>
                      <w:u w:val="none"/>
                    </w:rPr>
                  </w:pPr>
                </w:p>
              </w:tc>
              <w:tc>
                <w:tcPr>
                  <w:tcW w:w="433" w:type="pct"/>
                  <w:vMerge w:val="continue"/>
                  <w:vAlign w:val="center"/>
                </w:tcPr>
                <w:p w14:paraId="7E0ECEAE">
                  <w:pPr>
                    <w:spacing w:line="240" w:lineRule="atLeast"/>
                    <w:jc w:val="center"/>
                    <w:rPr>
                      <w:rFonts w:hint="default" w:ascii="Times New Roman" w:hAnsi="Times New Roman" w:cs="Times New Roman" w:eastAsiaTheme="minorEastAsia"/>
                      <w:color w:val="auto"/>
                      <w:sz w:val="21"/>
                      <w:szCs w:val="21"/>
                      <w:u w:val="none"/>
                    </w:rPr>
                  </w:pPr>
                </w:p>
              </w:tc>
              <w:tc>
                <w:tcPr>
                  <w:tcW w:w="454" w:type="pct"/>
                  <w:vMerge w:val="continue"/>
                  <w:vAlign w:val="center"/>
                </w:tcPr>
                <w:p w14:paraId="05B4D440">
                  <w:pPr>
                    <w:spacing w:line="240" w:lineRule="atLeast"/>
                    <w:jc w:val="center"/>
                    <w:rPr>
                      <w:rFonts w:hint="default" w:ascii="Times New Roman" w:hAnsi="Times New Roman" w:cs="Times New Roman" w:eastAsiaTheme="minorEastAsia"/>
                      <w:color w:val="auto"/>
                      <w:sz w:val="21"/>
                      <w:szCs w:val="21"/>
                      <w:u w:val="none"/>
                    </w:rPr>
                  </w:pPr>
                </w:p>
              </w:tc>
              <w:tc>
                <w:tcPr>
                  <w:tcW w:w="471" w:type="pct"/>
                  <w:vMerge w:val="continue"/>
                  <w:vAlign w:val="center"/>
                </w:tcPr>
                <w:p w14:paraId="73F3389A">
                  <w:pPr>
                    <w:spacing w:line="240" w:lineRule="atLeast"/>
                    <w:jc w:val="center"/>
                    <w:rPr>
                      <w:rFonts w:hint="default" w:ascii="Times New Roman" w:hAnsi="Times New Roman" w:cs="Times New Roman" w:eastAsiaTheme="minorEastAsia"/>
                      <w:color w:val="auto"/>
                      <w:sz w:val="21"/>
                      <w:szCs w:val="21"/>
                      <w:u w:val="none"/>
                    </w:rPr>
                  </w:pPr>
                </w:p>
              </w:tc>
              <w:tc>
                <w:tcPr>
                  <w:tcW w:w="643" w:type="pct"/>
                  <w:vMerge w:val="continue"/>
                  <w:vAlign w:val="center"/>
                </w:tcPr>
                <w:p w14:paraId="6C033A0F">
                  <w:pPr>
                    <w:spacing w:line="240" w:lineRule="atLeast"/>
                    <w:jc w:val="center"/>
                    <w:rPr>
                      <w:rFonts w:hint="default" w:ascii="Times New Roman" w:hAnsi="Times New Roman" w:cs="Times New Roman" w:eastAsiaTheme="minorEastAsia"/>
                      <w:color w:val="auto"/>
                      <w:sz w:val="21"/>
                      <w:szCs w:val="21"/>
                      <w:u w:val="none"/>
                    </w:rPr>
                  </w:pPr>
                </w:p>
              </w:tc>
            </w:tr>
            <w:tr w14:paraId="5B12B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03" w:type="pct"/>
                  <w:vAlign w:val="center"/>
                </w:tcPr>
                <w:p w14:paraId="154B13E3">
                  <w:pPr>
                    <w:spacing w:line="240" w:lineRule="atLeast"/>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lang w:eastAsia="zh-CN"/>
                    </w:rPr>
                    <w:t>社会环境保护目标</w:t>
                  </w:r>
                </w:p>
              </w:tc>
              <w:tc>
                <w:tcPr>
                  <w:tcW w:w="658" w:type="pct"/>
                  <w:vAlign w:val="center"/>
                </w:tcPr>
                <w:p w14:paraId="7AF91D67">
                  <w:pPr>
                    <w:spacing w:line="240" w:lineRule="atLeast"/>
                    <w:jc w:val="center"/>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z w:val="21"/>
                      <w:szCs w:val="21"/>
                      <w:u w:val="none"/>
                      <w:lang w:eastAsia="zh-CN"/>
                    </w:rPr>
                    <w:t>龙潭镇污水处理厂</w:t>
                  </w:r>
                </w:p>
              </w:tc>
              <w:tc>
                <w:tcPr>
                  <w:tcW w:w="654" w:type="pct"/>
                  <w:vAlign w:val="center"/>
                </w:tcPr>
                <w:p w14:paraId="3CA99FB7">
                  <w:pPr>
                    <w:spacing w:line="240" w:lineRule="atLeast"/>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110.555159</w:t>
                  </w:r>
                </w:p>
              </w:tc>
              <w:tc>
                <w:tcPr>
                  <w:tcW w:w="578" w:type="pct"/>
                  <w:vAlign w:val="center"/>
                </w:tcPr>
                <w:p w14:paraId="3E1F79C7">
                  <w:pPr>
                    <w:spacing w:line="240" w:lineRule="atLeast"/>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rPr>
                    <w:t>27.</w:t>
                  </w:r>
                  <w:r>
                    <w:rPr>
                      <w:rFonts w:hint="default" w:ascii="Times New Roman" w:hAnsi="Times New Roman" w:cs="Times New Roman" w:eastAsiaTheme="minorEastAsia"/>
                      <w:color w:val="auto"/>
                      <w:sz w:val="21"/>
                      <w:szCs w:val="21"/>
                      <w:u w:val="none"/>
                      <w:lang w:val="en-US" w:eastAsia="zh-CN"/>
                    </w:rPr>
                    <w:t>429004</w:t>
                  </w:r>
                </w:p>
              </w:tc>
              <w:tc>
                <w:tcPr>
                  <w:tcW w:w="403" w:type="pct"/>
                  <w:vAlign w:val="center"/>
                </w:tcPr>
                <w:p w14:paraId="6A38A021">
                  <w:pPr>
                    <w:spacing w:line="240" w:lineRule="atLeast"/>
                    <w:jc w:val="center"/>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z w:val="21"/>
                      <w:szCs w:val="21"/>
                      <w:u w:val="none"/>
                      <w:lang w:val="en-US" w:eastAsia="zh-CN"/>
                    </w:rPr>
                    <w:t>/</w:t>
                  </w:r>
                </w:p>
              </w:tc>
              <w:tc>
                <w:tcPr>
                  <w:tcW w:w="433" w:type="pct"/>
                  <w:vAlign w:val="center"/>
                </w:tcPr>
                <w:p w14:paraId="1340186B">
                  <w:pPr>
                    <w:pStyle w:val="78"/>
                    <w:widowControl w:val="0"/>
                    <w:adjustRightInd/>
                    <w:snapToGrid/>
                    <w:spacing w:before="0" w:line="240" w:lineRule="atLeast"/>
                    <w:ind w:right="0"/>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z w:val="21"/>
                      <w:szCs w:val="21"/>
                      <w:u w:val="none"/>
                      <w:lang w:val="en-US" w:eastAsia="zh-CN"/>
                    </w:rPr>
                    <w:t>/</w:t>
                  </w:r>
                </w:p>
              </w:tc>
              <w:tc>
                <w:tcPr>
                  <w:tcW w:w="454" w:type="pct"/>
                  <w:vAlign w:val="center"/>
                </w:tcPr>
                <w:p w14:paraId="15061A42">
                  <w:pPr>
                    <w:spacing w:line="240" w:lineRule="atLeast"/>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w:t>
                  </w:r>
                </w:p>
              </w:tc>
              <w:tc>
                <w:tcPr>
                  <w:tcW w:w="471" w:type="pct"/>
                  <w:vAlign w:val="center"/>
                </w:tcPr>
                <w:p w14:paraId="5C931870">
                  <w:pPr>
                    <w:spacing w:line="240" w:lineRule="atLeast"/>
                    <w:jc w:val="center"/>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z w:val="21"/>
                      <w:szCs w:val="21"/>
                      <w:u w:val="none"/>
                      <w:lang w:val="en-US" w:eastAsia="zh-CN"/>
                    </w:rPr>
                    <w:t>NE</w:t>
                  </w:r>
                </w:p>
              </w:tc>
              <w:tc>
                <w:tcPr>
                  <w:tcW w:w="643" w:type="pct"/>
                  <w:vAlign w:val="center"/>
                </w:tcPr>
                <w:p w14:paraId="2DFF31A9">
                  <w:pPr>
                    <w:pStyle w:val="78"/>
                    <w:widowControl w:val="0"/>
                    <w:adjustRightInd/>
                    <w:snapToGrid/>
                    <w:spacing w:line="240" w:lineRule="atLeast"/>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lang w:val="en-US" w:eastAsia="zh-CN"/>
                    </w:rPr>
                    <w:t>2</w:t>
                  </w:r>
                  <w:r>
                    <w:rPr>
                      <w:rFonts w:hint="eastAsia" w:ascii="Times New Roman" w:hAnsi="Times New Roman" w:cs="Times New Roman" w:eastAsiaTheme="minorEastAsia"/>
                      <w:color w:val="auto"/>
                      <w:sz w:val="21"/>
                      <w:szCs w:val="21"/>
                      <w:u w:val="none"/>
                      <w:lang w:val="en-US" w:eastAsia="zh-CN"/>
                    </w:rPr>
                    <w:t>75</w:t>
                  </w:r>
                  <w:r>
                    <w:rPr>
                      <w:rFonts w:hint="default" w:ascii="Times New Roman" w:hAnsi="Times New Roman" w:cs="Times New Roman" w:eastAsiaTheme="minorEastAsia"/>
                      <w:color w:val="auto"/>
                      <w:sz w:val="21"/>
                      <w:szCs w:val="21"/>
                      <w:u w:val="none"/>
                      <w:lang w:val="en-US" w:eastAsia="zh-CN"/>
                    </w:rPr>
                    <w:t>0</w:t>
                  </w:r>
                  <w:r>
                    <w:rPr>
                      <w:rFonts w:hint="default" w:ascii="Times New Roman" w:hAnsi="Times New Roman" w:cs="Times New Roman" w:eastAsiaTheme="minorEastAsia"/>
                      <w:color w:val="auto"/>
                      <w:sz w:val="21"/>
                      <w:szCs w:val="21"/>
                      <w:u w:val="none"/>
                    </w:rPr>
                    <w:t>m</w:t>
                  </w:r>
                </w:p>
              </w:tc>
            </w:tr>
          </w:tbl>
          <w:p w14:paraId="182EA5AA">
            <w:pPr>
              <w:pStyle w:val="82"/>
              <w:numPr>
                <w:ilvl w:val="0"/>
                <w:numId w:val="0"/>
              </w:numPr>
              <w:spacing w:line="240" w:lineRule="auto"/>
              <w:rPr>
                <w:rFonts w:hint="eastAsia" w:ascii="Times New Roman" w:hAnsi="Times New Roman" w:eastAsia="宋体" w:cs="Times New Roman"/>
                <w:b/>
                <w:bCs/>
                <w:color w:val="auto"/>
                <w:lang w:val="en-US" w:eastAsia="zh-CN"/>
              </w:rPr>
            </w:pPr>
          </w:p>
        </w:tc>
      </w:tr>
      <w:tr w14:paraId="2560C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4" w:hRule="atLeast"/>
          <w:jc w:val="center"/>
        </w:trPr>
        <w:tc>
          <w:tcPr>
            <w:tcW w:w="844" w:type="dxa"/>
            <w:tcMar>
              <w:left w:w="28" w:type="dxa"/>
              <w:right w:w="28" w:type="dxa"/>
            </w:tcMar>
            <w:vAlign w:val="center"/>
          </w:tcPr>
          <w:p w14:paraId="25888D75">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污染物排放控制标准</w:t>
            </w:r>
          </w:p>
        </w:tc>
        <w:tc>
          <w:tcPr>
            <w:tcW w:w="7817" w:type="dxa"/>
            <w:vAlign w:val="center"/>
          </w:tcPr>
          <w:p w14:paraId="769A6FC2">
            <w:pPr>
              <w:pStyle w:val="47"/>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default" w:ascii="Times New Roman" w:hAnsi="Times New Roman" w:cs="Times New Roman"/>
                <w:b/>
                <w:bCs/>
                <w:color w:val="auto"/>
              </w:rPr>
            </w:pPr>
            <w:r>
              <w:rPr>
                <w:rFonts w:hint="default" w:ascii="Times New Roman" w:hAnsi="Times New Roman" w:cs="Times New Roman"/>
                <w:b/>
                <w:bCs/>
                <w:color w:val="auto"/>
              </w:rPr>
              <w:t>（1）废水</w:t>
            </w:r>
          </w:p>
          <w:p w14:paraId="4182DEF3">
            <w:pPr>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本项目生产废水经三级沉淀池处理后与经化粪池处理后的生活</w:t>
            </w:r>
            <w:r>
              <w:rPr>
                <w:rFonts w:hint="eastAsia" w:ascii="Times New Roman" w:hAnsi="Times New Roman" w:cs="Times New Roman"/>
                <w:color w:val="auto"/>
                <w:kern w:val="0"/>
                <w:sz w:val="24"/>
                <w:lang w:eastAsia="zh-CN"/>
              </w:rPr>
              <w:t>污水</w:t>
            </w:r>
            <w:r>
              <w:rPr>
                <w:rFonts w:hint="eastAsia" w:cs="Times New Roman"/>
                <w:color w:val="auto"/>
                <w:kern w:val="0"/>
                <w:sz w:val="24"/>
                <w:lang w:val="en-US" w:eastAsia="zh-CN"/>
              </w:rPr>
              <w:t>一并</w:t>
            </w:r>
            <w:r>
              <w:rPr>
                <w:rFonts w:hint="eastAsia" w:ascii="Times New Roman" w:hAnsi="Times New Roman" w:cs="Times New Roman"/>
                <w:color w:val="auto"/>
                <w:kern w:val="0"/>
                <w:sz w:val="24"/>
                <w:lang w:val="en-US" w:eastAsia="zh-CN"/>
              </w:rPr>
              <w:t>排入市政管网进入</w:t>
            </w:r>
            <w:r>
              <w:rPr>
                <w:rFonts w:hint="default" w:ascii="Times New Roman" w:hAnsi="Times New Roman" w:cs="Times New Roman"/>
                <w:color w:val="auto"/>
                <w:kern w:val="0"/>
                <w:sz w:val="24"/>
                <w:lang w:eastAsia="zh-CN"/>
              </w:rPr>
              <w:t>龙潭镇污水处理厂</w:t>
            </w:r>
            <w:r>
              <w:rPr>
                <w:rFonts w:hint="eastAsia" w:cs="Times New Roman"/>
                <w:color w:val="auto"/>
                <w:kern w:val="0"/>
                <w:sz w:val="24"/>
                <w:lang w:val="en-US" w:eastAsia="zh-CN"/>
              </w:rPr>
              <w:t>综合</w:t>
            </w:r>
            <w:r>
              <w:rPr>
                <w:rFonts w:hint="eastAsia" w:ascii="Times New Roman" w:hAnsi="Times New Roman" w:cs="Times New Roman"/>
                <w:color w:val="auto"/>
                <w:kern w:val="0"/>
                <w:sz w:val="24"/>
                <w:lang w:eastAsia="zh-CN"/>
              </w:rPr>
              <w:t>处理，</w:t>
            </w:r>
            <w:r>
              <w:rPr>
                <w:rFonts w:hint="eastAsia" w:cs="Times New Roman"/>
                <w:color w:val="auto"/>
                <w:kern w:val="0"/>
                <w:sz w:val="24"/>
                <w:lang w:val="en-US" w:eastAsia="zh-CN"/>
              </w:rPr>
              <w:t>本项目废水总排口水质执行</w:t>
            </w:r>
            <w:r>
              <w:rPr>
                <w:rFonts w:hint="eastAsia" w:ascii="Times New Roman" w:hAnsi="Times New Roman" w:cs="Times New Roman"/>
                <w:color w:val="auto"/>
                <w:kern w:val="0"/>
                <w:sz w:val="24"/>
                <w:lang w:eastAsia="zh-CN"/>
              </w:rPr>
              <w:t>《污水综合排放标准》</w:t>
            </w:r>
            <w:r>
              <w:rPr>
                <w:rFonts w:hint="eastAsia" w:cs="Times New Roman"/>
                <w:color w:val="auto"/>
                <w:kern w:val="0"/>
                <w:sz w:val="24"/>
                <w:lang w:eastAsia="zh-CN"/>
              </w:rPr>
              <w:t>（</w:t>
            </w:r>
            <w:r>
              <w:rPr>
                <w:rFonts w:hint="eastAsia" w:ascii="Times New Roman" w:hAnsi="Times New Roman" w:cs="Times New Roman"/>
                <w:color w:val="auto"/>
                <w:kern w:val="0"/>
                <w:sz w:val="24"/>
                <w:lang w:val="en-US" w:eastAsia="zh-CN"/>
              </w:rPr>
              <w:t>GB8978-1996</w:t>
            </w:r>
            <w:r>
              <w:rPr>
                <w:rFonts w:hint="eastAsia" w:cs="Times New Roman"/>
                <w:color w:val="auto"/>
                <w:kern w:val="0"/>
                <w:sz w:val="24"/>
                <w:lang w:eastAsia="zh-CN"/>
              </w:rPr>
              <w:t>）</w:t>
            </w:r>
            <w:r>
              <w:rPr>
                <w:rFonts w:hint="eastAsia" w:ascii="Times New Roman" w:hAnsi="Times New Roman" w:cs="Times New Roman"/>
                <w:color w:val="auto"/>
                <w:kern w:val="0"/>
                <w:sz w:val="24"/>
                <w:lang w:val="en-US" w:eastAsia="zh-CN"/>
              </w:rPr>
              <w:t>表4中三级标准</w:t>
            </w:r>
            <w:r>
              <w:rPr>
                <w:rFonts w:hint="eastAsia" w:cs="Times New Roman"/>
                <w:color w:val="FF0000"/>
                <w:kern w:val="0"/>
                <w:sz w:val="24"/>
                <w:lang w:val="en-US" w:eastAsia="zh-CN"/>
              </w:rPr>
              <w:t>及龙潭镇污水处理厂进水水质标准中较严格的限值</w:t>
            </w:r>
            <w:r>
              <w:rPr>
                <w:rFonts w:hint="eastAsia" w:cs="Times New Roman"/>
                <w:color w:val="auto"/>
                <w:kern w:val="0"/>
                <w:sz w:val="24"/>
                <w:lang w:val="en-US" w:eastAsia="zh-CN"/>
              </w:rPr>
              <w:t>；</w:t>
            </w:r>
            <w:r>
              <w:rPr>
                <w:rFonts w:hint="default" w:ascii="Times New Roman" w:hAnsi="Times New Roman" w:cs="Times New Roman"/>
                <w:color w:val="auto"/>
                <w:kern w:val="0"/>
                <w:sz w:val="24"/>
                <w:lang w:eastAsia="zh-CN"/>
              </w:rPr>
              <w:t>龙潭镇污水处理厂</w:t>
            </w:r>
            <w:r>
              <w:rPr>
                <w:rFonts w:hint="eastAsia" w:ascii="Times New Roman" w:hAnsi="Times New Roman" w:cs="Times New Roman"/>
                <w:color w:val="auto"/>
                <w:kern w:val="0"/>
                <w:sz w:val="24"/>
                <w:lang w:eastAsia="zh-CN"/>
              </w:rPr>
              <w:t>执行《城镇污水处理厂污染物排放标准》（GB18918-2002）一级A标准，</w:t>
            </w:r>
            <w:r>
              <w:rPr>
                <w:rFonts w:hint="eastAsia" w:cs="Times New Roman"/>
                <w:color w:val="auto"/>
                <w:kern w:val="0"/>
                <w:sz w:val="24"/>
                <w:lang w:val="en-US" w:eastAsia="zh-CN"/>
              </w:rPr>
              <w:t>详见</w:t>
            </w:r>
            <w:r>
              <w:rPr>
                <w:rFonts w:hint="default" w:ascii="Times New Roman" w:hAnsi="Times New Roman" w:cs="Times New Roman"/>
                <w:color w:val="auto"/>
                <w:kern w:val="0"/>
                <w:sz w:val="24"/>
                <w:lang w:eastAsia="zh-CN"/>
              </w:rPr>
              <w:t>下表；</w:t>
            </w:r>
          </w:p>
          <w:p w14:paraId="7BA1E9CD">
            <w:pPr>
              <w:pStyle w:val="84"/>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right"/>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表3-</w:t>
            </w:r>
            <w:r>
              <w:rPr>
                <w:rFonts w:hint="eastAsia" w:ascii="Times New Roman" w:hAnsi="Times New Roman" w:cs="Times New Roman"/>
                <w:color w:val="auto"/>
                <w:sz w:val="24"/>
                <w:szCs w:val="24"/>
                <w:u w:val="none"/>
                <w:lang w:val="en-US" w:eastAsia="zh-CN"/>
              </w:rPr>
              <w:t>8</w:t>
            </w:r>
            <w:r>
              <w:rPr>
                <w:rFonts w:hint="eastAsia" w:cs="Times New Roman"/>
                <w:color w:val="auto"/>
                <w:sz w:val="24"/>
                <w:szCs w:val="24"/>
                <w:u w:val="none"/>
                <w:lang w:val="en-US" w:eastAsia="zh-CN"/>
              </w:rPr>
              <w:t xml:space="preserve">  </w:t>
            </w:r>
            <w:r>
              <w:rPr>
                <w:rFonts w:hint="default" w:ascii="Times New Roman" w:hAnsi="Times New Roman" w:cs="Times New Roman"/>
                <w:color w:val="auto"/>
                <w:sz w:val="24"/>
                <w:szCs w:val="24"/>
                <w:u w:val="none"/>
                <w:lang w:val="en-US" w:eastAsia="zh-CN"/>
              </w:rPr>
              <w:t xml:space="preserve"> 废水排放执行标准 </w:t>
            </w:r>
            <w:r>
              <w:rPr>
                <w:rFonts w:hint="eastAsia" w:cs="Times New Roman"/>
                <w:color w:val="auto"/>
                <w:sz w:val="24"/>
                <w:szCs w:val="24"/>
                <w:u w:val="none"/>
                <w:lang w:val="en-US" w:eastAsia="zh-CN"/>
              </w:rPr>
              <w:t xml:space="preserve">           </w:t>
            </w:r>
            <w:r>
              <w:rPr>
                <w:rFonts w:hint="default" w:ascii="Times New Roman" w:hAnsi="Times New Roman" w:cs="Times New Roman"/>
                <w:color w:val="auto"/>
                <w:sz w:val="24"/>
                <w:szCs w:val="24"/>
                <w:u w:val="none"/>
                <w:lang w:val="en-US" w:eastAsia="zh-CN"/>
              </w:rPr>
              <w:t>单位：mg/L</w:t>
            </w:r>
          </w:p>
          <w:tbl>
            <w:tblPr>
              <w:tblStyle w:val="32"/>
              <w:tblW w:w="77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850"/>
              <w:gridCol w:w="775"/>
              <w:gridCol w:w="687"/>
              <w:gridCol w:w="875"/>
              <w:gridCol w:w="515"/>
              <w:gridCol w:w="521"/>
              <w:gridCol w:w="816"/>
            </w:tblGrid>
            <w:tr w14:paraId="40A68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pct"/>
                  <w:vAlign w:val="center"/>
                </w:tcPr>
                <w:p w14:paraId="3FD25FD9">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u w:val="none"/>
                      <w:lang w:val="en-US" w:eastAsia="zh-CN"/>
                    </w:rPr>
                    <w:t>排放标准</w:t>
                  </w:r>
                </w:p>
              </w:tc>
              <w:tc>
                <w:tcPr>
                  <w:tcW w:w="549" w:type="pct"/>
                  <w:vAlign w:val="center"/>
                </w:tcPr>
                <w:p w14:paraId="5FCA45E4">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p>
              </w:tc>
              <w:tc>
                <w:tcPr>
                  <w:tcW w:w="500" w:type="pct"/>
                  <w:vAlign w:val="center"/>
                </w:tcPr>
                <w:p w14:paraId="5AA40E5E">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444" w:type="pct"/>
                  <w:vAlign w:val="center"/>
                </w:tcPr>
                <w:p w14:paraId="203C199F">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565" w:type="pct"/>
                  <w:vAlign w:val="center"/>
                </w:tcPr>
                <w:p w14:paraId="2876F562">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332" w:type="pct"/>
                  <w:tcBorders>
                    <w:right w:val="single" w:color="auto" w:sz="4" w:space="0"/>
                  </w:tcBorders>
                  <w:vAlign w:val="center"/>
                </w:tcPr>
                <w:p w14:paraId="32473C20">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bCs/>
                      <w:color w:val="FF0000"/>
                      <w:kern w:val="2"/>
                      <w:szCs w:val="24"/>
                      <w:u w:val="none"/>
                      <w:lang w:val="en-US" w:eastAsia="zh-CN"/>
                    </w:rPr>
                    <w:t>TP</w:t>
                  </w:r>
                </w:p>
              </w:tc>
              <w:tc>
                <w:tcPr>
                  <w:tcW w:w="336" w:type="pct"/>
                  <w:tcBorders>
                    <w:left w:val="single" w:color="auto" w:sz="4" w:space="0"/>
                  </w:tcBorders>
                  <w:vAlign w:val="center"/>
                </w:tcPr>
                <w:p w14:paraId="68D12AE8">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bCs/>
                      <w:color w:val="auto"/>
                      <w:kern w:val="2"/>
                      <w:szCs w:val="24"/>
                      <w:u w:val="none"/>
                      <w:lang w:val="en-US" w:eastAsia="zh-CN"/>
                    </w:rPr>
                  </w:pPr>
                  <w:r>
                    <w:rPr>
                      <w:rFonts w:hint="default" w:ascii="Times New Roman" w:hAnsi="Times New Roman" w:cs="Times New Roman"/>
                      <w:bCs/>
                      <w:color w:val="auto"/>
                      <w:kern w:val="2"/>
                      <w:szCs w:val="24"/>
                      <w:u w:val="none"/>
                      <w:lang w:val="en-US" w:eastAsia="zh-CN"/>
                    </w:rPr>
                    <w:t>TN</w:t>
                  </w:r>
                </w:p>
              </w:tc>
              <w:tc>
                <w:tcPr>
                  <w:tcW w:w="527" w:type="pct"/>
                  <w:vAlign w:val="center"/>
                </w:tcPr>
                <w:p w14:paraId="7C6CBAAB">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r>
            <w:tr w14:paraId="60630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pct"/>
                  <w:vAlign w:val="center"/>
                </w:tcPr>
                <w:p w14:paraId="331978CC">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b w:val="0"/>
                      <w:color w:val="auto"/>
                      <w:sz w:val="21"/>
                      <w:szCs w:val="21"/>
                      <w:u w:val="none"/>
                      <w:lang w:eastAsia="zh-CN"/>
                    </w:rPr>
                    <w:t>《污水综合排放标准》（GB8978-1996）</w:t>
                  </w:r>
                  <w:r>
                    <w:rPr>
                      <w:rFonts w:hint="eastAsia" w:ascii="Times New Roman" w:hAnsi="Times New Roman" w:eastAsia="宋体" w:cs="Times New Roman"/>
                      <w:b w:val="0"/>
                      <w:color w:val="auto"/>
                      <w:sz w:val="21"/>
                      <w:szCs w:val="21"/>
                      <w:u w:val="none"/>
                      <w:lang w:val="en-US" w:eastAsia="zh-CN"/>
                    </w:rPr>
                    <w:t>表4中三级排放标准</w:t>
                  </w:r>
                </w:p>
              </w:tc>
              <w:tc>
                <w:tcPr>
                  <w:tcW w:w="549" w:type="pct"/>
                  <w:vAlign w:val="center"/>
                </w:tcPr>
                <w:p w14:paraId="4BF2A115">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500" w:type="pct"/>
                  <w:vAlign w:val="center"/>
                </w:tcPr>
                <w:p w14:paraId="6EF21C23">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500</w:t>
                  </w:r>
                </w:p>
              </w:tc>
              <w:tc>
                <w:tcPr>
                  <w:tcW w:w="444" w:type="pct"/>
                  <w:vAlign w:val="center"/>
                </w:tcPr>
                <w:p w14:paraId="445FA625">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400</w:t>
                  </w:r>
                </w:p>
              </w:tc>
              <w:tc>
                <w:tcPr>
                  <w:tcW w:w="565" w:type="pct"/>
                  <w:vAlign w:val="center"/>
                </w:tcPr>
                <w:p w14:paraId="756E0D2B">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300</w:t>
                  </w:r>
                </w:p>
              </w:tc>
              <w:tc>
                <w:tcPr>
                  <w:tcW w:w="332" w:type="pct"/>
                  <w:tcBorders>
                    <w:right w:val="single" w:color="auto" w:sz="4" w:space="0"/>
                  </w:tcBorders>
                  <w:vAlign w:val="center"/>
                </w:tcPr>
                <w:p w14:paraId="70996321">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336" w:type="pct"/>
                  <w:tcBorders>
                    <w:left w:val="single" w:color="auto" w:sz="4" w:space="0"/>
                  </w:tcBorders>
                  <w:vAlign w:val="center"/>
                </w:tcPr>
                <w:p w14:paraId="719775C9">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527" w:type="pct"/>
                  <w:vAlign w:val="center"/>
                </w:tcPr>
                <w:p w14:paraId="6059DEA1">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12E76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pct"/>
                  <w:vAlign w:val="center"/>
                </w:tcPr>
                <w:p w14:paraId="38C68745">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color w:val="FF0000"/>
                      <w:sz w:val="21"/>
                      <w:szCs w:val="21"/>
                      <w:u w:val="none"/>
                      <w:lang w:eastAsia="zh-CN"/>
                    </w:rPr>
                  </w:pPr>
                  <w:r>
                    <w:rPr>
                      <w:rFonts w:hint="eastAsia" w:ascii="Times New Roman" w:hAnsi="Times New Roman" w:eastAsia="宋体" w:cs="Times New Roman"/>
                      <w:b w:val="0"/>
                      <w:color w:val="FF0000"/>
                      <w:sz w:val="21"/>
                      <w:szCs w:val="21"/>
                      <w:u w:val="none"/>
                      <w:lang w:val="en-US" w:eastAsia="zh-CN"/>
                    </w:rPr>
                    <w:t>龙潭镇污水处理厂进水水质标准</w:t>
                  </w:r>
                </w:p>
              </w:tc>
              <w:tc>
                <w:tcPr>
                  <w:tcW w:w="549" w:type="pct"/>
                  <w:vAlign w:val="center"/>
                </w:tcPr>
                <w:p w14:paraId="78F9C5FD">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highlight w:val="none"/>
                    </w:rPr>
                  </w:pPr>
                  <w:r>
                    <w:rPr>
                      <w:rFonts w:hint="eastAsia" w:ascii="Times New Roman" w:hAnsi="Times New Roman" w:cs="Times New Roman"/>
                      <w:color w:val="FF0000"/>
                      <w:sz w:val="21"/>
                      <w:szCs w:val="21"/>
                      <w:highlight w:val="none"/>
                      <w:lang w:val="en-US" w:eastAsia="zh-CN"/>
                    </w:rPr>
                    <w:t>-</w:t>
                  </w:r>
                </w:p>
              </w:tc>
              <w:tc>
                <w:tcPr>
                  <w:tcW w:w="500" w:type="pct"/>
                  <w:vAlign w:val="center"/>
                </w:tcPr>
                <w:p w14:paraId="116B4A34">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300</w:t>
                  </w:r>
                </w:p>
              </w:tc>
              <w:tc>
                <w:tcPr>
                  <w:tcW w:w="444" w:type="pct"/>
                  <w:vAlign w:val="center"/>
                </w:tcPr>
                <w:p w14:paraId="5B6711F8">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200</w:t>
                  </w:r>
                </w:p>
              </w:tc>
              <w:tc>
                <w:tcPr>
                  <w:tcW w:w="565" w:type="pct"/>
                  <w:vAlign w:val="center"/>
                </w:tcPr>
                <w:p w14:paraId="749E1CCB">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150</w:t>
                  </w:r>
                </w:p>
              </w:tc>
              <w:tc>
                <w:tcPr>
                  <w:tcW w:w="332" w:type="pct"/>
                  <w:tcBorders>
                    <w:right w:val="single" w:color="auto" w:sz="4" w:space="0"/>
                  </w:tcBorders>
                  <w:vAlign w:val="center"/>
                </w:tcPr>
                <w:p w14:paraId="44B7B9B1">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5.0</w:t>
                  </w:r>
                </w:p>
              </w:tc>
              <w:tc>
                <w:tcPr>
                  <w:tcW w:w="336" w:type="pct"/>
                  <w:tcBorders>
                    <w:left w:val="single" w:color="auto" w:sz="4" w:space="0"/>
                  </w:tcBorders>
                  <w:vAlign w:val="center"/>
                </w:tcPr>
                <w:p w14:paraId="587034FF">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40</w:t>
                  </w:r>
                </w:p>
              </w:tc>
              <w:tc>
                <w:tcPr>
                  <w:tcW w:w="527" w:type="pct"/>
                  <w:vAlign w:val="center"/>
                </w:tcPr>
                <w:p w14:paraId="4D0DCDC2">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30</w:t>
                  </w:r>
                </w:p>
              </w:tc>
            </w:tr>
            <w:tr w14:paraId="45466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pct"/>
                  <w:vAlign w:val="center"/>
                </w:tcPr>
                <w:p w14:paraId="470DD6EE">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color w:val="FF0000"/>
                      <w:sz w:val="21"/>
                      <w:szCs w:val="21"/>
                      <w:u w:val="none"/>
                      <w:lang w:val="en-US" w:eastAsia="zh-CN"/>
                    </w:rPr>
                  </w:pPr>
                  <w:r>
                    <w:rPr>
                      <w:rFonts w:hint="eastAsia" w:ascii="Times New Roman" w:hAnsi="Times New Roman" w:eastAsia="宋体" w:cs="Times New Roman"/>
                      <w:b w:val="0"/>
                      <w:color w:val="FF0000"/>
                      <w:sz w:val="21"/>
                      <w:szCs w:val="21"/>
                      <w:u w:val="none"/>
                      <w:lang w:val="en-US" w:eastAsia="zh-CN"/>
                    </w:rPr>
                    <w:t>本项目执行标准限值</w:t>
                  </w:r>
                </w:p>
              </w:tc>
              <w:tc>
                <w:tcPr>
                  <w:tcW w:w="549" w:type="pct"/>
                  <w:vAlign w:val="center"/>
                </w:tcPr>
                <w:p w14:paraId="72CD5B95">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cs="Times New Roman"/>
                      <w:color w:val="FF0000"/>
                      <w:sz w:val="21"/>
                      <w:szCs w:val="21"/>
                      <w:highlight w:val="none"/>
                    </w:rPr>
                    <w:t>6-9</w:t>
                  </w:r>
                </w:p>
              </w:tc>
              <w:tc>
                <w:tcPr>
                  <w:tcW w:w="775" w:type="dxa"/>
                  <w:vAlign w:val="center"/>
                </w:tcPr>
                <w:p w14:paraId="30B7E404">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300</w:t>
                  </w:r>
                </w:p>
              </w:tc>
              <w:tc>
                <w:tcPr>
                  <w:tcW w:w="687" w:type="dxa"/>
                  <w:vAlign w:val="center"/>
                </w:tcPr>
                <w:p w14:paraId="14BDC49F">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200</w:t>
                  </w:r>
                </w:p>
              </w:tc>
              <w:tc>
                <w:tcPr>
                  <w:tcW w:w="875" w:type="dxa"/>
                  <w:vAlign w:val="center"/>
                </w:tcPr>
                <w:p w14:paraId="2E1D3EE8">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150</w:t>
                  </w:r>
                </w:p>
              </w:tc>
              <w:tc>
                <w:tcPr>
                  <w:tcW w:w="515" w:type="dxa"/>
                  <w:tcBorders>
                    <w:right w:val="single" w:color="auto" w:sz="4" w:space="0"/>
                  </w:tcBorders>
                  <w:vAlign w:val="center"/>
                </w:tcPr>
                <w:p w14:paraId="5B4CCFFA">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5.0</w:t>
                  </w:r>
                </w:p>
              </w:tc>
              <w:tc>
                <w:tcPr>
                  <w:tcW w:w="521" w:type="dxa"/>
                  <w:tcBorders>
                    <w:left w:val="single" w:color="auto" w:sz="4" w:space="0"/>
                  </w:tcBorders>
                  <w:vAlign w:val="center"/>
                </w:tcPr>
                <w:p w14:paraId="1583D751">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40</w:t>
                  </w:r>
                </w:p>
              </w:tc>
              <w:tc>
                <w:tcPr>
                  <w:tcW w:w="816" w:type="dxa"/>
                  <w:vAlign w:val="center"/>
                </w:tcPr>
                <w:p w14:paraId="54FC83E0">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30</w:t>
                  </w:r>
                </w:p>
              </w:tc>
            </w:tr>
            <w:tr w14:paraId="6C626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pct"/>
                  <w:vAlign w:val="center"/>
                </w:tcPr>
                <w:p w14:paraId="352A168C">
                  <w:pPr>
                    <w:pStyle w:val="3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u w:val="none"/>
                      <w:lang w:eastAsia="zh-CN"/>
                    </w:rPr>
                    <w:t>《城镇污水处理厂污染物排放标准》（GB18918-2002）一级</w:t>
                  </w:r>
                  <w:r>
                    <w:rPr>
                      <w:rFonts w:hint="default" w:ascii="Times New Roman" w:hAnsi="Times New Roman" w:eastAsia="宋体" w:cs="Times New Roman"/>
                      <w:color w:val="auto"/>
                      <w:sz w:val="21"/>
                      <w:szCs w:val="21"/>
                      <w:u w:val="none"/>
                      <w:lang w:val="en-US" w:eastAsia="zh-CN"/>
                    </w:rPr>
                    <w:t>A</w:t>
                  </w:r>
                  <w:r>
                    <w:rPr>
                      <w:rFonts w:hint="default" w:ascii="Times New Roman" w:hAnsi="Times New Roman" w:eastAsia="宋体" w:cs="Times New Roman"/>
                      <w:color w:val="auto"/>
                      <w:sz w:val="21"/>
                      <w:szCs w:val="21"/>
                      <w:u w:val="none"/>
                      <w:lang w:eastAsia="zh-CN"/>
                    </w:rPr>
                    <w:t>标准</w:t>
                  </w:r>
                </w:p>
              </w:tc>
              <w:tc>
                <w:tcPr>
                  <w:tcW w:w="549" w:type="pct"/>
                  <w:vAlign w:val="center"/>
                </w:tcPr>
                <w:p w14:paraId="3A9950F3">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500" w:type="pct"/>
                  <w:vAlign w:val="center"/>
                </w:tcPr>
                <w:p w14:paraId="3E9E7B93">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444" w:type="pct"/>
                  <w:vAlign w:val="center"/>
                </w:tcPr>
                <w:p w14:paraId="5886F6D2">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565" w:type="pct"/>
                  <w:vAlign w:val="center"/>
                </w:tcPr>
                <w:p w14:paraId="5DC18E0A">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332" w:type="pct"/>
                  <w:tcBorders>
                    <w:right w:val="single" w:color="auto" w:sz="4" w:space="0"/>
                  </w:tcBorders>
                  <w:vAlign w:val="center"/>
                </w:tcPr>
                <w:p w14:paraId="09AB2D41">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lang w:val="en-US" w:eastAsia="zh-CN"/>
                    </w:rPr>
                  </w:pPr>
                </w:p>
              </w:tc>
              <w:tc>
                <w:tcPr>
                  <w:tcW w:w="336" w:type="pct"/>
                  <w:tcBorders>
                    <w:left w:val="single" w:color="auto" w:sz="4" w:space="0"/>
                  </w:tcBorders>
                  <w:vAlign w:val="center"/>
                </w:tcPr>
                <w:p w14:paraId="7DD5AE50">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cs="Times New Roman"/>
                      <w:color w:val="auto"/>
                      <w:sz w:val="21"/>
                      <w:szCs w:val="21"/>
                      <w:lang w:val="en-US" w:eastAsia="zh-CN"/>
                    </w:rPr>
                  </w:pPr>
                </w:p>
              </w:tc>
              <w:tc>
                <w:tcPr>
                  <w:tcW w:w="527" w:type="pct"/>
                  <w:vAlign w:val="center"/>
                </w:tcPr>
                <w:p w14:paraId="37FD5622">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5（8）</w:t>
                  </w:r>
                </w:p>
              </w:tc>
            </w:tr>
          </w:tbl>
          <w:p w14:paraId="293DB644">
            <w:pPr>
              <w:pStyle w:val="47"/>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default" w:ascii="Times New Roman" w:hAnsi="Times New Roman" w:cs="Times New Roman"/>
                <w:b/>
                <w:bCs/>
                <w:color w:val="auto"/>
              </w:rPr>
            </w:pPr>
            <w:r>
              <w:rPr>
                <w:rFonts w:hint="default" w:ascii="Times New Roman" w:hAnsi="Times New Roman" w:cs="Times New Roman"/>
                <w:b/>
                <w:bCs/>
                <w:color w:val="auto"/>
              </w:rPr>
              <w:t>（2）大气</w:t>
            </w:r>
          </w:p>
          <w:p w14:paraId="1EAA11E6">
            <w:pPr>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eastAsia" w:cs="Times New Roman"/>
                <w:color w:val="auto"/>
                <w:kern w:val="0"/>
                <w:sz w:val="24"/>
                <w:lang w:val="en-US" w:eastAsia="zh-CN"/>
              </w:rPr>
              <w:t>项目</w:t>
            </w:r>
            <w:r>
              <w:rPr>
                <w:rFonts w:hint="eastAsia" w:cs="Times New Roman"/>
                <w:color w:val="auto"/>
                <w:kern w:val="0"/>
                <w:sz w:val="24"/>
                <w:lang w:eastAsia="zh-CN"/>
              </w:rPr>
              <w:t>运营期</w:t>
            </w:r>
            <w:r>
              <w:rPr>
                <w:rFonts w:hint="eastAsia" w:cs="Times New Roman"/>
                <w:color w:val="auto"/>
                <w:kern w:val="0"/>
                <w:sz w:val="24"/>
                <w:lang w:val="en-US" w:eastAsia="zh-CN"/>
              </w:rPr>
              <w:t>生物质蒸汽发生器</w:t>
            </w:r>
            <w:r>
              <w:rPr>
                <w:rFonts w:hint="default" w:ascii="Times New Roman" w:hAnsi="Times New Roman" w:eastAsia="宋体" w:cs="Times New Roman"/>
                <w:color w:val="auto"/>
                <w:kern w:val="0"/>
                <w:sz w:val="24"/>
                <w:lang w:eastAsia="zh-CN"/>
              </w:rPr>
              <w:t>废气</w:t>
            </w:r>
            <w:r>
              <w:rPr>
                <w:rFonts w:hint="eastAsia" w:cs="Times New Roman"/>
                <w:color w:val="auto"/>
                <w:kern w:val="0"/>
                <w:sz w:val="24"/>
                <w:lang w:val="en-US" w:eastAsia="zh-CN"/>
              </w:rPr>
              <w:t>参照</w:t>
            </w:r>
            <w:r>
              <w:rPr>
                <w:rFonts w:hint="default" w:ascii="Times New Roman" w:hAnsi="Times New Roman" w:eastAsia="宋体" w:cs="Times New Roman"/>
                <w:color w:val="auto"/>
                <w:kern w:val="0"/>
                <w:sz w:val="24"/>
                <w:lang w:eastAsia="zh-CN"/>
              </w:rPr>
              <w:t>执行《锅炉大气污染物排放标准》（GB13271-2014）表</w:t>
            </w:r>
            <w:r>
              <w:rPr>
                <w:rFonts w:hint="default" w:ascii="Times New Roman" w:hAnsi="Times New Roman" w:eastAsia="宋体" w:cs="Times New Roman"/>
                <w:color w:val="auto"/>
                <w:kern w:val="0"/>
                <w:sz w:val="24"/>
                <w:lang w:val="en-US" w:eastAsia="zh-CN"/>
              </w:rPr>
              <w:t>2新建锅炉大气污染物排放浓度限值中的</w:t>
            </w:r>
            <w:r>
              <w:rPr>
                <w:rFonts w:hint="default" w:ascii="Times New Roman" w:hAnsi="Times New Roman" w:eastAsia="宋体" w:cs="Times New Roman"/>
                <w:color w:val="auto"/>
                <w:kern w:val="0"/>
                <w:sz w:val="24"/>
                <w:lang w:eastAsia="zh-CN"/>
              </w:rPr>
              <w:t>燃煤锅炉标准。</w:t>
            </w:r>
          </w:p>
          <w:p w14:paraId="5E45CE29">
            <w:pPr>
              <w:adjustRightInd w:val="0"/>
              <w:snapToGrid w:val="0"/>
              <w:spacing w:line="360" w:lineRule="auto"/>
              <w:ind w:firstLine="480" w:firstLineChars="200"/>
              <w:rPr>
                <w:rFonts w:hint="eastAsia" w:ascii="Times New Roman" w:hAnsi="Times New Roman" w:eastAsia="宋体" w:cs="Times New Roman"/>
                <w:color w:val="auto"/>
                <w:sz w:val="24"/>
                <w:szCs w:val="28"/>
                <w:u w:val="single"/>
                <w:lang w:eastAsia="zh-CN"/>
              </w:rPr>
            </w:pPr>
            <w:r>
              <w:rPr>
                <w:rFonts w:hint="default" w:ascii="Times New Roman" w:hAnsi="Times New Roman" w:eastAsia="宋体" w:cs="Times New Roman"/>
                <w:color w:val="FF0000"/>
                <w:sz w:val="24"/>
                <w:szCs w:val="24"/>
                <w:u w:val="single"/>
                <w:lang w:val="en-US" w:eastAsia="zh-CN"/>
              </w:rPr>
              <w:t>根据《湖南省工业炉窑大气污染综合治理实施方案》（湘环发</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2020</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6号），</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已有行业排放标准的工业炉窑，严格按行业排放标准执行</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本项目属于C2730中药饮片加工，暂无行业排放标准，</w:t>
            </w:r>
            <w:r>
              <w:rPr>
                <w:rFonts w:hint="eastAsia" w:ascii="Times New Roman" w:hAnsi="Times New Roman" w:eastAsia="宋体" w:cs="Times New Roman"/>
                <w:color w:val="FF0000"/>
                <w:sz w:val="24"/>
                <w:szCs w:val="24"/>
                <w:u w:val="single"/>
                <w:lang w:val="en-US" w:eastAsia="zh-CN"/>
              </w:rPr>
              <w:t>且不属于</w:t>
            </w:r>
            <w:r>
              <w:rPr>
                <w:rFonts w:hint="default" w:ascii="Times New Roman" w:hAnsi="Times New Roman" w:eastAsia="宋体" w:cs="Times New Roman"/>
                <w:color w:val="FF0000"/>
                <w:sz w:val="24"/>
                <w:szCs w:val="24"/>
                <w:u w:val="single"/>
                <w:lang w:val="en-US" w:eastAsia="zh-CN"/>
              </w:rPr>
              <w:t>（湘环发</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2020</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6号）</w:t>
            </w:r>
            <w:r>
              <w:rPr>
                <w:rFonts w:hint="eastAsia" w:ascii="Times New Roman" w:hAnsi="Times New Roman" w:eastAsia="宋体" w:cs="Times New Roman"/>
                <w:color w:val="FF0000"/>
                <w:sz w:val="24"/>
                <w:szCs w:val="24"/>
                <w:u w:val="single"/>
                <w:lang w:val="en-US" w:eastAsia="zh-CN"/>
              </w:rPr>
              <w:t>所列“</w:t>
            </w:r>
            <w:r>
              <w:rPr>
                <w:rFonts w:hint="default" w:ascii="Times New Roman" w:hAnsi="Times New Roman" w:eastAsia="宋体" w:cs="Times New Roman"/>
                <w:color w:val="FF0000"/>
                <w:sz w:val="24"/>
                <w:szCs w:val="24"/>
                <w:u w:val="single"/>
                <w:lang w:val="en-US" w:eastAsia="zh-CN"/>
              </w:rPr>
              <w:t>长沙市、株洲市、湘潭市及常德市、岳阳市、益阳市等传输通道城市</w:t>
            </w:r>
            <w:r>
              <w:rPr>
                <w:rFonts w:hint="eastAsia" w:ascii="Times New Roman" w:hAnsi="Times New Roman" w:eastAsia="宋体" w:cs="Times New Roman"/>
                <w:color w:val="FF0000"/>
                <w:sz w:val="24"/>
                <w:szCs w:val="24"/>
                <w:u w:val="single"/>
                <w:lang w:val="en-US" w:eastAsia="zh-CN"/>
              </w:rPr>
              <w:t>”，但在地方、行业标准出台前，本项目运营期生物质热风炉</w:t>
            </w:r>
            <w:r>
              <w:rPr>
                <w:rFonts w:hint="default" w:ascii="Times New Roman" w:hAnsi="Times New Roman" w:eastAsia="宋体" w:cs="Times New Roman"/>
                <w:color w:val="FF0000"/>
                <w:sz w:val="24"/>
                <w:szCs w:val="24"/>
                <w:u w:val="single"/>
                <w:lang w:val="en-US" w:eastAsia="zh-CN"/>
              </w:rPr>
              <w:t>排气筒排放的颗粒物、二氧化硫、氮氧化物的排放浓度</w:t>
            </w:r>
            <w:r>
              <w:rPr>
                <w:rFonts w:hint="eastAsia" w:ascii="Times New Roman" w:hAnsi="Times New Roman" w:eastAsia="宋体" w:cs="Times New Roman"/>
                <w:color w:val="FF0000"/>
                <w:sz w:val="24"/>
                <w:szCs w:val="24"/>
                <w:u w:val="single"/>
                <w:lang w:val="en-US" w:eastAsia="zh-CN"/>
              </w:rPr>
              <w:t>参照</w:t>
            </w:r>
            <w:r>
              <w:rPr>
                <w:rFonts w:hint="default" w:ascii="Times New Roman" w:hAnsi="Times New Roman" w:eastAsia="宋体" w:cs="Times New Roman"/>
                <w:color w:val="FF0000"/>
                <w:sz w:val="24"/>
                <w:szCs w:val="24"/>
                <w:u w:val="single"/>
                <w:lang w:val="en-US" w:eastAsia="zh-CN"/>
              </w:rPr>
              <w:t>执行《湖南省工业炉窑大气污染综合治理实施方案》（湘环发</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2020</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6号）中现阶段长沙市、株洲市、湘潭市以及常德市、岳阳市、益阳市等传输通道城市</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暂未制订行业排放标准的工业炉窑</w:t>
            </w:r>
            <w:r>
              <w:rPr>
                <w:rFonts w:hint="eastAsia" w:cs="Times New Roman"/>
                <w:color w:val="auto"/>
                <w:sz w:val="24"/>
                <w:szCs w:val="24"/>
                <w:u w:val="single"/>
                <w:lang w:val="en-US" w:eastAsia="zh-CN"/>
              </w:rPr>
              <w:t>”</w:t>
            </w:r>
            <w:r>
              <w:rPr>
                <w:rFonts w:hint="eastAsia" w:ascii="Times New Roman" w:hAnsi="Times New Roman" w:eastAsia="宋体" w:cs="Times New Roman"/>
                <w:color w:val="auto"/>
                <w:sz w:val="24"/>
                <w:szCs w:val="24"/>
                <w:u w:val="single"/>
                <w:lang w:val="en-US" w:eastAsia="zh-CN"/>
              </w:rPr>
              <w:t>的排放</w:t>
            </w:r>
            <w:r>
              <w:rPr>
                <w:rFonts w:hint="default" w:ascii="Times New Roman" w:hAnsi="Times New Roman" w:eastAsia="宋体" w:cs="Times New Roman"/>
                <w:color w:val="auto"/>
                <w:sz w:val="24"/>
                <w:szCs w:val="24"/>
                <w:u w:val="single"/>
                <w:lang w:val="en-US" w:eastAsia="zh-CN"/>
              </w:rPr>
              <w:t>限值</w:t>
            </w:r>
            <w:r>
              <w:rPr>
                <w:rFonts w:hint="default" w:ascii="Times New Roman" w:hAnsi="Times New Roman" w:eastAsia="宋体" w:cs="Times New Roman"/>
                <w:color w:val="auto"/>
                <w:sz w:val="24"/>
                <w:szCs w:val="28"/>
                <w:u w:val="single"/>
                <w:lang w:eastAsia="zh-CN"/>
              </w:rPr>
              <w:t>。</w:t>
            </w:r>
            <w:r>
              <w:rPr>
                <w:rFonts w:ascii="Times New Roman" w:hAnsi="Times New Roman" w:eastAsia="宋体" w:cs="Times New Roman"/>
                <w:color w:val="auto"/>
                <w:sz w:val="24"/>
                <w:szCs w:val="28"/>
                <w:u w:val="single"/>
              </w:rPr>
              <w:t>厂界</w:t>
            </w:r>
            <w:r>
              <w:rPr>
                <w:rFonts w:hint="eastAsia" w:ascii="Times New Roman" w:hAnsi="Times New Roman" w:eastAsia="宋体" w:cs="Times New Roman"/>
                <w:color w:val="auto"/>
                <w:sz w:val="24"/>
                <w:szCs w:val="28"/>
                <w:u w:val="single"/>
                <w:lang w:val="en-US" w:eastAsia="zh-CN"/>
              </w:rPr>
              <w:t>颗粒物执行</w:t>
            </w:r>
            <w:r>
              <w:rPr>
                <w:rFonts w:ascii="Times New Roman" w:hAnsi="Times New Roman" w:eastAsia="宋体" w:cs="Times New Roman"/>
                <w:color w:val="auto"/>
                <w:sz w:val="24"/>
                <w:szCs w:val="28"/>
                <w:u w:val="single"/>
              </w:rPr>
              <w:t>《大气污染物综合排放标准》（GB16297-1996）</w:t>
            </w:r>
            <w:r>
              <w:rPr>
                <w:rFonts w:hint="eastAsia" w:ascii="Times New Roman" w:hAnsi="Times New Roman" w:eastAsia="宋体" w:cs="Times New Roman"/>
                <w:color w:val="auto"/>
                <w:sz w:val="24"/>
                <w:szCs w:val="28"/>
                <w:u w:val="single"/>
                <w:lang w:eastAsia="zh-CN"/>
              </w:rPr>
              <w:t>。</w:t>
            </w:r>
          </w:p>
          <w:p w14:paraId="2C4E0A4E">
            <w:pPr>
              <w:adjustRightInd w:val="0"/>
              <w:snapToGrid w:val="0"/>
              <w:spacing w:line="360" w:lineRule="auto"/>
              <w:ind w:firstLine="480" w:firstLineChars="20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sz w:val="24"/>
                <w:szCs w:val="28"/>
                <w:u w:val="single"/>
                <w:lang w:val="en-US" w:eastAsia="zh-CN"/>
              </w:rPr>
              <w:t>中药材干燥等过程产生的</w:t>
            </w:r>
            <w:r>
              <w:rPr>
                <w:rFonts w:ascii="Times New Roman" w:hAnsi="Times New Roman" w:eastAsia="宋体" w:cs="Times New Roman"/>
                <w:color w:val="auto"/>
                <w:sz w:val="24"/>
                <w:szCs w:val="28"/>
                <w:u w:val="single"/>
              </w:rPr>
              <w:t>臭气浓度参照执行《恶臭污染物排放标准》</w:t>
            </w:r>
            <w:r>
              <w:rPr>
                <w:rFonts w:hint="eastAsia" w:ascii="Times New Roman" w:hAnsi="Times New Roman" w:eastAsia="宋体" w:cs="Times New Roman"/>
                <w:color w:val="auto"/>
                <w:sz w:val="24"/>
                <w:szCs w:val="28"/>
                <w:u w:val="single"/>
              </w:rPr>
              <w:t>（</w:t>
            </w:r>
            <w:r>
              <w:rPr>
                <w:rFonts w:ascii="Times New Roman" w:hAnsi="Times New Roman" w:eastAsia="宋体" w:cs="Times New Roman"/>
                <w:color w:val="auto"/>
                <w:sz w:val="24"/>
                <w:szCs w:val="28"/>
                <w:u w:val="single"/>
              </w:rPr>
              <w:t>GB14554-93</w:t>
            </w:r>
            <w:r>
              <w:rPr>
                <w:rFonts w:hint="eastAsia" w:ascii="Times New Roman" w:hAnsi="Times New Roman" w:eastAsia="宋体" w:cs="Times New Roman"/>
                <w:color w:val="auto"/>
                <w:sz w:val="24"/>
                <w:szCs w:val="28"/>
                <w:u w:val="single"/>
              </w:rPr>
              <w:t>）</w:t>
            </w:r>
            <w:r>
              <w:rPr>
                <w:rFonts w:ascii="Times New Roman" w:hAnsi="Times New Roman" w:eastAsia="宋体" w:cs="Times New Roman"/>
                <w:color w:val="auto"/>
                <w:sz w:val="24"/>
                <w:szCs w:val="28"/>
                <w:u w:val="single"/>
              </w:rPr>
              <w:t>相关标准限值</w:t>
            </w:r>
            <w:r>
              <w:rPr>
                <w:rFonts w:hint="eastAsia" w:ascii="Times New Roman" w:hAnsi="Times New Roman" w:eastAsia="宋体" w:cs="Times New Roman"/>
                <w:color w:val="auto"/>
                <w:sz w:val="24"/>
                <w:szCs w:val="28"/>
                <w:u w:val="single"/>
                <w:lang w:eastAsia="zh-CN"/>
              </w:rPr>
              <w:t>。</w:t>
            </w:r>
          </w:p>
          <w:p w14:paraId="3035E2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表3-</w:t>
            </w:r>
            <w:r>
              <w:rPr>
                <w:rFonts w:hint="eastAsia" w:ascii="Times New Roman" w:hAnsi="Times New Roman" w:cs="Times New Roman"/>
                <w:b/>
                <w:color w:val="auto"/>
                <w:sz w:val="24"/>
                <w:szCs w:val="24"/>
                <w:lang w:val="en-US" w:eastAsia="zh-CN"/>
              </w:rPr>
              <w:t>9</w:t>
            </w:r>
            <w:r>
              <w:rPr>
                <w:rFonts w:hint="default" w:ascii="Times New Roman" w:hAnsi="Times New Roman" w:cs="Times New Roman"/>
                <w:b/>
                <w:color w:val="auto"/>
                <w:sz w:val="24"/>
                <w:szCs w:val="24"/>
              </w:rPr>
              <w:t xml:space="preserve">  </w:t>
            </w:r>
            <w:r>
              <w:rPr>
                <w:rFonts w:hint="eastAsia"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rPr>
              <w:t>项目大气污染物排放限值</w:t>
            </w:r>
          </w:p>
          <w:tbl>
            <w:tblPr>
              <w:tblStyle w:val="32"/>
              <w:tblW w:w="7626" w:type="dxa"/>
              <w:tblInd w:w="-1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500"/>
              <w:gridCol w:w="1313"/>
              <w:gridCol w:w="1100"/>
              <w:gridCol w:w="2795"/>
            </w:tblGrid>
            <w:tr w14:paraId="45970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01" w:type="pct"/>
                  <w:tcBorders>
                    <w:tl2br w:val="nil"/>
                    <w:tr2bl w:val="nil"/>
                  </w:tcBorders>
                  <w:noWrap w:val="0"/>
                  <w:vAlign w:val="center"/>
                </w:tcPr>
                <w:p w14:paraId="57339778">
                  <w:pPr>
                    <w:pStyle w:val="134"/>
                    <w:rPr>
                      <w:b/>
                      <w:bCs/>
                      <w:color w:val="auto"/>
                    </w:rPr>
                  </w:pPr>
                  <w:r>
                    <w:rPr>
                      <w:b/>
                      <w:bCs/>
                      <w:color w:val="auto"/>
                    </w:rPr>
                    <w:t>排放源</w:t>
                  </w:r>
                </w:p>
              </w:tc>
              <w:tc>
                <w:tcPr>
                  <w:tcW w:w="983" w:type="pct"/>
                  <w:tcBorders>
                    <w:tl2br w:val="nil"/>
                    <w:tr2bl w:val="nil"/>
                  </w:tcBorders>
                  <w:noWrap w:val="0"/>
                  <w:vAlign w:val="center"/>
                </w:tcPr>
                <w:p w14:paraId="091821A9">
                  <w:pPr>
                    <w:pStyle w:val="134"/>
                    <w:rPr>
                      <w:b/>
                      <w:bCs/>
                      <w:color w:val="auto"/>
                    </w:rPr>
                  </w:pPr>
                  <w:r>
                    <w:rPr>
                      <w:b/>
                      <w:bCs/>
                      <w:color w:val="auto"/>
                    </w:rPr>
                    <w:t>污染物名称</w:t>
                  </w:r>
                </w:p>
              </w:tc>
              <w:tc>
                <w:tcPr>
                  <w:tcW w:w="860" w:type="pct"/>
                  <w:tcBorders>
                    <w:tl2br w:val="nil"/>
                    <w:tr2bl w:val="nil"/>
                  </w:tcBorders>
                  <w:noWrap w:val="0"/>
                  <w:vAlign w:val="center"/>
                </w:tcPr>
                <w:p w14:paraId="46FDE164">
                  <w:pPr>
                    <w:pStyle w:val="134"/>
                    <w:rPr>
                      <w:b/>
                      <w:bCs/>
                      <w:color w:val="auto"/>
                    </w:rPr>
                  </w:pPr>
                  <w:r>
                    <w:rPr>
                      <w:b/>
                      <w:bCs/>
                      <w:color w:val="auto"/>
                    </w:rPr>
                    <w:t>排气筒高度</w:t>
                  </w:r>
                </w:p>
              </w:tc>
              <w:tc>
                <w:tcPr>
                  <w:tcW w:w="721" w:type="pct"/>
                  <w:tcBorders>
                    <w:tl2br w:val="nil"/>
                    <w:tr2bl w:val="nil"/>
                  </w:tcBorders>
                  <w:noWrap w:val="0"/>
                  <w:vAlign w:val="center"/>
                </w:tcPr>
                <w:p w14:paraId="35199A80">
                  <w:pPr>
                    <w:pStyle w:val="134"/>
                    <w:rPr>
                      <w:b/>
                      <w:bCs/>
                      <w:color w:val="auto"/>
                    </w:rPr>
                  </w:pPr>
                  <w:r>
                    <w:rPr>
                      <w:b/>
                      <w:bCs/>
                      <w:color w:val="auto"/>
                    </w:rPr>
                    <w:t>标准限值</w:t>
                  </w:r>
                </w:p>
              </w:tc>
              <w:tc>
                <w:tcPr>
                  <w:tcW w:w="1832" w:type="pct"/>
                  <w:tcBorders>
                    <w:tl2br w:val="nil"/>
                    <w:tr2bl w:val="nil"/>
                  </w:tcBorders>
                  <w:noWrap w:val="0"/>
                  <w:vAlign w:val="center"/>
                </w:tcPr>
                <w:p w14:paraId="2D7C3E73">
                  <w:pPr>
                    <w:pStyle w:val="134"/>
                    <w:rPr>
                      <w:b/>
                      <w:bCs/>
                      <w:color w:val="auto"/>
                    </w:rPr>
                  </w:pPr>
                  <w:r>
                    <w:rPr>
                      <w:b/>
                      <w:bCs/>
                      <w:color w:val="auto"/>
                    </w:rPr>
                    <w:t>标准来源</w:t>
                  </w:r>
                </w:p>
              </w:tc>
            </w:tr>
            <w:tr w14:paraId="6E1E58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01" w:type="pct"/>
                  <w:vMerge w:val="restart"/>
                  <w:tcBorders>
                    <w:tl2br w:val="nil"/>
                    <w:tr2bl w:val="nil"/>
                  </w:tcBorders>
                  <w:noWrap w:val="0"/>
                  <w:vAlign w:val="center"/>
                </w:tcPr>
                <w:p w14:paraId="437C14BB">
                  <w:pPr>
                    <w:pStyle w:val="134"/>
                    <w:rPr>
                      <w:color w:val="auto"/>
                    </w:rPr>
                  </w:pPr>
                  <w:r>
                    <w:rPr>
                      <w:color w:val="auto"/>
                    </w:rPr>
                    <w:t>DA001</w:t>
                  </w:r>
                </w:p>
              </w:tc>
              <w:tc>
                <w:tcPr>
                  <w:tcW w:w="983" w:type="pct"/>
                  <w:tcBorders>
                    <w:tl2br w:val="nil"/>
                    <w:tr2bl w:val="nil"/>
                  </w:tcBorders>
                  <w:shd w:val="clear" w:color="auto" w:fill="auto"/>
                  <w:noWrap w:val="0"/>
                  <w:vAlign w:val="center"/>
                </w:tcPr>
                <w:p w14:paraId="681A55A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颗粒物</w:t>
                  </w:r>
                </w:p>
              </w:tc>
              <w:tc>
                <w:tcPr>
                  <w:tcW w:w="860" w:type="pct"/>
                  <w:vMerge w:val="restart"/>
                  <w:tcBorders>
                    <w:tl2br w:val="nil"/>
                    <w:tr2bl w:val="nil"/>
                  </w:tcBorders>
                  <w:noWrap w:val="0"/>
                  <w:vAlign w:val="center"/>
                </w:tcPr>
                <w:p w14:paraId="1AE44D3D">
                  <w:pPr>
                    <w:pStyle w:val="134"/>
                    <w:rPr>
                      <w:rFonts w:hint="default" w:eastAsia="宋体"/>
                      <w:color w:val="auto"/>
                      <w:lang w:val="en-US" w:eastAsia="zh-CN"/>
                    </w:rPr>
                  </w:pPr>
                  <w:r>
                    <w:rPr>
                      <w:rFonts w:hint="eastAsia"/>
                      <w:color w:val="auto"/>
                      <w:lang w:val="en-US" w:eastAsia="zh-CN"/>
                    </w:rPr>
                    <w:t>15m</w:t>
                  </w:r>
                </w:p>
              </w:tc>
              <w:tc>
                <w:tcPr>
                  <w:tcW w:w="721" w:type="pct"/>
                  <w:tcBorders>
                    <w:tl2br w:val="nil"/>
                    <w:tr2bl w:val="nil"/>
                  </w:tcBorders>
                  <w:shd w:val="clear" w:color="auto" w:fill="auto"/>
                  <w:noWrap w:val="0"/>
                  <w:vAlign w:val="center"/>
                </w:tcPr>
                <w:p w14:paraId="0F7B23A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50</w:t>
                  </w:r>
                  <w:r>
                    <w:rPr>
                      <w:color w:val="auto"/>
                    </w:rPr>
                    <w:t>mg/m</w:t>
                  </w:r>
                  <w:r>
                    <w:rPr>
                      <w:color w:val="auto"/>
                      <w:vertAlign w:val="superscript"/>
                    </w:rPr>
                    <w:t>3</w:t>
                  </w:r>
                </w:p>
              </w:tc>
              <w:tc>
                <w:tcPr>
                  <w:tcW w:w="1832" w:type="pct"/>
                  <w:vMerge w:val="restart"/>
                  <w:tcBorders>
                    <w:tl2br w:val="nil"/>
                    <w:tr2bl w:val="nil"/>
                  </w:tcBorders>
                  <w:noWrap w:val="0"/>
                  <w:vAlign w:val="center"/>
                </w:tcPr>
                <w:p w14:paraId="09BB75D6">
                  <w:pPr>
                    <w:pStyle w:val="134"/>
                    <w:rPr>
                      <w:color w:val="auto"/>
                      <w:sz w:val="21"/>
                      <w:szCs w:val="21"/>
                    </w:rPr>
                  </w:pPr>
                  <w:r>
                    <w:rPr>
                      <w:rFonts w:hint="default" w:ascii="Times New Roman" w:hAnsi="Times New Roman" w:eastAsia="宋体" w:cs="Times New Roman"/>
                      <w:color w:val="auto"/>
                      <w:kern w:val="0"/>
                      <w:sz w:val="21"/>
                      <w:szCs w:val="21"/>
                      <w:lang w:eastAsia="zh-CN"/>
                    </w:rPr>
                    <w:t>《锅炉大气污染物排放标准》（GB13271-2014）</w:t>
                  </w:r>
                </w:p>
              </w:tc>
            </w:tr>
            <w:tr w14:paraId="681AC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01" w:type="pct"/>
                  <w:vMerge w:val="continue"/>
                  <w:tcBorders>
                    <w:tl2br w:val="nil"/>
                    <w:tr2bl w:val="nil"/>
                  </w:tcBorders>
                  <w:noWrap w:val="0"/>
                  <w:vAlign w:val="center"/>
                </w:tcPr>
                <w:p w14:paraId="256743E9">
                  <w:pPr>
                    <w:pStyle w:val="134"/>
                    <w:rPr>
                      <w:color w:val="auto"/>
                    </w:rPr>
                  </w:pPr>
                </w:p>
              </w:tc>
              <w:tc>
                <w:tcPr>
                  <w:tcW w:w="983" w:type="pct"/>
                  <w:tcBorders>
                    <w:tl2br w:val="nil"/>
                    <w:tr2bl w:val="nil"/>
                  </w:tcBorders>
                  <w:shd w:val="clear" w:color="auto" w:fill="auto"/>
                  <w:noWrap w:val="0"/>
                  <w:vAlign w:val="center"/>
                </w:tcPr>
                <w:p w14:paraId="13BD641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二氧化硫</w:t>
                  </w:r>
                </w:p>
              </w:tc>
              <w:tc>
                <w:tcPr>
                  <w:tcW w:w="860" w:type="pct"/>
                  <w:vMerge w:val="continue"/>
                  <w:tcBorders>
                    <w:tl2br w:val="nil"/>
                    <w:tr2bl w:val="nil"/>
                  </w:tcBorders>
                  <w:noWrap w:val="0"/>
                  <w:vAlign w:val="center"/>
                </w:tcPr>
                <w:p w14:paraId="673B90A6">
                  <w:pPr>
                    <w:pStyle w:val="134"/>
                    <w:rPr>
                      <w:color w:val="auto"/>
                    </w:rPr>
                  </w:pPr>
                </w:p>
              </w:tc>
              <w:tc>
                <w:tcPr>
                  <w:tcW w:w="721" w:type="pct"/>
                  <w:tcBorders>
                    <w:tl2br w:val="nil"/>
                    <w:tr2bl w:val="nil"/>
                  </w:tcBorders>
                  <w:shd w:val="clear" w:color="auto" w:fill="auto"/>
                  <w:noWrap w:val="0"/>
                  <w:vAlign w:val="center"/>
                </w:tcPr>
                <w:p w14:paraId="64951BC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300</w:t>
                  </w:r>
                  <w:r>
                    <w:rPr>
                      <w:color w:val="auto"/>
                    </w:rPr>
                    <w:t>mg/m</w:t>
                  </w:r>
                  <w:r>
                    <w:rPr>
                      <w:color w:val="auto"/>
                      <w:vertAlign w:val="superscript"/>
                    </w:rPr>
                    <w:t>3</w:t>
                  </w:r>
                </w:p>
              </w:tc>
              <w:tc>
                <w:tcPr>
                  <w:tcW w:w="1832" w:type="pct"/>
                  <w:vMerge w:val="continue"/>
                  <w:tcBorders>
                    <w:tl2br w:val="nil"/>
                    <w:tr2bl w:val="nil"/>
                  </w:tcBorders>
                  <w:noWrap w:val="0"/>
                  <w:vAlign w:val="center"/>
                </w:tcPr>
                <w:p w14:paraId="637F025D">
                  <w:pPr>
                    <w:pStyle w:val="134"/>
                    <w:rPr>
                      <w:color w:val="auto"/>
                      <w:sz w:val="21"/>
                      <w:szCs w:val="21"/>
                    </w:rPr>
                  </w:pPr>
                </w:p>
              </w:tc>
            </w:tr>
            <w:tr w14:paraId="391E6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01" w:type="pct"/>
                  <w:vMerge w:val="continue"/>
                  <w:tcBorders>
                    <w:tl2br w:val="nil"/>
                    <w:tr2bl w:val="nil"/>
                  </w:tcBorders>
                  <w:noWrap w:val="0"/>
                  <w:vAlign w:val="center"/>
                </w:tcPr>
                <w:p w14:paraId="702A0A06">
                  <w:pPr>
                    <w:pStyle w:val="134"/>
                    <w:rPr>
                      <w:color w:val="auto"/>
                    </w:rPr>
                  </w:pPr>
                </w:p>
              </w:tc>
              <w:tc>
                <w:tcPr>
                  <w:tcW w:w="983" w:type="pct"/>
                  <w:tcBorders>
                    <w:tl2br w:val="nil"/>
                    <w:tr2bl w:val="nil"/>
                  </w:tcBorders>
                  <w:shd w:val="clear" w:color="auto" w:fill="auto"/>
                  <w:noWrap w:val="0"/>
                  <w:vAlign w:val="center"/>
                </w:tcPr>
                <w:p w14:paraId="75D6476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氮氧化物</w:t>
                  </w:r>
                </w:p>
              </w:tc>
              <w:tc>
                <w:tcPr>
                  <w:tcW w:w="860" w:type="pct"/>
                  <w:vMerge w:val="continue"/>
                  <w:tcBorders>
                    <w:tl2br w:val="nil"/>
                    <w:tr2bl w:val="nil"/>
                  </w:tcBorders>
                  <w:noWrap w:val="0"/>
                  <w:vAlign w:val="center"/>
                </w:tcPr>
                <w:p w14:paraId="1EF8923E">
                  <w:pPr>
                    <w:pStyle w:val="134"/>
                    <w:rPr>
                      <w:color w:val="auto"/>
                    </w:rPr>
                  </w:pPr>
                </w:p>
              </w:tc>
              <w:tc>
                <w:tcPr>
                  <w:tcW w:w="721" w:type="pct"/>
                  <w:tcBorders>
                    <w:tl2br w:val="nil"/>
                    <w:tr2bl w:val="nil"/>
                  </w:tcBorders>
                  <w:shd w:val="clear" w:color="auto" w:fill="auto"/>
                  <w:noWrap w:val="0"/>
                  <w:vAlign w:val="center"/>
                </w:tcPr>
                <w:p w14:paraId="1F9B9D1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300</w:t>
                  </w:r>
                  <w:r>
                    <w:rPr>
                      <w:color w:val="auto"/>
                    </w:rPr>
                    <w:t>mg/m</w:t>
                  </w:r>
                  <w:r>
                    <w:rPr>
                      <w:color w:val="auto"/>
                      <w:vertAlign w:val="superscript"/>
                    </w:rPr>
                    <w:t>3</w:t>
                  </w:r>
                </w:p>
              </w:tc>
              <w:tc>
                <w:tcPr>
                  <w:tcW w:w="1832" w:type="pct"/>
                  <w:vMerge w:val="continue"/>
                  <w:tcBorders>
                    <w:tl2br w:val="nil"/>
                    <w:tr2bl w:val="nil"/>
                  </w:tcBorders>
                  <w:noWrap w:val="0"/>
                  <w:vAlign w:val="center"/>
                </w:tcPr>
                <w:p w14:paraId="5423CC12">
                  <w:pPr>
                    <w:pStyle w:val="134"/>
                    <w:rPr>
                      <w:color w:val="auto"/>
                      <w:sz w:val="21"/>
                      <w:szCs w:val="21"/>
                    </w:rPr>
                  </w:pPr>
                </w:p>
              </w:tc>
            </w:tr>
            <w:tr w14:paraId="17E087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01" w:type="pct"/>
                  <w:vMerge w:val="continue"/>
                  <w:tcBorders>
                    <w:tl2br w:val="nil"/>
                    <w:tr2bl w:val="nil"/>
                  </w:tcBorders>
                  <w:noWrap w:val="0"/>
                  <w:vAlign w:val="center"/>
                </w:tcPr>
                <w:p w14:paraId="195EA070">
                  <w:pPr>
                    <w:pStyle w:val="134"/>
                    <w:rPr>
                      <w:color w:val="auto"/>
                    </w:rPr>
                  </w:pPr>
                </w:p>
              </w:tc>
              <w:tc>
                <w:tcPr>
                  <w:tcW w:w="983" w:type="pct"/>
                  <w:tcBorders>
                    <w:tl2br w:val="nil"/>
                    <w:tr2bl w:val="nil"/>
                  </w:tcBorders>
                  <w:shd w:val="clear" w:color="auto" w:fill="auto"/>
                  <w:noWrap w:val="0"/>
                  <w:vAlign w:val="center"/>
                </w:tcPr>
                <w:p w14:paraId="1317F3E8">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烟气黑度（林格曼黑度，级）</w:t>
                  </w:r>
                </w:p>
              </w:tc>
              <w:tc>
                <w:tcPr>
                  <w:tcW w:w="860" w:type="pct"/>
                  <w:vMerge w:val="continue"/>
                  <w:tcBorders>
                    <w:tl2br w:val="nil"/>
                    <w:tr2bl w:val="nil"/>
                  </w:tcBorders>
                  <w:noWrap w:val="0"/>
                  <w:vAlign w:val="center"/>
                </w:tcPr>
                <w:p w14:paraId="341733A0">
                  <w:pPr>
                    <w:pStyle w:val="134"/>
                    <w:rPr>
                      <w:color w:val="auto"/>
                    </w:rPr>
                  </w:pPr>
                </w:p>
              </w:tc>
              <w:tc>
                <w:tcPr>
                  <w:tcW w:w="721" w:type="pct"/>
                  <w:tcBorders>
                    <w:tl2br w:val="nil"/>
                    <w:tr2bl w:val="nil"/>
                  </w:tcBorders>
                  <w:noWrap w:val="0"/>
                  <w:vAlign w:val="center"/>
                </w:tcPr>
                <w:p w14:paraId="2BD28821">
                  <w:pPr>
                    <w:pStyle w:val="134"/>
                    <w:rPr>
                      <w:color w:val="auto"/>
                    </w:rPr>
                  </w:pPr>
                  <w:r>
                    <w:rPr>
                      <w:rFonts w:hint="default" w:ascii="Times New Roman" w:hAnsi="Times New Roman" w:cs="Times New Roman"/>
                      <w:color w:val="auto"/>
                      <w:sz w:val="21"/>
                      <w:szCs w:val="21"/>
                      <w:lang w:val="en-US" w:eastAsia="zh-CN"/>
                    </w:rPr>
                    <w:t>≤1</w:t>
                  </w:r>
                </w:p>
              </w:tc>
              <w:tc>
                <w:tcPr>
                  <w:tcW w:w="1832" w:type="pct"/>
                  <w:vMerge w:val="continue"/>
                  <w:tcBorders>
                    <w:tl2br w:val="nil"/>
                    <w:tr2bl w:val="nil"/>
                  </w:tcBorders>
                  <w:noWrap w:val="0"/>
                  <w:vAlign w:val="center"/>
                </w:tcPr>
                <w:p w14:paraId="36FB5493">
                  <w:pPr>
                    <w:pStyle w:val="134"/>
                    <w:rPr>
                      <w:color w:val="auto"/>
                      <w:sz w:val="21"/>
                      <w:szCs w:val="21"/>
                    </w:rPr>
                  </w:pPr>
                </w:p>
              </w:tc>
            </w:tr>
            <w:tr w14:paraId="302FF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01" w:type="pct"/>
                  <w:vMerge w:val="restart"/>
                  <w:tcBorders>
                    <w:tl2br w:val="nil"/>
                    <w:tr2bl w:val="nil"/>
                  </w:tcBorders>
                  <w:noWrap w:val="0"/>
                  <w:vAlign w:val="center"/>
                </w:tcPr>
                <w:p w14:paraId="58901961">
                  <w:pPr>
                    <w:pStyle w:val="134"/>
                    <w:rPr>
                      <w:color w:val="auto"/>
                      <w:u w:val="single"/>
                    </w:rPr>
                  </w:pPr>
                  <w:r>
                    <w:rPr>
                      <w:color w:val="auto"/>
                      <w:u w:val="single"/>
                    </w:rPr>
                    <w:t>DA002</w:t>
                  </w:r>
                </w:p>
              </w:tc>
              <w:tc>
                <w:tcPr>
                  <w:tcW w:w="983" w:type="pct"/>
                  <w:tcBorders>
                    <w:tl2br w:val="nil"/>
                    <w:tr2bl w:val="nil"/>
                  </w:tcBorders>
                  <w:noWrap w:val="0"/>
                  <w:vAlign w:val="center"/>
                </w:tcPr>
                <w:p w14:paraId="1EC97647">
                  <w:pPr>
                    <w:pStyle w:val="134"/>
                    <w:rPr>
                      <w:color w:val="auto"/>
                      <w:u w:val="single"/>
                    </w:rPr>
                  </w:pPr>
                  <w:r>
                    <w:rPr>
                      <w:color w:val="auto"/>
                      <w:u w:val="single"/>
                    </w:rPr>
                    <w:t>颗粒物</w:t>
                  </w:r>
                </w:p>
              </w:tc>
              <w:tc>
                <w:tcPr>
                  <w:tcW w:w="860" w:type="pct"/>
                  <w:vMerge w:val="restart"/>
                  <w:tcBorders>
                    <w:tl2br w:val="nil"/>
                    <w:tr2bl w:val="nil"/>
                  </w:tcBorders>
                  <w:noWrap w:val="0"/>
                  <w:vAlign w:val="center"/>
                </w:tcPr>
                <w:p w14:paraId="133EBB16">
                  <w:pPr>
                    <w:pStyle w:val="134"/>
                    <w:rPr>
                      <w:color w:val="auto"/>
                      <w:u w:val="single"/>
                    </w:rPr>
                  </w:pPr>
                  <w:r>
                    <w:rPr>
                      <w:rFonts w:hint="eastAsia"/>
                      <w:color w:val="auto"/>
                      <w:u w:val="single"/>
                      <w:lang w:val="en-US" w:eastAsia="zh-CN"/>
                    </w:rPr>
                    <w:t>1</w:t>
                  </w:r>
                  <w:r>
                    <w:rPr>
                      <w:color w:val="auto"/>
                      <w:u w:val="single"/>
                    </w:rPr>
                    <w:t>5m</w:t>
                  </w:r>
                </w:p>
              </w:tc>
              <w:tc>
                <w:tcPr>
                  <w:tcW w:w="721" w:type="pct"/>
                  <w:tcBorders>
                    <w:tl2br w:val="nil"/>
                    <w:tr2bl w:val="nil"/>
                  </w:tcBorders>
                  <w:noWrap w:val="0"/>
                  <w:vAlign w:val="center"/>
                </w:tcPr>
                <w:p w14:paraId="1503D477">
                  <w:pPr>
                    <w:pStyle w:val="134"/>
                    <w:rPr>
                      <w:color w:val="auto"/>
                      <w:u w:val="single"/>
                    </w:rPr>
                  </w:pPr>
                  <w:r>
                    <w:rPr>
                      <w:color w:val="auto"/>
                      <w:u w:val="single"/>
                    </w:rPr>
                    <w:t>30mg/m</w:t>
                  </w:r>
                  <w:r>
                    <w:rPr>
                      <w:color w:val="auto"/>
                      <w:u w:val="single"/>
                      <w:vertAlign w:val="superscript"/>
                    </w:rPr>
                    <w:t>3</w:t>
                  </w:r>
                </w:p>
              </w:tc>
              <w:tc>
                <w:tcPr>
                  <w:tcW w:w="1832" w:type="pct"/>
                  <w:vMerge w:val="restart"/>
                  <w:tcBorders>
                    <w:tl2br w:val="nil"/>
                    <w:tr2bl w:val="nil"/>
                  </w:tcBorders>
                  <w:noWrap w:val="0"/>
                  <w:vAlign w:val="center"/>
                </w:tcPr>
                <w:p w14:paraId="234270D1">
                  <w:pPr>
                    <w:pStyle w:val="134"/>
                    <w:rPr>
                      <w:color w:val="auto"/>
                      <w:sz w:val="21"/>
                      <w:szCs w:val="21"/>
                      <w:u w:val="single"/>
                    </w:rPr>
                  </w:pPr>
                  <w:bookmarkStart w:id="33" w:name="OLE_LINK7"/>
                  <w:r>
                    <w:rPr>
                      <w:rFonts w:ascii="Times New Roman" w:hAnsi="Times New Roman" w:eastAsia="宋体" w:cs="Times New Roman"/>
                      <w:color w:val="FF0000"/>
                      <w:u w:val="single"/>
                    </w:rPr>
                    <w:t>《湖南省工业炉窑大气污染综合治理实施方案》</w:t>
                  </w:r>
                  <w:bookmarkEnd w:id="33"/>
                  <w:r>
                    <w:rPr>
                      <w:rFonts w:hint="default" w:ascii="Times New Roman" w:hAnsi="Times New Roman" w:eastAsia="宋体" w:cs="Times New Roman"/>
                      <w:color w:val="FF0000"/>
                      <w:u w:val="single"/>
                      <w:lang w:val="en-US" w:eastAsia="zh-CN"/>
                    </w:rPr>
                    <w:t>中现阶段长沙市、株洲市、湘潭市以及常德市、岳阳市、益阳市等传输通道城市</w:t>
                  </w:r>
                  <w:r>
                    <w:rPr>
                      <w:rFonts w:hint="eastAsia" w:ascii="Times New Roman" w:hAnsi="Times New Roman" w:eastAsia="宋体" w:cs="Times New Roman"/>
                      <w:color w:val="FF0000"/>
                      <w:u w:val="single"/>
                      <w:lang w:val="en-US" w:eastAsia="zh-CN"/>
                    </w:rPr>
                    <w:t>“</w:t>
                  </w:r>
                  <w:r>
                    <w:rPr>
                      <w:rFonts w:hint="default" w:ascii="Times New Roman" w:hAnsi="Times New Roman" w:eastAsia="宋体" w:cs="Times New Roman"/>
                      <w:color w:val="FF0000"/>
                      <w:u w:val="single"/>
                      <w:lang w:val="en-US" w:eastAsia="zh-CN"/>
                    </w:rPr>
                    <w:t>暂未制订行业排放标准的工业炉窑</w:t>
                  </w:r>
                  <w:r>
                    <w:rPr>
                      <w:rFonts w:hint="eastAsia" w:ascii="Times New Roman" w:hAnsi="Times New Roman" w:eastAsia="宋体" w:cs="Times New Roman"/>
                      <w:color w:val="FF0000"/>
                      <w:u w:val="single"/>
                      <w:lang w:val="en-US" w:eastAsia="zh-CN"/>
                    </w:rPr>
                    <w:t>”的排放</w:t>
                  </w:r>
                  <w:r>
                    <w:rPr>
                      <w:rFonts w:hint="default" w:ascii="Times New Roman" w:hAnsi="Times New Roman" w:eastAsia="宋体" w:cs="Times New Roman"/>
                      <w:color w:val="FF0000"/>
                      <w:u w:val="single"/>
                      <w:lang w:val="en-US" w:eastAsia="zh-CN"/>
                    </w:rPr>
                    <w:t>限值</w:t>
                  </w:r>
                </w:p>
              </w:tc>
            </w:tr>
            <w:tr w14:paraId="0E298C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01" w:type="pct"/>
                  <w:vMerge w:val="continue"/>
                  <w:tcBorders>
                    <w:tl2br w:val="nil"/>
                    <w:tr2bl w:val="nil"/>
                  </w:tcBorders>
                  <w:noWrap w:val="0"/>
                  <w:vAlign w:val="center"/>
                </w:tcPr>
                <w:p w14:paraId="62EE0931">
                  <w:pPr>
                    <w:pStyle w:val="134"/>
                    <w:rPr>
                      <w:color w:val="auto"/>
                      <w:u w:val="single"/>
                    </w:rPr>
                  </w:pPr>
                </w:p>
              </w:tc>
              <w:tc>
                <w:tcPr>
                  <w:tcW w:w="983" w:type="pct"/>
                  <w:tcBorders>
                    <w:tl2br w:val="nil"/>
                    <w:tr2bl w:val="nil"/>
                  </w:tcBorders>
                  <w:noWrap w:val="0"/>
                  <w:vAlign w:val="center"/>
                </w:tcPr>
                <w:p w14:paraId="7A05BBFB">
                  <w:pPr>
                    <w:pStyle w:val="134"/>
                    <w:rPr>
                      <w:color w:val="auto"/>
                      <w:u w:val="single"/>
                    </w:rPr>
                  </w:pPr>
                  <w:r>
                    <w:rPr>
                      <w:color w:val="auto"/>
                      <w:u w:val="single"/>
                    </w:rPr>
                    <w:t>二氧化硫</w:t>
                  </w:r>
                </w:p>
              </w:tc>
              <w:tc>
                <w:tcPr>
                  <w:tcW w:w="860" w:type="pct"/>
                  <w:vMerge w:val="continue"/>
                  <w:tcBorders>
                    <w:tl2br w:val="nil"/>
                    <w:tr2bl w:val="nil"/>
                  </w:tcBorders>
                  <w:noWrap w:val="0"/>
                  <w:vAlign w:val="center"/>
                </w:tcPr>
                <w:p w14:paraId="1215E2D8">
                  <w:pPr>
                    <w:pStyle w:val="134"/>
                    <w:rPr>
                      <w:color w:val="auto"/>
                      <w:u w:val="single"/>
                    </w:rPr>
                  </w:pPr>
                </w:p>
              </w:tc>
              <w:tc>
                <w:tcPr>
                  <w:tcW w:w="721" w:type="pct"/>
                  <w:tcBorders>
                    <w:tl2br w:val="nil"/>
                    <w:tr2bl w:val="nil"/>
                  </w:tcBorders>
                  <w:noWrap w:val="0"/>
                  <w:vAlign w:val="center"/>
                </w:tcPr>
                <w:p w14:paraId="432F5AB7">
                  <w:pPr>
                    <w:pStyle w:val="134"/>
                    <w:rPr>
                      <w:color w:val="auto"/>
                      <w:u w:val="single"/>
                    </w:rPr>
                  </w:pPr>
                  <w:r>
                    <w:rPr>
                      <w:color w:val="auto"/>
                      <w:u w:val="single"/>
                    </w:rPr>
                    <w:t>200mg/m</w:t>
                  </w:r>
                  <w:r>
                    <w:rPr>
                      <w:color w:val="auto"/>
                      <w:u w:val="single"/>
                      <w:vertAlign w:val="superscript"/>
                    </w:rPr>
                    <w:t>3</w:t>
                  </w:r>
                </w:p>
              </w:tc>
              <w:tc>
                <w:tcPr>
                  <w:tcW w:w="1832" w:type="pct"/>
                  <w:vMerge w:val="continue"/>
                  <w:tcBorders>
                    <w:tl2br w:val="nil"/>
                    <w:tr2bl w:val="nil"/>
                  </w:tcBorders>
                  <w:noWrap w:val="0"/>
                  <w:vAlign w:val="center"/>
                </w:tcPr>
                <w:p w14:paraId="2021653A">
                  <w:pPr>
                    <w:pStyle w:val="134"/>
                    <w:rPr>
                      <w:color w:val="auto"/>
                      <w:u w:val="single"/>
                    </w:rPr>
                  </w:pPr>
                </w:p>
              </w:tc>
            </w:tr>
            <w:tr w14:paraId="048A1F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01" w:type="pct"/>
                  <w:vMerge w:val="continue"/>
                  <w:tcBorders>
                    <w:tl2br w:val="nil"/>
                    <w:tr2bl w:val="nil"/>
                  </w:tcBorders>
                  <w:noWrap w:val="0"/>
                  <w:vAlign w:val="center"/>
                </w:tcPr>
                <w:p w14:paraId="66E19935">
                  <w:pPr>
                    <w:pStyle w:val="134"/>
                    <w:rPr>
                      <w:color w:val="auto"/>
                      <w:u w:val="single"/>
                    </w:rPr>
                  </w:pPr>
                </w:p>
              </w:tc>
              <w:tc>
                <w:tcPr>
                  <w:tcW w:w="983" w:type="pct"/>
                  <w:tcBorders>
                    <w:tl2br w:val="nil"/>
                    <w:tr2bl w:val="nil"/>
                  </w:tcBorders>
                  <w:noWrap w:val="0"/>
                  <w:vAlign w:val="center"/>
                </w:tcPr>
                <w:p w14:paraId="13E7C3E6">
                  <w:pPr>
                    <w:pStyle w:val="134"/>
                    <w:rPr>
                      <w:color w:val="auto"/>
                      <w:u w:val="single"/>
                    </w:rPr>
                  </w:pPr>
                  <w:r>
                    <w:rPr>
                      <w:color w:val="auto"/>
                      <w:u w:val="single"/>
                    </w:rPr>
                    <w:t>氮氧化物</w:t>
                  </w:r>
                </w:p>
              </w:tc>
              <w:tc>
                <w:tcPr>
                  <w:tcW w:w="860" w:type="pct"/>
                  <w:vMerge w:val="continue"/>
                  <w:tcBorders>
                    <w:tl2br w:val="nil"/>
                    <w:tr2bl w:val="nil"/>
                  </w:tcBorders>
                  <w:noWrap w:val="0"/>
                  <w:vAlign w:val="center"/>
                </w:tcPr>
                <w:p w14:paraId="52ACE33C">
                  <w:pPr>
                    <w:pStyle w:val="134"/>
                    <w:rPr>
                      <w:color w:val="auto"/>
                      <w:u w:val="single"/>
                    </w:rPr>
                  </w:pPr>
                </w:p>
              </w:tc>
              <w:tc>
                <w:tcPr>
                  <w:tcW w:w="721" w:type="pct"/>
                  <w:tcBorders>
                    <w:tl2br w:val="nil"/>
                    <w:tr2bl w:val="nil"/>
                  </w:tcBorders>
                  <w:noWrap w:val="0"/>
                  <w:vAlign w:val="center"/>
                </w:tcPr>
                <w:p w14:paraId="7FBDC287">
                  <w:pPr>
                    <w:pStyle w:val="134"/>
                    <w:rPr>
                      <w:color w:val="auto"/>
                      <w:u w:val="single"/>
                    </w:rPr>
                  </w:pPr>
                  <w:r>
                    <w:rPr>
                      <w:color w:val="auto"/>
                      <w:u w:val="single"/>
                    </w:rPr>
                    <w:t>300mg/m</w:t>
                  </w:r>
                  <w:r>
                    <w:rPr>
                      <w:color w:val="auto"/>
                      <w:u w:val="single"/>
                      <w:vertAlign w:val="superscript"/>
                    </w:rPr>
                    <w:t>3</w:t>
                  </w:r>
                </w:p>
              </w:tc>
              <w:tc>
                <w:tcPr>
                  <w:tcW w:w="1832" w:type="pct"/>
                  <w:vMerge w:val="continue"/>
                  <w:tcBorders>
                    <w:tl2br w:val="nil"/>
                    <w:tr2bl w:val="nil"/>
                  </w:tcBorders>
                  <w:noWrap w:val="0"/>
                  <w:vAlign w:val="center"/>
                </w:tcPr>
                <w:p w14:paraId="5BC44905">
                  <w:pPr>
                    <w:pStyle w:val="134"/>
                    <w:rPr>
                      <w:color w:val="auto"/>
                      <w:u w:val="single"/>
                    </w:rPr>
                  </w:pPr>
                </w:p>
              </w:tc>
            </w:tr>
            <w:tr w14:paraId="7FAE2D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01" w:type="pct"/>
                  <w:vMerge w:val="restart"/>
                  <w:tcBorders>
                    <w:tl2br w:val="nil"/>
                    <w:tr2bl w:val="nil"/>
                  </w:tcBorders>
                  <w:noWrap w:val="0"/>
                  <w:vAlign w:val="center"/>
                </w:tcPr>
                <w:p w14:paraId="57712018">
                  <w:pPr>
                    <w:pStyle w:val="134"/>
                    <w:rPr>
                      <w:color w:val="auto"/>
                      <w:u w:val="single"/>
                    </w:rPr>
                  </w:pPr>
                  <w:r>
                    <w:rPr>
                      <w:color w:val="auto"/>
                      <w:u w:val="single"/>
                    </w:rPr>
                    <w:t>厂界</w:t>
                  </w:r>
                </w:p>
              </w:tc>
              <w:tc>
                <w:tcPr>
                  <w:tcW w:w="983" w:type="pct"/>
                  <w:tcBorders>
                    <w:bottom w:val="single" w:color="auto" w:sz="4" w:space="0"/>
                    <w:tl2br w:val="nil"/>
                    <w:tr2bl w:val="nil"/>
                  </w:tcBorders>
                  <w:shd w:val="clear" w:color="auto" w:fill="auto"/>
                  <w:noWrap w:val="0"/>
                  <w:vAlign w:val="center"/>
                </w:tcPr>
                <w:p w14:paraId="414279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u w:val="single"/>
                      <w:lang w:val="en-US" w:eastAsia="zh-CN" w:bidi="ar-SA"/>
                    </w:rPr>
                  </w:pPr>
                  <w:r>
                    <w:rPr>
                      <w:rFonts w:hint="default" w:ascii="Times New Roman" w:hAnsi="Times New Roman" w:cs="Times New Roman"/>
                      <w:b w:val="0"/>
                      <w:bCs w:val="0"/>
                      <w:color w:val="auto"/>
                      <w:kern w:val="0"/>
                      <w:sz w:val="21"/>
                      <w:szCs w:val="21"/>
                      <w:u w:val="single"/>
                    </w:rPr>
                    <w:t>颗粒物</w:t>
                  </w:r>
                </w:p>
              </w:tc>
              <w:tc>
                <w:tcPr>
                  <w:tcW w:w="860" w:type="pct"/>
                  <w:tcBorders>
                    <w:bottom w:val="single" w:color="auto" w:sz="4" w:space="0"/>
                    <w:tl2br w:val="nil"/>
                    <w:tr2bl w:val="nil"/>
                  </w:tcBorders>
                  <w:noWrap w:val="0"/>
                  <w:vAlign w:val="center"/>
                </w:tcPr>
                <w:p w14:paraId="68C3D56B">
                  <w:pPr>
                    <w:pStyle w:val="134"/>
                    <w:rPr>
                      <w:rFonts w:hint="eastAsia" w:eastAsia="宋体"/>
                      <w:color w:val="auto"/>
                      <w:u w:val="single"/>
                      <w:lang w:val="en-US" w:eastAsia="zh-CN"/>
                    </w:rPr>
                  </w:pPr>
                  <w:r>
                    <w:rPr>
                      <w:rFonts w:hint="eastAsia"/>
                      <w:color w:val="auto"/>
                      <w:u w:val="single"/>
                      <w:lang w:val="en-US" w:eastAsia="zh-CN"/>
                    </w:rPr>
                    <w:t>/</w:t>
                  </w:r>
                </w:p>
              </w:tc>
              <w:tc>
                <w:tcPr>
                  <w:tcW w:w="721" w:type="pct"/>
                  <w:tcBorders>
                    <w:bottom w:val="single" w:color="auto" w:sz="4" w:space="0"/>
                    <w:tl2br w:val="nil"/>
                    <w:tr2bl w:val="nil"/>
                  </w:tcBorders>
                  <w:noWrap w:val="0"/>
                  <w:vAlign w:val="center"/>
                </w:tcPr>
                <w:p w14:paraId="645727E4">
                  <w:pPr>
                    <w:pStyle w:val="134"/>
                    <w:rPr>
                      <w:color w:val="auto"/>
                      <w:u w:val="single"/>
                    </w:rPr>
                  </w:pPr>
                  <w:r>
                    <w:rPr>
                      <w:color w:val="auto"/>
                      <w:u w:val="single"/>
                    </w:rPr>
                    <w:t>1.0mg/m</w:t>
                  </w:r>
                  <w:r>
                    <w:rPr>
                      <w:color w:val="auto"/>
                      <w:u w:val="single"/>
                      <w:vertAlign w:val="superscript"/>
                    </w:rPr>
                    <w:t>3</w:t>
                  </w:r>
                </w:p>
              </w:tc>
              <w:tc>
                <w:tcPr>
                  <w:tcW w:w="1832" w:type="pct"/>
                  <w:tcBorders>
                    <w:bottom w:val="single" w:color="auto" w:sz="4" w:space="0"/>
                    <w:tl2br w:val="nil"/>
                    <w:tr2bl w:val="nil"/>
                  </w:tcBorders>
                  <w:noWrap w:val="0"/>
                  <w:vAlign w:val="center"/>
                </w:tcPr>
                <w:p w14:paraId="42D27895">
                  <w:pPr>
                    <w:pStyle w:val="134"/>
                    <w:rPr>
                      <w:color w:val="auto"/>
                      <w:u w:val="single"/>
                    </w:rPr>
                  </w:pPr>
                  <w:r>
                    <w:rPr>
                      <w:color w:val="auto"/>
                      <w:u w:val="single"/>
                    </w:rPr>
                    <w:t>《大气污染物综合排放标准》（GB16297-1996）</w:t>
                  </w:r>
                </w:p>
              </w:tc>
            </w:tr>
            <w:tr w14:paraId="593FD0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1" w:type="pct"/>
                  <w:vMerge w:val="continue"/>
                  <w:tcBorders>
                    <w:tl2br w:val="nil"/>
                    <w:tr2bl w:val="nil"/>
                  </w:tcBorders>
                  <w:noWrap w:val="0"/>
                  <w:vAlign w:val="center"/>
                </w:tcPr>
                <w:p w14:paraId="26F9A584">
                  <w:pPr>
                    <w:pStyle w:val="134"/>
                    <w:rPr>
                      <w:color w:val="auto"/>
                      <w:u w:val="single"/>
                    </w:rPr>
                  </w:pPr>
                </w:p>
              </w:tc>
              <w:tc>
                <w:tcPr>
                  <w:tcW w:w="983" w:type="pct"/>
                  <w:tcBorders>
                    <w:top w:val="single" w:color="auto" w:sz="4" w:space="0"/>
                    <w:tl2br w:val="nil"/>
                    <w:tr2bl w:val="nil"/>
                  </w:tcBorders>
                  <w:shd w:val="clear" w:color="auto" w:fill="auto"/>
                  <w:noWrap w:val="0"/>
                  <w:vAlign w:val="center"/>
                </w:tcPr>
                <w:p w14:paraId="497C6701">
                  <w:pPr>
                    <w:pStyle w:val="134"/>
                    <w:rPr>
                      <w:rFonts w:hint="default" w:ascii="Times New Roman" w:hAnsi="Times New Roman" w:eastAsia="宋体" w:cs="Times New Roman"/>
                      <w:color w:val="auto"/>
                      <w:u w:val="single"/>
                    </w:rPr>
                  </w:pPr>
                  <w:r>
                    <w:rPr>
                      <w:rFonts w:ascii="Times New Roman" w:hAnsi="Times New Roman" w:eastAsia="宋体" w:cs="Times New Roman"/>
                      <w:color w:val="auto"/>
                      <w:u w:val="single"/>
                    </w:rPr>
                    <w:t>臭气浓度</w:t>
                  </w:r>
                </w:p>
              </w:tc>
              <w:tc>
                <w:tcPr>
                  <w:tcW w:w="860" w:type="pct"/>
                  <w:tcBorders>
                    <w:top w:val="single" w:color="auto" w:sz="4" w:space="0"/>
                    <w:tl2br w:val="nil"/>
                    <w:tr2bl w:val="nil"/>
                  </w:tcBorders>
                  <w:noWrap w:val="0"/>
                  <w:vAlign w:val="center"/>
                </w:tcPr>
                <w:p w14:paraId="6084C418">
                  <w:pPr>
                    <w:pStyle w:val="134"/>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w:t>
                  </w:r>
                </w:p>
              </w:tc>
              <w:tc>
                <w:tcPr>
                  <w:tcW w:w="721" w:type="pct"/>
                  <w:tcBorders>
                    <w:top w:val="single" w:color="auto" w:sz="4" w:space="0"/>
                    <w:tl2br w:val="nil"/>
                    <w:tr2bl w:val="nil"/>
                  </w:tcBorders>
                  <w:noWrap w:val="0"/>
                  <w:vAlign w:val="center"/>
                </w:tcPr>
                <w:p w14:paraId="59F985F0">
                  <w:pPr>
                    <w:pStyle w:val="134"/>
                    <w:rPr>
                      <w:rFonts w:ascii="Times New Roman" w:hAnsi="Times New Roman" w:eastAsia="宋体" w:cs="Times New Roman"/>
                      <w:color w:val="auto"/>
                      <w:u w:val="single"/>
                    </w:rPr>
                  </w:pPr>
                  <w:r>
                    <w:rPr>
                      <w:rFonts w:hint="default" w:ascii="Times New Roman" w:hAnsi="Times New Roman" w:eastAsia="宋体" w:cs="Times New Roman"/>
                      <w:color w:val="auto"/>
                      <w:u w:val="single"/>
                    </w:rPr>
                    <w:t>20（无量纲）</w:t>
                  </w:r>
                </w:p>
              </w:tc>
              <w:tc>
                <w:tcPr>
                  <w:tcW w:w="1832" w:type="pct"/>
                  <w:tcBorders>
                    <w:top w:val="single" w:color="auto" w:sz="4" w:space="0"/>
                    <w:tl2br w:val="nil"/>
                    <w:tr2bl w:val="nil"/>
                  </w:tcBorders>
                  <w:noWrap w:val="0"/>
                  <w:vAlign w:val="center"/>
                </w:tcPr>
                <w:p w14:paraId="3D4CD764">
                  <w:pPr>
                    <w:pStyle w:val="134"/>
                    <w:rPr>
                      <w:rFonts w:ascii="Times New Roman" w:hAnsi="Times New Roman" w:eastAsia="宋体" w:cs="Times New Roman"/>
                      <w:color w:val="auto"/>
                      <w:u w:val="single"/>
                    </w:rPr>
                  </w:pPr>
                  <w:r>
                    <w:rPr>
                      <w:rFonts w:ascii="Times New Roman" w:hAnsi="Times New Roman" w:eastAsia="宋体" w:cs="Times New Roman"/>
                      <w:color w:val="auto"/>
                      <w:u w:val="single"/>
                    </w:rPr>
                    <w:t>《恶臭污染物排放标准》</w:t>
                  </w:r>
                  <w:r>
                    <w:rPr>
                      <w:rFonts w:hint="eastAsia" w:ascii="Times New Roman" w:hAnsi="Times New Roman" w:eastAsia="宋体" w:cs="Times New Roman"/>
                      <w:color w:val="auto"/>
                      <w:u w:val="single"/>
                    </w:rPr>
                    <w:t>（</w:t>
                  </w:r>
                  <w:r>
                    <w:rPr>
                      <w:rFonts w:ascii="Times New Roman" w:hAnsi="Times New Roman" w:eastAsia="宋体" w:cs="Times New Roman"/>
                      <w:color w:val="auto"/>
                      <w:u w:val="single"/>
                    </w:rPr>
                    <w:t>GB14554-93</w:t>
                  </w:r>
                  <w:r>
                    <w:rPr>
                      <w:rFonts w:hint="eastAsia" w:ascii="Times New Roman" w:hAnsi="Times New Roman" w:eastAsia="宋体" w:cs="Times New Roman"/>
                      <w:color w:val="auto"/>
                      <w:u w:val="single"/>
                    </w:rPr>
                    <w:t>）</w:t>
                  </w:r>
                </w:p>
              </w:tc>
            </w:tr>
          </w:tbl>
          <w:p w14:paraId="2D5D4A2E">
            <w:pPr>
              <w:pStyle w:val="47"/>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（3）噪声</w:t>
            </w:r>
          </w:p>
          <w:p w14:paraId="7AC07C6D">
            <w:pPr>
              <w:pStyle w:val="30"/>
              <w:keepNext w:val="0"/>
              <w:keepLines w:val="0"/>
              <w:pageBreakBefore w:val="0"/>
              <w:widowControl/>
              <w:kinsoku/>
              <w:wordWrap/>
              <w:overflowPunct/>
              <w:topLinePunct w:val="0"/>
              <w:autoSpaceDE/>
              <w:autoSpaceDN/>
              <w:bidi w:val="0"/>
              <w:adjustRightInd/>
              <w:snapToGrid w:val="0"/>
              <w:spacing w:after="0" w:line="360" w:lineRule="auto"/>
              <w:ind w:right="113" w:firstLine="480" w:firstLineChars="200"/>
              <w:textAlignment w:val="auto"/>
              <w:rPr>
                <w:rFonts w:hint="default" w:ascii="Times New Roman" w:hAnsi="Times New Roman" w:cs="Times New Roman"/>
                <w:color w:val="auto"/>
                <w:kern w:val="2"/>
                <w:sz w:val="24"/>
              </w:rPr>
            </w:pPr>
            <w:r>
              <w:rPr>
                <w:rFonts w:hint="eastAsia" w:cs="Times New Roman"/>
                <w:color w:val="auto"/>
                <w:kern w:val="2"/>
                <w:sz w:val="24"/>
                <w:lang w:val="en-US" w:eastAsia="zh-CN"/>
              </w:rPr>
              <w:t>项目</w:t>
            </w:r>
            <w:r>
              <w:rPr>
                <w:rFonts w:hint="eastAsia" w:cs="Times New Roman"/>
                <w:color w:val="auto"/>
                <w:kern w:val="2"/>
                <w:sz w:val="24"/>
                <w:lang w:eastAsia="zh-CN"/>
              </w:rPr>
              <w:t>运营期</w:t>
            </w:r>
            <w:r>
              <w:rPr>
                <w:rFonts w:hint="eastAsia" w:cs="Times New Roman"/>
                <w:color w:val="auto"/>
                <w:kern w:val="2"/>
                <w:sz w:val="24"/>
                <w:lang w:val="en-US" w:eastAsia="zh-CN"/>
              </w:rPr>
              <w:t>厂界南侧噪声</w:t>
            </w:r>
            <w:r>
              <w:rPr>
                <w:rFonts w:hint="default" w:ascii="Times New Roman" w:hAnsi="Times New Roman" w:cs="Times New Roman"/>
                <w:color w:val="auto"/>
                <w:kern w:val="2"/>
                <w:sz w:val="24"/>
              </w:rPr>
              <w:t>执行《工业企业厂界环境噪声排放标准》（GB12348-2008）中的</w:t>
            </w:r>
            <w:r>
              <w:rPr>
                <w:rFonts w:hint="eastAsia" w:cs="Times New Roman"/>
                <w:color w:val="auto"/>
                <w:kern w:val="2"/>
                <w:sz w:val="24"/>
                <w:lang w:val="en-US" w:eastAsia="zh-CN"/>
              </w:rPr>
              <w:t>4类标准，其余厂界执行其</w:t>
            </w:r>
            <w:r>
              <w:rPr>
                <w:rFonts w:hint="default" w:ascii="Times New Roman" w:hAnsi="Times New Roman" w:cs="Times New Roman"/>
                <w:color w:val="auto"/>
                <w:kern w:val="2"/>
                <w:sz w:val="24"/>
              </w:rPr>
              <w:t>2类标准。</w:t>
            </w:r>
          </w:p>
          <w:p w14:paraId="764752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表3-1</w:t>
            </w:r>
            <w:r>
              <w:rPr>
                <w:rFonts w:hint="eastAsia" w:cs="Times New Roman"/>
                <w:b/>
                <w:color w:val="auto"/>
                <w:sz w:val="24"/>
                <w:szCs w:val="24"/>
                <w:lang w:val="en-US" w:eastAsia="zh-CN"/>
              </w:rPr>
              <w:t>0</w:t>
            </w:r>
            <w:r>
              <w:rPr>
                <w:rFonts w:hint="eastAsia" w:ascii="Times New Roman" w:hAnsi="Times New Roman" w:eastAsia="宋体" w:cs="Times New Roman"/>
                <w:b/>
                <w:color w:val="auto"/>
                <w:sz w:val="24"/>
                <w:szCs w:val="24"/>
                <w:lang w:val="en-US" w:eastAsia="zh-CN"/>
              </w:rPr>
              <w:t xml:space="preserve">   噪声执行标准</w:t>
            </w:r>
            <w:r>
              <w:rPr>
                <w:rFonts w:hint="default" w:ascii="Times New Roman" w:hAnsi="Times New Roman" w:eastAsia="宋体" w:cs="Times New Roman"/>
                <w:b/>
                <w:color w:val="auto"/>
                <w:sz w:val="24"/>
                <w:szCs w:val="24"/>
                <w:lang w:val="en-US" w:eastAsia="zh-CN"/>
              </w:rPr>
              <w:t>（</w:t>
            </w:r>
            <w:r>
              <w:rPr>
                <w:rFonts w:hint="eastAsia" w:ascii="Times New Roman" w:hAnsi="Times New Roman" w:eastAsia="宋体" w:cs="Times New Roman"/>
                <w:b/>
                <w:color w:val="auto"/>
                <w:sz w:val="24"/>
                <w:szCs w:val="24"/>
                <w:lang w:val="en-US" w:eastAsia="zh-CN"/>
              </w:rPr>
              <w:t>单位：</w:t>
            </w:r>
            <w:r>
              <w:rPr>
                <w:rFonts w:hint="default" w:ascii="Times New Roman" w:hAnsi="Times New Roman" w:eastAsia="宋体" w:cs="Times New Roman"/>
                <w:b/>
                <w:color w:val="auto"/>
                <w:sz w:val="24"/>
                <w:szCs w:val="24"/>
                <w:lang w:val="en-US" w:eastAsia="zh-CN"/>
              </w:rPr>
              <w:t>dB（A））</w:t>
            </w:r>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4"/>
              <w:gridCol w:w="2691"/>
              <w:gridCol w:w="1494"/>
              <w:gridCol w:w="1097"/>
              <w:gridCol w:w="1252"/>
            </w:tblGrid>
            <w:tr w14:paraId="73F0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683" w:type="pct"/>
                  <w:vAlign w:val="center"/>
                </w:tcPr>
                <w:p w14:paraId="4B3F7864">
                  <w:pPr>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时期</w:t>
                  </w:r>
                </w:p>
              </w:tc>
              <w:tc>
                <w:tcPr>
                  <w:tcW w:w="1777" w:type="pct"/>
                  <w:vAlign w:val="center"/>
                </w:tcPr>
                <w:p w14:paraId="199AB811">
                  <w:pPr>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标准</w:t>
                  </w:r>
                </w:p>
              </w:tc>
              <w:tc>
                <w:tcPr>
                  <w:tcW w:w="987" w:type="pct"/>
                  <w:vAlign w:val="center"/>
                </w:tcPr>
                <w:p w14:paraId="50DCDE5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类别</w:t>
                  </w:r>
                </w:p>
              </w:tc>
              <w:tc>
                <w:tcPr>
                  <w:tcW w:w="724" w:type="pct"/>
                  <w:vAlign w:val="center"/>
                </w:tcPr>
                <w:p w14:paraId="031B4E6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昼间</w:t>
                  </w:r>
                </w:p>
              </w:tc>
              <w:tc>
                <w:tcPr>
                  <w:tcW w:w="827" w:type="pct"/>
                  <w:vAlign w:val="center"/>
                </w:tcPr>
                <w:p w14:paraId="692FA97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夜间</w:t>
                  </w:r>
                </w:p>
              </w:tc>
            </w:tr>
            <w:tr w14:paraId="5215F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3" w:type="pct"/>
                  <w:vMerge w:val="restart"/>
                  <w:vAlign w:val="center"/>
                </w:tcPr>
                <w:p w14:paraId="1F946CFC">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运营期</w:t>
                  </w:r>
                </w:p>
              </w:tc>
              <w:tc>
                <w:tcPr>
                  <w:tcW w:w="1777" w:type="pct"/>
                  <w:vMerge w:val="restart"/>
                  <w:vAlign w:val="center"/>
                </w:tcPr>
                <w:p w14:paraId="4991480A">
                  <w:pPr>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《工业企业厂界环境噪声排放标准》（GB12348-2008</w:t>
                  </w:r>
                  <w:r>
                    <w:rPr>
                      <w:rFonts w:hint="default" w:ascii="Times New Roman" w:hAnsi="Times New Roman" w:cs="Times New Roman"/>
                      <w:color w:val="auto"/>
                      <w:kern w:val="2"/>
                      <w:sz w:val="24"/>
                    </w:rPr>
                    <w:t>）</w:t>
                  </w:r>
                </w:p>
              </w:tc>
              <w:tc>
                <w:tcPr>
                  <w:tcW w:w="987" w:type="pct"/>
                  <w:tcBorders>
                    <w:bottom w:val="single" w:color="auto" w:sz="4" w:space="0"/>
                  </w:tcBorders>
                  <w:vAlign w:val="center"/>
                </w:tcPr>
                <w:p w14:paraId="7DB1F33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2类</w:t>
                  </w:r>
                </w:p>
              </w:tc>
              <w:tc>
                <w:tcPr>
                  <w:tcW w:w="724" w:type="pct"/>
                  <w:tcBorders>
                    <w:bottom w:val="single" w:color="auto" w:sz="4" w:space="0"/>
                  </w:tcBorders>
                  <w:vAlign w:val="center"/>
                </w:tcPr>
                <w:p w14:paraId="2DF72418">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60</w:t>
                  </w:r>
                </w:p>
              </w:tc>
              <w:tc>
                <w:tcPr>
                  <w:tcW w:w="827" w:type="pct"/>
                  <w:tcBorders>
                    <w:bottom w:val="single" w:color="auto" w:sz="4" w:space="0"/>
                  </w:tcBorders>
                  <w:vAlign w:val="center"/>
                </w:tcPr>
                <w:p w14:paraId="079BE5B0">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50</w:t>
                  </w:r>
                </w:p>
              </w:tc>
            </w:tr>
            <w:tr w14:paraId="28846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3" w:type="pct"/>
                  <w:vMerge w:val="continue"/>
                  <w:vAlign w:val="center"/>
                </w:tcPr>
                <w:p w14:paraId="7196ABC6">
                  <w:pPr>
                    <w:jc w:val="center"/>
                    <w:rPr>
                      <w:rFonts w:hint="eastAsia" w:ascii="Times New Roman" w:hAnsi="Times New Roman" w:cs="Times New Roman"/>
                      <w:color w:val="auto"/>
                      <w:szCs w:val="21"/>
                      <w:lang w:eastAsia="zh-CN"/>
                    </w:rPr>
                  </w:pPr>
                </w:p>
              </w:tc>
              <w:tc>
                <w:tcPr>
                  <w:tcW w:w="1777" w:type="pct"/>
                  <w:vMerge w:val="continue"/>
                  <w:vAlign w:val="center"/>
                </w:tcPr>
                <w:p w14:paraId="04240D8A">
                  <w:pPr>
                    <w:jc w:val="center"/>
                    <w:rPr>
                      <w:rFonts w:hint="default" w:ascii="Times New Roman" w:hAnsi="Times New Roman" w:cs="Times New Roman"/>
                      <w:color w:val="auto"/>
                      <w:szCs w:val="21"/>
                    </w:rPr>
                  </w:pPr>
                </w:p>
              </w:tc>
              <w:tc>
                <w:tcPr>
                  <w:tcW w:w="987" w:type="pct"/>
                  <w:tcBorders>
                    <w:top w:val="single" w:color="auto" w:sz="4" w:space="0"/>
                  </w:tcBorders>
                  <w:vAlign w:val="center"/>
                </w:tcPr>
                <w:p w14:paraId="16D46E18">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4类</w:t>
                  </w:r>
                </w:p>
              </w:tc>
              <w:tc>
                <w:tcPr>
                  <w:tcW w:w="724" w:type="pct"/>
                  <w:tcBorders>
                    <w:top w:val="single" w:color="auto" w:sz="4" w:space="0"/>
                  </w:tcBorders>
                  <w:vAlign w:val="center"/>
                </w:tcPr>
                <w:p w14:paraId="0ACA91DE">
                  <w:pPr>
                    <w:jc w:val="center"/>
                    <w:rPr>
                      <w:rFonts w:hint="default" w:cs="Times New Roman"/>
                      <w:color w:val="auto"/>
                      <w:szCs w:val="21"/>
                      <w:lang w:val="en-US" w:eastAsia="zh-CN"/>
                    </w:rPr>
                  </w:pPr>
                  <w:r>
                    <w:rPr>
                      <w:rFonts w:hint="eastAsia" w:cs="Times New Roman"/>
                      <w:color w:val="auto"/>
                      <w:szCs w:val="21"/>
                      <w:lang w:val="en-US" w:eastAsia="zh-CN"/>
                    </w:rPr>
                    <w:t>70</w:t>
                  </w:r>
                </w:p>
              </w:tc>
              <w:tc>
                <w:tcPr>
                  <w:tcW w:w="827" w:type="pct"/>
                  <w:tcBorders>
                    <w:top w:val="single" w:color="auto" w:sz="4" w:space="0"/>
                  </w:tcBorders>
                  <w:vAlign w:val="center"/>
                </w:tcPr>
                <w:p w14:paraId="1A24749D">
                  <w:pPr>
                    <w:jc w:val="center"/>
                    <w:rPr>
                      <w:rFonts w:hint="default" w:cs="Times New Roman"/>
                      <w:color w:val="auto"/>
                      <w:szCs w:val="21"/>
                      <w:lang w:val="en-US" w:eastAsia="zh-CN"/>
                    </w:rPr>
                  </w:pPr>
                  <w:r>
                    <w:rPr>
                      <w:rFonts w:hint="eastAsia" w:cs="Times New Roman"/>
                      <w:color w:val="auto"/>
                      <w:szCs w:val="21"/>
                      <w:lang w:val="en-US" w:eastAsia="zh-CN"/>
                    </w:rPr>
                    <w:t>55</w:t>
                  </w:r>
                </w:p>
              </w:tc>
            </w:tr>
          </w:tbl>
          <w:p w14:paraId="3690E87E">
            <w:pPr>
              <w:pStyle w:val="47"/>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（4）固废</w:t>
            </w:r>
          </w:p>
          <w:p w14:paraId="24C36920">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lang w:eastAsia="zh-CN"/>
              </w:rPr>
              <w:t>一般固体执行</w:t>
            </w:r>
            <w:r>
              <w:rPr>
                <w:rFonts w:hint="default" w:ascii="Times New Roman" w:hAnsi="Times New Roman" w:eastAsia="宋体" w:cs="Times New Roman"/>
                <w:color w:val="auto"/>
                <w:kern w:val="24"/>
                <w:sz w:val="24"/>
                <w:highlight w:val="none"/>
                <w:lang w:eastAsia="zh-CN"/>
              </w:rPr>
              <w:t>《一般工业固体废物贮存和填埋污染控制标准》（GB18566-2020）</w:t>
            </w:r>
            <w:r>
              <w:rPr>
                <w:rFonts w:hint="eastAsia" w:cs="Times New Roman"/>
                <w:color w:val="auto"/>
                <w:kern w:val="24"/>
                <w:sz w:val="24"/>
                <w:highlight w:val="none"/>
                <w:lang w:eastAsia="zh-CN"/>
              </w:rPr>
              <w:t>；</w:t>
            </w:r>
            <w:r>
              <w:rPr>
                <w:color w:val="auto"/>
                <w:sz w:val="24"/>
                <w:u w:val="single"/>
              </w:rPr>
              <w:t>危险废物贮存执行《危险废物贮存污染控制标准》（GB18597-2023）；危险废物的收集、转运须满足《危险废物收集贮存运输技术规范》（HJ2025-2012）的要求</w:t>
            </w:r>
            <w:r>
              <w:rPr>
                <w:rFonts w:hint="eastAsia" w:cs="Times New Roman"/>
                <w:color w:val="auto"/>
                <w:kern w:val="24"/>
                <w:sz w:val="24"/>
                <w:highlight w:val="none"/>
                <w:u w:val="single"/>
                <w:lang w:eastAsia="zh-CN"/>
              </w:rPr>
              <w:t>。</w:t>
            </w:r>
          </w:p>
        </w:tc>
      </w:tr>
      <w:tr w14:paraId="5891F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44" w:type="dxa"/>
            <w:tcMar>
              <w:left w:w="28" w:type="dxa"/>
              <w:right w:w="28" w:type="dxa"/>
            </w:tcMar>
            <w:vAlign w:val="top"/>
          </w:tcPr>
          <w:p w14:paraId="2BD5B271">
            <w:pPr>
              <w:keepNext w:val="0"/>
              <w:keepLines w:val="0"/>
              <w:pageBreakBefore w:val="0"/>
              <w:widowControl w:val="0"/>
              <w:kinsoku/>
              <w:wordWrap/>
              <w:overflowPunct/>
              <w:topLinePunct w:val="0"/>
              <w:autoSpaceDE/>
              <w:autoSpaceDN/>
              <w:bidi w:val="0"/>
              <w:adjustRightInd w:val="0"/>
              <w:snapToGrid w:val="0"/>
              <w:spacing w:before="2185" w:beforeLines="70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总量控制指标</w:t>
            </w:r>
          </w:p>
        </w:tc>
        <w:tc>
          <w:tcPr>
            <w:tcW w:w="7817" w:type="dxa"/>
            <w:vAlign w:val="center"/>
          </w:tcPr>
          <w:p w14:paraId="34684DA7">
            <w:pPr>
              <w:pStyle w:val="47"/>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left"/>
              <w:textAlignment w:val="auto"/>
              <w:rPr>
                <w:rFonts w:hint="default" w:ascii="Times New Roman" w:hAnsi="Times New Roman" w:eastAsia="宋体" w:cs="Times New Roman"/>
                <w:color w:val="auto"/>
                <w:kern w:val="0"/>
                <w:szCs w:val="21"/>
                <w:u w:val="none"/>
                <w:lang w:val="en-US" w:eastAsia="zh-CN"/>
              </w:rPr>
            </w:pPr>
            <w:r>
              <w:rPr>
                <w:rFonts w:hint="default" w:ascii="Times New Roman" w:hAnsi="Times New Roman" w:eastAsia="宋体" w:cs="Times New Roman"/>
                <w:color w:val="auto"/>
                <w:kern w:val="0"/>
                <w:szCs w:val="21"/>
                <w:u w:val="none"/>
                <w:lang w:val="en-US" w:eastAsia="zh-CN"/>
              </w:rPr>
              <w:t>根据《湖南省</w:t>
            </w:r>
            <w:r>
              <w:rPr>
                <w:rFonts w:hint="eastAsia" w:ascii="Times New Roman" w:hAnsi="Times New Roman" w:cs="Times New Roman"/>
                <w:color w:val="auto"/>
                <w:kern w:val="0"/>
                <w:szCs w:val="21"/>
                <w:u w:val="none"/>
                <w:lang w:val="en-US" w:eastAsia="zh-CN"/>
              </w:rPr>
              <w:t>“</w:t>
            </w:r>
            <w:r>
              <w:rPr>
                <w:rFonts w:hint="default" w:ascii="Times New Roman" w:hAnsi="Times New Roman" w:eastAsia="宋体" w:cs="Times New Roman"/>
                <w:color w:val="auto"/>
                <w:kern w:val="0"/>
                <w:szCs w:val="21"/>
                <w:u w:val="none"/>
                <w:lang w:val="en-US" w:eastAsia="zh-CN"/>
              </w:rPr>
              <w:t>十四五</w:t>
            </w:r>
            <w:r>
              <w:rPr>
                <w:rFonts w:hint="eastAsia" w:ascii="Times New Roman" w:hAnsi="Times New Roman" w:cs="Times New Roman"/>
                <w:color w:val="auto"/>
                <w:kern w:val="0"/>
                <w:szCs w:val="21"/>
                <w:u w:val="none"/>
                <w:lang w:val="en-US" w:eastAsia="zh-CN"/>
              </w:rPr>
              <w:t>”</w:t>
            </w:r>
            <w:r>
              <w:rPr>
                <w:rFonts w:hint="default" w:ascii="Times New Roman" w:hAnsi="Times New Roman" w:eastAsia="宋体" w:cs="Times New Roman"/>
                <w:color w:val="auto"/>
                <w:kern w:val="0"/>
                <w:szCs w:val="21"/>
                <w:u w:val="none"/>
                <w:lang w:val="en-US" w:eastAsia="zh-CN"/>
              </w:rPr>
              <w:t>生态环境保护规划》，主要污染物减排指标涉及NOx、COD、NH</w:t>
            </w:r>
            <w:r>
              <w:rPr>
                <w:rFonts w:hint="default" w:ascii="Times New Roman" w:hAnsi="Times New Roman" w:eastAsia="宋体" w:cs="Times New Roman"/>
                <w:color w:val="auto"/>
                <w:kern w:val="0"/>
                <w:szCs w:val="21"/>
                <w:u w:val="none"/>
                <w:vertAlign w:val="subscript"/>
                <w:lang w:val="en-US" w:eastAsia="zh-CN"/>
              </w:rPr>
              <w:t>3</w:t>
            </w:r>
            <w:r>
              <w:rPr>
                <w:rFonts w:hint="default" w:ascii="Times New Roman" w:hAnsi="Times New Roman" w:eastAsia="宋体" w:cs="Times New Roman"/>
                <w:color w:val="auto"/>
                <w:kern w:val="0"/>
                <w:szCs w:val="21"/>
                <w:u w:val="none"/>
                <w:lang w:val="en-US" w:eastAsia="zh-CN"/>
              </w:rPr>
              <w:t>-N、挥发性有机物，但SO</w:t>
            </w:r>
            <w:r>
              <w:rPr>
                <w:rFonts w:hint="default" w:ascii="Times New Roman" w:hAnsi="Times New Roman" w:eastAsia="宋体" w:cs="Times New Roman"/>
                <w:color w:val="auto"/>
                <w:kern w:val="0"/>
                <w:szCs w:val="21"/>
                <w:u w:val="none"/>
                <w:vertAlign w:val="subscript"/>
                <w:lang w:val="en-US" w:eastAsia="zh-CN"/>
              </w:rPr>
              <w:t>2</w:t>
            </w:r>
            <w:r>
              <w:rPr>
                <w:rFonts w:hint="default" w:ascii="Times New Roman" w:hAnsi="Times New Roman" w:eastAsia="宋体" w:cs="Times New Roman"/>
                <w:color w:val="auto"/>
                <w:kern w:val="0"/>
                <w:szCs w:val="21"/>
                <w:u w:val="none"/>
                <w:lang w:val="en-US" w:eastAsia="zh-CN"/>
              </w:rPr>
              <w:t>依然需进行总量交易。</w:t>
            </w:r>
          </w:p>
          <w:p w14:paraId="5E2EEEC0">
            <w:pPr>
              <w:pStyle w:val="47"/>
              <w:adjustRightInd/>
              <w:spacing w:line="360" w:lineRule="auto"/>
              <w:ind w:firstLine="480" w:firstLineChars="200"/>
              <w:jc w:val="left"/>
              <w:rPr>
                <w:rFonts w:hint="default" w:ascii="Times New Roman" w:hAnsi="Times New Roman" w:cs="Times New Roman"/>
                <w:color w:val="auto"/>
                <w:szCs w:val="22"/>
                <w:highlight w:val="none"/>
                <w:u w:val="none"/>
                <w:lang w:val="en-US" w:eastAsia="zh-CN"/>
              </w:rPr>
            </w:pPr>
            <w:r>
              <w:rPr>
                <w:rFonts w:hint="eastAsia" w:ascii="Times New Roman" w:hAnsi="Times New Roman" w:cs="Times New Roman"/>
                <w:color w:val="auto"/>
                <w:szCs w:val="22"/>
                <w:highlight w:val="none"/>
                <w:u w:val="none"/>
                <w:lang w:val="en-US" w:eastAsia="zh-CN"/>
              </w:rPr>
              <w:t>（1）废水</w:t>
            </w:r>
          </w:p>
          <w:p w14:paraId="45A10976">
            <w:pPr>
              <w:pStyle w:val="47"/>
              <w:adjustRightInd/>
              <w:spacing w:line="360" w:lineRule="auto"/>
              <w:ind w:firstLine="480" w:firstLineChars="200"/>
              <w:jc w:val="left"/>
              <w:rPr>
                <w:rFonts w:hint="default" w:ascii="Times New Roman" w:hAnsi="Times New Roman" w:cs="Times New Roman"/>
                <w:color w:val="auto"/>
                <w:highlight w:val="yellow"/>
                <w:u w:val="none"/>
              </w:rPr>
            </w:pPr>
            <w:r>
              <w:rPr>
                <w:rFonts w:hint="eastAsia" w:ascii="Times New Roman" w:hAnsi="Times New Roman" w:cs="Times New Roman"/>
                <w:color w:val="auto"/>
                <w:szCs w:val="22"/>
                <w:highlight w:val="none"/>
                <w:u w:val="none"/>
                <w:lang w:val="en-US" w:eastAsia="zh-CN"/>
              </w:rPr>
              <w:t>本项目外排废水主要为职工生活污水、制软水尾水、原材料清洗废水、地面清洁废水，总排放量约为</w:t>
            </w:r>
            <w:r>
              <w:rPr>
                <w:rFonts w:hint="eastAsia" w:ascii="Times New Roman" w:hAnsi="Times New Roman" w:cs="Times New Roman"/>
                <w:color w:val="auto"/>
                <w:kern w:val="0"/>
                <w:szCs w:val="21"/>
                <w:highlight w:val="none"/>
                <w:u w:val="none"/>
                <w:lang w:val="en-US" w:eastAsia="zh-CN"/>
              </w:rPr>
              <w:t>1628.77</w:t>
            </w:r>
            <w:r>
              <w:rPr>
                <w:rFonts w:hint="default" w:ascii="Times New Roman" w:hAnsi="Times New Roman" w:cs="Times New Roman"/>
                <w:color w:val="auto"/>
                <w:szCs w:val="22"/>
                <w:highlight w:val="none"/>
                <w:u w:val="none"/>
                <w:lang w:eastAsia="zh-CN"/>
              </w:rPr>
              <w:t>m</w:t>
            </w:r>
            <w:r>
              <w:rPr>
                <w:rFonts w:hint="default" w:ascii="Times New Roman" w:hAnsi="Times New Roman" w:cs="Times New Roman"/>
                <w:color w:val="auto"/>
                <w:szCs w:val="22"/>
                <w:highlight w:val="none"/>
                <w:u w:val="none"/>
                <w:vertAlign w:val="superscript"/>
                <w:lang w:eastAsia="zh-CN"/>
              </w:rPr>
              <w:t>3</w:t>
            </w:r>
            <w:r>
              <w:rPr>
                <w:rFonts w:hint="default" w:ascii="Times New Roman" w:hAnsi="Times New Roman" w:cs="Times New Roman"/>
                <w:color w:val="auto"/>
                <w:szCs w:val="22"/>
                <w:highlight w:val="none"/>
                <w:u w:val="none"/>
                <w:lang w:eastAsia="zh-CN"/>
              </w:rPr>
              <w:t>/a，</w:t>
            </w:r>
            <w:r>
              <w:rPr>
                <w:rFonts w:hint="default" w:ascii="Times New Roman" w:hAnsi="Times New Roman" w:eastAsia="宋体" w:cs="Times New Roman"/>
                <w:color w:val="auto"/>
                <w:szCs w:val="22"/>
                <w:highlight w:val="none"/>
                <w:u w:val="none"/>
                <w:lang w:eastAsia="zh-CN"/>
              </w:rPr>
              <w:t>通过市政污水管网排入龙潭镇污水处理厂深度处理，</w:t>
            </w:r>
            <w:r>
              <w:rPr>
                <w:rFonts w:hint="eastAsia" w:ascii="Times New Roman" w:hAnsi="Times New Roman" w:eastAsia="宋体" w:cs="Times New Roman"/>
                <w:color w:val="auto"/>
                <w:szCs w:val="22"/>
                <w:highlight w:val="none"/>
                <w:u w:val="none"/>
                <w:lang w:eastAsia="zh-CN"/>
              </w:rPr>
              <w:t>其中</w:t>
            </w:r>
            <w:r>
              <w:rPr>
                <w:rFonts w:hint="eastAsia" w:ascii="Times New Roman" w:hAnsi="Times New Roman" w:eastAsia="宋体" w:cs="Times New Roman"/>
                <w:color w:val="auto"/>
                <w:szCs w:val="22"/>
                <w:highlight w:val="none"/>
                <w:u w:val="none"/>
                <w:lang w:val="en-US" w:eastAsia="zh-CN"/>
              </w:rPr>
              <w:t>COD排放浓度为50</w:t>
            </w:r>
            <w:r>
              <w:rPr>
                <w:rFonts w:hint="default" w:ascii="Times New Roman" w:hAnsi="Times New Roman" w:eastAsia="宋体" w:cs="Times New Roman"/>
                <w:color w:val="auto"/>
                <w:szCs w:val="22"/>
                <w:highlight w:val="none"/>
                <w:u w:val="none"/>
                <w:lang w:eastAsia="zh-CN"/>
              </w:rPr>
              <w:t>mg/L</w:t>
            </w:r>
            <w:r>
              <w:rPr>
                <w:rFonts w:hint="eastAsia" w:ascii="Times New Roman" w:hAnsi="Times New Roman" w:eastAsia="宋体" w:cs="Times New Roman"/>
                <w:color w:val="auto"/>
                <w:szCs w:val="22"/>
                <w:highlight w:val="none"/>
                <w:u w:val="none"/>
                <w:lang w:eastAsia="zh-CN"/>
              </w:rPr>
              <w:t>、</w:t>
            </w:r>
            <w:r>
              <w:rPr>
                <w:rFonts w:hint="default" w:ascii="Times New Roman" w:hAnsi="Times New Roman" w:cs="Times New Roman"/>
                <w:color w:val="auto"/>
                <w:szCs w:val="21"/>
                <w:u w:val="none"/>
              </w:rPr>
              <w:t>NH</w:t>
            </w:r>
            <w:r>
              <w:rPr>
                <w:rFonts w:hint="default" w:ascii="Times New Roman" w:hAnsi="Times New Roman" w:cs="Times New Roman"/>
                <w:color w:val="auto"/>
                <w:szCs w:val="21"/>
                <w:u w:val="none"/>
                <w:vertAlign w:val="subscript"/>
              </w:rPr>
              <w:t>3</w:t>
            </w:r>
            <w:r>
              <w:rPr>
                <w:rFonts w:hint="default" w:ascii="Times New Roman" w:hAnsi="Times New Roman" w:cs="Times New Roman"/>
                <w:color w:val="auto"/>
                <w:szCs w:val="21"/>
                <w:u w:val="none"/>
              </w:rPr>
              <w:t>-N</w:t>
            </w:r>
            <w:r>
              <w:rPr>
                <w:rFonts w:hint="eastAsia" w:ascii="Times New Roman" w:hAnsi="Times New Roman" w:eastAsia="宋体" w:cs="Times New Roman"/>
                <w:color w:val="auto"/>
                <w:szCs w:val="22"/>
                <w:highlight w:val="none"/>
                <w:u w:val="none"/>
                <w:lang w:val="en-US" w:eastAsia="zh-CN"/>
              </w:rPr>
              <w:t>排放浓度为5</w:t>
            </w:r>
            <w:r>
              <w:rPr>
                <w:rFonts w:hint="default" w:ascii="Times New Roman" w:hAnsi="Times New Roman" w:eastAsia="宋体" w:cs="Times New Roman"/>
                <w:color w:val="auto"/>
                <w:szCs w:val="22"/>
                <w:highlight w:val="none"/>
                <w:u w:val="none"/>
                <w:lang w:eastAsia="zh-CN"/>
              </w:rPr>
              <w:t>mg/L</w:t>
            </w:r>
            <w:r>
              <w:rPr>
                <w:rFonts w:hint="eastAsia" w:ascii="Times New Roman" w:hAnsi="Times New Roman" w:eastAsia="宋体" w:cs="Times New Roman"/>
                <w:color w:val="auto"/>
                <w:szCs w:val="22"/>
                <w:highlight w:val="none"/>
                <w:u w:val="none"/>
                <w:lang w:eastAsia="zh-CN"/>
              </w:rPr>
              <w:t>，</w:t>
            </w:r>
            <w:r>
              <w:rPr>
                <w:rFonts w:hint="default" w:ascii="Times New Roman" w:hAnsi="Times New Roman" w:eastAsia="宋体" w:cs="Times New Roman"/>
                <w:color w:val="auto"/>
                <w:szCs w:val="22"/>
                <w:highlight w:val="none"/>
                <w:u w:val="none"/>
                <w:lang w:eastAsia="zh-CN"/>
              </w:rPr>
              <w:t>项目</w:t>
            </w:r>
            <w:r>
              <w:rPr>
                <w:rFonts w:hint="default" w:ascii="Times New Roman" w:hAnsi="Times New Roman" w:cs="Times New Roman"/>
                <w:color w:val="auto"/>
                <w:szCs w:val="22"/>
                <w:highlight w:val="none"/>
                <w:u w:val="none"/>
              </w:rPr>
              <w:t>废水污染物排放量为COD</w:t>
            </w:r>
            <w:r>
              <w:rPr>
                <w:rFonts w:hint="default" w:ascii="Times New Roman" w:hAnsi="Times New Roman" w:cs="Times New Roman"/>
                <w:color w:val="auto"/>
                <w:szCs w:val="22"/>
                <w:highlight w:val="none"/>
                <w:u w:val="none"/>
                <w:lang w:eastAsia="zh-CN"/>
              </w:rPr>
              <w:t>：</w:t>
            </w:r>
            <w:r>
              <w:rPr>
                <w:rFonts w:hint="eastAsia" w:ascii="Times New Roman" w:hAnsi="Times New Roman" w:cs="Times New Roman"/>
                <w:color w:val="auto"/>
                <w:szCs w:val="22"/>
                <w:highlight w:val="none"/>
                <w:u w:val="none"/>
                <w:lang w:val="en-US" w:eastAsia="zh-CN"/>
              </w:rPr>
              <w:t>0.0814</w:t>
            </w:r>
            <w:r>
              <w:rPr>
                <w:rFonts w:hint="default" w:ascii="Times New Roman" w:hAnsi="Times New Roman" w:cs="Times New Roman"/>
                <w:color w:val="auto"/>
                <w:szCs w:val="22"/>
                <w:highlight w:val="none"/>
                <w:u w:val="none"/>
              </w:rPr>
              <w:t>t/a、NH3-N</w:t>
            </w:r>
            <w:r>
              <w:rPr>
                <w:rFonts w:hint="default" w:ascii="Times New Roman" w:hAnsi="Times New Roman" w:cs="Times New Roman"/>
                <w:color w:val="auto"/>
                <w:szCs w:val="22"/>
                <w:highlight w:val="none"/>
                <w:u w:val="none"/>
                <w:lang w:eastAsia="zh-CN"/>
              </w:rPr>
              <w:t>：</w:t>
            </w:r>
            <w:r>
              <w:rPr>
                <w:rFonts w:hint="eastAsia" w:ascii="Times New Roman" w:hAnsi="Times New Roman" w:cs="Times New Roman"/>
                <w:color w:val="auto"/>
                <w:szCs w:val="22"/>
                <w:highlight w:val="none"/>
                <w:u w:val="none"/>
                <w:lang w:val="en-US" w:eastAsia="zh-CN"/>
              </w:rPr>
              <w:t>0.00814</w:t>
            </w:r>
            <w:r>
              <w:rPr>
                <w:rFonts w:hint="default" w:ascii="Times New Roman" w:hAnsi="Times New Roman" w:cs="Times New Roman"/>
                <w:color w:val="auto"/>
                <w:szCs w:val="22"/>
                <w:highlight w:val="none"/>
                <w:u w:val="none"/>
              </w:rPr>
              <w:t>t/a。</w:t>
            </w:r>
          </w:p>
          <w:p w14:paraId="5CF284FD">
            <w:pPr>
              <w:pStyle w:val="47"/>
              <w:adjustRightInd/>
              <w:spacing w:line="360" w:lineRule="auto"/>
              <w:ind w:firstLine="480" w:firstLineChars="200"/>
              <w:jc w:val="left"/>
              <w:rPr>
                <w:rFonts w:hint="default" w:ascii="Times New Roman" w:hAnsi="Times New Roman" w:cs="Times New Roman"/>
                <w:color w:val="auto"/>
                <w:u w:val="none"/>
              </w:rPr>
            </w:pPr>
            <w:r>
              <w:rPr>
                <w:rFonts w:hint="eastAsia" w:ascii="Times New Roman" w:hAnsi="Times New Roman" w:eastAsia="宋体" w:cs="Times New Roman"/>
                <w:color w:val="auto"/>
                <w:u w:val="single"/>
                <w:lang w:val="en-US" w:eastAsia="zh-CN"/>
              </w:rPr>
              <w:t>根据《</w:t>
            </w:r>
            <w:r>
              <w:rPr>
                <w:rFonts w:ascii="Times New Roman" w:hAnsi="Times New Roman" w:eastAsia="宋体" w:cs="Times New Roman"/>
                <w:color w:val="auto"/>
                <w:u w:val="single"/>
                <w:lang w:val="en-US" w:eastAsia="zh-CN"/>
              </w:rPr>
              <w:t>生态环境部门进一步促进民营经济发展的</w:t>
            </w:r>
            <w:r>
              <w:rPr>
                <w:rFonts w:hint="eastAsia" w:ascii="Times New Roman" w:hAnsi="Times New Roman" w:eastAsia="宋体" w:cs="Times New Roman"/>
                <w:color w:val="auto"/>
                <w:u w:val="single"/>
                <w:lang w:val="en-US" w:eastAsia="zh-CN"/>
              </w:rPr>
              <w:t>若干措施》中</w:t>
            </w:r>
            <w:r>
              <w:rPr>
                <w:rFonts w:hint="eastAsia" w:ascii="Times New Roman" w:hAnsi="Times New Roman" w:cs="Times New Roman"/>
                <w:color w:val="auto"/>
                <w:u w:val="single"/>
                <w:lang w:eastAsia="zh-CN"/>
              </w:rPr>
              <w:t>“</w:t>
            </w:r>
            <w:r>
              <w:rPr>
                <w:rFonts w:ascii="Times New Roman" w:hAnsi="Times New Roman" w:eastAsia="宋体" w:cs="Times New Roman"/>
                <w:b/>
                <w:bCs/>
                <w:color w:val="auto"/>
                <w:u w:val="single"/>
                <w:lang w:val="en-US" w:eastAsia="zh-CN"/>
              </w:rPr>
              <w:t>二、优化环境准入</w:t>
            </w:r>
            <w:r>
              <w:rPr>
                <w:rFonts w:hint="eastAsia" w:ascii="Times New Roman" w:hAnsi="Times New Roman" w:eastAsia="宋体" w:cs="Times New Roman"/>
                <w:b/>
                <w:bCs/>
                <w:color w:val="auto"/>
                <w:u w:val="single"/>
                <w:lang w:val="en-US" w:eastAsia="zh-CN"/>
              </w:rPr>
              <w:t xml:space="preserve"> </w:t>
            </w:r>
            <w:r>
              <w:rPr>
                <w:rFonts w:ascii="Times New Roman" w:hAnsi="Times New Roman" w:eastAsia="宋体" w:cs="Times New Roman"/>
                <w:b/>
                <w:bCs/>
                <w:color w:val="auto"/>
                <w:u w:val="single"/>
                <w:lang w:val="en-US" w:eastAsia="zh-CN"/>
              </w:rPr>
              <w:t>8.优化总量指标管理。</w:t>
            </w:r>
            <w:r>
              <w:rPr>
                <w:rFonts w:hint="eastAsia" w:ascii="Times New Roman" w:hAnsi="Times New Roman" w:eastAsia="宋体" w:cs="Times New Roman"/>
                <w:color w:val="auto"/>
                <w:u w:val="single"/>
                <w:lang w:val="en-US" w:eastAsia="zh-CN"/>
              </w:rPr>
              <w:t>健全总量指标配置机制，优化新改扩建建设项目总量指标监督管理。在严格实施各项污染防治措施基础上，对氮氧化物、化学需氧量、挥发性有机污染物的单项新增年排放量小于0.1吨，氨氮小于0.01吨的建设项目，免予提交总量指标来源说明，由地方生态环境部门统筹总量指标替代来源，并纳入台账管理。</w:t>
            </w:r>
            <w:r>
              <w:rPr>
                <w:rFonts w:hint="eastAsia" w:ascii="Times New Roman" w:hAnsi="Times New Roman" w:cs="Times New Roman"/>
                <w:color w:val="auto"/>
                <w:u w:val="single"/>
                <w:lang w:val="en-US" w:eastAsia="zh-CN"/>
              </w:rPr>
              <w:t>”</w:t>
            </w:r>
            <w:r>
              <w:rPr>
                <w:rFonts w:hint="eastAsia" w:ascii="Times New Roman" w:hAnsi="Times New Roman" w:eastAsia="宋体" w:cs="Times New Roman"/>
                <w:color w:val="auto"/>
                <w:u w:val="single"/>
                <w:lang w:val="en-US" w:eastAsia="zh-CN"/>
              </w:rPr>
              <w:t>的规定，本项目污染物总量指标均小于《措施》中规定值，故本项目无需单独购买总量，项目运营期</w:t>
            </w:r>
            <w:r>
              <w:rPr>
                <w:rFonts w:hint="eastAsia" w:ascii="Times New Roman" w:hAnsi="Times New Roman" w:cs="Times New Roman"/>
                <w:color w:val="auto"/>
                <w:u w:val="single"/>
                <w:lang w:val="en-US" w:eastAsia="zh-CN"/>
              </w:rPr>
              <w:t>废水</w:t>
            </w:r>
            <w:r>
              <w:rPr>
                <w:rFonts w:hint="eastAsia" w:ascii="Times New Roman" w:hAnsi="Times New Roman" w:eastAsia="宋体" w:cs="Times New Roman"/>
                <w:color w:val="auto"/>
                <w:u w:val="single"/>
                <w:lang w:val="en-US" w:eastAsia="zh-CN"/>
              </w:rPr>
              <w:t>总量控制指标由地方生态环境部门统筹总量指标替代来源，并纳入台账管理。</w:t>
            </w:r>
          </w:p>
          <w:p w14:paraId="14AFDEE2">
            <w:pPr>
              <w:pStyle w:val="47"/>
              <w:adjustRightInd/>
              <w:spacing w:line="360" w:lineRule="auto"/>
              <w:ind w:firstLine="480" w:firstLineChars="200"/>
              <w:jc w:val="left"/>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废气</w:t>
            </w:r>
          </w:p>
          <w:p w14:paraId="5B445681">
            <w:pPr>
              <w:pStyle w:val="47"/>
              <w:adjustRightInd/>
              <w:spacing w:line="360" w:lineRule="auto"/>
              <w:ind w:firstLine="480" w:firstLineChars="200"/>
              <w:jc w:val="left"/>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本项目产生的大气污染物主要为生物质</w:t>
            </w:r>
            <w:r>
              <w:rPr>
                <w:rFonts w:hint="eastAsia" w:ascii="Times New Roman" w:hAnsi="Times New Roman" w:cs="Times New Roman"/>
                <w:color w:val="auto"/>
                <w:u w:val="none"/>
                <w:lang w:val="en-US" w:eastAsia="zh-CN"/>
              </w:rPr>
              <w:t>燃烧</w:t>
            </w:r>
            <w:r>
              <w:rPr>
                <w:rFonts w:hint="default" w:ascii="Times New Roman" w:hAnsi="Times New Roman" w:cs="Times New Roman"/>
                <w:color w:val="auto"/>
                <w:u w:val="none"/>
              </w:rPr>
              <w:t>产生的</w:t>
            </w:r>
            <w:r>
              <w:rPr>
                <w:rFonts w:hint="default" w:ascii="Times New Roman" w:hAnsi="Times New Roman" w:eastAsia="宋体" w:cs="Times New Roman"/>
                <w:color w:val="auto"/>
                <w:sz w:val="24"/>
                <w:szCs w:val="24"/>
                <w:u w:val="none"/>
              </w:rPr>
              <w:t>NOx、SO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cs="Times New Roman"/>
                <w:color w:val="auto"/>
                <w:u w:val="none"/>
              </w:rPr>
              <w:t>，其中</w:t>
            </w:r>
            <w:r>
              <w:rPr>
                <w:rFonts w:hint="default" w:ascii="Times New Roman" w:hAnsi="Times New Roman" w:cs="Times New Roman"/>
                <w:color w:val="auto"/>
                <w:sz w:val="24"/>
                <w:szCs w:val="24"/>
                <w:u w:val="none"/>
              </w:rPr>
              <w:t>SO</w:t>
            </w:r>
            <w:r>
              <w:rPr>
                <w:rFonts w:hint="default" w:ascii="Times New Roman" w:hAnsi="Times New Roman" w:cs="Times New Roman"/>
                <w:color w:val="auto"/>
                <w:sz w:val="24"/>
                <w:szCs w:val="24"/>
                <w:u w:val="none"/>
                <w:vertAlign w:val="subscript"/>
              </w:rPr>
              <w:t>2</w:t>
            </w:r>
            <w:r>
              <w:rPr>
                <w:rFonts w:hint="default" w:ascii="Times New Roman" w:hAnsi="Times New Roman" w:cs="Times New Roman"/>
                <w:color w:val="auto"/>
                <w:highlight w:val="none"/>
                <w:u w:val="none"/>
              </w:rPr>
              <w:t>总量</w:t>
            </w:r>
            <w:r>
              <w:rPr>
                <w:rFonts w:hint="default" w:ascii="Times New Roman" w:hAnsi="Times New Roman" w:eastAsia="宋体" w:cs="Times New Roman"/>
                <w:color w:val="auto"/>
                <w:highlight w:val="none"/>
                <w:u w:val="none"/>
                <w:lang w:val="en-US" w:eastAsia="zh-CN"/>
              </w:rPr>
              <w:t>为</w:t>
            </w:r>
            <w:r>
              <w:rPr>
                <w:rFonts w:hint="eastAsia" w:ascii="Times New Roman" w:hAnsi="Times New Roman" w:eastAsia="宋体" w:cs="Times New Roman"/>
                <w:color w:val="FF0000"/>
                <w:highlight w:val="none"/>
                <w:u w:val="none"/>
                <w:lang w:val="en-US" w:eastAsia="zh-CN"/>
              </w:rPr>
              <w:t>0.694</w:t>
            </w:r>
            <w:r>
              <w:rPr>
                <w:rFonts w:hint="default" w:ascii="Times New Roman" w:hAnsi="Times New Roman" w:eastAsia="宋体" w:cs="Times New Roman"/>
                <w:color w:val="FF0000"/>
                <w:highlight w:val="none"/>
                <w:u w:val="none"/>
                <w:lang w:val="en-US" w:eastAsia="zh-CN"/>
              </w:rPr>
              <w:t>t/a</w:t>
            </w:r>
            <w:r>
              <w:rPr>
                <w:rFonts w:hint="default" w:ascii="Times New Roman" w:hAnsi="Times New Roman" w:cs="Times New Roman"/>
                <w:color w:val="auto"/>
                <w:highlight w:val="none"/>
                <w:u w:val="none"/>
              </w:rPr>
              <w:t>，NOx总量为</w:t>
            </w:r>
            <w:r>
              <w:rPr>
                <w:rFonts w:hint="eastAsia" w:ascii="Times New Roman" w:hAnsi="Times New Roman" w:cs="Times New Roman"/>
                <w:color w:val="auto"/>
                <w:highlight w:val="none"/>
                <w:u w:val="none"/>
                <w:lang w:val="en-US" w:eastAsia="zh-CN"/>
              </w:rPr>
              <w:t>0.486</w:t>
            </w:r>
            <w:r>
              <w:rPr>
                <w:rFonts w:hint="default" w:ascii="Times New Roman" w:hAnsi="Times New Roman" w:cs="Times New Roman"/>
                <w:color w:val="auto"/>
                <w:highlight w:val="none"/>
                <w:u w:val="none"/>
              </w:rPr>
              <w:t>/a。</w:t>
            </w:r>
            <w:r>
              <w:rPr>
                <w:rFonts w:hint="default" w:ascii="Times New Roman" w:hAnsi="Times New Roman" w:eastAsia="宋体" w:cs="Times New Roman"/>
                <w:color w:val="auto"/>
                <w:u w:val="none"/>
                <w:lang w:eastAsia="zh-CN"/>
              </w:rPr>
              <w:t>具体总量指标先经生态环境主管部门审批确认</w:t>
            </w:r>
            <w:r>
              <w:rPr>
                <w:rFonts w:hint="eastAsia" w:ascii="Times New Roman" w:hAnsi="Times New Roman" w:eastAsia="宋体" w:cs="Times New Roman"/>
                <w:color w:val="auto"/>
                <w:u w:val="none"/>
                <w:lang w:eastAsia="zh-CN"/>
              </w:rPr>
              <w:t>，</w:t>
            </w:r>
            <w:r>
              <w:rPr>
                <w:rFonts w:hint="default" w:ascii="Times New Roman" w:hAnsi="Times New Roman" w:eastAsia="宋体" w:cs="Times New Roman"/>
                <w:color w:val="auto"/>
                <w:u w:val="none"/>
                <w:lang w:eastAsia="zh-CN"/>
              </w:rPr>
              <w:t>后由企业向当地排污权交易中心办理相关手续。</w:t>
            </w:r>
          </w:p>
          <w:p w14:paraId="6A44CB78">
            <w:pPr>
              <w:spacing w:line="360" w:lineRule="auto"/>
              <w:rPr>
                <w:rFonts w:hint="default" w:ascii="Times New Roman" w:hAnsi="Times New Roman" w:eastAsia="宋体" w:cs="Times New Roman"/>
                <w:color w:val="auto"/>
                <w:u w:val="none"/>
                <w:lang w:eastAsia="zh-CN"/>
              </w:rPr>
            </w:pPr>
          </w:p>
          <w:p w14:paraId="379D2880">
            <w:pPr>
              <w:spacing w:line="360" w:lineRule="auto"/>
              <w:rPr>
                <w:rFonts w:hint="default" w:ascii="Times New Roman" w:hAnsi="Times New Roman" w:eastAsia="宋体" w:cs="Times New Roman"/>
                <w:color w:val="auto"/>
                <w:u w:val="none"/>
                <w:lang w:eastAsia="zh-CN"/>
              </w:rPr>
            </w:pPr>
          </w:p>
          <w:p w14:paraId="4A8410C0">
            <w:pPr>
              <w:spacing w:line="360" w:lineRule="auto"/>
              <w:rPr>
                <w:rFonts w:hint="default" w:ascii="Times New Roman" w:hAnsi="Times New Roman" w:eastAsia="宋体" w:cs="Times New Roman"/>
                <w:color w:val="auto"/>
                <w:u w:val="none"/>
                <w:lang w:eastAsia="zh-CN"/>
              </w:rPr>
            </w:pPr>
          </w:p>
          <w:p w14:paraId="209598A1">
            <w:pPr>
              <w:spacing w:line="360" w:lineRule="auto"/>
              <w:rPr>
                <w:rFonts w:hint="default" w:ascii="Times New Roman" w:hAnsi="Times New Roman" w:eastAsia="宋体" w:cs="Times New Roman"/>
                <w:color w:val="auto"/>
                <w:u w:val="none"/>
                <w:lang w:eastAsia="zh-CN"/>
              </w:rPr>
            </w:pPr>
          </w:p>
          <w:p w14:paraId="5AF46BAE">
            <w:pPr>
              <w:spacing w:line="360" w:lineRule="auto"/>
              <w:rPr>
                <w:rFonts w:hint="default" w:ascii="Times New Roman" w:hAnsi="Times New Roman" w:eastAsia="宋体" w:cs="Times New Roman"/>
                <w:color w:val="auto"/>
                <w:u w:val="none"/>
                <w:lang w:eastAsia="zh-CN"/>
              </w:rPr>
            </w:pPr>
          </w:p>
          <w:p w14:paraId="77BC0F5F">
            <w:pPr>
              <w:spacing w:line="360" w:lineRule="auto"/>
              <w:rPr>
                <w:rFonts w:hint="default" w:ascii="Times New Roman" w:hAnsi="Times New Roman" w:eastAsia="宋体" w:cs="Times New Roman"/>
                <w:color w:val="auto"/>
                <w:u w:val="none"/>
                <w:lang w:eastAsia="zh-CN"/>
              </w:rPr>
            </w:pPr>
          </w:p>
          <w:p w14:paraId="7121CF16">
            <w:pPr>
              <w:spacing w:line="360" w:lineRule="auto"/>
              <w:rPr>
                <w:rFonts w:hint="default" w:ascii="Times New Roman" w:hAnsi="Times New Roman" w:eastAsia="宋体" w:cs="Times New Roman"/>
                <w:color w:val="auto"/>
                <w:u w:val="none"/>
                <w:lang w:eastAsia="zh-CN"/>
              </w:rPr>
            </w:pPr>
          </w:p>
          <w:p w14:paraId="1876466B">
            <w:pPr>
              <w:spacing w:line="360" w:lineRule="auto"/>
              <w:rPr>
                <w:rFonts w:hint="default" w:ascii="Times New Roman" w:hAnsi="Times New Roman" w:eastAsia="宋体" w:cs="Times New Roman"/>
                <w:color w:val="auto"/>
                <w:u w:val="none"/>
                <w:lang w:eastAsia="zh-CN"/>
              </w:rPr>
            </w:pPr>
          </w:p>
          <w:p w14:paraId="64E30696">
            <w:pPr>
              <w:spacing w:line="360" w:lineRule="auto"/>
              <w:rPr>
                <w:rFonts w:hint="default" w:ascii="Times New Roman" w:hAnsi="Times New Roman" w:eastAsia="宋体" w:cs="Times New Roman"/>
                <w:color w:val="auto"/>
                <w:u w:val="none"/>
                <w:lang w:eastAsia="zh-CN"/>
              </w:rPr>
            </w:pPr>
          </w:p>
          <w:p w14:paraId="5500225A">
            <w:pPr>
              <w:spacing w:line="360" w:lineRule="auto"/>
              <w:rPr>
                <w:rFonts w:hint="default" w:ascii="Times New Roman" w:hAnsi="Times New Roman" w:eastAsia="宋体" w:cs="Times New Roman"/>
                <w:color w:val="auto"/>
                <w:u w:val="none"/>
                <w:lang w:eastAsia="zh-CN"/>
              </w:rPr>
            </w:pPr>
          </w:p>
          <w:p w14:paraId="2D64200C">
            <w:pPr>
              <w:spacing w:line="360" w:lineRule="auto"/>
              <w:rPr>
                <w:rFonts w:hint="default" w:ascii="Times New Roman" w:hAnsi="Times New Roman" w:eastAsia="宋体" w:cs="Times New Roman"/>
                <w:color w:val="auto"/>
                <w:u w:val="none"/>
                <w:lang w:eastAsia="zh-CN"/>
              </w:rPr>
            </w:pPr>
          </w:p>
          <w:p w14:paraId="71DE550B">
            <w:pPr>
              <w:pStyle w:val="31"/>
              <w:rPr>
                <w:rFonts w:hint="default"/>
                <w:color w:val="auto"/>
                <w:lang w:eastAsia="zh-CN"/>
              </w:rPr>
            </w:pPr>
          </w:p>
        </w:tc>
      </w:tr>
    </w:tbl>
    <w:p w14:paraId="0EBCD7C2">
      <w:pPr>
        <w:pStyle w:val="2"/>
        <w:bidi w:val="0"/>
        <w:jc w:val="center"/>
        <w:rPr>
          <w:rFonts w:hint="default" w:asciiTheme="majorEastAsia" w:hAnsiTheme="majorEastAsia" w:eastAsiaTheme="majorEastAsia" w:cstheme="majorEastAsia"/>
          <w:b/>
          <w:bCs/>
          <w:color w:val="auto"/>
        </w:rPr>
      </w:pPr>
      <w:r>
        <w:rPr>
          <w:rFonts w:hint="default" w:ascii="Times New Roman" w:hAnsi="Times New Roman" w:eastAsia="黑体" w:cs="Times New Roman"/>
          <w:snapToGrid w:val="0"/>
          <w:color w:val="auto"/>
          <w:sz w:val="36"/>
          <w:szCs w:val="36"/>
        </w:rPr>
        <w:br w:type="page"/>
      </w:r>
      <w:bookmarkStart w:id="34" w:name="_Toc14581"/>
      <w:bookmarkStart w:id="35" w:name="_Toc2007"/>
      <w:bookmarkStart w:id="36" w:name="_Toc31158"/>
      <w:r>
        <w:rPr>
          <w:rFonts w:hint="eastAsia" w:asciiTheme="majorEastAsia" w:hAnsiTheme="majorEastAsia" w:eastAsiaTheme="majorEastAsia" w:cstheme="majorEastAsia"/>
          <w:b/>
          <w:bCs/>
          <w:color w:val="auto"/>
          <w:lang w:val="en-US" w:eastAsia="zh-CN"/>
        </w:rPr>
        <w:t>四、</w:t>
      </w:r>
      <w:r>
        <w:rPr>
          <w:rFonts w:hint="default" w:asciiTheme="majorEastAsia" w:hAnsiTheme="majorEastAsia" w:eastAsiaTheme="majorEastAsia" w:cstheme="majorEastAsia"/>
          <w:b/>
          <w:bCs/>
          <w:color w:val="auto"/>
        </w:rPr>
        <w:t>主要环境影响和保护措施</w:t>
      </w:r>
      <w:bookmarkEnd w:id="34"/>
      <w:bookmarkEnd w:id="35"/>
      <w:bookmarkEnd w:id="36"/>
    </w:p>
    <w:tbl>
      <w:tblPr>
        <w:tblStyle w:val="32"/>
        <w:tblW w:w="50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958"/>
      </w:tblGrid>
      <w:tr w14:paraId="5BC8C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362" w:type="pct"/>
            <w:tcMar>
              <w:left w:w="28" w:type="dxa"/>
              <w:right w:w="28" w:type="dxa"/>
            </w:tcMar>
            <w:vAlign w:val="center"/>
          </w:tcPr>
          <w:p w14:paraId="1C71004B">
            <w:pPr>
              <w:pStyle w:val="27"/>
              <w:adjustRightInd w:val="0"/>
              <w:snapToGrid w:val="0"/>
              <w:spacing w:before="0" w:beforeAutospacing="0" w:after="0" w:afterAutospacing="0"/>
              <w:jc w:val="center"/>
              <w:rPr>
                <w:rFonts w:hint="default" w:ascii="Times New Roman" w:hAnsi="Times New Roman" w:cs="Times New Roman"/>
                <w:b/>
                <w:bCs/>
                <w:color w:val="auto"/>
                <w:kern w:val="2"/>
                <w:szCs w:val="24"/>
                <w:lang w:val="en-US" w:eastAsia="zh-CN"/>
              </w:rPr>
            </w:pPr>
            <w:r>
              <w:rPr>
                <w:rFonts w:hint="default" w:ascii="Times New Roman" w:hAnsi="Times New Roman" w:cs="Times New Roman"/>
                <w:b/>
                <w:bCs/>
                <w:color w:val="auto"/>
                <w:kern w:val="2"/>
                <w:szCs w:val="24"/>
                <w:lang w:val="en-US" w:eastAsia="zh-CN"/>
              </w:rPr>
              <w:t>施工期环境保护措施</w:t>
            </w:r>
          </w:p>
        </w:tc>
        <w:tc>
          <w:tcPr>
            <w:tcW w:w="4637" w:type="pct"/>
          </w:tcPr>
          <w:p w14:paraId="464E5415">
            <w:pPr>
              <w:pStyle w:val="82"/>
              <w:ind w:firstLine="482"/>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1、施工期废气污染治理措施</w:t>
            </w:r>
          </w:p>
          <w:p w14:paraId="1CD6CB76">
            <w:pPr>
              <w:pStyle w:val="82"/>
              <w:ind w:firstLine="482"/>
              <w:rPr>
                <w:rFonts w:hint="eastAsia" w:ascii="Times New Roman" w:hAnsi="Times New Roman" w:eastAsia="宋体" w:cs="Times New Roman"/>
                <w:b w:val="0"/>
                <w:bCs/>
                <w:color w:val="auto"/>
                <w:szCs w:val="24"/>
                <w:lang w:val="en-US" w:eastAsia="zh-CN"/>
              </w:rPr>
            </w:pPr>
            <w:r>
              <w:rPr>
                <w:rFonts w:hint="eastAsia" w:ascii="Times New Roman" w:hAnsi="Times New Roman" w:eastAsia="宋体" w:cs="Times New Roman"/>
                <w:b w:val="0"/>
                <w:bCs/>
                <w:color w:val="auto"/>
                <w:szCs w:val="24"/>
                <w:lang w:val="en-US" w:eastAsia="zh-CN"/>
              </w:rPr>
              <w:t>根据湖南省人民政府办公厅关于印发《湖南省大气污染防治</w:t>
            </w:r>
            <w:r>
              <w:rPr>
                <w:rFonts w:hint="eastAsia" w:cs="Times New Roman"/>
                <w:b w:val="0"/>
                <w:bCs/>
                <w:color w:val="auto"/>
                <w:szCs w:val="24"/>
                <w:lang w:val="en-US" w:eastAsia="zh-CN"/>
              </w:rPr>
              <w:t>“</w:t>
            </w:r>
            <w:r>
              <w:rPr>
                <w:rFonts w:hint="eastAsia" w:ascii="Times New Roman" w:hAnsi="Times New Roman" w:eastAsia="宋体" w:cs="Times New Roman"/>
                <w:b w:val="0"/>
                <w:bCs/>
                <w:color w:val="auto"/>
                <w:szCs w:val="24"/>
                <w:lang w:val="en-US" w:eastAsia="zh-CN"/>
              </w:rPr>
              <w:t>守护蓝天</w:t>
            </w:r>
            <w:r>
              <w:rPr>
                <w:rFonts w:hint="eastAsia" w:cs="Times New Roman"/>
                <w:b w:val="0"/>
                <w:bCs/>
                <w:color w:val="auto"/>
                <w:szCs w:val="24"/>
                <w:lang w:val="en-US" w:eastAsia="zh-CN"/>
              </w:rPr>
              <w:t>”</w:t>
            </w:r>
            <w:r>
              <w:rPr>
                <w:rFonts w:hint="eastAsia" w:ascii="Times New Roman" w:hAnsi="Times New Roman" w:eastAsia="宋体" w:cs="Times New Roman"/>
                <w:b w:val="0"/>
                <w:bCs/>
                <w:color w:val="auto"/>
                <w:szCs w:val="24"/>
                <w:lang w:val="en-US" w:eastAsia="zh-CN"/>
              </w:rPr>
              <w:t>攻坚行动计划（2023</w:t>
            </w:r>
            <w:r>
              <w:rPr>
                <w:rFonts w:hint="eastAsia" w:cs="Times New Roman"/>
                <w:b w:val="0"/>
                <w:bCs/>
                <w:color w:val="auto"/>
                <w:szCs w:val="24"/>
                <w:lang w:val="en-US" w:eastAsia="zh-CN"/>
              </w:rPr>
              <w:t>-</w:t>
            </w:r>
            <w:r>
              <w:rPr>
                <w:rFonts w:hint="eastAsia" w:ascii="Times New Roman" w:hAnsi="Times New Roman" w:eastAsia="宋体" w:cs="Times New Roman"/>
                <w:b w:val="0"/>
                <w:bCs/>
                <w:color w:val="auto"/>
                <w:szCs w:val="24"/>
                <w:lang w:val="en-US" w:eastAsia="zh-CN"/>
              </w:rPr>
              <w:t>2025年）》的通知（湘政办发〔2023〕34号）相关要求及怀化市住房和城乡建设局关于印发《怀化市建设工程扬尘污染防治实施细则》的通知（怀建函〔2021〕7号），本项目施工场地需达到</w:t>
            </w:r>
            <w:r>
              <w:rPr>
                <w:rFonts w:hint="eastAsia" w:cs="Times New Roman"/>
                <w:b w:val="0"/>
                <w:bCs/>
                <w:color w:val="auto"/>
                <w:szCs w:val="24"/>
                <w:lang w:val="en-US" w:eastAsia="zh-CN"/>
              </w:rPr>
              <w:t>“</w:t>
            </w:r>
            <w:r>
              <w:rPr>
                <w:rFonts w:hint="eastAsia" w:ascii="Times New Roman" w:hAnsi="Times New Roman" w:eastAsia="宋体" w:cs="Times New Roman"/>
                <w:b w:val="0"/>
                <w:bCs/>
                <w:color w:val="auto"/>
                <w:szCs w:val="24"/>
                <w:lang w:val="en-US" w:eastAsia="zh-CN"/>
              </w:rPr>
              <w:t>六个100%+2</w:t>
            </w:r>
            <w:r>
              <w:rPr>
                <w:rFonts w:hint="eastAsia" w:cs="Times New Roman"/>
                <w:b w:val="0"/>
                <w:bCs/>
                <w:color w:val="auto"/>
                <w:szCs w:val="24"/>
                <w:lang w:val="en-US" w:eastAsia="zh-CN"/>
              </w:rPr>
              <w:t>”（</w:t>
            </w:r>
            <w:r>
              <w:rPr>
                <w:rFonts w:hint="eastAsia" w:ascii="Times New Roman" w:hAnsi="Times New Roman" w:eastAsia="宋体" w:cs="Times New Roman"/>
                <w:b w:val="0"/>
                <w:bCs/>
                <w:color w:val="auto"/>
                <w:szCs w:val="24"/>
                <w:lang w:val="en-US" w:eastAsia="zh-CN"/>
              </w:rPr>
              <w:t>施工围挡，冲洗平台及设备，施工道路硬化，施工场地内裸土、建筑垃圾、散装颗粒材料覆盖，配备湿法降尘设备，运输车辆封闭覆盖达到100%</w:t>
            </w:r>
            <w:r>
              <w:rPr>
                <w:rFonts w:hint="eastAsia" w:cs="Times New Roman"/>
                <w:b w:val="0"/>
                <w:bCs/>
                <w:color w:val="auto"/>
                <w:szCs w:val="24"/>
                <w:lang w:val="en-US" w:eastAsia="zh-CN"/>
              </w:rPr>
              <w:t>）</w:t>
            </w:r>
            <w:r>
              <w:rPr>
                <w:rFonts w:hint="eastAsia" w:ascii="Times New Roman" w:hAnsi="Times New Roman" w:eastAsia="宋体" w:cs="Times New Roman"/>
                <w:b w:val="0"/>
                <w:bCs/>
                <w:color w:val="auto"/>
                <w:szCs w:val="24"/>
                <w:lang w:val="en-US" w:eastAsia="zh-CN"/>
              </w:rPr>
              <w:t>，施工工地应安装扬尘监测仪及施工工地应安装视频监控。</w:t>
            </w:r>
          </w:p>
          <w:p w14:paraId="6E80124F">
            <w:pPr>
              <w:pStyle w:val="82"/>
              <w:ind w:firstLine="482"/>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2、施工期废水污染治理措施</w:t>
            </w:r>
          </w:p>
          <w:p w14:paraId="1493D566">
            <w:pPr>
              <w:pStyle w:val="82"/>
              <w:ind w:firstLine="482"/>
              <w:rPr>
                <w:rFonts w:hint="eastAsia" w:ascii="Times New Roman" w:hAnsi="Times New Roman" w:eastAsia="宋体" w:cs="Times New Roman"/>
                <w:b w:val="0"/>
                <w:bCs/>
                <w:color w:val="auto"/>
                <w:szCs w:val="24"/>
                <w:lang w:val="en-US" w:eastAsia="zh-CN"/>
              </w:rPr>
            </w:pPr>
            <w:r>
              <w:rPr>
                <w:rFonts w:hint="default" w:ascii="Times New Roman" w:hAnsi="Times New Roman" w:eastAsia="宋体" w:cs="Times New Roman"/>
                <w:b w:val="0"/>
                <w:bCs/>
                <w:color w:val="auto"/>
                <w:szCs w:val="24"/>
                <w:lang w:val="en-US" w:eastAsia="zh-CN"/>
              </w:rPr>
              <w:t>施工场地四周设排水沟，设置固定的车辆冲洗场所，施工燃油机械维护和冲洗的含油污水经隔油、沉淀处理后回用，在场地内修建沉淀池，废水经沉淀处理后全部回用，不外排，对施工期各用水点产生的废水采取防治措施外，还须对施工建筑材料集中堆放，并采取一定的防雨淋措施，如修建0.5m高的砖砌防冲刷围墙，并及时清扫施工运输工程中</w:t>
            </w:r>
            <w:r>
              <w:rPr>
                <w:rFonts w:hint="eastAsia" w:cs="Times New Roman"/>
                <w:b w:val="0"/>
                <w:bCs/>
                <w:color w:val="auto"/>
                <w:szCs w:val="24"/>
                <w:lang w:val="en-US" w:eastAsia="zh-CN"/>
              </w:rPr>
              <w:t>抛洒</w:t>
            </w:r>
            <w:r>
              <w:rPr>
                <w:rFonts w:hint="default" w:ascii="Times New Roman" w:hAnsi="Times New Roman" w:eastAsia="宋体" w:cs="Times New Roman"/>
                <w:b w:val="0"/>
                <w:bCs/>
                <w:color w:val="auto"/>
                <w:szCs w:val="24"/>
                <w:lang w:val="en-US" w:eastAsia="zh-CN"/>
              </w:rPr>
              <w:t>的上述建筑材料，以免这些物质随雨水冲刷污染附近水体</w:t>
            </w:r>
            <w:r>
              <w:rPr>
                <w:rFonts w:hint="eastAsia" w:ascii="Times New Roman" w:hAnsi="Times New Roman" w:eastAsia="宋体" w:cs="Times New Roman"/>
                <w:b w:val="0"/>
                <w:bCs/>
                <w:color w:val="auto"/>
                <w:szCs w:val="24"/>
                <w:lang w:val="en-US" w:eastAsia="zh-CN"/>
              </w:rPr>
              <w:t>。</w:t>
            </w:r>
          </w:p>
          <w:p w14:paraId="4BAD036E">
            <w:pPr>
              <w:pStyle w:val="82"/>
              <w:ind w:firstLine="482"/>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3、施工期噪</w:t>
            </w:r>
            <w:r>
              <w:rPr>
                <w:rFonts w:hint="eastAsia" w:cs="Times New Roman"/>
                <w:b/>
                <w:color w:val="auto"/>
                <w:szCs w:val="24"/>
                <w:lang w:val="en-US" w:eastAsia="zh-CN"/>
              </w:rPr>
              <w:t>声污</w:t>
            </w:r>
            <w:r>
              <w:rPr>
                <w:rFonts w:hint="eastAsia" w:ascii="Times New Roman" w:hAnsi="Times New Roman" w:eastAsia="宋体" w:cs="Times New Roman"/>
                <w:b/>
                <w:color w:val="auto"/>
                <w:szCs w:val="24"/>
                <w:lang w:val="en-US" w:eastAsia="zh-CN"/>
              </w:rPr>
              <w:t>染防治措施</w:t>
            </w:r>
          </w:p>
          <w:p w14:paraId="1A4B2149">
            <w:pPr>
              <w:pStyle w:val="82"/>
              <w:ind w:firstLine="482"/>
              <w:rPr>
                <w:rFonts w:hint="eastAsia" w:ascii="Times New Roman" w:hAnsi="Times New Roman" w:eastAsia="宋体" w:cs="Times New Roman"/>
                <w:b w:val="0"/>
                <w:bCs/>
                <w:color w:val="auto"/>
                <w:szCs w:val="24"/>
                <w:lang w:val="en-US" w:eastAsia="zh-CN"/>
              </w:rPr>
            </w:pPr>
            <w:r>
              <w:rPr>
                <w:rFonts w:hint="default" w:ascii="Times New Roman" w:hAnsi="Times New Roman" w:eastAsia="宋体" w:cs="Times New Roman"/>
                <w:b w:val="0"/>
                <w:bCs/>
                <w:color w:val="auto"/>
                <w:szCs w:val="24"/>
                <w:lang w:val="en-US" w:eastAsia="zh-CN"/>
              </w:rPr>
              <w:t>采用</w:t>
            </w:r>
            <w:r>
              <w:rPr>
                <w:rFonts w:hint="eastAsia" w:cs="Times New Roman"/>
                <w:b w:val="0"/>
                <w:bCs/>
                <w:color w:val="auto"/>
                <w:szCs w:val="24"/>
                <w:lang w:val="en-US" w:eastAsia="zh-CN"/>
              </w:rPr>
              <w:t>“</w:t>
            </w:r>
            <w:r>
              <w:rPr>
                <w:rFonts w:hint="default" w:ascii="Times New Roman" w:hAnsi="Times New Roman" w:eastAsia="宋体" w:cs="Times New Roman"/>
                <w:b w:val="0"/>
                <w:bCs/>
                <w:color w:val="auto"/>
                <w:szCs w:val="24"/>
                <w:lang w:val="en-US" w:eastAsia="zh-CN"/>
              </w:rPr>
              <w:t>闹静分开</w:t>
            </w:r>
            <w:r>
              <w:rPr>
                <w:rFonts w:hint="eastAsia" w:cs="Times New Roman"/>
                <w:b w:val="0"/>
                <w:bCs/>
                <w:color w:val="auto"/>
                <w:szCs w:val="24"/>
                <w:lang w:val="en-US" w:eastAsia="zh-CN"/>
              </w:rPr>
              <w:t>”</w:t>
            </w:r>
            <w:r>
              <w:rPr>
                <w:rFonts w:hint="default" w:ascii="Times New Roman" w:hAnsi="Times New Roman" w:eastAsia="宋体" w:cs="Times New Roman"/>
                <w:b w:val="0"/>
                <w:bCs/>
                <w:color w:val="auto"/>
                <w:szCs w:val="24"/>
                <w:lang w:val="en-US" w:eastAsia="zh-CN"/>
              </w:rPr>
              <w:t>和</w:t>
            </w:r>
            <w:r>
              <w:rPr>
                <w:rFonts w:hint="eastAsia" w:cs="Times New Roman"/>
                <w:b w:val="0"/>
                <w:bCs/>
                <w:color w:val="auto"/>
                <w:szCs w:val="24"/>
                <w:lang w:val="en-US" w:eastAsia="zh-CN"/>
              </w:rPr>
              <w:t>“</w:t>
            </w:r>
            <w:r>
              <w:rPr>
                <w:rFonts w:hint="default" w:ascii="Times New Roman" w:hAnsi="Times New Roman" w:eastAsia="宋体" w:cs="Times New Roman"/>
                <w:b w:val="0"/>
                <w:bCs/>
                <w:color w:val="auto"/>
                <w:szCs w:val="24"/>
                <w:lang w:val="en-US" w:eastAsia="zh-CN"/>
              </w:rPr>
              <w:t>合理布局</w:t>
            </w:r>
            <w:r>
              <w:rPr>
                <w:rFonts w:hint="eastAsia" w:cs="Times New Roman"/>
                <w:b w:val="0"/>
                <w:bCs/>
                <w:color w:val="auto"/>
                <w:szCs w:val="24"/>
                <w:lang w:val="en-US" w:eastAsia="zh-CN"/>
              </w:rPr>
              <w:t>”</w:t>
            </w:r>
            <w:r>
              <w:rPr>
                <w:rFonts w:hint="default" w:ascii="Times New Roman" w:hAnsi="Times New Roman" w:eastAsia="宋体" w:cs="Times New Roman"/>
                <w:b w:val="0"/>
                <w:bCs/>
                <w:color w:val="auto"/>
                <w:szCs w:val="24"/>
                <w:lang w:val="en-US" w:eastAsia="zh-CN"/>
              </w:rPr>
              <w:t>的设计原则，使高噪声设备尽可能远离噪声敏感区，尽量选用低噪声设备，大型设备均安装</w:t>
            </w:r>
            <w:r>
              <w:rPr>
                <w:rFonts w:hint="eastAsia" w:cs="Times New Roman"/>
                <w:b w:val="0"/>
                <w:bCs/>
                <w:color w:val="auto"/>
                <w:szCs w:val="24"/>
                <w:lang w:val="en-US" w:eastAsia="zh-CN"/>
              </w:rPr>
              <w:t>减震坐垫</w:t>
            </w:r>
            <w:r>
              <w:rPr>
                <w:rFonts w:hint="default" w:ascii="Times New Roman" w:hAnsi="Times New Roman" w:eastAsia="宋体" w:cs="Times New Roman"/>
                <w:b w:val="0"/>
                <w:bCs/>
                <w:color w:val="auto"/>
                <w:szCs w:val="24"/>
                <w:lang w:val="en-US" w:eastAsia="zh-CN"/>
              </w:rPr>
              <w:t>。应经常对施工设备进行维护保养，避免由于设备性能减退而使噪声增强的现象发生。整体设备应安放稳固，并与地面保持良好接触，有条件的应使用减振机座，降低噪声，合理安排施工时间，尽量避免高噪声设备同时施工，在夜晚22时至翌日6时应禁止高噪声设备的施工，特殊情况需报有关部门审批，物料运输应尽量安排在昼间进行，施工场地的施工车辆出入地点应尽量远离敏感点，车辆出入现场时应低速、禁鸣。大型载重车辆在进出施工场地时应限速20km/h，并禁止鸣笛</w:t>
            </w:r>
            <w:r>
              <w:rPr>
                <w:rFonts w:hint="eastAsia" w:ascii="Times New Roman" w:hAnsi="Times New Roman" w:eastAsia="宋体" w:cs="Times New Roman"/>
                <w:b w:val="0"/>
                <w:bCs/>
                <w:color w:val="auto"/>
                <w:szCs w:val="24"/>
                <w:lang w:val="en-US" w:eastAsia="zh-CN"/>
              </w:rPr>
              <w:t>。</w:t>
            </w:r>
          </w:p>
          <w:p w14:paraId="02911DDC">
            <w:pPr>
              <w:pStyle w:val="82"/>
              <w:ind w:firstLine="482"/>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4、施工期固体废物处置措施</w:t>
            </w:r>
          </w:p>
          <w:p w14:paraId="29DA970C">
            <w:pPr>
              <w:pStyle w:val="82"/>
              <w:ind w:firstLine="482"/>
              <w:rPr>
                <w:rFonts w:hint="eastAsia" w:ascii="Times New Roman" w:hAnsi="Times New Roman" w:eastAsia="宋体" w:cs="Times New Roman"/>
                <w:b w:val="0"/>
                <w:bCs/>
                <w:color w:val="auto"/>
                <w:szCs w:val="24"/>
                <w:lang w:val="en-US" w:eastAsia="zh-CN"/>
              </w:rPr>
            </w:pPr>
            <w:r>
              <w:rPr>
                <w:rFonts w:hint="eastAsia" w:ascii="Times New Roman" w:hAnsi="Times New Roman" w:eastAsia="宋体" w:cs="Times New Roman"/>
                <w:b w:val="0"/>
                <w:bCs/>
                <w:color w:val="auto"/>
                <w:szCs w:val="24"/>
                <w:lang w:val="en-US" w:eastAsia="zh-CN"/>
              </w:rPr>
              <w:t>建筑施工使用商品混凝土和干拌砂浆，减少现场搅拌产生的固体废物，施工废弃的建筑垃圾设专门的临时堆场，并设置挡墙，</w:t>
            </w:r>
            <w:r>
              <w:rPr>
                <w:rFonts w:hint="eastAsia" w:cs="Times New Roman"/>
                <w:b w:val="0"/>
                <w:bCs/>
                <w:color w:val="auto"/>
                <w:szCs w:val="24"/>
                <w:lang w:val="en-US" w:eastAsia="zh-CN"/>
              </w:rPr>
              <w:t>防止</w:t>
            </w:r>
            <w:r>
              <w:rPr>
                <w:rFonts w:hint="eastAsia" w:ascii="Times New Roman" w:hAnsi="Times New Roman" w:eastAsia="宋体" w:cs="Times New Roman"/>
                <w:b w:val="0"/>
                <w:bCs/>
                <w:color w:val="auto"/>
                <w:szCs w:val="24"/>
                <w:lang w:val="en-US" w:eastAsia="zh-CN"/>
              </w:rPr>
              <w:t>暴雨降水等冲刷流失到水环境中造成水体污染，设置垃圾箱、垃圾桶，每天收集施工区域的生活垃圾，交由环卫部门统一清运、处理。</w:t>
            </w:r>
          </w:p>
          <w:p w14:paraId="777518F9">
            <w:pPr>
              <w:pStyle w:val="82"/>
              <w:numPr>
                <w:ilvl w:val="0"/>
                <w:numId w:val="4"/>
              </w:numPr>
              <w:ind w:firstLine="482"/>
              <w:rPr>
                <w:rFonts w:hint="eastAsia" w:ascii="Times New Roman" w:hAnsi="Times New Roman" w:eastAsia="宋体" w:cs="Times New Roman"/>
                <w:b/>
                <w:bCs w:val="0"/>
                <w:color w:val="auto"/>
                <w:szCs w:val="24"/>
                <w:lang w:val="en-US" w:eastAsia="zh-CN"/>
              </w:rPr>
            </w:pPr>
            <w:r>
              <w:rPr>
                <w:rFonts w:hint="eastAsia" w:ascii="Times New Roman" w:hAnsi="Times New Roman" w:eastAsia="宋体" w:cs="Times New Roman"/>
                <w:b/>
                <w:bCs w:val="0"/>
                <w:color w:val="auto"/>
                <w:szCs w:val="24"/>
                <w:lang w:val="en-US" w:eastAsia="zh-CN"/>
              </w:rPr>
              <w:t>施工期生态保护措施</w:t>
            </w:r>
          </w:p>
          <w:p w14:paraId="133FD2BF">
            <w:pPr>
              <w:pStyle w:val="82"/>
              <w:numPr>
                <w:ilvl w:val="0"/>
                <w:numId w:val="0"/>
              </w:numPr>
              <w:ind w:firstLine="480" w:firstLineChars="200"/>
              <w:rPr>
                <w:rFonts w:hint="default" w:ascii="Times New Roman" w:hAnsi="Times New Roman" w:eastAsia="宋体" w:cs="Times New Roman"/>
                <w:b w:val="0"/>
                <w:bCs/>
                <w:color w:val="auto"/>
                <w:szCs w:val="24"/>
                <w:lang w:val="en-US" w:eastAsia="zh-CN"/>
              </w:rPr>
            </w:pPr>
            <w:r>
              <w:rPr>
                <w:rFonts w:hint="default" w:ascii="Times New Roman" w:hAnsi="Times New Roman" w:eastAsia="宋体" w:cs="Times New Roman"/>
                <w:b w:val="0"/>
                <w:bCs/>
                <w:color w:val="auto"/>
                <w:szCs w:val="24"/>
                <w:lang w:val="en-US" w:eastAsia="zh-CN"/>
              </w:rPr>
              <w:t>加强工程施工管理，做到文明施工，严禁随处乱倒废土、弃渣，要求土石方开挖工程量以运到填筑地点的方量计算，严格控制土石方开挖料在运输过程中的流失，杜绝乱倒的现象，建设单位</w:t>
            </w:r>
            <w:r>
              <w:rPr>
                <w:rFonts w:hint="eastAsia" w:cs="Times New Roman"/>
                <w:b w:val="0"/>
                <w:bCs/>
                <w:color w:val="auto"/>
                <w:szCs w:val="24"/>
                <w:lang w:val="en-US" w:eastAsia="zh-CN"/>
              </w:rPr>
              <w:t>已</w:t>
            </w:r>
            <w:r>
              <w:rPr>
                <w:rFonts w:hint="default" w:ascii="Times New Roman" w:hAnsi="Times New Roman" w:eastAsia="宋体" w:cs="Times New Roman"/>
                <w:b w:val="0"/>
                <w:bCs/>
                <w:color w:val="auto"/>
                <w:szCs w:val="24"/>
                <w:lang w:val="en-US" w:eastAsia="zh-CN"/>
              </w:rPr>
              <w:t>编制水土保持方案，</w:t>
            </w:r>
            <w:r>
              <w:rPr>
                <w:rFonts w:hint="eastAsia" w:cs="Times New Roman"/>
                <w:b w:val="0"/>
                <w:bCs/>
                <w:color w:val="auto"/>
                <w:szCs w:val="24"/>
                <w:lang w:val="en-US" w:eastAsia="zh-CN"/>
              </w:rPr>
              <w:t>并取得水土保持方案表的批复（详见附件6）。项目施工期应严格按照水土保持方案表及其批复要求</w:t>
            </w:r>
            <w:r>
              <w:rPr>
                <w:rFonts w:hint="default" w:ascii="Times New Roman" w:hAnsi="Times New Roman" w:eastAsia="宋体" w:cs="Times New Roman"/>
                <w:b w:val="0"/>
                <w:bCs/>
                <w:color w:val="auto"/>
                <w:szCs w:val="24"/>
                <w:lang w:val="en-US" w:eastAsia="zh-CN"/>
              </w:rPr>
              <w:t>完善水土保持措施</w:t>
            </w:r>
            <w:r>
              <w:rPr>
                <w:rFonts w:hint="eastAsia" w:ascii="Times New Roman" w:hAnsi="Times New Roman" w:eastAsia="宋体" w:cs="Times New Roman"/>
                <w:b w:val="0"/>
                <w:bCs/>
                <w:color w:val="auto"/>
                <w:szCs w:val="24"/>
                <w:lang w:val="en-US" w:eastAsia="zh-CN"/>
              </w:rPr>
              <w:t>。</w:t>
            </w:r>
          </w:p>
        </w:tc>
      </w:tr>
      <w:tr w14:paraId="0429E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tcMar>
              <w:left w:w="28" w:type="dxa"/>
              <w:right w:w="28" w:type="dxa"/>
            </w:tcMar>
            <w:vAlign w:val="center"/>
          </w:tcPr>
          <w:p w14:paraId="3AC38E26">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br w:type="page"/>
            </w:r>
            <w:r>
              <w:rPr>
                <w:rFonts w:hint="default" w:ascii="Times New Roman" w:hAnsi="Times New Roman" w:cs="Times New Roman"/>
                <w:b/>
                <w:bCs/>
                <w:color w:val="auto"/>
                <w:sz w:val="24"/>
              </w:rPr>
              <w:br w:type="page"/>
            </w:r>
            <w:r>
              <w:rPr>
                <w:rFonts w:hint="default" w:ascii="Times New Roman" w:hAnsi="Times New Roman" w:cs="Times New Roman"/>
                <w:b/>
                <w:bCs/>
                <w:color w:val="auto"/>
                <w:sz w:val="24"/>
              </w:rPr>
              <w:t>运营期环境影响和保护</w:t>
            </w:r>
            <w:r>
              <w:rPr>
                <w:rFonts w:hint="default" w:ascii="Times New Roman" w:hAnsi="Times New Roman" w:cs="Times New Roman"/>
                <w:b/>
                <w:bCs/>
                <w:color w:val="auto"/>
                <w:szCs w:val="24"/>
                <w:lang w:val="en-US" w:eastAsia="zh-CN"/>
              </w:rPr>
              <w:t>措施</w:t>
            </w:r>
          </w:p>
        </w:tc>
        <w:tc>
          <w:tcPr>
            <w:tcW w:w="4637" w:type="pct"/>
            <w:vAlign w:val="center"/>
          </w:tcPr>
          <w:p w14:paraId="12191C8B">
            <w:pPr>
              <w:pStyle w:val="82"/>
              <w:ind w:firstLine="482"/>
              <w:rPr>
                <w:rFonts w:hint="default" w:ascii="Times New Roman" w:hAnsi="Times New Roman" w:cs="Times New Roman"/>
                <w:b/>
                <w:color w:val="auto"/>
                <w:szCs w:val="24"/>
              </w:rPr>
            </w:pPr>
            <w:r>
              <w:rPr>
                <w:rFonts w:hint="eastAsia" w:cs="Times New Roman"/>
                <w:b/>
                <w:color w:val="auto"/>
                <w:szCs w:val="24"/>
                <w:lang w:val="en-US" w:eastAsia="zh-CN"/>
              </w:rPr>
              <w:t>1、</w:t>
            </w:r>
            <w:r>
              <w:rPr>
                <w:rFonts w:hint="default" w:ascii="Times New Roman" w:hAnsi="Times New Roman" w:cs="Times New Roman"/>
                <w:b/>
                <w:color w:val="auto"/>
                <w:szCs w:val="24"/>
              </w:rPr>
              <w:t>废水环境影响和保护措施</w:t>
            </w:r>
          </w:p>
          <w:p w14:paraId="69B59883">
            <w:pPr>
              <w:pStyle w:val="82"/>
              <w:ind w:firstLine="482"/>
              <w:rPr>
                <w:rFonts w:hint="default" w:ascii="Times New Roman" w:hAnsi="Times New Roman" w:cs="Times New Roman"/>
                <w:b/>
                <w:color w:val="auto"/>
                <w:szCs w:val="24"/>
              </w:rPr>
            </w:pPr>
            <w:r>
              <w:rPr>
                <w:rFonts w:hint="eastAsia" w:cs="Times New Roman"/>
                <w:b/>
                <w:color w:val="auto"/>
                <w:szCs w:val="24"/>
                <w:lang w:eastAsia="zh-CN"/>
              </w:rPr>
              <w:t>（</w:t>
            </w:r>
            <w:r>
              <w:rPr>
                <w:rFonts w:hint="eastAsia" w:cs="Times New Roman"/>
                <w:b/>
                <w:color w:val="auto"/>
                <w:szCs w:val="24"/>
                <w:lang w:val="en-US" w:eastAsia="zh-CN"/>
              </w:rPr>
              <w:t>1</w:t>
            </w:r>
            <w:r>
              <w:rPr>
                <w:rFonts w:hint="eastAsia" w:cs="Times New Roman"/>
                <w:b/>
                <w:color w:val="auto"/>
                <w:szCs w:val="24"/>
                <w:lang w:eastAsia="zh-CN"/>
              </w:rPr>
              <w:t>）</w:t>
            </w:r>
            <w:r>
              <w:rPr>
                <w:rFonts w:hint="default" w:ascii="Times New Roman" w:hAnsi="Times New Roman" w:cs="Times New Roman"/>
                <w:b/>
                <w:color w:val="auto"/>
                <w:szCs w:val="24"/>
              </w:rPr>
              <w:t>产生情况</w:t>
            </w:r>
          </w:p>
          <w:p w14:paraId="780D0B2B">
            <w:pPr>
              <w:pStyle w:val="82"/>
              <w:rPr>
                <w:rFonts w:hint="default" w:ascii="Times New Roman" w:hAnsi="Times New Roman" w:eastAsia="宋体" w:cs="Times New Roman"/>
                <w:color w:val="auto"/>
                <w:szCs w:val="24"/>
                <w:u w:val="none"/>
                <w:lang w:eastAsia="zh-CN"/>
              </w:rPr>
            </w:pPr>
            <w:r>
              <w:rPr>
                <w:rFonts w:hint="default" w:ascii="Times New Roman" w:hAnsi="Times New Roman" w:cs="Times New Roman"/>
                <w:color w:val="auto"/>
                <w:szCs w:val="24"/>
                <w:u w:val="none"/>
              </w:rPr>
              <w:t>本项目营运期</w:t>
            </w:r>
            <w:r>
              <w:rPr>
                <w:rFonts w:hint="eastAsia" w:cs="Times New Roman"/>
                <w:color w:val="auto"/>
                <w:szCs w:val="24"/>
                <w:u w:val="none"/>
                <w:lang w:val="en-US" w:eastAsia="zh-CN"/>
              </w:rPr>
              <w:t>外排</w:t>
            </w:r>
            <w:r>
              <w:rPr>
                <w:rFonts w:hint="default" w:ascii="Times New Roman" w:hAnsi="Times New Roman" w:cs="Times New Roman"/>
                <w:color w:val="auto"/>
                <w:szCs w:val="24"/>
                <w:u w:val="none"/>
              </w:rPr>
              <w:t>废水主要是</w:t>
            </w:r>
            <w:r>
              <w:rPr>
                <w:rFonts w:hint="eastAsia" w:ascii="Times New Roman" w:hAnsi="Times New Roman" w:cs="Times New Roman"/>
                <w:color w:val="auto"/>
                <w:szCs w:val="24"/>
                <w:u w:val="none"/>
                <w:lang w:eastAsia="zh-CN"/>
              </w:rPr>
              <w:t>生活污水</w:t>
            </w:r>
            <w:r>
              <w:rPr>
                <w:rFonts w:hint="eastAsia" w:cs="Times New Roman"/>
                <w:color w:val="auto"/>
                <w:szCs w:val="24"/>
                <w:u w:val="none"/>
                <w:lang w:eastAsia="zh-CN"/>
              </w:rPr>
              <w:t>、</w:t>
            </w:r>
            <w:r>
              <w:rPr>
                <w:rFonts w:hint="eastAsia" w:cs="Times New Roman"/>
                <w:bCs/>
                <w:color w:val="auto"/>
                <w:lang w:val="en-US" w:eastAsia="zh-CN"/>
              </w:rPr>
              <w:t>制软水尾水、</w:t>
            </w:r>
            <w:r>
              <w:rPr>
                <w:rFonts w:hint="eastAsia" w:cs="Times New Roman"/>
                <w:color w:val="auto"/>
                <w:szCs w:val="24"/>
                <w:u w:val="none"/>
                <w:lang w:val="en-US" w:eastAsia="zh-CN"/>
              </w:rPr>
              <w:t>原材料</w:t>
            </w:r>
            <w:r>
              <w:rPr>
                <w:rFonts w:hint="eastAsia" w:ascii="Times New Roman" w:hAnsi="Times New Roman" w:cs="Times New Roman"/>
                <w:color w:val="auto"/>
                <w:szCs w:val="24"/>
                <w:u w:val="none"/>
                <w:lang w:eastAsia="zh-CN"/>
              </w:rPr>
              <w:t>清洗废水</w:t>
            </w:r>
            <w:r>
              <w:rPr>
                <w:rFonts w:hint="eastAsia" w:cs="Times New Roman"/>
                <w:color w:val="auto"/>
                <w:szCs w:val="24"/>
                <w:u w:val="none"/>
                <w:lang w:val="en-US" w:eastAsia="zh-CN"/>
              </w:rPr>
              <w:t>、</w:t>
            </w:r>
            <w:r>
              <w:rPr>
                <w:rFonts w:hint="eastAsia" w:cs="Times New Roman"/>
                <w:color w:val="auto"/>
                <w:szCs w:val="24"/>
                <w:u w:val="none"/>
                <w:lang w:eastAsia="zh-CN"/>
              </w:rPr>
              <w:t>地面</w:t>
            </w:r>
            <w:r>
              <w:rPr>
                <w:rFonts w:hint="eastAsia" w:cs="Times New Roman"/>
                <w:color w:val="auto"/>
                <w:szCs w:val="24"/>
                <w:u w:val="none"/>
                <w:lang w:val="en-US" w:eastAsia="zh-CN"/>
              </w:rPr>
              <w:t>清洁</w:t>
            </w:r>
            <w:r>
              <w:rPr>
                <w:rFonts w:hint="eastAsia" w:cs="Times New Roman"/>
                <w:color w:val="auto"/>
                <w:szCs w:val="24"/>
                <w:u w:val="none"/>
                <w:lang w:eastAsia="zh-CN"/>
              </w:rPr>
              <w:t>废水</w:t>
            </w:r>
            <w:r>
              <w:rPr>
                <w:rFonts w:hint="eastAsia" w:ascii="Times New Roman" w:hAnsi="Times New Roman" w:cs="Times New Roman"/>
                <w:color w:val="auto"/>
                <w:szCs w:val="24"/>
                <w:u w:val="none"/>
                <w:lang w:eastAsia="zh-CN"/>
              </w:rPr>
              <w:t>。</w:t>
            </w:r>
          </w:p>
          <w:p w14:paraId="76CB3C1F">
            <w:pPr>
              <w:pStyle w:val="82"/>
              <w:rPr>
                <w:rFonts w:hint="eastAsia" w:ascii="Times New Roman" w:hAnsi="Times New Roman" w:eastAsia="宋体" w:cs="Times New Roman"/>
                <w:color w:val="auto"/>
                <w:szCs w:val="24"/>
                <w:u w:val="none"/>
                <w:lang w:eastAsia="zh-CN"/>
              </w:rPr>
            </w:pPr>
            <w:r>
              <w:rPr>
                <w:rFonts w:hint="default" w:ascii="Times New Roman" w:hAnsi="Times New Roman" w:eastAsia="宋体" w:cs="Times New Roman"/>
                <w:color w:val="auto"/>
                <w:sz w:val="24"/>
                <w:szCs w:val="24"/>
                <w:highlight w:val="none"/>
                <w:u w:val="single"/>
                <w:lang w:eastAsia="zh-CN"/>
              </w:rPr>
              <w:t>项目</w:t>
            </w:r>
            <w:r>
              <w:rPr>
                <w:rFonts w:hint="eastAsia" w:cs="Times New Roman"/>
                <w:color w:val="auto"/>
                <w:sz w:val="24"/>
                <w:szCs w:val="24"/>
                <w:highlight w:val="none"/>
                <w:u w:val="single"/>
                <w:lang w:val="en-US" w:eastAsia="zh-CN"/>
              </w:rPr>
              <w:t>生活污水</w:t>
            </w:r>
            <w:r>
              <w:rPr>
                <w:rFonts w:hint="default" w:ascii="Times New Roman" w:hAnsi="Times New Roman" w:eastAsia="宋体" w:cs="Times New Roman"/>
                <w:color w:val="auto"/>
                <w:sz w:val="24"/>
                <w:szCs w:val="24"/>
                <w:highlight w:val="none"/>
                <w:u w:val="single"/>
                <w:lang w:eastAsia="zh-CN"/>
              </w:rPr>
              <w:t>产生总量为</w:t>
            </w:r>
            <w:r>
              <w:rPr>
                <w:rFonts w:hint="eastAsia" w:cs="Times New Roman"/>
                <w:color w:val="auto"/>
                <w:sz w:val="24"/>
                <w:szCs w:val="24"/>
                <w:highlight w:val="none"/>
                <w:u w:val="single"/>
                <w:lang w:val="en-US" w:eastAsia="zh-CN"/>
              </w:rPr>
              <w:t>127.5</w:t>
            </w:r>
            <w:r>
              <w:rPr>
                <w:rFonts w:hint="default" w:ascii="Times New Roman" w:hAnsi="Times New Roman" w:eastAsia="宋体" w:cs="Times New Roman"/>
                <w:color w:val="auto"/>
                <w:sz w:val="24"/>
                <w:szCs w:val="24"/>
                <w:highlight w:val="none"/>
                <w:u w:val="single"/>
                <w:lang w:eastAsia="zh-CN"/>
              </w:rPr>
              <w:t>m</w:t>
            </w:r>
            <w:r>
              <w:rPr>
                <w:rFonts w:hint="default" w:ascii="Times New Roman" w:hAnsi="Times New Roman" w:eastAsia="宋体" w:cs="Times New Roman"/>
                <w:color w:val="auto"/>
                <w:sz w:val="24"/>
                <w:szCs w:val="24"/>
                <w:highlight w:val="none"/>
                <w:u w:val="single"/>
                <w:vertAlign w:val="superscript"/>
                <w:lang w:eastAsia="zh-CN"/>
              </w:rPr>
              <w:t>3</w:t>
            </w:r>
            <w:r>
              <w:rPr>
                <w:rFonts w:hint="default" w:ascii="Times New Roman" w:hAnsi="Times New Roman" w:eastAsia="宋体" w:cs="Times New Roman"/>
                <w:color w:val="auto"/>
                <w:sz w:val="24"/>
                <w:szCs w:val="24"/>
                <w:highlight w:val="none"/>
                <w:u w:val="single"/>
                <w:lang w:eastAsia="zh-CN"/>
              </w:rPr>
              <w:t>/a（</w:t>
            </w:r>
            <w:r>
              <w:rPr>
                <w:rFonts w:hint="eastAsia" w:cs="Times New Roman"/>
                <w:color w:val="auto"/>
                <w:sz w:val="24"/>
                <w:szCs w:val="24"/>
                <w:highlight w:val="none"/>
                <w:u w:val="single"/>
                <w:lang w:val="en-US" w:eastAsia="zh-CN"/>
              </w:rPr>
              <w:t>2.125</w:t>
            </w:r>
            <w:r>
              <w:rPr>
                <w:rFonts w:hint="default" w:ascii="Times New Roman" w:hAnsi="Times New Roman" w:eastAsia="宋体" w:cs="Times New Roman"/>
                <w:color w:val="auto"/>
                <w:sz w:val="24"/>
                <w:szCs w:val="24"/>
                <w:highlight w:val="none"/>
                <w:u w:val="single"/>
                <w:lang w:eastAsia="zh-CN"/>
              </w:rPr>
              <w:t>m</w:t>
            </w:r>
            <w:r>
              <w:rPr>
                <w:rFonts w:hint="default" w:ascii="Times New Roman" w:hAnsi="Times New Roman" w:eastAsia="宋体" w:cs="Times New Roman"/>
                <w:color w:val="auto"/>
                <w:sz w:val="24"/>
                <w:szCs w:val="24"/>
                <w:highlight w:val="none"/>
                <w:u w:val="single"/>
                <w:vertAlign w:val="superscript"/>
                <w:lang w:eastAsia="zh-CN"/>
              </w:rPr>
              <w:t>3</w:t>
            </w:r>
            <w:r>
              <w:rPr>
                <w:rFonts w:hint="default" w:ascii="Times New Roman" w:hAnsi="Times New Roman" w:eastAsia="宋体" w:cs="Times New Roman"/>
                <w:color w:val="auto"/>
                <w:sz w:val="24"/>
                <w:szCs w:val="24"/>
                <w:highlight w:val="none"/>
                <w:u w:val="single"/>
                <w:lang w:eastAsia="zh-CN"/>
              </w:rPr>
              <w:t>/d），</w:t>
            </w:r>
            <w:r>
              <w:rPr>
                <w:rFonts w:hint="eastAsia" w:ascii="Times New Roman" w:hAnsi="Times New Roman" w:eastAsia="宋体" w:cs="Times New Roman"/>
                <w:color w:val="auto"/>
                <w:sz w:val="24"/>
                <w:szCs w:val="24"/>
                <w:u w:val="single"/>
                <w:lang w:eastAsia="zh-CN"/>
              </w:rPr>
              <w:t>生活污水</w:t>
            </w:r>
            <w:r>
              <w:rPr>
                <w:rFonts w:hint="default" w:ascii="Times New Roman" w:hAnsi="Times New Roman" w:eastAsia="宋体" w:cs="Times New Roman"/>
                <w:color w:val="auto"/>
                <w:sz w:val="24"/>
                <w:szCs w:val="24"/>
                <w:u w:val="single"/>
              </w:rPr>
              <w:t>一般COD浓度150~</w:t>
            </w:r>
            <w:r>
              <w:rPr>
                <w:rFonts w:hint="eastAsia" w:ascii="Times New Roman" w:hAnsi="Times New Roman" w:eastAsia="宋体" w:cs="Times New Roman"/>
                <w:color w:val="auto"/>
                <w:sz w:val="24"/>
                <w:szCs w:val="24"/>
                <w:u w:val="single"/>
                <w:lang w:val="en-US" w:eastAsia="zh-CN"/>
              </w:rPr>
              <w:t>250</w:t>
            </w:r>
            <w:r>
              <w:rPr>
                <w:rFonts w:hint="default" w:ascii="Times New Roman" w:hAnsi="Times New Roman" w:eastAsia="宋体" w:cs="Times New Roman"/>
                <w:color w:val="auto"/>
                <w:sz w:val="24"/>
                <w:szCs w:val="24"/>
                <w:u w:val="single"/>
              </w:rPr>
              <w:t>mg/L，BOD</w:t>
            </w:r>
            <w:r>
              <w:rPr>
                <w:rFonts w:hint="default" w:ascii="Times New Roman" w:hAnsi="Times New Roman" w:eastAsia="宋体" w:cs="Times New Roman"/>
                <w:color w:val="auto"/>
                <w:sz w:val="24"/>
                <w:szCs w:val="24"/>
                <w:u w:val="single"/>
                <w:vertAlign w:val="subscript"/>
              </w:rPr>
              <w:t>5</w:t>
            </w:r>
            <w:r>
              <w:rPr>
                <w:rFonts w:hint="default" w:ascii="Times New Roman" w:hAnsi="Times New Roman" w:eastAsia="宋体" w:cs="Times New Roman"/>
                <w:color w:val="auto"/>
                <w:sz w:val="24"/>
                <w:szCs w:val="24"/>
                <w:u w:val="single"/>
              </w:rPr>
              <w:t>浓度为80~</w:t>
            </w:r>
            <w:r>
              <w:rPr>
                <w:rFonts w:hint="eastAsia" w:ascii="Times New Roman" w:hAnsi="Times New Roman" w:eastAsia="宋体" w:cs="Times New Roman"/>
                <w:color w:val="auto"/>
                <w:sz w:val="24"/>
                <w:szCs w:val="24"/>
                <w:u w:val="single"/>
                <w:lang w:val="en-US" w:eastAsia="zh-CN"/>
              </w:rPr>
              <w:t>200</w:t>
            </w:r>
            <w:r>
              <w:rPr>
                <w:rFonts w:hint="default" w:ascii="Times New Roman" w:hAnsi="Times New Roman" w:eastAsia="宋体" w:cs="Times New Roman"/>
                <w:color w:val="auto"/>
                <w:sz w:val="24"/>
                <w:szCs w:val="24"/>
                <w:u w:val="single"/>
              </w:rPr>
              <w:t>mg/L，</w:t>
            </w:r>
            <w:r>
              <w:rPr>
                <w:rFonts w:hint="eastAsia" w:cs="Times New Roman"/>
                <w:color w:val="auto"/>
                <w:sz w:val="24"/>
                <w:szCs w:val="24"/>
                <w:u w:val="single"/>
                <w:lang w:val="en-US" w:eastAsia="zh-CN"/>
              </w:rPr>
              <w:t>TN浓度为20~40，TP浓度为3~5，</w:t>
            </w:r>
            <w:r>
              <w:rPr>
                <w:rFonts w:hint="default" w:ascii="Times New Roman" w:hAnsi="Times New Roman" w:eastAsia="宋体" w:cs="Times New Roman"/>
                <w:color w:val="auto"/>
                <w:sz w:val="24"/>
                <w:szCs w:val="24"/>
                <w:u w:val="single"/>
              </w:rPr>
              <w:t>NH</w:t>
            </w:r>
            <w:r>
              <w:rPr>
                <w:rFonts w:hint="default" w:ascii="Times New Roman" w:hAnsi="Times New Roman" w:eastAsia="宋体" w:cs="Times New Roman"/>
                <w:color w:val="auto"/>
                <w:sz w:val="24"/>
                <w:szCs w:val="24"/>
                <w:u w:val="single"/>
                <w:vertAlign w:val="subscript"/>
              </w:rPr>
              <w:t>3</w:t>
            </w:r>
            <w:r>
              <w:rPr>
                <w:rFonts w:hint="default" w:ascii="Times New Roman" w:hAnsi="Times New Roman" w:eastAsia="宋体" w:cs="Times New Roman"/>
                <w:color w:val="auto"/>
                <w:sz w:val="24"/>
                <w:szCs w:val="24"/>
                <w:u w:val="single"/>
              </w:rPr>
              <w:t>-N浓度为10~</w:t>
            </w:r>
            <w:r>
              <w:rPr>
                <w:rFonts w:hint="eastAsia" w:ascii="Times New Roman" w:hAnsi="Times New Roman" w:eastAsia="宋体" w:cs="Times New Roman"/>
                <w:color w:val="auto"/>
                <w:sz w:val="24"/>
                <w:szCs w:val="24"/>
                <w:u w:val="single"/>
                <w:lang w:val="en-US" w:eastAsia="zh-CN"/>
              </w:rPr>
              <w:t>3</w:t>
            </w:r>
            <w:r>
              <w:rPr>
                <w:rFonts w:hint="default" w:ascii="Times New Roman" w:hAnsi="Times New Roman" w:eastAsia="宋体" w:cs="Times New Roman"/>
                <w:color w:val="auto"/>
                <w:sz w:val="24"/>
                <w:szCs w:val="24"/>
                <w:u w:val="single"/>
              </w:rPr>
              <w:t>0mg/L，SS浓度为40~120mg/L，</w:t>
            </w:r>
            <w:r>
              <w:rPr>
                <w:rFonts w:hint="eastAsia" w:cs="Times New Roman"/>
                <w:color w:val="auto"/>
                <w:sz w:val="24"/>
                <w:szCs w:val="24"/>
                <w:u w:val="single"/>
                <w:lang w:val="en-US" w:eastAsia="zh-CN"/>
              </w:rPr>
              <w:t>生活污水经化粪池处理后</w:t>
            </w:r>
            <w:r>
              <w:rPr>
                <w:rFonts w:hint="eastAsia" w:ascii="Times New Roman" w:hAnsi="宋体" w:eastAsia="宋体" w:cs="Times New Roman"/>
                <w:color w:val="auto"/>
                <w:szCs w:val="21"/>
                <w:u w:val="single"/>
                <w:lang w:val="en-US" w:eastAsia="zh-CN"/>
              </w:rPr>
              <w:t>经市政管网排放至龙潭镇污水处理厂</w:t>
            </w:r>
            <w:r>
              <w:rPr>
                <w:rFonts w:hint="eastAsia" w:hAnsi="宋体" w:cs="Times New Roman"/>
                <w:color w:val="auto"/>
                <w:szCs w:val="21"/>
                <w:u w:val="single"/>
                <w:lang w:val="en-US" w:eastAsia="zh-CN"/>
              </w:rPr>
              <w:t>；</w:t>
            </w:r>
            <w:r>
              <w:rPr>
                <w:rFonts w:hint="eastAsia" w:ascii="Times New Roman" w:hAnsi="Times New Roman" w:eastAsia="宋体" w:cs="Times New Roman"/>
                <w:color w:val="auto"/>
                <w:sz w:val="24"/>
                <w:szCs w:val="24"/>
                <w:highlight w:val="none"/>
                <w:u w:val="single"/>
                <w:lang w:val="en-US" w:eastAsia="zh-CN"/>
              </w:rPr>
              <w:t>项目</w:t>
            </w:r>
            <w:r>
              <w:rPr>
                <w:rFonts w:hint="eastAsia" w:ascii="Times New Roman" w:hAnsi="Times New Roman" w:eastAsia="宋体" w:cs="Times New Roman"/>
                <w:bCs/>
                <w:color w:val="auto"/>
                <w:sz w:val="24"/>
                <w:u w:val="single"/>
                <w:lang w:val="en-US" w:eastAsia="zh-CN"/>
              </w:rPr>
              <w:t>制</w:t>
            </w:r>
            <w:r>
              <w:rPr>
                <w:rFonts w:hint="eastAsia"/>
                <w:color w:val="auto"/>
                <w:sz w:val="24"/>
                <w:szCs w:val="24"/>
                <w:u w:val="single"/>
                <w:lang w:eastAsia="zh-CN"/>
              </w:rPr>
              <w:t>软化水</w:t>
            </w:r>
            <w:r>
              <w:rPr>
                <w:rFonts w:hint="eastAsia" w:ascii="Times New Roman" w:hAnsi="Times New Roman" w:eastAsia="宋体" w:cs="Times New Roman"/>
                <w:bCs/>
                <w:color w:val="auto"/>
                <w:sz w:val="24"/>
                <w:u w:val="single"/>
                <w:lang w:val="en-US" w:eastAsia="zh-CN"/>
              </w:rPr>
              <w:t>尾水排放量为1</w:t>
            </w:r>
            <w:r>
              <w:rPr>
                <w:rFonts w:hint="eastAsia" w:cs="Times New Roman"/>
                <w:bCs/>
                <w:color w:val="auto"/>
                <w:sz w:val="24"/>
                <w:u w:val="single"/>
                <w:lang w:val="en-US" w:eastAsia="zh-CN"/>
              </w:rPr>
              <w:t>02</w:t>
            </w:r>
            <w:r>
              <w:rPr>
                <w:rFonts w:hint="eastAsia" w:ascii="Times New Roman" w:hAnsi="Times New Roman" w:eastAsia="宋体" w:cs="Times New Roman"/>
                <w:bCs/>
                <w:color w:val="auto"/>
                <w:sz w:val="24"/>
                <w:u w:val="single"/>
                <w:lang w:val="en-US" w:eastAsia="zh-CN"/>
              </w:rPr>
              <w:t>0m</w:t>
            </w:r>
            <w:r>
              <w:rPr>
                <w:rFonts w:hint="eastAsia" w:ascii="Times New Roman" w:hAnsi="Times New Roman" w:eastAsia="宋体" w:cs="Times New Roman"/>
                <w:bCs/>
                <w:color w:val="auto"/>
                <w:sz w:val="24"/>
                <w:u w:val="single"/>
                <w:vertAlign w:val="superscript"/>
                <w:lang w:val="en-US" w:eastAsia="zh-CN"/>
              </w:rPr>
              <w:t>3</w:t>
            </w:r>
            <w:r>
              <w:rPr>
                <w:rFonts w:hint="eastAsia" w:ascii="Times New Roman" w:hAnsi="Times New Roman" w:eastAsia="宋体" w:cs="Times New Roman"/>
                <w:bCs/>
                <w:color w:val="auto"/>
                <w:sz w:val="24"/>
                <w:u w:val="single"/>
                <w:lang w:val="en-US" w:eastAsia="zh-CN"/>
              </w:rPr>
              <w:t>/a，</w:t>
            </w:r>
            <w:r>
              <w:rPr>
                <w:color w:val="auto"/>
                <w:spacing w:val="-2"/>
                <w:u w:val="single"/>
              </w:rPr>
              <w:t>废</w:t>
            </w:r>
            <w:r>
              <w:rPr>
                <w:rFonts w:hint="eastAsia" w:ascii="Times New Roman" w:hAnsi="Times New Roman" w:eastAsia="宋体" w:cs="Times New Roman"/>
                <w:bCs/>
                <w:color w:val="auto"/>
                <w:sz w:val="24"/>
                <w:u w:val="single"/>
                <w:lang w:val="en-US" w:eastAsia="zh-CN"/>
              </w:rPr>
              <w:t>水中以钙</w:t>
            </w:r>
            <w:r>
              <w:rPr>
                <w:rFonts w:hint="eastAsia" w:cs="Times New Roman"/>
                <w:bCs/>
                <w:color w:val="auto"/>
                <w:u w:val="single"/>
                <w:lang w:val="en-US" w:eastAsia="zh-CN"/>
              </w:rPr>
              <w:t>、</w:t>
            </w:r>
            <w:r>
              <w:rPr>
                <w:rFonts w:hint="eastAsia" w:ascii="Times New Roman" w:hAnsi="Times New Roman" w:eastAsia="宋体" w:cs="Times New Roman"/>
                <w:bCs/>
                <w:color w:val="auto"/>
                <w:sz w:val="24"/>
                <w:u w:val="single"/>
                <w:lang w:val="en-US" w:eastAsia="zh-CN"/>
              </w:rPr>
              <w:t>镁离子为主，并伴有少量悬浮物</w:t>
            </w:r>
            <w:r>
              <w:rPr>
                <w:rFonts w:hint="eastAsia" w:cs="Times New Roman"/>
                <w:color w:val="auto"/>
                <w:sz w:val="24"/>
                <w:u w:val="single"/>
                <w:lang w:val="en-US" w:eastAsia="zh-CN"/>
              </w:rPr>
              <w:t>，</w:t>
            </w:r>
            <w:r>
              <w:rPr>
                <w:rFonts w:hint="eastAsia" w:ascii="Times New Roman" w:hAnsi="Times New Roman" w:eastAsia="宋体" w:cs="Times New Roman"/>
                <w:bCs/>
                <w:color w:val="auto"/>
                <w:sz w:val="24"/>
                <w:u w:val="single"/>
                <w:lang w:val="en-US" w:eastAsia="zh-CN"/>
              </w:rPr>
              <w:t>SS浓度约为300mg/L，</w:t>
            </w:r>
            <w:r>
              <w:rPr>
                <w:rFonts w:hint="eastAsia"/>
                <w:color w:val="auto"/>
                <w:sz w:val="24"/>
                <w:szCs w:val="24"/>
                <w:u w:val="single"/>
                <w:lang w:val="en-US" w:eastAsia="zh-CN"/>
              </w:rPr>
              <w:t>经三级沉淀池处理后</w:t>
            </w:r>
            <w:r>
              <w:rPr>
                <w:rFonts w:hint="eastAsia" w:ascii="Times New Roman" w:hAnsi="宋体" w:eastAsia="宋体" w:cs="Times New Roman"/>
                <w:color w:val="auto"/>
                <w:szCs w:val="21"/>
                <w:u w:val="single"/>
                <w:lang w:val="en-US" w:eastAsia="zh-CN"/>
              </w:rPr>
              <w:t>经市政管网排放至龙潭镇污水处理厂</w:t>
            </w:r>
            <w:r>
              <w:rPr>
                <w:rFonts w:hint="eastAsia" w:cs="Times New Roman"/>
                <w:bCs/>
                <w:color w:val="auto"/>
                <w:sz w:val="24"/>
                <w:u w:val="single"/>
                <w:lang w:val="en-US" w:eastAsia="zh-CN"/>
              </w:rPr>
              <w:t>；</w:t>
            </w:r>
            <w:r>
              <w:rPr>
                <w:rFonts w:hint="default" w:ascii="Times New Roman" w:hAnsi="Times New Roman" w:eastAsia="宋体" w:cs="Times New Roman"/>
                <w:color w:val="auto"/>
                <w:sz w:val="24"/>
                <w:szCs w:val="24"/>
                <w:highlight w:val="none"/>
                <w:u w:val="single"/>
                <w:lang w:eastAsia="zh-CN"/>
              </w:rPr>
              <w:t>项目</w:t>
            </w:r>
            <w:r>
              <w:rPr>
                <w:rFonts w:hint="eastAsia" w:cs="Times New Roman"/>
                <w:color w:val="auto"/>
                <w:sz w:val="24"/>
                <w:szCs w:val="24"/>
                <w:highlight w:val="none"/>
                <w:u w:val="single"/>
                <w:lang w:val="en-US" w:eastAsia="zh-CN"/>
              </w:rPr>
              <w:t>原材料</w:t>
            </w:r>
            <w:r>
              <w:rPr>
                <w:rFonts w:hint="eastAsia" w:cs="Times New Roman"/>
                <w:color w:val="auto"/>
                <w:u w:val="single"/>
                <w:lang w:val="en-US" w:eastAsia="zh-CN"/>
              </w:rPr>
              <w:t>清洗废水、地面清洁废水排放量共约481.27</w:t>
            </w:r>
            <w:r>
              <w:rPr>
                <w:rFonts w:hint="eastAsia"/>
                <w:color w:val="auto"/>
                <w:sz w:val="24"/>
                <w:szCs w:val="24"/>
                <w:u w:val="single"/>
              </w:rPr>
              <w:t>m</w:t>
            </w:r>
            <w:r>
              <w:rPr>
                <w:rFonts w:hint="eastAsia"/>
                <w:color w:val="auto"/>
                <w:sz w:val="24"/>
                <w:szCs w:val="24"/>
                <w:u w:val="single"/>
                <w:vertAlign w:val="superscript"/>
              </w:rPr>
              <w:t>3</w:t>
            </w:r>
            <w:r>
              <w:rPr>
                <w:rFonts w:hint="eastAsia"/>
                <w:color w:val="auto"/>
                <w:sz w:val="24"/>
                <w:szCs w:val="24"/>
                <w:u w:val="single"/>
              </w:rPr>
              <w:t>/</w:t>
            </w:r>
            <w:r>
              <w:rPr>
                <w:rFonts w:hint="eastAsia"/>
                <w:color w:val="auto"/>
                <w:sz w:val="24"/>
                <w:szCs w:val="24"/>
                <w:u w:val="single"/>
                <w:lang w:val="en-US" w:eastAsia="zh-CN"/>
              </w:rPr>
              <w:t>a</w:t>
            </w:r>
            <w:r>
              <w:rPr>
                <w:rFonts w:hint="eastAsia"/>
                <w:color w:val="auto"/>
                <w:sz w:val="24"/>
                <w:szCs w:val="24"/>
                <w:u w:val="single"/>
                <w:lang w:eastAsia="zh-CN"/>
              </w:rPr>
              <w:t>（</w:t>
            </w:r>
            <w:r>
              <w:rPr>
                <w:rFonts w:hint="eastAsia"/>
                <w:color w:val="auto"/>
                <w:sz w:val="24"/>
                <w:szCs w:val="24"/>
                <w:u w:val="single"/>
                <w:lang w:val="en-US" w:eastAsia="zh-CN"/>
              </w:rPr>
              <w:t>8.022</w:t>
            </w:r>
            <w:r>
              <w:rPr>
                <w:rFonts w:hint="eastAsia"/>
                <w:color w:val="auto"/>
                <w:sz w:val="24"/>
                <w:szCs w:val="24"/>
                <w:u w:val="single"/>
              </w:rPr>
              <w:t>m</w:t>
            </w:r>
            <w:r>
              <w:rPr>
                <w:rFonts w:hint="eastAsia"/>
                <w:color w:val="auto"/>
                <w:sz w:val="24"/>
                <w:szCs w:val="24"/>
                <w:u w:val="single"/>
                <w:vertAlign w:val="superscript"/>
              </w:rPr>
              <w:t>3</w:t>
            </w:r>
            <w:r>
              <w:rPr>
                <w:rFonts w:hint="eastAsia"/>
                <w:color w:val="auto"/>
                <w:sz w:val="24"/>
                <w:szCs w:val="24"/>
                <w:u w:val="single"/>
              </w:rPr>
              <w:t>/</w:t>
            </w:r>
            <w:r>
              <w:rPr>
                <w:rFonts w:hint="eastAsia"/>
                <w:color w:val="auto"/>
                <w:sz w:val="24"/>
                <w:szCs w:val="24"/>
                <w:u w:val="single"/>
                <w:lang w:val="en-US" w:eastAsia="zh-CN"/>
              </w:rPr>
              <w:t>d</w:t>
            </w:r>
            <w:r>
              <w:rPr>
                <w:rFonts w:hint="eastAsia"/>
                <w:color w:val="auto"/>
                <w:sz w:val="24"/>
                <w:szCs w:val="24"/>
                <w:u w:val="single"/>
                <w:lang w:eastAsia="zh-CN"/>
              </w:rPr>
              <w:t>），</w:t>
            </w:r>
            <w:r>
              <w:rPr>
                <w:rFonts w:hint="eastAsia"/>
                <w:color w:val="auto"/>
                <w:sz w:val="24"/>
                <w:szCs w:val="24"/>
                <w:u w:val="single"/>
                <w:lang w:val="en-US" w:eastAsia="zh-CN"/>
              </w:rPr>
              <w:t>清洗过程不添加清洗剂，废水主要污染物为SS，</w:t>
            </w:r>
            <w:r>
              <w:rPr>
                <w:rFonts w:hint="eastAsia" w:ascii="Times New Roman" w:hAnsi="Times New Roman" w:eastAsia="宋体" w:cs="Times New Roman"/>
                <w:color w:val="auto"/>
                <w:sz w:val="24"/>
                <w:u w:val="single"/>
                <w:lang w:val="en-US" w:eastAsia="zh-CN"/>
              </w:rPr>
              <w:t>产生浓度约为300mg/L</w:t>
            </w:r>
            <w:r>
              <w:rPr>
                <w:rFonts w:hint="eastAsia" w:cs="Times New Roman"/>
                <w:color w:val="auto"/>
                <w:sz w:val="24"/>
                <w:u w:val="single"/>
                <w:lang w:val="en-US" w:eastAsia="zh-CN"/>
              </w:rPr>
              <w:t>，</w:t>
            </w:r>
            <w:r>
              <w:rPr>
                <w:rFonts w:hint="eastAsia"/>
                <w:color w:val="auto"/>
                <w:sz w:val="24"/>
                <w:szCs w:val="24"/>
                <w:u w:val="single"/>
                <w:lang w:val="en-US" w:eastAsia="zh-CN"/>
              </w:rPr>
              <w:t>经三级沉淀池处理后</w:t>
            </w:r>
            <w:r>
              <w:rPr>
                <w:rFonts w:hint="eastAsia" w:ascii="Times New Roman" w:hAnsi="宋体" w:eastAsia="宋体" w:cs="Times New Roman"/>
                <w:color w:val="auto"/>
                <w:szCs w:val="21"/>
                <w:u w:val="single"/>
                <w:lang w:val="en-US" w:eastAsia="zh-CN"/>
              </w:rPr>
              <w:t>经市政管网排放至龙潭镇污水处理厂。</w:t>
            </w:r>
            <w:r>
              <w:rPr>
                <w:rFonts w:hint="eastAsia" w:cs="Times New Roman"/>
                <w:color w:val="auto"/>
                <w:szCs w:val="24"/>
                <w:u w:val="none"/>
                <w:lang w:val="en-US" w:eastAsia="zh-CN"/>
              </w:rPr>
              <w:t>项目</w:t>
            </w:r>
            <w:r>
              <w:rPr>
                <w:rFonts w:hint="default" w:ascii="Times New Roman" w:hAnsi="Times New Roman" w:cs="Times New Roman"/>
                <w:color w:val="auto"/>
                <w:szCs w:val="24"/>
                <w:u w:val="none"/>
              </w:rPr>
              <w:t>废水产生情况见下表</w:t>
            </w:r>
            <w:r>
              <w:rPr>
                <w:rFonts w:hint="eastAsia" w:cs="Times New Roman"/>
                <w:color w:val="auto"/>
                <w:szCs w:val="24"/>
                <w:u w:val="none"/>
                <w:lang w:eastAsia="zh-CN"/>
              </w:rPr>
              <w:t>。</w:t>
            </w:r>
          </w:p>
          <w:p w14:paraId="7CD2A8C8">
            <w:pPr>
              <w:pStyle w:val="30"/>
              <w:keepNext w:val="0"/>
              <w:keepLines w:val="0"/>
              <w:pageBreakBefore w:val="0"/>
              <w:widowControl w:val="0"/>
              <w:kinsoku/>
              <w:wordWrap/>
              <w:overflowPunct/>
              <w:topLinePunct w:val="0"/>
              <w:autoSpaceDE/>
              <w:autoSpaceDN/>
              <w:bidi w:val="0"/>
              <w:adjustRightInd/>
              <w:snapToGrid/>
              <w:spacing w:before="0" w:after="0" w:line="240" w:lineRule="auto"/>
              <w:ind w:right="113" w:firstLine="211"/>
              <w:jc w:val="center"/>
              <w:textAlignment w:val="auto"/>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highlight w:val="none"/>
                <w:u w:val="none"/>
              </w:rPr>
              <w:t>表4-1</w:t>
            </w:r>
            <w:r>
              <w:rPr>
                <w:rFonts w:hint="eastAsia" w:ascii="Times New Roman" w:hAnsi="Times New Roman" w:cs="Times New Roman"/>
                <w:b/>
                <w:bCs/>
                <w:color w:val="auto"/>
                <w:sz w:val="24"/>
                <w:szCs w:val="24"/>
                <w:highlight w:val="none"/>
                <w:u w:val="none"/>
                <w:lang w:val="en-US" w:eastAsia="zh-CN"/>
              </w:rPr>
              <w:t xml:space="preserve"> </w:t>
            </w:r>
            <w:r>
              <w:rPr>
                <w:rFonts w:hint="eastAsia" w:cs="Times New Roman"/>
                <w:b/>
                <w:bCs/>
                <w:color w:val="auto"/>
                <w:sz w:val="24"/>
                <w:szCs w:val="24"/>
                <w:highlight w:val="none"/>
                <w:u w:val="none"/>
                <w:lang w:val="en-US" w:eastAsia="zh-CN"/>
              </w:rPr>
              <w:t xml:space="preserve"> </w:t>
            </w:r>
            <w:r>
              <w:rPr>
                <w:rFonts w:hint="eastAsia" w:ascii="Times New Roman" w:hAnsi="Times New Roman" w:cs="Times New Roman"/>
                <w:b/>
                <w:bCs/>
                <w:color w:val="auto"/>
                <w:sz w:val="24"/>
                <w:szCs w:val="24"/>
                <w:highlight w:val="none"/>
                <w:u w:val="none"/>
                <w:lang w:val="en-US" w:eastAsia="zh-CN"/>
              </w:rPr>
              <w:t xml:space="preserve"> </w:t>
            </w:r>
            <w:r>
              <w:rPr>
                <w:rFonts w:hint="default" w:ascii="Times New Roman" w:hAnsi="Times New Roman" w:cs="Times New Roman"/>
                <w:b/>
                <w:bCs/>
                <w:color w:val="auto"/>
                <w:sz w:val="24"/>
                <w:szCs w:val="24"/>
                <w:highlight w:val="none"/>
                <w:u w:val="none"/>
              </w:rPr>
              <w:t>污水产</w:t>
            </w:r>
            <w:r>
              <w:rPr>
                <w:rFonts w:hint="eastAsia" w:ascii="Times New Roman" w:hAnsi="Times New Roman" w:cs="Times New Roman"/>
                <w:b/>
                <w:bCs/>
                <w:color w:val="auto"/>
                <w:sz w:val="24"/>
                <w:szCs w:val="24"/>
                <w:highlight w:val="none"/>
                <w:u w:val="none"/>
                <w:lang w:eastAsia="zh-CN"/>
              </w:rPr>
              <w:t>排污</w:t>
            </w:r>
            <w:r>
              <w:rPr>
                <w:rFonts w:hint="default" w:ascii="Times New Roman" w:hAnsi="Times New Roman" w:cs="Times New Roman"/>
                <w:b/>
                <w:bCs/>
                <w:color w:val="auto"/>
                <w:sz w:val="24"/>
                <w:szCs w:val="24"/>
                <w:highlight w:val="none"/>
                <w:u w:val="none"/>
              </w:rPr>
              <w:t>情况一</w:t>
            </w:r>
            <w:r>
              <w:rPr>
                <w:rFonts w:hint="default" w:ascii="Times New Roman" w:hAnsi="Times New Roman" w:cs="Times New Roman"/>
                <w:b/>
                <w:bCs/>
                <w:color w:val="auto"/>
                <w:sz w:val="24"/>
                <w:szCs w:val="24"/>
                <w:u w:val="none"/>
              </w:rPr>
              <w:t>览表</w:t>
            </w:r>
          </w:p>
          <w:tbl>
            <w:tblPr>
              <w:tblStyle w:val="32"/>
              <w:tblW w:w="77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47"/>
              <w:gridCol w:w="720"/>
              <w:gridCol w:w="807"/>
              <w:gridCol w:w="768"/>
              <w:gridCol w:w="991"/>
              <w:gridCol w:w="750"/>
              <w:gridCol w:w="1588"/>
              <w:gridCol w:w="1006"/>
            </w:tblGrid>
            <w:tr w14:paraId="3C353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restart"/>
                  <w:tcBorders>
                    <w:tl2br w:val="nil"/>
                    <w:tr2bl w:val="nil"/>
                  </w:tcBorders>
                  <w:vAlign w:val="center"/>
                </w:tcPr>
                <w:p w14:paraId="239A59A5">
                  <w:pPr>
                    <w:widowControl/>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kern w:val="0"/>
                      <w:sz w:val="21"/>
                      <w:szCs w:val="21"/>
                      <w:u w:val="none"/>
                    </w:rPr>
                    <w:t>废水种类</w:t>
                  </w:r>
                </w:p>
              </w:tc>
              <w:tc>
                <w:tcPr>
                  <w:tcW w:w="462" w:type="pct"/>
                  <w:vMerge w:val="restart"/>
                  <w:tcBorders>
                    <w:tl2br w:val="nil"/>
                    <w:tr2bl w:val="nil"/>
                  </w:tcBorders>
                  <w:vAlign w:val="center"/>
                </w:tcPr>
                <w:p w14:paraId="253585DC">
                  <w:pPr>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kern w:val="0"/>
                      <w:sz w:val="21"/>
                      <w:szCs w:val="21"/>
                      <w:u w:val="none"/>
                    </w:rPr>
                    <w:t>污染因子</w:t>
                  </w:r>
                </w:p>
              </w:tc>
              <w:tc>
                <w:tcPr>
                  <w:tcW w:w="518" w:type="pct"/>
                  <w:vMerge w:val="restart"/>
                  <w:tcBorders>
                    <w:tl2br w:val="nil"/>
                    <w:tr2bl w:val="nil"/>
                  </w:tcBorders>
                  <w:vAlign w:val="center"/>
                </w:tcPr>
                <w:p w14:paraId="4B84A82A">
                  <w:pPr>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kern w:val="0"/>
                      <w:sz w:val="21"/>
                      <w:szCs w:val="21"/>
                      <w:u w:val="none"/>
                    </w:rPr>
                    <w:t>产生浓度mg/L</w:t>
                  </w:r>
                </w:p>
              </w:tc>
              <w:tc>
                <w:tcPr>
                  <w:tcW w:w="493" w:type="pct"/>
                  <w:vMerge w:val="restart"/>
                  <w:tcBorders>
                    <w:tl2br w:val="nil"/>
                    <w:tr2bl w:val="nil"/>
                  </w:tcBorders>
                  <w:vAlign w:val="center"/>
                </w:tcPr>
                <w:p w14:paraId="36621FBB">
                  <w:pPr>
                    <w:widowControl/>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kern w:val="0"/>
                      <w:sz w:val="21"/>
                      <w:szCs w:val="21"/>
                      <w:u w:val="none"/>
                    </w:rPr>
                    <w:t>产生量t/a</w:t>
                  </w:r>
                </w:p>
              </w:tc>
              <w:tc>
                <w:tcPr>
                  <w:tcW w:w="637" w:type="pct"/>
                  <w:vMerge w:val="restart"/>
                  <w:tcBorders>
                    <w:tl2br w:val="nil"/>
                    <w:tr2bl w:val="nil"/>
                  </w:tcBorders>
                  <w:vAlign w:val="center"/>
                </w:tcPr>
                <w:p w14:paraId="0B204211">
                  <w:pPr>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治理措施</w:t>
                  </w:r>
                </w:p>
              </w:tc>
              <w:tc>
                <w:tcPr>
                  <w:tcW w:w="482" w:type="pct"/>
                  <w:vMerge w:val="restart"/>
                  <w:tcBorders>
                    <w:tl2br w:val="nil"/>
                    <w:tr2bl w:val="nil"/>
                  </w:tcBorders>
                  <w:vAlign w:val="center"/>
                </w:tcPr>
                <w:p w14:paraId="13E11AF3">
                  <w:pPr>
                    <w:widowControl/>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kern w:val="0"/>
                      <w:sz w:val="21"/>
                      <w:szCs w:val="21"/>
                      <w:u w:val="none"/>
                    </w:rPr>
                    <w:t>排放去向</w:t>
                  </w:r>
                </w:p>
              </w:tc>
              <w:tc>
                <w:tcPr>
                  <w:tcW w:w="1667" w:type="pct"/>
                  <w:gridSpan w:val="2"/>
                  <w:tcBorders>
                    <w:tl2br w:val="nil"/>
                    <w:tr2bl w:val="nil"/>
                  </w:tcBorders>
                  <w:vAlign w:val="center"/>
                </w:tcPr>
                <w:p w14:paraId="72423C23">
                  <w:pPr>
                    <w:widowControl/>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kern w:val="0"/>
                      <w:sz w:val="21"/>
                      <w:szCs w:val="21"/>
                      <w:u w:val="none"/>
                      <w:lang w:eastAsia="zh-CN"/>
                    </w:rPr>
                    <w:t>龙潭镇污水处理厂排放情况</w:t>
                  </w:r>
                </w:p>
              </w:tc>
            </w:tr>
            <w:tr w14:paraId="2DE61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continue"/>
                  <w:tcBorders>
                    <w:tl2br w:val="nil"/>
                    <w:tr2bl w:val="nil"/>
                  </w:tcBorders>
                  <w:vAlign w:val="center"/>
                </w:tcPr>
                <w:p w14:paraId="44940B5B">
                  <w:pPr>
                    <w:widowControl/>
                    <w:jc w:val="center"/>
                    <w:rPr>
                      <w:rFonts w:hint="default" w:ascii="Times New Roman" w:hAnsi="Times New Roman" w:cs="Times New Roman" w:eastAsiaTheme="minorEastAsia"/>
                      <w:color w:val="auto"/>
                      <w:sz w:val="21"/>
                      <w:szCs w:val="21"/>
                      <w:u w:val="none"/>
                    </w:rPr>
                  </w:pPr>
                </w:p>
              </w:tc>
              <w:tc>
                <w:tcPr>
                  <w:tcW w:w="462" w:type="pct"/>
                  <w:vMerge w:val="continue"/>
                  <w:tcBorders>
                    <w:tl2br w:val="nil"/>
                    <w:tr2bl w:val="nil"/>
                  </w:tcBorders>
                  <w:vAlign w:val="center"/>
                </w:tcPr>
                <w:p w14:paraId="619692BB">
                  <w:pPr>
                    <w:widowControl/>
                    <w:jc w:val="center"/>
                    <w:rPr>
                      <w:rFonts w:hint="default" w:ascii="Times New Roman" w:hAnsi="Times New Roman" w:cs="Times New Roman" w:eastAsiaTheme="minorEastAsia"/>
                      <w:color w:val="auto"/>
                      <w:sz w:val="21"/>
                      <w:szCs w:val="21"/>
                      <w:u w:val="none"/>
                    </w:rPr>
                  </w:pPr>
                </w:p>
              </w:tc>
              <w:tc>
                <w:tcPr>
                  <w:tcW w:w="518" w:type="pct"/>
                  <w:vMerge w:val="continue"/>
                  <w:tcBorders>
                    <w:tl2br w:val="nil"/>
                    <w:tr2bl w:val="nil"/>
                  </w:tcBorders>
                  <w:vAlign w:val="center"/>
                </w:tcPr>
                <w:p w14:paraId="727A59D7">
                  <w:pPr>
                    <w:widowControl/>
                    <w:jc w:val="center"/>
                    <w:rPr>
                      <w:rFonts w:hint="default" w:ascii="Times New Roman" w:hAnsi="Times New Roman" w:cs="Times New Roman" w:eastAsiaTheme="minorEastAsia"/>
                      <w:color w:val="auto"/>
                      <w:sz w:val="21"/>
                      <w:szCs w:val="21"/>
                      <w:u w:val="none"/>
                    </w:rPr>
                  </w:pPr>
                </w:p>
              </w:tc>
              <w:tc>
                <w:tcPr>
                  <w:tcW w:w="493" w:type="pct"/>
                  <w:vMerge w:val="continue"/>
                  <w:tcBorders>
                    <w:tl2br w:val="nil"/>
                    <w:tr2bl w:val="nil"/>
                  </w:tcBorders>
                  <w:vAlign w:val="center"/>
                </w:tcPr>
                <w:p w14:paraId="6861DB22">
                  <w:pPr>
                    <w:widowControl/>
                    <w:jc w:val="center"/>
                    <w:rPr>
                      <w:rFonts w:hint="default" w:ascii="Times New Roman" w:hAnsi="Times New Roman" w:cs="Times New Roman" w:eastAsiaTheme="minorEastAsia"/>
                      <w:color w:val="auto"/>
                      <w:sz w:val="21"/>
                      <w:szCs w:val="21"/>
                      <w:u w:val="none"/>
                    </w:rPr>
                  </w:pPr>
                </w:p>
              </w:tc>
              <w:tc>
                <w:tcPr>
                  <w:tcW w:w="637" w:type="pct"/>
                  <w:vMerge w:val="continue"/>
                  <w:tcBorders>
                    <w:tl2br w:val="nil"/>
                    <w:tr2bl w:val="nil"/>
                  </w:tcBorders>
                  <w:vAlign w:val="center"/>
                </w:tcPr>
                <w:p w14:paraId="463D616F">
                  <w:pPr>
                    <w:widowControl/>
                    <w:jc w:val="center"/>
                    <w:rPr>
                      <w:rFonts w:hint="default" w:ascii="Times New Roman" w:hAnsi="Times New Roman" w:cs="Times New Roman" w:eastAsiaTheme="minorEastAsia"/>
                      <w:color w:val="auto"/>
                      <w:sz w:val="21"/>
                      <w:szCs w:val="21"/>
                      <w:u w:val="none"/>
                    </w:rPr>
                  </w:pPr>
                </w:p>
              </w:tc>
              <w:tc>
                <w:tcPr>
                  <w:tcW w:w="482" w:type="pct"/>
                  <w:vMerge w:val="continue"/>
                  <w:tcBorders>
                    <w:tl2br w:val="nil"/>
                    <w:tr2bl w:val="nil"/>
                  </w:tcBorders>
                  <w:vAlign w:val="center"/>
                </w:tcPr>
                <w:p w14:paraId="049EFEA0">
                  <w:pPr>
                    <w:widowControl/>
                    <w:jc w:val="center"/>
                    <w:rPr>
                      <w:rFonts w:hint="default" w:ascii="Times New Roman" w:hAnsi="Times New Roman" w:cs="Times New Roman" w:eastAsiaTheme="minorEastAsia"/>
                      <w:color w:val="auto"/>
                      <w:kern w:val="0"/>
                      <w:sz w:val="21"/>
                      <w:szCs w:val="21"/>
                      <w:u w:val="none"/>
                    </w:rPr>
                  </w:pPr>
                </w:p>
              </w:tc>
              <w:tc>
                <w:tcPr>
                  <w:tcW w:w="1020" w:type="pct"/>
                  <w:tcBorders>
                    <w:tl2br w:val="nil"/>
                    <w:tr2bl w:val="nil"/>
                  </w:tcBorders>
                  <w:vAlign w:val="center"/>
                </w:tcPr>
                <w:p w14:paraId="09F1CABF">
                  <w:pPr>
                    <w:jc w:val="center"/>
                    <w:rPr>
                      <w:rFonts w:hint="default" w:ascii="Times New Roman" w:hAnsi="Times New Roman" w:cs="Times New Roman" w:eastAsiaTheme="minorEastAsia"/>
                      <w:color w:val="auto"/>
                      <w:kern w:val="0"/>
                      <w:sz w:val="21"/>
                      <w:szCs w:val="21"/>
                      <w:u w:val="none"/>
                      <w:lang w:val="en-US" w:eastAsia="zh-CN" w:bidi="ar-SA"/>
                    </w:rPr>
                  </w:pPr>
                  <w:r>
                    <w:rPr>
                      <w:rFonts w:hint="default" w:ascii="Times New Roman" w:hAnsi="Times New Roman" w:cs="Times New Roman" w:eastAsiaTheme="minorEastAsia"/>
                      <w:color w:val="auto"/>
                      <w:kern w:val="0"/>
                      <w:sz w:val="21"/>
                      <w:szCs w:val="21"/>
                      <w:u w:val="none"/>
                    </w:rPr>
                    <w:t>排放浓度mg/L</w:t>
                  </w:r>
                </w:p>
              </w:tc>
              <w:tc>
                <w:tcPr>
                  <w:tcW w:w="646" w:type="pct"/>
                  <w:tcBorders>
                    <w:tl2br w:val="nil"/>
                    <w:tr2bl w:val="nil"/>
                  </w:tcBorders>
                  <w:vAlign w:val="center"/>
                </w:tcPr>
                <w:p w14:paraId="1FF4DB2C">
                  <w:pPr>
                    <w:widowControl/>
                    <w:jc w:val="center"/>
                    <w:rPr>
                      <w:rFonts w:hint="default" w:ascii="Times New Roman" w:hAnsi="Times New Roman" w:cs="Times New Roman" w:eastAsiaTheme="minorEastAsia"/>
                      <w:color w:val="auto"/>
                      <w:kern w:val="0"/>
                      <w:sz w:val="21"/>
                      <w:szCs w:val="21"/>
                      <w:u w:val="none"/>
                      <w:lang w:val="en-US" w:eastAsia="zh-CN" w:bidi="ar-SA"/>
                    </w:rPr>
                  </w:pPr>
                  <w:r>
                    <w:rPr>
                      <w:rFonts w:hint="default" w:ascii="Times New Roman" w:hAnsi="Times New Roman" w:cs="Times New Roman" w:eastAsiaTheme="minorEastAsia"/>
                      <w:color w:val="auto"/>
                      <w:kern w:val="0"/>
                      <w:sz w:val="21"/>
                      <w:szCs w:val="21"/>
                      <w:u w:val="none"/>
                    </w:rPr>
                    <w:t>排放量t/a</w:t>
                  </w:r>
                </w:p>
              </w:tc>
            </w:tr>
            <w:tr w14:paraId="06D85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restart"/>
                  <w:tcBorders>
                    <w:tl2br w:val="nil"/>
                    <w:tr2bl w:val="nil"/>
                  </w:tcBorders>
                  <w:vAlign w:val="center"/>
                </w:tcPr>
                <w:p w14:paraId="11119EAF">
                  <w:pPr>
                    <w:widowControl/>
                    <w:jc w:val="center"/>
                    <w:rPr>
                      <w:rFonts w:hint="default" w:ascii="Times New Roman" w:hAnsi="Times New Roman" w:cs="Times New Roman" w:eastAsiaTheme="minorEastAsia"/>
                      <w:color w:val="auto"/>
                      <w:kern w:val="0"/>
                      <w:sz w:val="21"/>
                      <w:szCs w:val="21"/>
                      <w:u w:val="none"/>
                    </w:rPr>
                  </w:pPr>
                  <w:r>
                    <w:rPr>
                      <w:rFonts w:hint="eastAsia" w:cs="Times New Roman" w:eastAsiaTheme="minorEastAsia"/>
                      <w:color w:val="auto"/>
                      <w:kern w:val="0"/>
                      <w:sz w:val="21"/>
                      <w:szCs w:val="21"/>
                      <w:u w:val="none"/>
                      <w:lang w:val="en-US" w:eastAsia="zh-CN"/>
                    </w:rPr>
                    <w:t>综合污水</w:t>
                  </w:r>
                  <w:r>
                    <w:rPr>
                      <w:rFonts w:hint="eastAsia" w:cs="Times New Roman"/>
                      <w:color w:val="auto"/>
                      <w:sz w:val="21"/>
                      <w:szCs w:val="21"/>
                      <w:highlight w:val="none"/>
                      <w:u w:val="none"/>
                      <w:lang w:val="en-US" w:eastAsia="zh-CN"/>
                    </w:rPr>
                    <w:t>1628.77</w:t>
                  </w:r>
                  <w:r>
                    <w:rPr>
                      <w:rFonts w:hint="default" w:ascii="Times New Roman" w:hAnsi="Times New Roman" w:cs="Times New Roman" w:eastAsiaTheme="minorEastAsia"/>
                      <w:color w:val="auto"/>
                      <w:kern w:val="0"/>
                      <w:sz w:val="21"/>
                      <w:szCs w:val="21"/>
                      <w:u w:val="none"/>
                    </w:rPr>
                    <w:t>m</w:t>
                  </w:r>
                  <w:r>
                    <w:rPr>
                      <w:rFonts w:hint="default" w:ascii="Times New Roman" w:hAnsi="Times New Roman" w:cs="Times New Roman" w:eastAsiaTheme="minorEastAsia"/>
                      <w:color w:val="auto"/>
                      <w:kern w:val="0"/>
                      <w:sz w:val="21"/>
                      <w:szCs w:val="21"/>
                      <w:u w:val="none"/>
                      <w:vertAlign w:val="superscript"/>
                    </w:rPr>
                    <w:t>3</w:t>
                  </w:r>
                  <w:r>
                    <w:rPr>
                      <w:rFonts w:hint="default" w:ascii="Times New Roman" w:hAnsi="Times New Roman" w:cs="Times New Roman" w:eastAsiaTheme="minorEastAsia"/>
                      <w:color w:val="auto"/>
                      <w:kern w:val="0"/>
                      <w:sz w:val="21"/>
                      <w:szCs w:val="21"/>
                      <w:u w:val="none"/>
                    </w:rPr>
                    <w:t>/a</w:t>
                  </w:r>
                </w:p>
              </w:tc>
              <w:tc>
                <w:tcPr>
                  <w:tcW w:w="462" w:type="pct"/>
                  <w:tcBorders>
                    <w:tl2br w:val="nil"/>
                    <w:tr2bl w:val="nil"/>
                  </w:tcBorders>
                  <w:vAlign w:val="center"/>
                </w:tcPr>
                <w:p w14:paraId="5B201D92">
                  <w:pPr>
                    <w:widowControl/>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COD</w:t>
                  </w:r>
                </w:p>
              </w:tc>
              <w:tc>
                <w:tcPr>
                  <w:tcW w:w="518" w:type="pct"/>
                  <w:tcBorders>
                    <w:tl2br w:val="nil"/>
                    <w:tr2bl w:val="nil"/>
                  </w:tcBorders>
                  <w:vAlign w:val="center"/>
                </w:tcPr>
                <w:p w14:paraId="7C0A961C">
                  <w:pPr>
                    <w:autoSpaceDN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250</w:t>
                  </w:r>
                </w:p>
              </w:tc>
              <w:tc>
                <w:tcPr>
                  <w:tcW w:w="493" w:type="pct"/>
                  <w:tcBorders>
                    <w:tl2br w:val="nil"/>
                    <w:tr2bl w:val="nil"/>
                  </w:tcBorders>
                  <w:vAlign w:val="center"/>
                </w:tcPr>
                <w:p w14:paraId="7C8C7C5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0.407</w:t>
                  </w:r>
                </w:p>
              </w:tc>
              <w:tc>
                <w:tcPr>
                  <w:tcW w:w="637" w:type="pct"/>
                  <w:vMerge w:val="restart"/>
                  <w:tcBorders>
                    <w:tl2br w:val="nil"/>
                    <w:tr2bl w:val="nil"/>
                  </w:tcBorders>
                  <w:vAlign w:val="center"/>
                </w:tcPr>
                <w:p w14:paraId="73BD7AED">
                  <w:pPr>
                    <w:widowControl/>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eastAsia="zh-CN"/>
                    </w:rPr>
                    <w:t>生活污水经化粪池处理</w:t>
                  </w:r>
                  <w:r>
                    <w:rPr>
                      <w:rFonts w:hint="eastAsia" w:cs="Times New Roman" w:eastAsiaTheme="minorEastAsia"/>
                      <w:color w:val="auto"/>
                      <w:sz w:val="21"/>
                      <w:szCs w:val="21"/>
                      <w:u w:val="none"/>
                      <w:lang w:eastAsia="zh-CN"/>
                    </w:rPr>
                    <w:t>、</w:t>
                  </w:r>
                  <w:r>
                    <w:rPr>
                      <w:rFonts w:hint="eastAsia" w:cs="Times New Roman" w:eastAsiaTheme="minorEastAsia"/>
                      <w:color w:val="auto"/>
                      <w:sz w:val="21"/>
                      <w:szCs w:val="21"/>
                      <w:u w:val="none"/>
                      <w:lang w:val="en-US" w:eastAsia="zh-CN"/>
                    </w:rPr>
                    <w:t>生产废水经三级沉淀池处理</w:t>
                  </w:r>
                </w:p>
              </w:tc>
              <w:tc>
                <w:tcPr>
                  <w:tcW w:w="482" w:type="pct"/>
                  <w:vMerge w:val="restart"/>
                  <w:tcBorders>
                    <w:tl2br w:val="nil"/>
                    <w:tr2bl w:val="nil"/>
                  </w:tcBorders>
                  <w:vAlign w:val="center"/>
                </w:tcPr>
                <w:p w14:paraId="2D6DC97E">
                  <w:pPr>
                    <w:widowControl/>
                    <w:jc w:val="center"/>
                    <w:rPr>
                      <w:rFonts w:hint="default" w:ascii="Times New Roman" w:hAnsi="Times New Roman" w:cs="Times New Roman" w:eastAsiaTheme="minorEastAsia"/>
                      <w:color w:val="auto"/>
                      <w:kern w:val="0"/>
                      <w:sz w:val="21"/>
                      <w:szCs w:val="21"/>
                      <w:u w:val="none"/>
                    </w:rPr>
                  </w:pPr>
                  <w:r>
                    <w:rPr>
                      <w:rFonts w:hint="default" w:ascii="Times New Roman" w:hAnsi="Times New Roman" w:cs="Times New Roman" w:eastAsiaTheme="minorEastAsia"/>
                      <w:color w:val="auto"/>
                      <w:sz w:val="21"/>
                      <w:szCs w:val="21"/>
                      <w:u w:val="none"/>
                    </w:rPr>
                    <w:t>进</w:t>
                  </w:r>
                  <w:r>
                    <w:rPr>
                      <w:rFonts w:hint="default" w:ascii="Times New Roman" w:hAnsi="Times New Roman" w:cs="Times New Roman" w:eastAsiaTheme="minorEastAsia"/>
                      <w:color w:val="auto"/>
                      <w:sz w:val="21"/>
                      <w:szCs w:val="21"/>
                      <w:u w:val="none"/>
                      <w:lang w:eastAsia="zh-CN"/>
                    </w:rPr>
                    <w:t>龙潭镇</w:t>
                  </w:r>
                  <w:r>
                    <w:rPr>
                      <w:rFonts w:hint="default" w:ascii="Times New Roman" w:hAnsi="Times New Roman" w:cs="Times New Roman" w:eastAsiaTheme="minorEastAsia"/>
                      <w:color w:val="auto"/>
                      <w:sz w:val="21"/>
                      <w:szCs w:val="21"/>
                      <w:u w:val="none"/>
                    </w:rPr>
                    <w:t>污水处理厂处理</w:t>
                  </w:r>
                </w:p>
              </w:tc>
              <w:tc>
                <w:tcPr>
                  <w:tcW w:w="1020" w:type="pct"/>
                  <w:tcBorders>
                    <w:tl2br w:val="nil"/>
                    <w:tr2bl w:val="nil"/>
                  </w:tcBorders>
                  <w:vAlign w:val="center"/>
                </w:tcPr>
                <w:p w14:paraId="5D32D651">
                  <w:pPr>
                    <w:widowControl/>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50</w:t>
                  </w:r>
                </w:p>
              </w:tc>
              <w:tc>
                <w:tcPr>
                  <w:tcW w:w="646" w:type="pct"/>
                  <w:tcBorders>
                    <w:tl2br w:val="nil"/>
                    <w:tr2bl w:val="nil"/>
                  </w:tcBorders>
                  <w:vAlign w:val="center"/>
                </w:tcPr>
                <w:p w14:paraId="03E6B7D2">
                  <w:pPr>
                    <w:keepNext w:val="0"/>
                    <w:keepLines w:val="0"/>
                    <w:widowControl/>
                    <w:suppressLineNumbers w:val="0"/>
                    <w:jc w:val="center"/>
                    <w:textAlignment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0.0814</w:t>
                  </w:r>
                </w:p>
              </w:tc>
            </w:tr>
            <w:tr w14:paraId="70E9F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continue"/>
                  <w:tcBorders>
                    <w:tl2br w:val="nil"/>
                    <w:tr2bl w:val="nil"/>
                  </w:tcBorders>
                  <w:vAlign w:val="center"/>
                </w:tcPr>
                <w:p w14:paraId="5AB0C455">
                  <w:pPr>
                    <w:widowControl/>
                    <w:jc w:val="center"/>
                    <w:rPr>
                      <w:rFonts w:hint="default" w:ascii="Times New Roman" w:hAnsi="Times New Roman" w:cs="Times New Roman" w:eastAsiaTheme="minorEastAsia"/>
                      <w:color w:val="auto"/>
                      <w:kern w:val="0"/>
                      <w:sz w:val="21"/>
                      <w:szCs w:val="21"/>
                      <w:u w:val="none"/>
                    </w:rPr>
                  </w:pPr>
                </w:p>
              </w:tc>
              <w:tc>
                <w:tcPr>
                  <w:tcW w:w="462" w:type="pct"/>
                  <w:tcBorders>
                    <w:tl2br w:val="nil"/>
                    <w:tr2bl w:val="nil"/>
                  </w:tcBorders>
                  <w:vAlign w:val="center"/>
                </w:tcPr>
                <w:p w14:paraId="00BA9D0E">
                  <w:pPr>
                    <w:widowControl/>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BOD</w:t>
                  </w:r>
                  <w:r>
                    <w:rPr>
                      <w:rFonts w:hint="default" w:ascii="Times New Roman" w:hAnsi="Times New Roman" w:cs="Times New Roman" w:eastAsiaTheme="minorEastAsia"/>
                      <w:color w:val="auto"/>
                      <w:sz w:val="21"/>
                      <w:szCs w:val="21"/>
                      <w:u w:val="none"/>
                      <w:vertAlign w:val="subscript"/>
                    </w:rPr>
                    <w:t>5</w:t>
                  </w:r>
                </w:p>
              </w:tc>
              <w:tc>
                <w:tcPr>
                  <w:tcW w:w="518" w:type="pct"/>
                  <w:tcBorders>
                    <w:tl2br w:val="nil"/>
                    <w:tr2bl w:val="nil"/>
                  </w:tcBorders>
                  <w:vAlign w:val="center"/>
                </w:tcPr>
                <w:p w14:paraId="358075CE">
                  <w:pPr>
                    <w:autoSpaceDN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200</w:t>
                  </w:r>
                </w:p>
              </w:tc>
              <w:tc>
                <w:tcPr>
                  <w:tcW w:w="493" w:type="pct"/>
                  <w:tcBorders>
                    <w:tl2br w:val="nil"/>
                    <w:tr2bl w:val="nil"/>
                  </w:tcBorders>
                  <w:vAlign w:val="center"/>
                </w:tcPr>
                <w:p w14:paraId="6B414E2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0.32</w:t>
                  </w:r>
                  <w:r>
                    <w:rPr>
                      <w:rFonts w:hint="eastAsia" w:ascii="Times New Roman" w:hAnsi="Times New Roman" w:eastAsia="宋体" w:cs="Times New Roman"/>
                      <w:i w:val="0"/>
                      <w:iCs w:val="0"/>
                      <w:color w:val="auto"/>
                      <w:kern w:val="0"/>
                      <w:sz w:val="21"/>
                      <w:szCs w:val="21"/>
                      <w:u w:val="none"/>
                      <w:lang w:val="en-US" w:eastAsia="zh-CN" w:bidi="ar"/>
                    </w:rPr>
                    <w:t>6</w:t>
                  </w:r>
                </w:p>
              </w:tc>
              <w:tc>
                <w:tcPr>
                  <w:tcW w:w="637" w:type="pct"/>
                  <w:vMerge w:val="continue"/>
                  <w:tcBorders>
                    <w:tl2br w:val="nil"/>
                    <w:tr2bl w:val="nil"/>
                  </w:tcBorders>
                  <w:vAlign w:val="center"/>
                </w:tcPr>
                <w:p w14:paraId="43A0B204">
                  <w:pPr>
                    <w:widowControl/>
                    <w:jc w:val="center"/>
                    <w:rPr>
                      <w:rFonts w:hint="default" w:ascii="Times New Roman" w:hAnsi="Times New Roman" w:cs="Times New Roman" w:eastAsiaTheme="minorEastAsia"/>
                      <w:color w:val="auto"/>
                      <w:sz w:val="21"/>
                      <w:szCs w:val="21"/>
                      <w:u w:val="none"/>
                    </w:rPr>
                  </w:pPr>
                </w:p>
              </w:tc>
              <w:tc>
                <w:tcPr>
                  <w:tcW w:w="482" w:type="pct"/>
                  <w:vMerge w:val="continue"/>
                  <w:tcBorders>
                    <w:tl2br w:val="nil"/>
                    <w:tr2bl w:val="nil"/>
                  </w:tcBorders>
                  <w:vAlign w:val="center"/>
                </w:tcPr>
                <w:p w14:paraId="1B970525">
                  <w:pPr>
                    <w:widowControl/>
                    <w:jc w:val="center"/>
                    <w:rPr>
                      <w:rFonts w:hint="default" w:ascii="Times New Roman" w:hAnsi="Times New Roman" w:cs="Times New Roman" w:eastAsiaTheme="minorEastAsia"/>
                      <w:color w:val="auto"/>
                      <w:kern w:val="0"/>
                      <w:sz w:val="21"/>
                      <w:szCs w:val="21"/>
                      <w:u w:val="none"/>
                    </w:rPr>
                  </w:pPr>
                </w:p>
              </w:tc>
              <w:tc>
                <w:tcPr>
                  <w:tcW w:w="1020" w:type="pct"/>
                  <w:tcBorders>
                    <w:tl2br w:val="nil"/>
                    <w:tr2bl w:val="nil"/>
                  </w:tcBorders>
                  <w:vAlign w:val="center"/>
                </w:tcPr>
                <w:p w14:paraId="42F15C8A">
                  <w:pPr>
                    <w:widowControl/>
                    <w:jc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kern w:val="0"/>
                      <w:sz w:val="21"/>
                      <w:szCs w:val="21"/>
                      <w:u w:val="none"/>
                      <w:lang w:val="en-US" w:eastAsia="zh-CN"/>
                    </w:rPr>
                    <w:t>10</w:t>
                  </w:r>
                </w:p>
              </w:tc>
              <w:tc>
                <w:tcPr>
                  <w:tcW w:w="646" w:type="pct"/>
                  <w:tcBorders>
                    <w:tl2br w:val="nil"/>
                    <w:tr2bl w:val="nil"/>
                  </w:tcBorders>
                  <w:vAlign w:val="center"/>
                </w:tcPr>
                <w:p w14:paraId="2B57C7D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0.016</w:t>
                  </w:r>
                  <w:r>
                    <w:rPr>
                      <w:rFonts w:hint="eastAsia" w:ascii="Times New Roman" w:hAnsi="Times New Roman" w:eastAsia="宋体" w:cs="Times New Roman"/>
                      <w:i w:val="0"/>
                      <w:iCs w:val="0"/>
                      <w:color w:val="auto"/>
                      <w:kern w:val="0"/>
                      <w:sz w:val="21"/>
                      <w:szCs w:val="21"/>
                      <w:u w:val="none"/>
                      <w:lang w:val="en-US" w:eastAsia="zh-CN" w:bidi="ar"/>
                    </w:rPr>
                    <w:t>3</w:t>
                  </w:r>
                </w:p>
              </w:tc>
            </w:tr>
            <w:tr w14:paraId="34285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continue"/>
                  <w:tcBorders>
                    <w:tl2br w:val="nil"/>
                    <w:tr2bl w:val="nil"/>
                  </w:tcBorders>
                  <w:vAlign w:val="center"/>
                </w:tcPr>
                <w:p w14:paraId="2F7B1807">
                  <w:pPr>
                    <w:widowControl/>
                    <w:jc w:val="center"/>
                    <w:rPr>
                      <w:rFonts w:hint="default" w:ascii="Times New Roman" w:hAnsi="Times New Roman" w:cs="Times New Roman" w:eastAsiaTheme="minorEastAsia"/>
                      <w:color w:val="auto"/>
                      <w:kern w:val="0"/>
                      <w:sz w:val="21"/>
                      <w:szCs w:val="21"/>
                      <w:u w:val="none"/>
                    </w:rPr>
                  </w:pPr>
                </w:p>
              </w:tc>
              <w:tc>
                <w:tcPr>
                  <w:tcW w:w="462" w:type="pct"/>
                  <w:tcBorders>
                    <w:tl2br w:val="nil"/>
                    <w:tr2bl w:val="nil"/>
                  </w:tcBorders>
                  <w:vAlign w:val="center"/>
                </w:tcPr>
                <w:p w14:paraId="09568A3F">
                  <w:pPr>
                    <w:widowControl/>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SS</w:t>
                  </w:r>
                </w:p>
              </w:tc>
              <w:tc>
                <w:tcPr>
                  <w:tcW w:w="518" w:type="pct"/>
                  <w:tcBorders>
                    <w:tl2br w:val="nil"/>
                    <w:tr2bl w:val="nil"/>
                  </w:tcBorders>
                  <w:vAlign w:val="center"/>
                </w:tcPr>
                <w:p w14:paraId="24C5A407">
                  <w:pPr>
                    <w:autoSpaceDN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120</w:t>
                  </w:r>
                </w:p>
              </w:tc>
              <w:tc>
                <w:tcPr>
                  <w:tcW w:w="493" w:type="pct"/>
                  <w:tcBorders>
                    <w:tl2br w:val="nil"/>
                    <w:tr2bl w:val="nil"/>
                  </w:tcBorders>
                  <w:vAlign w:val="center"/>
                </w:tcPr>
                <w:p w14:paraId="3D109D5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0.195</w:t>
                  </w:r>
                </w:p>
              </w:tc>
              <w:tc>
                <w:tcPr>
                  <w:tcW w:w="637" w:type="pct"/>
                  <w:vMerge w:val="continue"/>
                  <w:tcBorders>
                    <w:tl2br w:val="nil"/>
                    <w:tr2bl w:val="nil"/>
                  </w:tcBorders>
                  <w:vAlign w:val="center"/>
                </w:tcPr>
                <w:p w14:paraId="13BA7554">
                  <w:pPr>
                    <w:widowControl/>
                    <w:jc w:val="center"/>
                    <w:rPr>
                      <w:rFonts w:hint="default" w:ascii="Times New Roman" w:hAnsi="Times New Roman" w:cs="Times New Roman" w:eastAsiaTheme="minorEastAsia"/>
                      <w:color w:val="auto"/>
                      <w:sz w:val="21"/>
                      <w:szCs w:val="21"/>
                      <w:u w:val="none"/>
                    </w:rPr>
                  </w:pPr>
                </w:p>
              </w:tc>
              <w:tc>
                <w:tcPr>
                  <w:tcW w:w="482" w:type="pct"/>
                  <w:vMerge w:val="continue"/>
                  <w:tcBorders>
                    <w:tl2br w:val="nil"/>
                    <w:tr2bl w:val="nil"/>
                  </w:tcBorders>
                  <w:vAlign w:val="center"/>
                </w:tcPr>
                <w:p w14:paraId="4B58CD06">
                  <w:pPr>
                    <w:widowControl/>
                    <w:jc w:val="center"/>
                    <w:rPr>
                      <w:rFonts w:hint="default" w:ascii="Times New Roman" w:hAnsi="Times New Roman" w:cs="Times New Roman" w:eastAsiaTheme="minorEastAsia"/>
                      <w:color w:val="auto"/>
                      <w:kern w:val="0"/>
                      <w:sz w:val="21"/>
                      <w:szCs w:val="21"/>
                      <w:u w:val="none"/>
                    </w:rPr>
                  </w:pPr>
                </w:p>
              </w:tc>
              <w:tc>
                <w:tcPr>
                  <w:tcW w:w="1020" w:type="pct"/>
                  <w:tcBorders>
                    <w:tl2br w:val="nil"/>
                    <w:tr2bl w:val="nil"/>
                  </w:tcBorders>
                  <w:vAlign w:val="center"/>
                </w:tcPr>
                <w:p w14:paraId="724D1954">
                  <w:pPr>
                    <w:widowControl/>
                    <w:jc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kern w:val="0"/>
                      <w:sz w:val="21"/>
                      <w:szCs w:val="21"/>
                      <w:u w:val="none"/>
                      <w:lang w:val="en-US" w:eastAsia="zh-CN"/>
                    </w:rPr>
                    <w:t>10</w:t>
                  </w:r>
                </w:p>
              </w:tc>
              <w:tc>
                <w:tcPr>
                  <w:tcW w:w="646" w:type="pct"/>
                  <w:tcBorders>
                    <w:tl2br w:val="nil"/>
                    <w:tr2bl w:val="nil"/>
                  </w:tcBorders>
                  <w:vAlign w:val="center"/>
                </w:tcPr>
                <w:p w14:paraId="02E4D8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0.016</w:t>
                  </w:r>
                  <w:r>
                    <w:rPr>
                      <w:rFonts w:hint="eastAsia" w:ascii="Times New Roman" w:hAnsi="Times New Roman" w:eastAsia="宋体" w:cs="Times New Roman"/>
                      <w:i w:val="0"/>
                      <w:iCs w:val="0"/>
                      <w:color w:val="auto"/>
                      <w:kern w:val="0"/>
                      <w:sz w:val="21"/>
                      <w:szCs w:val="21"/>
                      <w:u w:val="none"/>
                      <w:lang w:val="en-US" w:eastAsia="zh-CN" w:bidi="ar"/>
                    </w:rPr>
                    <w:t>3</w:t>
                  </w:r>
                </w:p>
              </w:tc>
            </w:tr>
            <w:tr w14:paraId="08499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continue"/>
                  <w:tcBorders>
                    <w:tl2br w:val="nil"/>
                    <w:tr2bl w:val="nil"/>
                  </w:tcBorders>
                  <w:vAlign w:val="center"/>
                </w:tcPr>
                <w:p w14:paraId="075244EB">
                  <w:pPr>
                    <w:widowControl/>
                    <w:jc w:val="center"/>
                    <w:rPr>
                      <w:rFonts w:hint="default" w:ascii="Times New Roman" w:hAnsi="Times New Roman" w:cs="Times New Roman" w:eastAsiaTheme="minorEastAsia"/>
                      <w:color w:val="auto"/>
                      <w:kern w:val="0"/>
                      <w:sz w:val="21"/>
                      <w:szCs w:val="21"/>
                      <w:u w:val="none"/>
                    </w:rPr>
                  </w:pPr>
                </w:p>
              </w:tc>
              <w:tc>
                <w:tcPr>
                  <w:tcW w:w="462" w:type="pct"/>
                  <w:tcBorders>
                    <w:tl2br w:val="nil"/>
                    <w:tr2bl w:val="nil"/>
                  </w:tcBorders>
                  <w:vAlign w:val="center"/>
                </w:tcPr>
                <w:p w14:paraId="1F6E38C8">
                  <w:pPr>
                    <w:widowControl/>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lang w:val="en-US" w:eastAsia="zh-CN"/>
                    </w:rPr>
                    <w:t>TN</w:t>
                  </w:r>
                </w:p>
              </w:tc>
              <w:tc>
                <w:tcPr>
                  <w:tcW w:w="518" w:type="pct"/>
                  <w:tcBorders>
                    <w:tl2br w:val="nil"/>
                    <w:tr2bl w:val="nil"/>
                  </w:tcBorders>
                  <w:vAlign w:val="center"/>
                </w:tcPr>
                <w:p w14:paraId="0436290C">
                  <w:pPr>
                    <w:autoSpaceDN w:val="0"/>
                    <w:jc w:val="center"/>
                    <w:textAlignment w:val="center"/>
                    <w:rPr>
                      <w:rFonts w:hint="default" w:ascii="Times New Roman" w:hAnsi="Times New Roman" w:cs="Times New Roman" w:eastAsiaTheme="minorEastAsia"/>
                      <w:color w:val="auto"/>
                      <w:sz w:val="21"/>
                      <w:szCs w:val="21"/>
                      <w:u w:val="none"/>
                      <w:lang w:val="en-US" w:eastAsia="zh-CN"/>
                    </w:rPr>
                  </w:pPr>
                  <w:r>
                    <w:rPr>
                      <w:rFonts w:hint="eastAsia" w:cs="Times New Roman" w:eastAsiaTheme="minorEastAsia"/>
                      <w:color w:val="auto"/>
                      <w:sz w:val="21"/>
                      <w:szCs w:val="21"/>
                      <w:u w:val="none"/>
                      <w:lang w:val="en-US" w:eastAsia="zh-CN"/>
                    </w:rPr>
                    <w:t>40</w:t>
                  </w:r>
                </w:p>
              </w:tc>
              <w:tc>
                <w:tcPr>
                  <w:tcW w:w="493" w:type="pct"/>
                  <w:tcBorders>
                    <w:tl2br w:val="nil"/>
                    <w:tr2bl w:val="nil"/>
                  </w:tcBorders>
                  <w:vAlign w:val="center"/>
                </w:tcPr>
                <w:p w14:paraId="3B48A3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0.130</w:t>
                  </w:r>
                </w:p>
              </w:tc>
              <w:tc>
                <w:tcPr>
                  <w:tcW w:w="637" w:type="pct"/>
                  <w:vMerge w:val="continue"/>
                  <w:tcBorders>
                    <w:tl2br w:val="nil"/>
                    <w:tr2bl w:val="nil"/>
                  </w:tcBorders>
                  <w:vAlign w:val="center"/>
                </w:tcPr>
                <w:p w14:paraId="375608AF">
                  <w:pPr>
                    <w:widowControl/>
                    <w:jc w:val="center"/>
                    <w:rPr>
                      <w:rFonts w:hint="default" w:ascii="Times New Roman" w:hAnsi="Times New Roman" w:cs="Times New Roman" w:eastAsiaTheme="minorEastAsia"/>
                      <w:color w:val="auto"/>
                      <w:sz w:val="21"/>
                      <w:szCs w:val="21"/>
                      <w:u w:val="none"/>
                    </w:rPr>
                  </w:pPr>
                </w:p>
              </w:tc>
              <w:tc>
                <w:tcPr>
                  <w:tcW w:w="482" w:type="pct"/>
                  <w:vMerge w:val="continue"/>
                  <w:tcBorders>
                    <w:tl2br w:val="nil"/>
                    <w:tr2bl w:val="nil"/>
                  </w:tcBorders>
                  <w:vAlign w:val="center"/>
                </w:tcPr>
                <w:p w14:paraId="439CD3B0">
                  <w:pPr>
                    <w:widowControl/>
                    <w:jc w:val="center"/>
                    <w:rPr>
                      <w:rFonts w:hint="default" w:ascii="Times New Roman" w:hAnsi="Times New Roman" w:cs="Times New Roman" w:eastAsiaTheme="minorEastAsia"/>
                      <w:color w:val="auto"/>
                      <w:kern w:val="0"/>
                      <w:sz w:val="21"/>
                      <w:szCs w:val="21"/>
                      <w:u w:val="none"/>
                    </w:rPr>
                  </w:pPr>
                </w:p>
              </w:tc>
              <w:tc>
                <w:tcPr>
                  <w:tcW w:w="1020" w:type="pct"/>
                  <w:tcBorders>
                    <w:tl2br w:val="nil"/>
                    <w:tr2bl w:val="nil"/>
                  </w:tcBorders>
                  <w:vAlign w:val="center"/>
                </w:tcPr>
                <w:p w14:paraId="7BC6A2FA">
                  <w:pPr>
                    <w:widowControl/>
                    <w:jc w:val="center"/>
                    <w:rPr>
                      <w:rFonts w:hint="default" w:ascii="Times New Roman" w:hAnsi="Times New Roman" w:cs="Times New Roman" w:eastAsiaTheme="minorEastAsia"/>
                      <w:color w:val="auto"/>
                      <w:kern w:val="0"/>
                      <w:sz w:val="21"/>
                      <w:szCs w:val="21"/>
                      <w:u w:val="none"/>
                      <w:lang w:val="en-US" w:eastAsia="zh-CN"/>
                    </w:rPr>
                  </w:pPr>
                  <w:r>
                    <w:rPr>
                      <w:rFonts w:hint="eastAsia" w:cs="Times New Roman" w:eastAsiaTheme="minorEastAsia"/>
                      <w:color w:val="auto"/>
                      <w:kern w:val="0"/>
                      <w:sz w:val="21"/>
                      <w:szCs w:val="21"/>
                      <w:u w:val="none"/>
                      <w:lang w:val="en-US" w:eastAsia="zh-CN"/>
                    </w:rPr>
                    <w:t>15</w:t>
                  </w:r>
                </w:p>
              </w:tc>
              <w:tc>
                <w:tcPr>
                  <w:tcW w:w="646" w:type="pct"/>
                  <w:tcBorders>
                    <w:tl2br w:val="nil"/>
                    <w:tr2bl w:val="nil"/>
                  </w:tcBorders>
                  <w:vAlign w:val="center"/>
                </w:tcPr>
                <w:p w14:paraId="79AFF9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0.0244</w:t>
                  </w:r>
                </w:p>
              </w:tc>
            </w:tr>
            <w:tr w14:paraId="27BA2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continue"/>
                  <w:tcBorders>
                    <w:tl2br w:val="nil"/>
                    <w:tr2bl w:val="nil"/>
                  </w:tcBorders>
                  <w:vAlign w:val="center"/>
                </w:tcPr>
                <w:p w14:paraId="360A219E">
                  <w:pPr>
                    <w:widowControl/>
                    <w:jc w:val="center"/>
                    <w:rPr>
                      <w:rFonts w:hint="default" w:ascii="Times New Roman" w:hAnsi="Times New Roman" w:cs="Times New Roman" w:eastAsiaTheme="minorEastAsia"/>
                      <w:color w:val="auto"/>
                      <w:kern w:val="0"/>
                      <w:sz w:val="21"/>
                      <w:szCs w:val="21"/>
                      <w:u w:val="none"/>
                    </w:rPr>
                  </w:pPr>
                </w:p>
              </w:tc>
              <w:tc>
                <w:tcPr>
                  <w:tcW w:w="462" w:type="pct"/>
                  <w:tcBorders>
                    <w:tl2br w:val="nil"/>
                    <w:tr2bl w:val="nil"/>
                  </w:tcBorders>
                  <w:vAlign w:val="center"/>
                </w:tcPr>
                <w:p w14:paraId="33CCE811">
                  <w:pPr>
                    <w:widowControl/>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lang w:val="en-US" w:eastAsia="zh-CN"/>
                    </w:rPr>
                    <w:t>TP</w:t>
                  </w:r>
                </w:p>
              </w:tc>
              <w:tc>
                <w:tcPr>
                  <w:tcW w:w="518" w:type="pct"/>
                  <w:tcBorders>
                    <w:tl2br w:val="nil"/>
                    <w:tr2bl w:val="nil"/>
                  </w:tcBorders>
                  <w:vAlign w:val="center"/>
                </w:tcPr>
                <w:p w14:paraId="3F61A3F4">
                  <w:pPr>
                    <w:autoSpaceDN w:val="0"/>
                    <w:jc w:val="center"/>
                    <w:textAlignment w:val="center"/>
                    <w:rPr>
                      <w:rFonts w:hint="default" w:ascii="Times New Roman" w:hAnsi="Times New Roman" w:cs="Times New Roman" w:eastAsiaTheme="minorEastAsia"/>
                      <w:color w:val="auto"/>
                      <w:sz w:val="21"/>
                      <w:szCs w:val="21"/>
                      <w:u w:val="none"/>
                      <w:lang w:val="en-US" w:eastAsia="zh-CN"/>
                    </w:rPr>
                  </w:pPr>
                  <w:r>
                    <w:rPr>
                      <w:rFonts w:hint="eastAsia" w:cs="Times New Roman" w:eastAsiaTheme="minorEastAsia"/>
                      <w:color w:val="auto"/>
                      <w:sz w:val="21"/>
                      <w:szCs w:val="21"/>
                      <w:u w:val="none"/>
                      <w:lang w:val="en-US" w:eastAsia="zh-CN"/>
                    </w:rPr>
                    <w:t>5</w:t>
                  </w:r>
                </w:p>
              </w:tc>
              <w:tc>
                <w:tcPr>
                  <w:tcW w:w="493" w:type="pct"/>
                  <w:tcBorders>
                    <w:tl2br w:val="nil"/>
                    <w:tr2bl w:val="nil"/>
                  </w:tcBorders>
                  <w:vAlign w:val="center"/>
                </w:tcPr>
                <w:p w14:paraId="515879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0.0130</w:t>
                  </w:r>
                </w:p>
              </w:tc>
              <w:tc>
                <w:tcPr>
                  <w:tcW w:w="637" w:type="pct"/>
                  <w:vMerge w:val="continue"/>
                  <w:tcBorders>
                    <w:tl2br w:val="nil"/>
                    <w:tr2bl w:val="nil"/>
                  </w:tcBorders>
                  <w:vAlign w:val="center"/>
                </w:tcPr>
                <w:p w14:paraId="66C9D1C9">
                  <w:pPr>
                    <w:widowControl/>
                    <w:jc w:val="center"/>
                    <w:rPr>
                      <w:rFonts w:hint="default" w:ascii="Times New Roman" w:hAnsi="Times New Roman" w:cs="Times New Roman" w:eastAsiaTheme="minorEastAsia"/>
                      <w:color w:val="auto"/>
                      <w:sz w:val="21"/>
                      <w:szCs w:val="21"/>
                      <w:u w:val="none"/>
                    </w:rPr>
                  </w:pPr>
                </w:p>
              </w:tc>
              <w:tc>
                <w:tcPr>
                  <w:tcW w:w="482" w:type="pct"/>
                  <w:vMerge w:val="continue"/>
                  <w:tcBorders>
                    <w:tl2br w:val="nil"/>
                    <w:tr2bl w:val="nil"/>
                  </w:tcBorders>
                  <w:vAlign w:val="center"/>
                </w:tcPr>
                <w:p w14:paraId="06F89025">
                  <w:pPr>
                    <w:widowControl/>
                    <w:jc w:val="center"/>
                    <w:rPr>
                      <w:rFonts w:hint="default" w:ascii="Times New Roman" w:hAnsi="Times New Roman" w:cs="Times New Roman" w:eastAsiaTheme="minorEastAsia"/>
                      <w:color w:val="auto"/>
                      <w:kern w:val="0"/>
                      <w:sz w:val="21"/>
                      <w:szCs w:val="21"/>
                      <w:u w:val="none"/>
                    </w:rPr>
                  </w:pPr>
                </w:p>
              </w:tc>
              <w:tc>
                <w:tcPr>
                  <w:tcW w:w="1020" w:type="pct"/>
                  <w:tcBorders>
                    <w:tl2br w:val="nil"/>
                    <w:tr2bl w:val="nil"/>
                  </w:tcBorders>
                  <w:vAlign w:val="center"/>
                </w:tcPr>
                <w:p w14:paraId="2AE03424">
                  <w:pPr>
                    <w:widowControl/>
                    <w:jc w:val="center"/>
                    <w:rPr>
                      <w:rFonts w:hint="default" w:ascii="Times New Roman" w:hAnsi="Times New Roman" w:cs="Times New Roman" w:eastAsiaTheme="minorEastAsia"/>
                      <w:color w:val="auto"/>
                      <w:kern w:val="0"/>
                      <w:sz w:val="21"/>
                      <w:szCs w:val="21"/>
                      <w:u w:val="none"/>
                      <w:lang w:val="en-US" w:eastAsia="zh-CN"/>
                    </w:rPr>
                  </w:pPr>
                  <w:r>
                    <w:rPr>
                      <w:rFonts w:hint="eastAsia" w:cs="Times New Roman" w:eastAsiaTheme="minorEastAsia"/>
                      <w:color w:val="auto"/>
                      <w:kern w:val="0"/>
                      <w:sz w:val="21"/>
                      <w:szCs w:val="21"/>
                      <w:u w:val="none"/>
                      <w:lang w:val="en-US" w:eastAsia="zh-CN"/>
                    </w:rPr>
                    <w:t>0.5</w:t>
                  </w:r>
                </w:p>
              </w:tc>
              <w:tc>
                <w:tcPr>
                  <w:tcW w:w="646" w:type="pct"/>
                  <w:tcBorders>
                    <w:tl2br w:val="nil"/>
                    <w:tr2bl w:val="nil"/>
                  </w:tcBorders>
                  <w:vAlign w:val="center"/>
                </w:tcPr>
                <w:p w14:paraId="09A380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0.000814</w:t>
                  </w:r>
                </w:p>
              </w:tc>
            </w:tr>
            <w:tr w14:paraId="27C2B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37" w:type="pct"/>
                  <w:vMerge w:val="continue"/>
                  <w:tcBorders>
                    <w:tl2br w:val="nil"/>
                    <w:tr2bl w:val="nil"/>
                  </w:tcBorders>
                  <w:vAlign w:val="center"/>
                </w:tcPr>
                <w:p w14:paraId="6EF6505F">
                  <w:pPr>
                    <w:widowControl/>
                    <w:jc w:val="center"/>
                    <w:rPr>
                      <w:rFonts w:hint="default" w:ascii="Times New Roman" w:hAnsi="Times New Roman" w:cs="Times New Roman" w:eastAsiaTheme="minorEastAsia"/>
                      <w:color w:val="auto"/>
                      <w:kern w:val="0"/>
                      <w:sz w:val="21"/>
                      <w:szCs w:val="21"/>
                      <w:u w:val="none"/>
                    </w:rPr>
                  </w:pPr>
                </w:p>
              </w:tc>
              <w:tc>
                <w:tcPr>
                  <w:tcW w:w="462" w:type="pct"/>
                  <w:tcBorders>
                    <w:tl2br w:val="nil"/>
                    <w:tr2bl w:val="nil"/>
                  </w:tcBorders>
                  <w:vAlign w:val="center"/>
                </w:tcPr>
                <w:p w14:paraId="448DDEE6">
                  <w:pPr>
                    <w:widowControl/>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NH</w:t>
                  </w:r>
                  <w:r>
                    <w:rPr>
                      <w:rFonts w:hint="default" w:ascii="Times New Roman" w:hAnsi="Times New Roman" w:cs="Times New Roman" w:eastAsiaTheme="minorEastAsia"/>
                      <w:color w:val="auto"/>
                      <w:sz w:val="21"/>
                      <w:szCs w:val="21"/>
                      <w:u w:val="none"/>
                      <w:vertAlign w:val="subscript"/>
                    </w:rPr>
                    <w:t>3</w:t>
                  </w:r>
                  <w:r>
                    <w:rPr>
                      <w:rFonts w:hint="default" w:ascii="Times New Roman" w:hAnsi="Times New Roman" w:cs="Times New Roman" w:eastAsiaTheme="minorEastAsia"/>
                      <w:color w:val="auto"/>
                      <w:sz w:val="21"/>
                      <w:szCs w:val="21"/>
                      <w:u w:val="none"/>
                    </w:rPr>
                    <w:t>-N</w:t>
                  </w:r>
                </w:p>
              </w:tc>
              <w:tc>
                <w:tcPr>
                  <w:tcW w:w="518" w:type="pct"/>
                  <w:tcBorders>
                    <w:tl2br w:val="nil"/>
                    <w:tr2bl w:val="nil"/>
                  </w:tcBorders>
                  <w:vAlign w:val="center"/>
                </w:tcPr>
                <w:p w14:paraId="27AE3459">
                  <w:pPr>
                    <w:autoSpaceDN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30</w:t>
                  </w:r>
                </w:p>
              </w:tc>
              <w:tc>
                <w:tcPr>
                  <w:tcW w:w="493" w:type="pct"/>
                  <w:tcBorders>
                    <w:tl2br w:val="nil"/>
                    <w:tr2bl w:val="nil"/>
                  </w:tcBorders>
                  <w:vAlign w:val="center"/>
                </w:tcPr>
                <w:p w14:paraId="4E472F5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0.048</w:t>
                  </w:r>
                  <w:r>
                    <w:rPr>
                      <w:rFonts w:hint="eastAsia" w:ascii="Times New Roman" w:hAnsi="Times New Roman" w:eastAsia="宋体" w:cs="Times New Roman"/>
                      <w:i w:val="0"/>
                      <w:iCs w:val="0"/>
                      <w:color w:val="auto"/>
                      <w:kern w:val="0"/>
                      <w:sz w:val="21"/>
                      <w:szCs w:val="21"/>
                      <w:u w:val="none"/>
                      <w:lang w:val="en-US" w:eastAsia="zh-CN" w:bidi="ar"/>
                    </w:rPr>
                    <w:t>9</w:t>
                  </w:r>
                </w:p>
              </w:tc>
              <w:tc>
                <w:tcPr>
                  <w:tcW w:w="637" w:type="pct"/>
                  <w:vMerge w:val="continue"/>
                  <w:tcBorders>
                    <w:tl2br w:val="nil"/>
                    <w:tr2bl w:val="nil"/>
                  </w:tcBorders>
                  <w:vAlign w:val="center"/>
                </w:tcPr>
                <w:p w14:paraId="3BDB3D18">
                  <w:pPr>
                    <w:widowControl/>
                    <w:jc w:val="center"/>
                    <w:rPr>
                      <w:rFonts w:hint="default" w:ascii="Times New Roman" w:hAnsi="Times New Roman" w:cs="Times New Roman" w:eastAsiaTheme="minorEastAsia"/>
                      <w:color w:val="auto"/>
                      <w:sz w:val="21"/>
                      <w:szCs w:val="21"/>
                      <w:u w:val="none"/>
                    </w:rPr>
                  </w:pPr>
                </w:p>
              </w:tc>
              <w:tc>
                <w:tcPr>
                  <w:tcW w:w="482" w:type="pct"/>
                  <w:vMerge w:val="continue"/>
                  <w:tcBorders>
                    <w:tl2br w:val="nil"/>
                    <w:tr2bl w:val="nil"/>
                  </w:tcBorders>
                  <w:vAlign w:val="center"/>
                </w:tcPr>
                <w:p w14:paraId="6E4E027E">
                  <w:pPr>
                    <w:widowControl/>
                    <w:jc w:val="center"/>
                    <w:rPr>
                      <w:rFonts w:hint="default" w:ascii="Times New Roman" w:hAnsi="Times New Roman" w:cs="Times New Roman" w:eastAsiaTheme="minorEastAsia"/>
                      <w:color w:val="auto"/>
                      <w:kern w:val="0"/>
                      <w:sz w:val="21"/>
                      <w:szCs w:val="21"/>
                      <w:u w:val="none"/>
                    </w:rPr>
                  </w:pPr>
                </w:p>
              </w:tc>
              <w:tc>
                <w:tcPr>
                  <w:tcW w:w="1020" w:type="pct"/>
                  <w:tcBorders>
                    <w:tl2br w:val="nil"/>
                    <w:tr2bl w:val="nil"/>
                  </w:tcBorders>
                  <w:vAlign w:val="center"/>
                </w:tcPr>
                <w:p w14:paraId="55FE29B3">
                  <w:pPr>
                    <w:widowControl/>
                    <w:jc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kern w:val="0"/>
                      <w:sz w:val="21"/>
                      <w:szCs w:val="21"/>
                      <w:u w:val="none"/>
                      <w:lang w:val="en-US" w:eastAsia="zh-CN"/>
                    </w:rPr>
                    <w:t>5</w:t>
                  </w:r>
                </w:p>
              </w:tc>
              <w:tc>
                <w:tcPr>
                  <w:tcW w:w="646" w:type="pct"/>
                  <w:tcBorders>
                    <w:tl2br w:val="nil"/>
                    <w:tr2bl w:val="nil"/>
                  </w:tcBorders>
                  <w:vAlign w:val="center"/>
                </w:tcPr>
                <w:p w14:paraId="179746F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0.00814</w:t>
                  </w:r>
                </w:p>
              </w:tc>
            </w:tr>
          </w:tbl>
          <w:p w14:paraId="131F9F25">
            <w:pPr>
              <w:pStyle w:val="82"/>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hint="default" w:ascii="Times New Roman" w:hAnsi="Times New Roman" w:cs="Times New Roman"/>
                <w:b/>
                <w:color w:val="auto"/>
                <w:szCs w:val="24"/>
              </w:rPr>
            </w:pPr>
            <w:r>
              <w:rPr>
                <w:rFonts w:hint="eastAsia" w:cs="Times New Roman"/>
                <w:b/>
                <w:color w:val="auto"/>
                <w:szCs w:val="24"/>
                <w:lang w:eastAsia="zh-CN"/>
              </w:rPr>
              <w:t>（</w:t>
            </w:r>
            <w:r>
              <w:rPr>
                <w:rFonts w:hint="eastAsia" w:cs="Times New Roman"/>
                <w:b/>
                <w:color w:val="auto"/>
                <w:szCs w:val="24"/>
                <w:lang w:val="en-US" w:eastAsia="zh-CN"/>
              </w:rPr>
              <w:t>2</w:t>
            </w:r>
            <w:r>
              <w:rPr>
                <w:rFonts w:hint="eastAsia" w:cs="Times New Roman"/>
                <w:b/>
                <w:color w:val="auto"/>
                <w:szCs w:val="24"/>
                <w:lang w:eastAsia="zh-CN"/>
              </w:rPr>
              <w:t>）</w:t>
            </w:r>
            <w:r>
              <w:rPr>
                <w:b/>
                <w:bCs/>
                <w:color w:val="auto"/>
                <w:spacing w:val="-4"/>
                <w:sz w:val="24"/>
                <w:szCs w:val="24"/>
              </w:rPr>
              <w:t>废水措施可行性及影响分析</w:t>
            </w:r>
          </w:p>
          <w:p w14:paraId="6EED8737">
            <w:pPr>
              <w:pStyle w:val="8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Cs w:val="24"/>
                <w:u w:val="none"/>
                <w:lang w:eastAsia="zh-CN"/>
              </w:rPr>
            </w:pPr>
            <w:r>
              <w:rPr>
                <w:rFonts w:hint="eastAsia" w:ascii="Times New Roman" w:hAnsi="Times New Roman" w:eastAsia="宋体" w:cs="Times New Roman"/>
                <w:color w:val="auto"/>
                <w:szCs w:val="24"/>
                <w:u w:val="none"/>
                <w:lang w:val="en-US" w:eastAsia="zh-CN"/>
              </w:rPr>
              <w:t>根据</w:t>
            </w:r>
            <w:r>
              <w:rPr>
                <w:rFonts w:hint="eastAsia" w:cs="Times New Roman"/>
                <w:color w:val="auto"/>
                <w:szCs w:val="24"/>
                <w:u w:val="none"/>
                <w:lang w:val="en-US" w:eastAsia="zh-CN"/>
              </w:rPr>
              <w:t>“</w:t>
            </w:r>
            <w:r>
              <w:rPr>
                <w:rFonts w:hint="eastAsia" w:ascii="Times New Roman" w:hAnsi="Times New Roman" w:eastAsia="宋体" w:cs="Times New Roman"/>
                <w:color w:val="auto"/>
                <w:szCs w:val="24"/>
                <w:u w:val="none"/>
                <w:lang w:val="en-US" w:eastAsia="zh-CN"/>
              </w:rPr>
              <w:t>《排污许可证申请与核发技术规范 总则》（</w:t>
            </w:r>
            <w:r>
              <w:rPr>
                <w:rFonts w:hint="default" w:ascii="Times New Roman" w:hAnsi="Times New Roman" w:eastAsia="宋体" w:cs="Times New Roman"/>
                <w:color w:val="auto"/>
                <w:szCs w:val="24"/>
                <w:u w:val="none"/>
                <w:lang w:val="en-US" w:eastAsia="zh-CN"/>
              </w:rPr>
              <w:t>HJ942-2018</w:t>
            </w:r>
            <w:r>
              <w:rPr>
                <w:rFonts w:hint="eastAsia" w:ascii="Times New Roman" w:hAnsi="Times New Roman" w:eastAsia="宋体" w:cs="Times New Roman"/>
                <w:color w:val="auto"/>
                <w:szCs w:val="24"/>
                <w:u w:val="none"/>
                <w:lang w:val="en-US" w:eastAsia="zh-CN"/>
              </w:rPr>
              <w:t>）中</w:t>
            </w:r>
            <w:r>
              <w:rPr>
                <w:rFonts w:hint="default" w:ascii="Times New Roman" w:hAnsi="Times New Roman" w:eastAsia="宋体" w:cs="Times New Roman"/>
                <w:color w:val="auto"/>
                <w:szCs w:val="24"/>
                <w:u w:val="none"/>
                <w:lang w:val="en-US" w:eastAsia="zh-CN"/>
              </w:rPr>
              <w:t>4.5.3.1</w:t>
            </w:r>
            <w:r>
              <w:rPr>
                <w:rFonts w:hint="eastAsia" w:cs="Times New Roman"/>
                <w:color w:val="auto"/>
                <w:szCs w:val="24"/>
                <w:u w:val="none"/>
                <w:lang w:val="en-US" w:eastAsia="zh-CN"/>
              </w:rPr>
              <w:t>”</w:t>
            </w:r>
            <w:r>
              <w:rPr>
                <w:rFonts w:hint="eastAsia" w:ascii="Times New Roman" w:hAnsi="Times New Roman" w:eastAsia="宋体" w:cs="Times New Roman"/>
                <w:color w:val="auto"/>
                <w:szCs w:val="24"/>
                <w:u w:val="none"/>
                <w:lang w:val="en-US" w:eastAsia="zh-CN"/>
              </w:rPr>
              <w:t>，生活污水防治工艺为</w:t>
            </w:r>
            <w:r>
              <w:rPr>
                <w:rFonts w:hint="eastAsia" w:cs="Times New Roman"/>
                <w:color w:val="auto"/>
                <w:szCs w:val="24"/>
                <w:u w:val="none"/>
                <w:lang w:val="en-US" w:eastAsia="zh-CN"/>
              </w:rPr>
              <w:t>“</w:t>
            </w:r>
            <w:r>
              <w:rPr>
                <w:rFonts w:hint="eastAsia" w:ascii="Times New Roman" w:hAnsi="Times New Roman" w:eastAsia="宋体" w:cs="Times New Roman"/>
                <w:color w:val="auto"/>
                <w:szCs w:val="24"/>
                <w:u w:val="none"/>
                <w:lang w:val="en-US" w:eastAsia="zh-CN"/>
              </w:rPr>
              <w:t>过滤、沉淀</w:t>
            </w:r>
            <w:r>
              <w:rPr>
                <w:rFonts w:hint="default" w:ascii="Times New Roman" w:hAnsi="Times New Roman" w:eastAsia="宋体" w:cs="Times New Roman"/>
                <w:color w:val="auto"/>
                <w:szCs w:val="24"/>
                <w:u w:val="none"/>
                <w:lang w:val="en-US" w:eastAsia="zh-CN"/>
              </w:rPr>
              <w:t>-</w:t>
            </w:r>
            <w:r>
              <w:rPr>
                <w:rFonts w:hint="eastAsia" w:ascii="Times New Roman" w:hAnsi="Times New Roman" w:eastAsia="宋体" w:cs="Times New Roman"/>
                <w:color w:val="auto"/>
                <w:szCs w:val="24"/>
                <w:u w:val="none"/>
                <w:lang w:val="en-US" w:eastAsia="zh-CN"/>
              </w:rPr>
              <w:t>活性污泥法、生物接触氧化、其他</w:t>
            </w:r>
            <w:r>
              <w:rPr>
                <w:rFonts w:hint="eastAsia" w:cs="Times New Roman"/>
                <w:color w:val="auto"/>
                <w:szCs w:val="24"/>
                <w:u w:val="none"/>
                <w:lang w:val="en-US" w:eastAsia="zh-CN"/>
              </w:rPr>
              <w:t>”</w:t>
            </w:r>
            <w:r>
              <w:rPr>
                <w:rFonts w:hint="eastAsia" w:ascii="Times New Roman" w:hAnsi="Times New Roman" w:eastAsia="宋体" w:cs="Times New Roman"/>
                <w:color w:val="auto"/>
                <w:szCs w:val="24"/>
                <w:u w:val="none"/>
                <w:lang w:val="en-US" w:eastAsia="zh-CN"/>
              </w:rPr>
              <w:t>等处理技术或其他。</w:t>
            </w:r>
          </w:p>
          <w:p w14:paraId="2BB09320">
            <w:pPr>
              <w:pStyle w:val="8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Cs w:val="24"/>
                <w:u w:val="none"/>
              </w:rPr>
            </w:pPr>
            <w:r>
              <w:rPr>
                <w:rFonts w:hint="eastAsia" w:ascii="Times New Roman" w:hAnsi="Times New Roman" w:eastAsia="宋体" w:cs="Times New Roman"/>
                <w:color w:val="auto"/>
                <w:szCs w:val="24"/>
                <w:u w:val="none"/>
                <w:lang w:val="en-US" w:eastAsia="zh-CN"/>
              </w:rPr>
              <w:t>本项目生活污水拟经化粪池预处理后再排入污水处理厂集中处理。经查阅相关资料，化粪池是一种利用沉淀和厌氧发酵的原理，去除生活污水中悬浮性有机物的处理设施，属于初级的过渡性生活处理构筑物。污水进入化粪池经过</w:t>
            </w:r>
            <w:r>
              <w:rPr>
                <w:rFonts w:hint="default" w:ascii="Times New Roman" w:hAnsi="Times New Roman" w:eastAsia="宋体" w:cs="Times New Roman"/>
                <w:color w:val="auto"/>
                <w:szCs w:val="24"/>
                <w:u w:val="none"/>
                <w:lang w:val="en-US" w:eastAsia="zh-CN"/>
              </w:rPr>
              <w:t>12</w:t>
            </w:r>
            <w:r>
              <w:rPr>
                <w:rFonts w:hint="eastAsia" w:ascii="Times New Roman" w:hAnsi="Times New Roman" w:eastAsia="宋体" w:cs="Times New Roman"/>
                <w:color w:val="auto"/>
                <w:szCs w:val="24"/>
                <w:u w:val="none"/>
                <w:lang w:val="en-US" w:eastAsia="zh-CN"/>
              </w:rPr>
              <w:t>～</w:t>
            </w:r>
            <w:r>
              <w:rPr>
                <w:rFonts w:hint="default" w:ascii="Times New Roman" w:hAnsi="Times New Roman" w:eastAsia="宋体" w:cs="Times New Roman"/>
                <w:color w:val="auto"/>
                <w:szCs w:val="24"/>
                <w:u w:val="none"/>
                <w:lang w:val="en-US" w:eastAsia="zh-CN"/>
              </w:rPr>
              <w:t>24h</w:t>
            </w:r>
            <w:r>
              <w:rPr>
                <w:rFonts w:hint="eastAsia" w:ascii="Times New Roman" w:hAnsi="Times New Roman" w:eastAsia="宋体" w:cs="Times New Roman"/>
                <w:color w:val="auto"/>
                <w:szCs w:val="24"/>
                <w:u w:val="none"/>
                <w:lang w:val="en-US" w:eastAsia="zh-CN"/>
              </w:rPr>
              <w:t>的沉淀，可去除</w:t>
            </w:r>
            <w:r>
              <w:rPr>
                <w:rFonts w:hint="default" w:ascii="Times New Roman" w:hAnsi="Times New Roman" w:eastAsia="宋体" w:cs="Times New Roman"/>
                <w:color w:val="auto"/>
                <w:szCs w:val="24"/>
                <w:u w:val="none"/>
                <w:lang w:val="en-US" w:eastAsia="zh-CN"/>
              </w:rPr>
              <w:t>50%</w:t>
            </w:r>
            <w:r>
              <w:rPr>
                <w:rFonts w:hint="eastAsia" w:ascii="Times New Roman" w:hAnsi="Times New Roman" w:eastAsia="宋体" w:cs="Times New Roman"/>
                <w:color w:val="auto"/>
                <w:szCs w:val="24"/>
                <w:u w:val="none"/>
                <w:lang w:val="en-US" w:eastAsia="zh-CN"/>
              </w:rPr>
              <w:t>～</w:t>
            </w:r>
            <w:r>
              <w:rPr>
                <w:rFonts w:hint="default" w:ascii="Times New Roman" w:hAnsi="Times New Roman" w:eastAsia="宋体" w:cs="Times New Roman"/>
                <w:color w:val="auto"/>
                <w:szCs w:val="24"/>
                <w:u w:val="none"/>
                <w:lang w:val="en-US" w:eastAsia="zh-CN"/>
              </w:rPr>
              <w:t>60%</w:t>
            </w:r>
            <w:r>
              <w:rPr>
                <w:rFonts w:hint="eastAsia" w:ascii="Times New Roman" w:hAnsi="Times New Roman" w:eastAsia="宋体" w:cs="Times New Roman"/>
                <w:color w:val="auto"/>
                <w:szCs w:val="24"/>
                <w:u w:val="none"/>
                <w:lang w:val="en-US" w:eastAsia="zh-CN"/>
              </w:rPr>
              <w:t>的悬浮物，</w:t>
            </w:r>
            <w:r>
              <w:rPr>
                <w:rFonts w:hint="default" w:ascii="Times New Roman" w:hAnsi="Times New Roman" w:eastAsia="宋体" w:cs="Times New Roman"/>
                <w:color w:val="auto"/>
                <w:szCs w:val="24"/>
                <w:u w:val="none"/>
                <w:lang w:val="en-US" w:eastAsia="zh-CN"/>
              </w:rPr>
              <w:t>10%</w:t>
            </w:r>
            <w:r>
              <w:rPr>
                <w:rFonts w:hint="eastAsia" w:ascii="Times New Roman" w:hAnsi="Times New Roman" w:eastAsia="宋体" w:cs="Times New Roman"/>
                <w:color w:val="auto"/>
                <w:szCs w:val="24"/>
                <w:u w:val="none"/>
                <w:lang w:val="en-US" w:eastAsia="zh-CN"/>
              </w:rPr>
              <w:t>～</w:t>
            </w:r>
            <w:r>
              <w:rPr>
                <w:rFonts w:hint="default" w:ascii="Times New Roman" w:hAnsi="Times New Roman" w:eastAsia="宋体" w:cs="Times New Roman"/>
                <w:color w:val="auto"/>
                <w:szCs w:val="24"/>
                <w:u w:val="none"/>
                <w:lang w:val="en-US" w:eastAsia="zh-CN"/>
              </w:rPr>
              <w:t>20%</w:t>
            </w:r>
            <w:r>
              <w:rPr>
                <w:rFonts w:hint="eastAsia" w:ascii="Times New Roman" w:hAnsi="Times New Roman" w:eastAsia="宋体" w:cs="Times New Roman"/>
                <w:color w:val="auto"/>
                <w:szCs w:val="24"/>
                <w:u w:val="none"/>
                <w:lang w:val="en-US" w:eastAsia="zh-CN"/>
              </w:rPr>
              <w:t>的</w:t>
            </w:r>
            <w:r>
              <w:rPr>
                <w:rFonts w:hint="default" w:ascii="Times New Roman" w:hAnsi="Times New Roman" w:eastAsia="宋体" w:cs="Times New Roman"/>
                <w:color w:val="auto"/>
                <w:szCs w:val="24"/>
                <w:u w:val="none"/>
                <w:lang w:val="en-US" w:eastAsia="zh-CN"/>
              </w:rPr>
              <w:t>CODCr</w:t>
            </w:r>
            <w:r>
              <w:rPr>
                <w:rFonts w:hint="eastAsia" w:ascii="Times New Roman" w:hAnsi="Times New Roman" w:eastAsia="宋体" w:cs="Times New Roman"/>
                <w:color w:val="auto"/>
                <w:szCs w:val="24"/>
                <w:u w:val="none"/>
                <w:lang w:val="en-US" w:eastAsia="zh-CN"/>
              </w:rPr>
              <w:t>。由于本项目生活污水浓度本身不高，经过化粪池处理后完全可达到《污水综合排放标准》（</w:t>
            </w:r>
            <w:r>
              <w:rPr>
                <w:rFonts w:hint="default" w:ascii="Times New Roman" w:hAnsi="Times New Roman" w:eastAsia="宋体" w:cs="Times New Roman"/>
                <w:color w:val="auto"/>
                <w:szCs w:val="24"/>
                <w:u w:val="none"/>
                <w:lang w:val="en-US" w:eastAsia="zh-CN"/>
              </w:rPr>
              <w:t>GB8978-1996</w:t>
            </w:r>
            <w:r>
              <w:rPr>
                <w:rFonts w:hint="eastAsia" w:ascii="Times New Roman" w:hAnsi="Times New Roman" w:eastAsia="宋体" w:cs="Times New Roman"/>
                <w:color w:val="auto"/>
                <w:szCs w:val="24"/>
                <w:u w:val="none"/>
                <w:lang w:val="en-US" w:eastAsia="zh-CN"/>
              </w:rPr>
              <w:t>）表4三级标准</w:t>
            </w:r>
            <w:r>
              <w:rPr>
                <w:rFonts w:hint="eastAsia" w:cs="Times New Roman"/>
                <w:color w:val="FF0000"/>
                <w:kern w:val="0"/>
                <w:sz w:val="24"/>
                <w:lang w:val="en-US" w:eastAsia="zh-CN"/>
              </w:rPr>
              <w:t>及龙潭镇污水处理厂进水水质标准中较严格的限值</w:t>
            </w:r>
            <w:r>
              <w:rPr>
                <w:rFonts w:hint="eastAsia" w:ascii="Times New Roman" w:hAnsi="Times New Roman" w:eastAsia="宋体" w:cs="Times New Roman"/>
                <w:color w:val="auto"/>
                <w:szCs w:val="24"/>
                <w:u w:val="none"/>
                <w:lang w:val="en-US" w:eastAsia="zh-CN"/>
              </w:rPr>
              <w:t>。纳入</w:t>
            </w:r>
            <w:r>
              <w:rPr>
                <w:rFonts w:hint="eastAsia" w:cs="Times New Roman"/>
                <w:color w:val="auto"/>
                <w:szCs w:val="24"/>
                <w:u w:val="none"/>
                <w:lang w:val="en-US" w:eastAsia="zh-CN"/>
              </w:rPr>
              <w:t>龙</w:t>
            </w:r>
            <w:r>
              <w:rPr>
                <w:rFonts w:hint="eastAsia" w:ascii="Times New Roman" w:hAnsi="Times New Roman" w:cs="Times New Roman"/>
                <w:color w:val="auto"/>
                <w:szCs w:val="24"/>
                <w:u w:val="none"/>
                <w:lang w:val="en-US" w:eastAsia="zh-CN"/>
              </w:rPr>
              <w:t>潭镇</w:t>
            </w:r>
            <w:r>
              <w:rPr>
                <w:rFonts w:hint="eastAsia" w:cs="Times New Roman"/>
                <w:color w:val="auto"/>
                <w:szCs w:val="24"/>
                <w:u w:val="none"/>
                <w:lang w:val="en-US" w:eastAsia="zh-CN"/>
              </w:rPr>
              <w:t>污水处理厂</w:t>
            </w:r>
            <w:r>
              <w:rPr>
                <w:rFonts w:hint="eastAsia" w:ascii="Times New Roman" w:hAnsi="Times New Roman" w:cs="Times New Roman"/>
                <w:color w:val="auto"/>
                <w:szCs w:val="24"/>
                <w:u w:val="none"/>
                <w:lang w:val="en-US" w:eastAsia="zh-CN"/>
              </w:rPr>
              <w:t>综合处理对其冲击不大。</w:t>
            </w:r>
          </w:p>
          <w:p w14:paraId="5CC3F080">
            <w:pPr>
              <w:pStyle w:val="82"/>
              <w:rPr>
                <w:rFonts w:hint="default" w:ascii="Times New Roman" w:hAnsi="Times New Roman" w:eastAsia="宋体" w:cs="Times New Roman"/>
                <w:color w:val="auto"/>
                <w:szCs w:val="24"/>
                <w:u w:val="none"/>
                <w:lang w:val="en-US" w:eastAsia="zh-CN"/>
              </w:rPr>
            </w:pPr>
            <w:r>
              <w:rPr>
                <w:rFonts w:hint="eastAsia" w:ascii="Times New Roman" w:hAnsi="Times New Roman" w:eastAsia="宋体" w:cs="Times New Roman"/>
                <w:color w:val="auto"/>
                <w:sz w:val="24"/>
                <w:lang w:val="en-US" w:eastAsia="zh-CN"/>
              </w:rPr>
              <w:t>本项目使用原料鲜品经种植基地和合作农户清洗后送到本项目原料车间，因鲜品不含其他污染物，</w:t>
            </w:r>
            <w:r>
              <w:rPr>
                <w:rFonts w:hint="eastAsia" w:ascii="Times New Roman" w:hAnsi="Times New Roman" w:eastAsia="宋体" w:cs="Times New Roman"/>
                <w:color w:val="auto"/>
                <w:sz w:val="24"/>
                <w:u w:val="single"/>
                <w:lang w:val="en-US" w:eastAsia="zh-CN"/>
              </w:rPr>
              <w:t>清洗废水仅含SS</w:t>
            </w:r>
            <w:r>
              <w:rPr>
                <w:rFonts w:hint="eastAsia" w:cs="Times New Roman"/>
                <w:color w:val="auto"/>
                <w:sz w:val="24"/>
                <w:u w:val="single"/>
                <w:lang w:val="en-US" w:eastAsia="zh-CN"/>
              </w:rPr>
              <w:t>；制软水</w:t>
            </w:r>
            <w:r>
              <w:rPr>
                <w:color w:val="auto"/>
                <w:spacing w:val="-2"/>
                <w:u w:val="single"/>
              </w:rPr>
              <w:t>废</w:t>
            </w:r>
            <w:r>
              <w:rPr>
                <w:rFonts w:hint="eastAsia" w:ascii="Times New Roman" w:hAnsi="Times New Roman" w:eastAsia="宋体" w:cs="Times New Roman"/>
                <w:bCs/>
                <w:color w:val="auto"/>
                <w:sz w:val="24"/>
                <w:u w:val="single"/>
                <w:lang w:val="en-US" w:eastAsia="zh-CN"/>
              </w:rPr>
              <w:t>水中以钙</w:t>
            </w:r>
            <w:r>
              <w:rPr>
                <w:rFonts w:hint="eastAsia" w:cs="Times New Roman"/>
                <w:bCs/>
                <w:color w:val="auto"/>
                <w:u w:val="single"/>
                <w:lang w:val="en-US" w:eastAsia="zh-CN"/>
              </w:rPr>
              <w:t>、</w:t>
            </w:r>
            <w:r>
              <w:rPr>
                <w:rFonts w:hint="eastAsia" w:ascii="Times New Roman" w:hAnsi="Times New Roman" w:eastAsia="宋体" w:cs="Times New Roman"/>
                <w:bCs/>
                <w:color w:val="auto"/>
                <w:sz w:val="24"/>
                <w:u w:val="single"/>
                <w:lang w:val="en-US" w:eastAsia="zh-CN"/>
              </w:rPr>
              <w:t>镁离子为主，并伴有少量悬浮物</w:t>
            </w:r>
            <w:r>
              <w:rPr>
                <w:rFonts w:hint="eastAsia" w:cs="Times New Roman"/>
                <w:color w:val="auto"/>
                <w:sz w:val="24"/>
                <w:u w:val="single"/>
                <w:lang w:val="en-US" w:eastAsia="zh-CN"/>
              </w:rPr>
              <w:t>，经三级沉淀池处理后</w:t>
            </w:r>
            <w:r>
              <w:rPr>
                <w:rFonts w:hint="eastAsia" w:ascii="Times New Roman" w:hAnsi="Times New Roman" w:eastAsia="宋体" w:cs="Times New Roman"/>
                <w:color w:val="auto"/>
                <w:szCs w:val="24"/>
                <w:u w:val="single"/>
                <w:lang w:val="en-US" w:eastAsia="zh-CN"/>
              </w:rPr>
              <w:t>可达到《污水综合排放标准》（</w:t>
            </w:r>
            <w:r>
              <w:rPr>
                <w:rFonts w:hint="default" w:ascii="Times New Roman" w:hAnsi="Times New Roman" w:eastAsia="宋体" w:cs="Times New Roman"/>
                <w:color w:val="auto"/>
                <w:szCs w:val="24"/>
                <w:u w:val="single"/>
                <w:lang w:val="en-US" w:eastAsia="zh-CN"/>
              </w:rPr>
              <w:t>GB8978-1996</w:t>
            </w:r>
            <w:r>
              <w:rPr>
                <w:rFonts w:hint="eastAsia" w:ascii="Times New Roman" w:hAnsi="Times New Roman" w:eastAsia="宋体" w:cs="Times New Roman"/>
                <w:color w:val="auto"/>
                <w:szCs w:val="24"/>
                <w:u w:val="single"/>
                <w:lang w:val="en-US" w:eastAsia="zh-CN"/>
              </w:rPr>
              <w:t>）表4三级标准</w:t>
            </w:r>
            <w:r>
              <w:rPr>
                <w:rFonts w:hint="eastAsia" w:ascii="Times New Roman" w:hAnsi="Times New Roman" w:eastAsia="宋体" w:cs="Times New Roman"/>
                <w:color w:val="FF0000"/>
                <w:kern w:val="0"/>
                <w:sz w:val="24"/>
                <w:u w:val="single"/>
                <w:lang w:val="en-US" w:eastAsia="zh-CN"/>
              </w:rPr>
              <w:t>及龙潭镇污水处理厂进水水质标准中较严格的限值。</w:t>
            </w:r>
            <w:r>
              <w:rPr>
                <w:rFonts w:hint="eastAsia" w:ascii="Times New Roman" w:hAnsi="Times New Roman" w:eastAsia="宋体" w:cs="Times New Roman"/>
                <w:color w:val="auto"/>
                <w:szCs w:val="24"/>
                <w:u w:val="none"/>
                <w:lang w:val="en-US" w:eastAsia="zh-CN"/>
              </w:rPr>
              <w:t>纳入</w:t>
            </w:r>
            <w:r>
              <w:rPr>
                <w:rFonts w:hint="eastAsia" w:cs="Times New Roman"/>
                <w:color w:val="auto"/>
                <w:szCs w:val="24"/>
                <w:u w:val="none"/>
                <w:lang w:val="en-US" w:eastAsia="zh-CN"/>
              </w:rPr>
              <w:t>龙</w:t>
            </w:r>
            <w:r>
              <w:rPr>
                <w:rFonts w:hint="eastAsia" w:ascii="Times New Roman" w:hAnsi="Times New Roman" w:cs="Times New Roman"/>
                <w:color w:val="auto"/>
                <w:szCs w:val="24"/>
                <w:u w:val="none"/>
                <w:lang w:val="en-US" w:eastAsia="zh-CN"/>
              </w:rPr>
              <w:t>潭镇</w:t>
            </w:r>
            <w:r>
              <w:rPr>
                <w:rFonts w:hint="eastAsia" w:cs="Times New Roman"/>
                <w:color w:val="auto"/>
                <w:szCs w:val="24"/>
                <w:u w:val="none"/>
                <w:lang w:val="en-US" w:eastAsia="zh-CN"/>
              </w:rPr>
              <w:t>污水处理厂</w:t>
            </w:r>
            <w:r>
              <w:rPr>
                <w:rFonts w:hint="eastAsia" w:ascii="Times New Roman" w:hAnsi="Times New Roman" w:cs="Times New Roman"/>
                <w:color w:val="auto"/>
                <w:szCs w:val="24"/>
                <w:u w:val="none"/>
                <w:lang w:val="en-US" w:eastAsia="zh-CN"/>
              </w:rPr>
              <w:t>综合处理对其冲击不大。</w:t>
            </w:r>
          </w:p>
          <w:p w14:paraId="25E03B17">
            <w:pPr>
              <w:pStyle w:val="82"/>
              <w:rPr>
                <w:rFonts w:hint="default" w:ascii="Times New Roman" w:hAnsi="Times New Roman" w:eastAsia="宋体" w:cs="Times New Roman"/>
                <w:color w:val="auto"/>
                <w:szCs w:val="24"/>
                <w:u w:val="none"/>
                <w:lang w:eastAsia="zh-CN"/>
              </w:rPr>
            </w:pPr>
            <w:r>
              <w:rPr>
                <w:rFonts w:hint="eastAsia" w:ascii="Times New Roman" w:hAnsi="Times New Roman" w:eastAsia="宋体" w:cs="Times New Roman"/>
                <w:color w:val="auto"/>
                <w:szCs w:val="24"/>
                <w:u w:val="none"/>
                <w:lang w:eastAsia="zh-CN"/>
              </w:rPr>
              <w:t>本项目</w:t>
            </w:r>
            <w:r>
              <w:rPr>
                <w:rFonts w:hint="eastAsia" w:ascii="Times New Roman" w:hAnsi="Times New Roman" w:eastAsia="宋体" w:cs="Times New Roman"/>
                <w:color w:val="auto"/>
                <w:szCs w:val="24"/>
                <w:u w:val="none"/>
                <w:lang w:val="en-US" w:eastAsia="zh-CN"/>
              </w:rPr>
              <w:t>废水处理技术</w:t>
            </w:r>
            <w:r>
              <w:rPr>
                <w:rFonts w:hint="eastAsia" w:ascii="Times New Roman" w:hAnsi="Times New Roman" w:eastAsia="宋体" w:cs="Times New Roman"/>
                <w:color w:val="auto"/>
                <w:szCs w:val="24"/>
                <w:u w:val="none"/>
                <w:lang w:eastAsia="zh-CN"/>
              </w:rPr>
              <w:t>为可行技术。</w:t>
            </w:r>
          </w:p>
          <w:p w14:paraId="4CD4B417">
            <w:pPr>
              <w:pStyle w:val="82"/>
              <w:ind w:firstLine="482"/>
              <w:rPr>
                <w:rFonts w:hint="default" w:ascii="Times New Roman" w:hAnsi="Times New Roman" w:cs="Times New Roman"/>
                <w:b/>
                <w:color w:val="auto"/>
                <w:szCs w:val="24"/>
              </w:rPr>
            </w:pPr>
            <w:r>
              <w:rPr>
                <w:rFonts w:hint="eastAsia" w:cs="Times New Roman"/>
                <w:b/>
                <w:color w:val="auto"/>
                <w:szCs w:val="24"/>
                <w:lang w:eastAsia="zh-CN"/>
              </w:rPr>
              <w:t>（</w:t>
            </w:r>
            <w:r>
              <w:rPr>
                <w:rFonts w:hint="eastAsia" w:cs="Times New Roman"/>
                <w:b/>
                <w:color w:val="auto"/>
                <w:szCs w:val="24"/>
                <w:lang w:val="en-US" w:eastAsia="zh-CN"/>
              </w:rPr>
              <w:t>3</w:t>
            </w:r>
            <w:r>
              <w:rPr>
                <w:rFonts w:hint="eastAsia" w:cs="Times New Roman"/>
                <w:b/>
                <w:color w:val="auto"/>
                <w:szCs w:val="24"/>
                <w:lang w:eastAsia="zh-CN"/>
              </w:rPr>
              <w:t>）</w:t>
            </w:r>
            <w:r>
              <w:rPr>
                <w:rFonts w:hint="default" w:ascii="Times New Roman" w:hAnsi="Times New Roman" w:eastAsia="宋体" w:cs="Times New Roman"/>
                <w:b/>
                <w:bCs/>
                <w:color w:val="auto"/>
                <w:sz w:val="24"/>
                <w:szCs w:val="32"/>
                <w:lang w:val="en-US" w:eastAsia="zh-CN"/>
              </w:rPr>
              <w:t>废水进入龙潭镇污水处理厂的可行性分析</w:t>
            </w:r>
          </w:p>
          <w:p w14:paraId="57E1E44B">
            <w:pPr>
              <w:pStyle w:val="82"/>
              <w:rPr>
                <w:rFonts w:hint="default" w:ascii="Times New Roman" w:hAnsi="Times New Roman" w:cs="Times New Roman"/>
                <w:bCs/>
                <w:color w:val="auto"/>
                <w:szCs w:val="24"/>
                <w:u w:val="none"/>
              </w:rPr>
            </w:pPr>
            <w:r>
              <w:rPr>
                <w:rFonts w:hint="default" w:ascii="Times New Roman" w:hAnsi="Times New Roman" w:cs="Times New Roman"/>
                <w:bCs/>
                <w:color w:val="auto"/>
                <w:szCs w:val="24"/>
                <w:u w:val="none"/>
              </w:rPr>
              <w:t>本项目污水进入</w:t>
            </w:r>
            <w:r>
              <w:rPr>
                <w:rFonts w:hint="default" w:ascii="Times New Roman" w:hAnsi="Times New Roman" w:cs="Times New Roman"/>
                <w:bCs/>
                <w:color w:val="auto"/>
                <w:szCs w:val="24"/>
                <w:u w:val="none"/>
                <w:lang w:eastAsia="zh-CN"/>
              </w:rPr>
              <w:t>龙潭镇</w:t>
            </w:r>
            <w:r>
              <w:rPr>
                <w:rFonts w:hint="default" w:ascii="Times New Roman" w:hAnsi="Times New Roman" w:cs="Times New Roman"/>
                <w:bCs/>
                <w:color w:val="auto"/>
                <w:szCs w:val="24"/>
                <w:u w:val="none"/>
              </w:rPr>
              <w:t>污水处理厂进行处理，经处理达到《城镇污水处理厂污染物排放标准》</w:t>
            </w:r>
            <w:r>
              <w:rPr>
                <w:rFonts w:hint="default" w:ascii="Times New Roman" w:hAnsi="Times New Roman" w:cs="Times New Roman"/>
                <w:bCs/>
                <w:color w:val="auto"/>
                <w:szCs w:val="24"/>
                <w:u w:val="none"/>
                <w:lang w:eastAsia="zh-CN"/>
              </w:rPr>
              <w:t>（</w:t>
            </w:r>
            <w:r>
              <w:rPr>
                <w:rFonts w:hint="default" w:ascii="Times New Roman" w:hAnsi="Times New Roman" w:cs="Times New Roman"/>
                <w:bCs/>
                <w:color w:val="auto"/>
                <w:szCs w:val="24"/>
                <w:u w:val="none"/>
                <w:lang w:val="en-US" w:eastAsia="zh-CN"/>
              </w:rPr>
              <w:t>GB18918-2002</w:t>
            </w:r>
            <w:r>
              <w:rPr>
                <w:rFonts w:hint="default" w:ascii="Times New Roman" w:hAnsi="Times New Roman" w:cs="Times New Roman"/>
                <w:bCs/>
                <w:color w:val="auto"/>
                <w:szCs w:val="24"/>
                <w:u w:val="none"/>
                <w:lang w:eastAsia="zh-CN"/>
              </w:rPr>
              <w:t>）</w:t>
            </w:r>
            <w:r>
              <w:rPr>
                <w:rFonts w:hint="default" w:ascii="Times New Roman" w:hAnsi="Times New Roman" w:cs="Times New Roman"/>
                <w:bCs/>
                <w:color w:val="auto"/>
                <w:szCs w:val="24"/>
                <w:u w:val="none"/>
              </w:rPr>
              <w:t>一级A标准后，排入</w:t>
            </w:r>
            <w:r>
              <w:rPr>
                <w:rFonts w:hint="default" w:ascii="Times New Roman" w:hAnsi="Times New Roman" w:cs="Times New Roman"/>
                <w:bCs/>
                <w:color w:val="auto"/>
                <w:szCs w:val="24"/>
                <w:u w:val="none"/>
                <w:lang w:eastAsia="zh-CN"/>
              </w:rPr>
              <w:t>二都河</w:t>
            </w:r>
            <w:r>
              <w:rPr>
                <w:rFonts w:hint="default" w:ascii="Times New Roman" w:hAnsi="Times New Roman" w:cs="Times New Roman"/>
                <w:bCs/>
                <w:color w:val="auto"/>
                <w:szCs w:val="24"/>
                <w:u w:val="none"/>
              </w:rPr>
              <w:t>。</w:t>
            </w:r>
          </w:p>
          <w:p w14:paraId="6DAB0F69">
            <w:pPr>
              <w:pStyle w:val="27"/>
              <w:spacing w:before="0" w:beforeAutospacing="0" w:after="0" w:afterAutospacing="0" w:line="360" w:lineRule="auto"/>
              <w:ind w:firstLine="480" w:firstLineChars="200"/>
              <w:jc w:val="both"/>
              <w:rPr>
                <w:rFonts w:hint="default" w:ascii="Times New Roman" w:hAnsi="Times New Roman" w:cs="Times New Roman"/>
                <w:bCs/>
                <w:color w:val="auto"/>
                <w:kern w:val="2"/>
                <w:szCs w:val="24"/>
                <w:u w:val="none"/>
                <w:lang w:val="en-US" w:eastAsia="zh-CN"/>
              </w:rPr>
            </w:pPr>
            <w:r>
              <w:rPr>
                <w:rFonts w:hint="default" w:ascii="Times New Roman" w:hAnsi="Times New Roman" w:cs="Times New Roman"/>
                <w:bCs/>
                <w:color w:val="auto"/>
                <w:kern w:val="2"/>
                <w:szCs w:val="24"/>
                <w:u w:val="none"/>
                <w:lang w:val="en-US" w:eastAsia="zh-CN"/>
              </w:rPr>
              <w:t>龙潭镇污水处理厂位于龙潭镇莲荷村，占地6155.84m</w:t>
            </w:r>
            <w:r>
              <w:rPr>
                <w:rFonts w:hint="default" w:ascii="Times New Roman" w:hAnsi="Times New Roman" w:cs="Times New Roman"/>
                <w:bCs/>
                <w:color w:val="auto"/>
                <w:kern w:val="2"/>
                <w:szCs w:val="24"/>
                <w:u w:val="none"/>
                <w:vertAlign w:val="superscript"/>
                <w:lang w:val="en-US" w:eastAsia="zh-CN"/>
              </w:rPr>
              <w:t>2</w:t>
            </w:r>
            <w:r>
              <w:rPr>
                <w:rFonts w:hint="default" w:ascii="Times New Roman" w:hAnsi="Times New Roman" w:cs="Times New Roman"/>
                <w:bCs/>
                <w:color w:val="auto"/>
                <w:kern w:val="2"/>
                <w:szCs w:val="24"/>
                <w:u w:val="none"/>
                <w:lang w:val="en-US" w:eastAsia="zh-CN"/>
              </w:rPr>
              <w:t>，总投资1707.39万元，设计日处理城市生活污水</w:t>
            </w:r>
            <w:r>
              <w:rPr>
                <w:rFonts w:hint="eastAsia" w:ascii="Times New Roman" w:hAnsi="Times New Roman" w:cs="Times New Roman"/>
                <w:bCs/>
                <w:color w:val="auto"/>
                <w:kern w:val="2"/>
                <w:szCs w:val="24"/>
                <w:u w:val="none"/>
                <w:lang w:val="en-US" w:eastAsia="zh-CN"/>
              </w:rPr>
              <w:t>2500</w:t>
            </w:r>
            <w:r>
              <w:rPr>
                <w:rFonts w:hint="default" w:ascii="Times New Roman" w:hAnsi="Times New Roman" w:cs="Times New Roman"/>
                <w:bCs/>
                <w:color w:val="auto"/>
                <w:kern w:val="2"/>
                <w:szCs w:val="24"/>
                <w:u w:val="none"/>
                <w:lang w:val="en-US" w:eastAsia="zh-CN"/>
              </w:rPr>
              <w:t>m</w:t>
            </w:r>
            <w:r>
              <w:rPr>
                <w:rFonts w:hint="default" w:ascii="Times New Roman" w:hAnsi="Times New Roman" w:cs="Times New Roman"/>
                <w:bCs/>
                <w:color w:val="auto"/>
                <w:kern w:val="2"/>
                <w:szCs w:val="24"/>
                <w:u w:val="none"/>
                <w:vertAlign w:val="superscript"/>
                <w:lang w:val="en-US" w:eastAsia="zh-CN"/>
              </w:rPr>
              <w:t>3</w:t>
            </w:r>
            <w:r>
              <w:rPr>
                <w:rFonts w:hint="default" w:ascii="Times New Roman" w:hAnsi="Times New Roman" w:cs="Times New Roman"/>
                <w:bCs/>
                <w:color w:val="auto"/>
                <w:kern w:val="2"/>
                <w:szCs w:val="24"/>
                <w:u w:val="none"/>
                <w:lang w:val="en-US" w:eastAsia="zh-CN"/>
              </w:rPr>
              <w:t>/d，采用水解+A</w:t>
            </w:r>
            <w:r>
              <w:rPr>
                <w:rFonts w:hint="default" w:ascii="Times New Roman" w:hAnsi="Times New Roman" w:cs="Times New Roman"/>
                <w:bCs/>
                <w:color w:val="auto"/>
                <w:kern w:val="2"/>
                <w:szCs w:val="24"/>
                <w:u w:val="none"/>
                <w:vertAlign w:val="superscript"/>
                <w:lang w:val="en-US" w:eastAsia="zh-CN"/>
              </w:rPr>
              <w:t>2</w:t>
            </w:r>
            <w:r>
              <w:rPr>
                <w:rFonts w:hint="default" w:ascii="Times New Roman" w:hAnsi="Times New Roman" w:cs="Times New Roman"/>
                <w:bCs/>
                <w:color w:val="auto"/>
                <w:kern w:val="2"/>
                <w:szCs w:val="24"/>
                <w:u w:val="none"/>
                <w:lang w:val="en-US" w:eastAsia="zh-CN"/>
              </w:rPr>
              <w:t>O池+四阀滤池处理工艺，设计进水水质COD≤300mg/L、BOD</w:t>
            </w:r>
            <w:r>
              <w:rPr>
                <w:rFonts w:hint="default" w:ascii="Times New Roman" w:hAnsi="Times New Roman" w:cs="Times New Roman"/>
                <w:bCs/>
                <w:color w:val="auto"/>
                <w:kern w:val="2"/>
                <w:szCs w:val="24"/>
                <w:u w:val="none"/>
                <w:vertAlign w:val="subscript"/>
                <w:lang w:val="en-US" w:eastAsia="zh-CN"/>
              </w:rPr>
              <w:t>5</w:t>
            </w:r>
            <w:r>
              <w:rPr>
                <w:rFonts w:hint="default" w:ascii="Times New Roman" w:hAnsi="Times New Roman" w:cs="Times New Roman"/>
                <w:bCs/>
                <w:color w:val="auto"/>
                <w:kern w:val="2"/>
                <w:szCs w:val="24"/>
                <w:u w:val="none"/>
                <w:lang w:val="en-US" w:eastAsia="zh-CN"/>
              </w:rPr>
              <w:t>≤150mg/L、SS≤200mg/L、</w:t>
            </w:r>
            <w:r>
              <w:rPr>
                <w:rFonts w:hint="default" w:ascii="Times New Roman" w:hAnsi="Times New Roman" w:cs="Times New Roman"/>
                <w:bCs/>
                <w:color w:val="FF0000"/>
                <w:kern w:val="2"/>
                <w:szCs w:val="24"/>
                <w:u w:val="none"/>
                <w:lang w:val="en-US" w:eastAsia="zh-CN"/>
              </w:rPr>
              <w:t>TP≤</w:t>
            </w:r>
            <w:r>
              <w:rPr>
                <w:rFonts w:hint="eastAsia" w:ascii="Times New Roman" w:hAnsi="Times New Roman" w:cs="Times New Roman"/>
                <w:bCs/>
                <w:color w:val="FF0000"/>
                <w:kern w:val="2"/>
                <w:szCs w:val="24"/>
                <w:u w:val="none"/>
                <w:lang w:val="en-US" w:eastAsia="zh-CN"/>
              </w:rPr>
              <w:t>5</w:t>
            </w:r>
            <w:r>
              <w:rPr>
                <w:rFonts w:hint="default" w:ascii="Times New Roman" w:hAnsi="Times New Roman" w:cs="Times New Roman"/>
                <w:bCs/>
                <w:color w:val="FF0000"/>
                <w:kern w:val="2"/>
                <w:szCs w:val="24"/>
                <w:u w:val="none"/>
                <w:lang w:val="en-US" w:eastAsia="zh-CN"/>
              </w:rPr>
              <w:t>.0mg/L、TN≤</w:t>
            </w:r>
            <w:r>
              <w:rPr>
                <w:rFonts w:hint="eastAsia" w:ascii="Times New Roman" w:hAnsi="Times New Roman" w:cs="Times New Roman"/>
                <w:bCs/>
                <w:color w:val="FF0000"/>
                <w:kern w:val="2"/>
                <w:szCs w:val="24"/>
                <w:u w:val="none"/>
                <w:lang w:val="en-US" w:eastAsia="zh-CN"/>
              </w:rPr>
              <w:t>40</w:t>
            </w:r>
            <w:r>
              <w:rPr>
                <w:rFonts w:hint="default" w:ascii="Times New Roman" w:hAnsi="Times New Roman" w:cs="Times New Roman"/>
                <w:bCs/>
                <w:color w:val="FF0000"/>
                <w:kern w:val="2"/>
                <w:szCs w:val="24"/>
                <w:u w:val="none"/>
                <w:lang w:val="en-US" w:eastAsia="zh-CN"/>
              </w:rPr>
              <w:t>mg/L、NH</w:t>
            </w:r>
            <w:r>
              <w:rPr>
                <w:rFonts w:hint="default" w:ascii="Times New Roman" w:hAnsi="Times New Roman" w:cs="Times New Roman"/>
                <w:bCs/>
                <w:color w:val="FF0000"/>
                <w:kern w:val="2"/>
                <w:szCs w:val="24"/>
                <w:u w:val="none"/>
                <w:vertAlign w:val="subscript"/>
                <w:lang w:val="en-US" w:eastAsia="zh-CN"/>
              </w:rPr>
              <w:t>3</w:t>
            </w:r>
            <w:r>
              <w:rPr>
                <w:rFonts w:hint="default" w:ascii="Times New Roman" w:hAnsi="Times New Roman" w:cs="Times New Roman"/>
                <w:bCs/>
                <w:color w:val="FF0000"/>
                <w:kern w:val="2"/>
                <w:szCs w:val="24"/>
                <w:u w:val="none"/>
                <w:lang w:val="en-US" w:eastAsia="zh-CN"/>
              </w:rPr>
              <w:t>-N≤</w:t>
            </w:r>
            <w:r>
              <w:rPr>
                <w:rFonts w:hint="eastAsia" w:ascii="Times New Roman" w:hAnsi="Times New Roman" w:cs="Times New Roman"/>
                <w:bCs/>
                <w:color w:val="FF0000"/>
                <w:kern w:val="2"/>
                <w:szCs w:val="24"/>
                <w:u w:val="none"/>
                <w:lang w:val="en-US" w:eastAsia="zh-CN"/>
              </w:rPr>
              <w:t>3</w:t>
            </w:r>
            <w:r>
              <w:rPr>
                <w:rFonts w:hint="default" w:ascii="Times New Roman" w:hAnsi="Times New Roman" w:cs="Times New Roman"/>
                <w:bCs/>
                <w:color w:val="FF0000"/>
                <w:kern w:val="2"/>
                <w:szCs w:val="24"/>
                <w:u w:val="none"/>
                <w:lang w:val="en-US" w:eastAsia="zh-CN"/>
              </w:rPr>
              <w:t>0mg/L</w:t>
            </w:r>
            <w:r>
              <w:rPr>
                <w:rFonts w:hint="default" w:ascii="Times New Roman" w:hAnsi="Times New Roman" w:cs="Times New Roman"/>
                <w:bCs/>
                <w:color w:val="auto"/>
                <w:kern w:val="2"/>
                <w:szCs w:val="24"/>
                <w:u w:val="none"/>
                <w:lang w:val="en-US" w:eastAsia="zh-CN"/>
              </w:rPr>
              <w:t>。服务范围为龙潭镇现已建成城区内的生活污水，服务人口约28000人。</w:t>
            </w:r>
            <w:r>
              <w:rPr>
                <w:rFonts w:hint="eastAsia" w:ascii="Times New Roman" w:hAnsi="Times New Roman" w:cs="Times New Roman"/>
                <w:bCs/>
                <w:color w:val="auto"/>
                <w:kern w:val="2"/>
                <w:szCs w:val="24"/>
                <w:u w:val="none"/>
                <w:lang w:val="en-US" w:eastAsia="zh-CN"/>
              </w:rPr>
              <w:t>于2021年7月30取得环评批复，2022年11月完工通水调试，2024年2月完成竣工验收。</w:t>
            </w:r>
          </w:p>
          <w:p w14:paraId="6132AE91">
            <w:pPr>
              <w:pStyle w:val="82"/>
              <w:jc w:val="both"/>
              <w:rPr>
                <w:rFonts w:hint="default" w:ascii="Times New Roman" w:hAnsi="Times New Roman" w:cs="Times New Roman"/>
                <w:bCs/>
                <w:color w:val="auto"/>
                <w:szCs w:val="24"/>
                <w:u w:val="single"/>
              </w:rPr>
            </w:pPr>
            <w:r>
              <w:rPr>
                <w:rFonts w:hint="default" w:ascii="Times New Roman" w:hAnsi="Times New Roman" w:cs="Times New Roman"/>
                <w:bCs/>
                <w:color w:val="auto"/>
                <w:szCs w:val="24"/>
                <w:u w:val="none"/>
              </w:rPr>
              <w:t>本项目所在</w:t>
            </w:r>
            <w:r>
              <w:rPr>
                <w:rFonts w:hint="eastAsia" w:cs="Times New Roman"/>
                <w:bCs/>
                <w:color w:val="auto"/>
                <w:szCs w:val="24"/>
                <w:u w:val="none"/>
                <w:lang w:val="en-US" w:eastAsia="zh-CN"/>
              </w:rPr>
              <w:t>区域</w:t>
            </w:r>
            <w:r>
              <w:rPr>
                <w:rFonts w:hint="default" w:ascii="Times New Roman" w:hAnsi="Times New Roman" w:cs="Times New Roman"/>
                <w:bCs/>
                <w:color w:val="auto"/>
                <w:szCs w:val="24"/>
                <w:u w:val="none"/>
              </w:rPr>
              <w:t>属于龙潭镇污水处理厂的纳污范围其城市污水管网已建成投入使用</w:t>
            </w:r>
            <w:r>
              <w:rPr>
                <w:rFonts w:hint="eastAsia" w:ascii="Times New Roman" w:hAnsi="Times New Roman" w:cs="Times New Roman"/>
                <w:bCs/>
                <w:color w:val="auto"/>
                <w:szCs w:val="24"/>
                <w:u w:val="none"/>
                <w:lang w:eastAsia="zh-CN"/>
              </w:rPr>
              <w:t>，剩余容量约</w:t>
            </w:r>
            <w:r>
              <w:rPr>
                <w:rFonts w:hint="eastAsia" w:ascii="Times New Roman" w:hAnsi="Times New Roman" w:cs="Times New Roman"/>
                <w:bCs/>
                <w:color w:val="auto"/>
                <w:szCs w:val="24"/>
                <w:u w:val="none"/>
                <w:lang w:val="en-US" w:eastAsia="zh-CN"/>
              </w:rPr>
              <w:t>1000</w:t>
            </w:r>
            <w:r>
              <w:rPr>
                <w:rFonts w:hint="default" w:ascii="Times New Roman" w:hAnsi="Times New Roman" w:cs="Times New Roman"/>
                <w:bCs/>
                <w:color w:val="auto"/>
                <w:kern w:val="2"/>
                <w:szCs w:val="24"/>
                <w:u w:val="none"/>
                <w:lang w:val="en-US" w:eastAsia="zh-CN"/>
              </w:rPr>
              <w:t>m</w:t>
            </w:r>
            <w:r>
              <w:rPr>
                <w:rFonts w:hint="default" w:ascii="Times New Roman" w:hAnsi="Times New Roman" w:cs="Times New Roman"/>
                <w:bCs/>
                <w:color w:val="auto"/>
                <w:kern w:val="2"/>
                <w:szCs w:val="24"/>
                <w:u w:val="none"/>
                <w:vertAlign w:val="superscript"/>
                <w:lang w:val="en-US" w:eastAsia="zh-CN"/>
              </w:rPr>
              <w:t>3</w:t>
            </w:r>
            <w:r>
              <w:rPr>
                <w:rFonts w:hint="default" w:ascii="Times New Roman" w:hAnsi="Times New Roman" w:cs="Times New Roman"/>
                <w:bCs/>
                <w:color w:val="auto"/>
                <w:kern w:val="2"/>
                <w:szCs w:val="24"/>
                <w:u w:val="none"/>
                <w:lang w:val="en-US" w:eastAsia="zh-CN"/>
              </w:rPr>
              <w:t>/d</w:t>
            </w:r>
            <w:r>
              <w:rPr>
                <w:rFonts w:hint="default" w:ascii="Times New Roman" w:hAnsi="Times New Roman" w:cs="Times New Roman"/>
                <w:bCs/>
                <w:color w:val="auto"/>
                <w:szCs w:val="24"/>
                <w:u w:val="none"/>
              </w:rPr>
              <w:t>。本项目</w:t>
            </w:r>
            <w:r>
              <w:rPr>
                <w:rFonts w:hint="eastAsia" w:cs="Times New Roman"/>
                <w:bCs/>
                <w:color w:val="auto"/>
                <w:szCs w:val="24"/>
                <w:u w:val="none"/>
                <w:lang w:val="en-US" w:eastAsia="zh-CN"/>
              </w:rPr>
              <w:t>生活污水</w:t>
            </w:r>
            <w:r>
              <w:rPr>
                <w:rFonts w:hint="default" w:ascii="Times New Roman" w:hAnsi="Times New Roman" w:cs="Times New Roman"/>
                <w:bCs/>
                <w:color w:val="auto"/>
                <w:szCs w:val="24"/>
                <w:u w:val="none"/>
              </w:rPr>
              <w:t>排放量约</w:t>
            </w:r>
            <w:r>
              <w:rPr>
                <w:rFonts w:hint="eastAsia" w:cs="Times New Roman"/>
                <w:bCs/>
                <w:color w:val="auto"/>
                <w:szCs w:val="24"/>
                <w:highlight w:val="none"/>
                <w:u w:val="none"/>
                <w:lang w:val="en-US" w:eastAsia="zh-CN"/>
              </w:rPr>
              <w:t>27.15</w:t>
            </w:r>
            <w:r>
              <w:rPr>
                <w:rFonts w:hint="default" w:ascii="Times New Roman" w:hAnsi="Times New Roman" w:cs="Times New Roman"/>
                <w:bCs/>
                <w:color w:val="auto"/>
                <w:szCs w:val="24"/>
                <w:highlight w:val="none"/>
                <w:u w:val="none"/>
              </w:rPr>
              <w:t>m³/d，</w:t>
            </w:r>
            <w:r>
              <w:rPr>
                <w:rFonts w:hint="default" w:ascii="Times New Roman" w:hAnsi="Times New Roman" w:cs="Times New Roman"/>
                <w:bCs/>
                <w:color w:val="auto"/>
                <w:szCs w:val="24"/>
                <w:u w:val="none"/>
              </w:rPr>
              <w:t>从处理规模和现状分析，龙潭镇污水处理厂可以接纳本项目产生的</w:t>
            </w:r>
            <w:r>
              <w:rPr>
                <w:rFonts w:hint="default" w:ascii="Times New Roman" w:hAnsi="Times New Roman" w:cs="Times New Roman"/>
                <w:bCs/>
                <w:color w:val="auto"/>
                <w:szCs w:val="24"/>
                <w:u w:val="none"/>
                <w:lang w:eastAsia="zh-CN"/>
              </w:rPr>
              <w:t>综合污水</w:t>
            </w:r>
            <w:r>
              <w:rPr>
                <w:rFonts w:hint="default" w:ascii="Times New Roman" w:hAnsi="Times New Roman" w:cs="Times New Roman"/>
                <w:bCs/>
                <w:color w:val="auto"/>
                <w:szCs w:val="24"/>
                <w:u w:val="none"/>
              </w:rPr>
              <w:t>。</w:t>
            </w:r>
            <w:r>
              <w:rPr>
                <w:rFonts w:hint="default" w:ascii="Times New Roman" w:hAnsi="Times New Roman" w:cs="Times New Roman"/>
                <w:bCs/>
                <w:color w:val="auto"/>
                <w:szCs w:val="24"/>
                <w:u w:val="single"/>
              </w:rPr>
              <w:t>本项目</w:t>
            </w:r>
            <w:r>
              <w:rPr>
                <w:rFonts w:hint="default" w:ascii="Times New Roman" w:hAnsi="Times New Roman" w:cs="Times New Roman"/>
                <w:bCs/>
                <w:color w:val="auto"/>
                <w:szCs w:val="24"/>
                <w:u w:val="single"/>
                <w:lang w:eastAsia="zh-CN"/>
              </w:rPr>
              <w:t>综合污水</w:t>
            </w:r>
            <w:r>
              <w:rPr>
                <w:rFonts w:hint="default" w:ascii="Times New Roman" w:hAnsi="Times New Roman" w:cs="Times New Roman"/>
                <w:bCs/>
                <w:color w:val="auto"/>
                <w:szCs w:val="24"/>
                <w:u w:val="single"/>
              </w:rPr>
              <w:t>满足龙潭镇污水处理厂设计进水水质要求</w:t>
            </w:r>
            <w:r>
              <w:rPr>
                <w:rFonts w:hint="eastAsia" w:cs="Times New Roman"/>
                <w:bCs/>
                <w:color w:val="auto"/>
                <w:szCs w:val="24"/>
                <w:u w:val="single"/>
                <w:lang w:eastAsia="zh-CN"/>
              </w:rPr>
              <w:t>，</w:t>
            </w:r>
            <w:r>
              <w:rPr>
                <w:rFonts w:hint="eastAsia" w:cs="Times New Roman"/>
                <w:bCs/>
                <w:color w:val="auto"/>
                <w:szCs w:val="24"/>
                <w:u w:val="single"/>
                <w:lang w:val="en-US" w:eastAsia="zh-CN"/>
              </w:rPr>
              <w:t>且溆浦县龙潭镇人民政府出具了本项目运营期产生的污水可进入龙潭镇污水处理厂的纳污证明，详见附件8</w:t>
            </w:r>
            <w:r>
              <w:rPr>
                <w:rFonts w:hint="default" w:ascii="Times New Roman" w:hAnsi="Times New Roman" w:cs="Times New Roman"/>
                <w:bCs/>
                <w:color w:val="auto"/>
                <w:szCs w:val="24"/>
                <w:u w:val="single"/>
              </w:rPr>
              <w:t>。</w:t>
            </w:r>
          </w:p>
          <w:p w14:paraId="7AC2A345">
            <w:pPr>
              <w:pStyle w:val="82"/>
              <w:rPr>
                <w:rFonts w:hint="default" w:ascii="Times New Roman" w:hAnsi="Times New Roman" w:cs="Times New Roman"/>
                <w:bCs/>
                <w:color w:val="auto"/>
                <w:szCs w:val="24"/>
                <w:u w:val="none"/>
              </w:rPr>
            </w:pPr>
            <w:r>
              <w:rPr>
                <w:rFonts w:hint="default" w:ascii="Times New Roman" w:hAnsi="Times New Roman" w:cs="Times New Roman"/>
                <w:bCs/>
                <w:color w:val="auto"/>
                <w:szCs w:val="24"/>
                <w:u w:val="none"/>
              </w:rPr>
              <w:t>综上所述，本项目污水依托龙潭镇污水处理厂处理是可行的。</w:t>
            </w:r>
          </w:p>
          <w:p w14:paraId="0CFFF72B">
            <w:pPr>
              <w:spacing w:line="360" w:lineRule="auto"/>
              <w:ind w:firstLine="422" w:firstLineChars="200"/>
              <w:rPr>
                <w:b/>
                <w:bCs/>
                <w:snapToGrid w:val="0"/>
                <w:color w:val="auto"/>
                <w:kern w:val="0"/>
                <w:sz w:val="24"/>
              </w:rPr>
            </w:pPr>
            <w:r>
              <w:rPr>
                <w:rFonts w:hint="eastAsia" w:cs="Times New Roman"/>
                <w:b/>
                <w:color w:val="auto"/>
                <w:szCs w:val="24"/>
                <w:lang w:eastAsia="zh-CN"/>
              </w:rPr>
              <w:t>（</w:t>
            </w:r>
            <w:r>
              <w:rPr>
                <w:rFonts w:hint="eastAsia" w:cs="Times New Roman"/>
                <w:b/>
                <w:color w:val="auto"/>
                <w:szCs w:val="24"/>
                <w:lang w:val="en-US" w:eastAsia="zh-CN"/>
              </w:rPr>
              <w:t>4</w:t>
            </w:r>
            <w:r>
              <w:rPr>
                <w:rFonts w:hint="eastAsia" w:cs="Times New Roman"/>
                <w:b/>
                <w:color w:val="auto"/>
                <w:szCs w:val="24"/>
                <w:lang w:eastAsia="zh-CN"/>
              </w:rPr>
              <w:t>）</w:t>
            </w:r>
            <w:r>
              <w:rPr>
                <w:b/>
                <w:bCs/>
                <w:snapToGrid w:val="0"/>
                <w:color w:val="auto"/>
                <w:kern w:val="0"/>
                <w:sz w:val="24"/>
              </w:rPr>
              <w:t>项目废水污染物排放信息表</w:t>
            </w:r>
          </w:p>
          <w:p w14:paraId="73A78AA9">
            <w:pPr>
              <w:autoSpaceDE w:val="0"/>
              <w:autoSpaceDN w:val="0"/>
              <w:jc w:val="center"/>
              <w:rPr>
                <w:b/>
                <w:bCs/>
                <w:color w:val="auto"/>
                <w:sz w:val="24"/>
              </w:rPr>
            </w:pPr>
            <w:r>
              <w:rPr>
                <w:b/>
                <w:bCs/>
                <w:color w:val="auto"/>
                <w:sz w:val="24"/>
              </w:rPr>
              <w:t>表4</w:t>
            </w:r>
            <w:r>
              <w:rPr>
                <w:rFonts w:hint="eastAsia"/>
                <w:b/>
                <w:bCs/>
                <w:color w:val="auto"/>
                <w:sz w:val="24"/>
              </w:rPr>
              <w:t>-</w:t>
            </w:r>
            <w:r>
              <w:rPr>
                <w:rFonts w:hint="eastAsia"/>
                <w:b/>
                <w:bCs/>
                <w:color w:val="auto"/>
                <w:sz w:val="24"/>
                <w:lang w:val="en-US" w:eastAsia="zh-CN"/>
              </w:rPr>
              <w:t>2</w:t>
            </w:r>
            <w:r>
              <w:rPr>
                <w:rFonts w:hint="eastAsia"/>
                <w:b/>
                <w:bCs/>
                <w:color w:val="auto"/>
                <w:sz w:val="24"/>
              </w:rPr>
              <w:t xml:space="preserve">   </w:t>
            </w:r>
            <w:r>
              <w:rPr>
                <w:b/>
                <w:bCs/>
                <w:color w:val="auto"/>
                <w:sz w:val="24"/>
              </w:rPr>
              <w:t>废水类别、污染物及污染治理设施信息表</w:t>
            </w:r>
          </w:p>
          <w:tbl>
            <w:tblPr>
              <w:tblStyle w:val="32"/>
              <w:tblW w:w="78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6"/>
              <w:gridCol w:w="744"/>
              <w:gridCol w:w="1175"/>
              <w:gridCol w:w="712"/>
              <w:gridCol w:w="675"/>
              <w:gridCol w:w="613"/>
              <w:gridCol w:w="1005"/>
              <w:gridCol w:w="971"/>
              <w:gridCol w:w="848"/>
              <w:gridCol w:w="726"/>
            </w:tblGrid>
            <w:tr w14:paraId="4F98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386" w:type="dxa"/>
                  <w:vMerge w:val="restart"/>
                  <w:noWrap w:val="0"/>
                  <w:vAlign w:val="center"/>
                </w:tcPr>
                <w:p w14:paraId="361CBCFA">
                  <w:pPr>
                    <w:jc w:val="center"/>
                    <w:rPr>
                      <w:color w:val="auto"/>
                      <w:sz w:val="21"/>
                      <w:szCs w:val="21"/>
                    </w:rPr>
                  </w:pPr>
                  <w:r>
                    <w:rPr>
                      <w:color w:val="auto"/>
                      <w:sz w:val="21"/>
                      <w:szCs w:val="21"/>
                    </w:rPr>
                    <w:t>序号</w:t>
                  </w:r>
                </w:p>
              </w:tc>
              <w:tc>
                <w:tcPr>
                  <w:tcW w:w="744" w:type="dxa"/>
                  <w:vMerge w:val="restart"/>
                  <w:noWrap w:val="0"/>
                  <w:vAlign w:val="center"/>
                </w:tcPr>
                <w:p w14:paraId="520B9473">
                  <w:pPr>
                    <w:jc w:val="center"/>
                    <w:rPr>
                      <w:color w:val="auto"/>
                      <w:sz w:val="21"/>
                      <w:szCs w:val="21"/>
                    </w:rPr>
                  </w:pPr>
                  <w:r>
                    <w:rPr>
                      <w:color w:val="auto"/>
                      <w:sz w:val="21"/>
                      <w:szCs w:val="21"/>
                    </w:rPr>
                    <w:t>废水类别</w:t>
                  </w:r>
                </w:p>
              </w:tc>
              <w:tc>
                <w:tcPr>
                  <w:tcW w:w="1175" w:type="dxa"/>
                  <w:vMerge w:val="restart"/>
                  <w:noWrap w:val="0"/>
                  <w:vAlign w:val="center"/>
                </w:tcPr>
                <w:p w14:paraId="05AE82F8">
                  <w:pPr>
                    <w:jc w:val="center"/>
                    <w:rPr>
                      <w:color w:val="auto"/>
                      <w:sz w:val="21"/>
                      <w:szCs w:val="21"/>
                    </w:rPr>
                  </w:pPr>
                  <w:r>
                    <w:rPr>
                      <w:color w:val="auto"/>
                      <w:sz w:val="21"/>
                      <w:szCs w:val="21"/>
                    </w:rPr>
                    <w:t>污染物种类</w:t>
                  </w:r>
                </w:p>
              </w:tc>
              <w:tc>
                <w:tcPr>
                  <w:tcW w:w="712" w:type="dxa"/>
                  <w:vMerge w:val="restart"/>
                  <w:noWrap w:val="0"/>
                  <w:vAlign w:val="center"/>
                </w:tcPr>
                <w:p w14:paraId="1FAF1B96">
                  <w:pPr>
                    <w:jc w:val="center"/>
                    <w:rPr>
                      <w:color w:val="auto"/>
                      <w:sz w:val="21"/>
                      <w:szCs w:val="21"/>
                    </w:rPr>
                  </w:pPr>
                  <w:r>
                    <w:rPr>
                      <w:color w:val="auto"/>
                      <w:sz w:val="21"/>
                      <w:szCs w:val="21"/>
                    </w:rPr>
                    <w:t>排放去向</w:t>
                  </w:r>
                </w:p>
              </w:tc>
              <w:tc>
                <w:tcPr>
                  <w:tcW w:w="675" w:type="dxa"/>
                  <w:vMerge w:val="restart"/>
                  <w:noWrap w:val="0"/>
                  <w:vAlign w:val="center"/>
                </w:tcPr>
                <w:p w14:paraId="61FB8DE1">
                  <w:pPr>
                    <w:pStyle w:val="82"/>
                    <w:spacing w:line="240" w:lineRule="auto"/>
                    <w:ind w:firstLine="0" w:firstLineChars="0"/>
                    <w:jc w:val="center"/>
                    <w:rPr>
                      <w:color w:val="auto"/>
                      <w:sz w:val="21"/>
                      <w:szCs w:val="21"/>
                    </w:rPr>
                  </w:pPr>
                  <w:r>
                    <w:rPr>
                      <w:rFonts w:hint="default" w:ascii="Times New Roman" w:hAnsi="Times New Roman" w:cs="Times New Roman"/>
                      <w:bCs/>
                      <w:color w:val="auto"/>
                      <w:sz w:val="21"/>
                      <w:szCs w:val="21"/>
                      <w:highlight w:val="none"/>
                    </w:rPr>
                    <w:t>纳污水体</w:t>
                  </w:r>
                </w:p>
              </w:tc>
              <w:tc>
                <w:tcPr>
                  <w:tcW w:w="613" w:type="dxa"/>
                  <w:vMerge w:val="restart"/>
                  <w:noWrap w:val="0"/>
                  <w:vAlign w:val="center"/>
                </w:tcPr>
                <w:p w14:paraId="5DDFBCB5">
                  <w:pPr>
                    <w:jc w:val="center"/>
                    <w:rPr>
                      <w:color w:val="auto"/>
                      <w:sz w:val="21"/>
                      <w:szCs w:val="21"/>
                    </w:rPr>
                  </w:pPr>
                  <w:r>
                    <w:rPr>
                      <w:color w:val="auto"/>
                      <w:sz w:val="21"/>
                      <w:szCs w:val="21"/>
                    </w:rPr>
                    <w:t>排放规律</w:t>
                  </w:r>
                </w:p>
              </w:tc>
              <w:tc>
                <w:tcPr>
                  <w:tcW w:w="2824" w:type="dxa"/>
                  <w:gridSpan w:val="3"/>
                  <w:noWrap w:val="0"/>
                  <w:vAlign w:val="center"/>
                </w:tcPr>
                <w:p w14:paraId="56B8F44F">
                  <w:pPr>
                    <w:jc w:val="center"/>
                    <w:rPr>
                      <w:color w:val="auto"/>
                      <w:sz w:val="21"/>
                      <w:szCs w:val="21"/>
                    </w:rPr>
                  </w:pPr>
                  <w:r>
                    <w:rPr>
                      <w:color w:val="auto"/>
                      <w:sz w:val="21"/>
                      <w:szCs w:val="21"/>
                    </w:rPr>
                    <w:t>污染治理设施</w:t>
                  </w:r>
                </w:p>
              </w:tc>
              <w:tc>
                <w:tcPr>
                  <w:tcW w:w="726" w:type="dxa"/>
                  <w:vMerge w:val="restart"/>
                  <w:noWrap w:val="0"/>
                  <w:vAlign w:val="center"/>
                </w:tcPr>
                <w:p w14:paraId="26741439">
                  <w:pPr>
                    <w:jc w:val="center"/>
                    <w:rPr>
                      <w:color w:val="auto"/>
                      <w:sz w:val="21"/>
                      <w:szCs w:val="21"/>
                    </w:rPr>
                  </w:pPr>
                  <w:r>
                    <w:rPr>
                      <w:color w:val="auto"/>
                      <w:sz w:val="21"/>
                      <w:szCs w:val="21"/>
                    </w:rPr>
                    <w:t>排放口类型</w:t>
                  </w:r>
                </w:p>
              </w:tc>
            </w:tr>
            <w:tr w14:paraId="47834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386" w:type="dxa"/>
                  <w:vMerge w:val="continue"/>
                  <w:noWrap w:val="0"/>
                  <w:vAlign w:val="center"/>
                </w:tcPr>
                <w:p w14:paraId="40B86F1F">
                  <w:pPr>
                    <w:jc w:val="center"/>
                    <w:rPr>
                      <w:color w:val="auto"/>
                      <w:sz w:val="21"/>
                      <w:szCs w:val="21"/>
                    </w:rPr>
                  </w:pPr>
                </w:p>
              </w:tc>
              <w:tc>
                <w:tcPr>
                  <w:tcW w:w="744" w:type="dxa"/>
                  <w:vMerge w:val="continue"/>
                  <w:noWrap w:val="0"/>
                  <w:vAlign w:val="center"/>
                </w:tcPr>
                <w:p w14:paraId="7E7B39C3">
                  <w:pPr>
                    <w:jc w:val="center"/>
                    <w:rPr>
                      <w:color w:val="auto"/>
                      <w:sz w:val="21"/>
                      <w:szCs w:val="21"/>
                    </w:rPr>
                  </w:pPr>
                </w:p>
              </w:tc>
              <w:tc>
                <w:tcPr>
                  <w:tcW w:w="1175" w:type="dxa"/>
                  <w:vMerge w:val="continue"/>
                  <w:noWrap w:val="0"/>
                  <w:vAlign w:val="center"/>
                </w:tcPr>
                <w:p w14:paraId="163C95BE">
                  <w:pPr>
                    <w:jc w:val="center"/>
                    <w:rPr>
                      <w:color w:val="auto"/>
                      <w:sz w:val="21"/>
                      <w:szCs w:val="21"/>
                    </w:rPr>
                  </w:pPr>
                </w:p>
              </w:tc>
              <w:tc>
                <w:tcPr>
                  <w:tcW w:w="712" w:type="dxa"/>
                  <w:vMerge w:val="continue"/>
                  <w:noWrap w:val="0"/>
                  <w:vAlign w:val="center"/>
                </w:tcPr>
                <w:p w14:paraId="0D37ADBE">
                  <w:pPr>
                    <w:jc w:val="center"/>
                    <w:rPr>
                      <w:color w:val="auto"/>
                      <w:sz w:val="21"/>
                      <w:szCs w:val="21"/>
                    </w:rPr>
                  </w:pPr>
                </w:p>
              </w:tc>
              <w:tc>
                <w:tcPr>
                  <w:tcW w:w="675" w:type="dxa"/>
                  <w:vMerge w:val="continue"/>
                  <w:noWrap w:val="0"/>
                  <w:vAlign w:val="center"/>
                </w:tcPr>
                <w:p w14:paraId="563849F6">
                  <w:pPr>
                    <w:pStyle w:val="82"/>
                    <w:spacing w:line="240" w:lineRule="auto"/>
                    <w:ind w:firstLine="0" w:firstLineChars="0"/>
                    <w:jc w:val="center"/>
                    <w:rPr>
                      <w:color w:val="auto"/>
                      <w:sz w:val="21"/>
                      <w:szCs w:val="21"/>
                    </w:rPr>
                  </w:pPr>
                </w:p>
              </w:tc>
              <w:tc>
                <w:tcPr>
                  <w:tcW w:w="613" w:type="dxa"/>
                  <w:vMerge w:val="continue"/>
                  <w:noWrap w:val="0"/>
                  <w:vAlign w:val="center"/>
                </w:tcPr>
                <w:p w14:paraId="10D8F0C6">
                  <w:pPr>
                    <w:jc w:val="center"/>
                    <w:rPr>
                      <w:color w:val="auto"/>
                      <w:sz w:val="21"/>
                      <w:szCs w:val="21"/>
                    </w:rPr>
                  </w:pPr>
                </w:p>
              </w:tc>
              <w:tc>
                <w:tcPr>
                  <w:tcW w:w="1005" w:type="dxa"/>
                  <w:noWrap w:val="0"/>
                  <w:vAlign w:val="center"/>
                </w:tcPr>
                <w:p w14:paraId="05B0B41A">
                  <w:pPr>
                    <w:jc w:val="center"/>
                    <w:rPr>
                      <w:color w:val="auto"/>
                      <w:sz w:val="21"/>
                      <w:szCs w:val="21"/>
                    </w:rPr>
                  </w:pPr>
                  <w:r>
                    <w:rPr>
                      <w:color w:val="auto"/>
                      <w:sz w:val="21"/>
                      <w:szCs w:val="21"/>
                    </w:rPr>
                    <w:t>污染治理设施名称</w:t>
                  </w:r>
                </w:p>
              </w:tc>
              <w:tc>
                <w:tcPr>
                  <w:tcW w:w="971" w:type="dxa"/>
                  <w:noWrap w:val="0"/>
                  <w:vAlign w:val="center"/>
                </w:tcPr>
                <w:p w14:paraId="0FD2E35D">
                  <w:pPr>
                    <w:jc w:val="center"/>
                    <w:rPr>
                      <w:color w:val="auto"/>
                      <w:sz w:val="21"/>
                      <w:szCs w:val="21"/>
                    </w:rPr>
                  </w:pPr>
                  <w:r>
                    <w:rPr>
                      <w:color w:val="auto"/>
                      <w:sz w:val="21"/>
                      <w:szCs w:val="21"/>
                    </w:rPr>
                    <w:t>污染治理设施工艺</w:t>
                  </w:r>
                </w:p>
              </w:tc>
              <w:tc>
                <w:tcPr>
                  <w:tcW w:w="848" w:type="dxa"/>
                  <w:noWrap w:val="0"/>
                  <w:vAlign w:val="center"/>
                </w:tcPr>
                <w:p w14:paraId="02A65C94">
                  <w:pPr>
                    <w:jc w:val="center"/>
                    <w:rPr>
                      <w:color w:val="auto"/>
                      <w:sz w:val="21"/>
                      <w:szCs w:val="21"/>
                    </w:rPr>
                  </w:pPr>
                  <w:r>
                    <w:rPr>
                      <w:color w:val="auto"/>
                      <w:sz w:val="21"/>
                      <w:szCs w:val="21"/>
                    </w:rPr>
                    <w:t>是否为可行技术</w:t>
                  </w:r>
                </w:p>
              </w:tc>
              <w:tc>
                <w:tcPr>
                  <w:tcW w:w="726" w:type="dxa"/>
                  <w:vMerge w:val="continue"/>
                  <w:noWrap w:val="0"/>
                  <w:vAlign w:val="center"/>
                </w:tcPr>
                <w:p w14:paraId="326CCD34">
                  <w:pPr>
                    <w:jc w:val="center"/>
                    <w:rPr>
                      <w:color w:val="auto"/>
                      <w:sz w:val="21"/>
                      <w:szCs w:val="21"/>
                    </w:rPr>
                  </w:pPr>
                </w:p>
              </w:tc>
            </w:tr>
            <w:tr w14:paraId="30072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386" w:type="dxa"/>
                  <w:noWrap w:val="0"/>
                  <w:vAlign w:val="center"/>
                </w:tcPr>
                <w:p w14:paraId="23DAF4F6">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744" w:type="dxa"/>
                  <w:noWrap w:val="0"/>
                  <w:vAlign w:val="center"/>
                </w:tcPr>
                <w:p w14:paraId="3311D2EF">
                  <w:pPr>
                    <w:jc w:val="center"/>
                    <w:rPr>
                      <w:rFonts w:hint="default"/>
                      <w:color w:val="auto"/>
                      <w:sz w:val="21"/>
                      <w:szCs w:val="21"/>
                      <w:lang w:val="en-US" w:eastAsia="zh-CN"/>
                    </w:rPr>
                  </w:pPr>
                  <w:r>
                    <w:rPr>
                      <w:rFonts w:hint="eastAsia"/>
                      <w:color w:val="auto"/>
                      <w:sz w:val="21"/>
                      <w:szCs w:val="21"/>
                      <w:lang w:val="en-US" w:eastAsia="zh-CN"/>
                    </w:rPr>
                    <w:t>综合废水</w:t>
                  </w:r>
                </w:p>
              </w:tc>
              <w:tc>
                <w:tcPr>
                  <w:tcW w:w="1175" w:type="dxa"/>
                  <w:noWrap w:val="0"/>
                  <w:vAlign w:val="center"/>
                </w:tcPr>
                <w:p w14:paraId="4E58FCE8">
                  <w:pPr>
                    <w:jc w:val="center"/>
                    <w:rPr>
                      <w:rFonts w:hint="eastAsia" w:eastAsia="宋体"/>
                      <w:color w:val="auto"/>
                      <w:sz w:val="21"/>
                      <w:szCs w:val="21"/>
                      <w:lang w:val="en-US" w:eastAsia="zh-CN"/>
                    </w:rPr>
                  </w:pPr>
                  <w:r>
                    <w:rPr>
                      <w:rFonts w:hint="eastAsia" w:ascii="Times New Roman" w:hAnsi="Times New Roman" w:cs="Times New Roman"/>
                      <w:bCs/>
                      <w:color w:val="auto"/>
                      <w:sz w:val="21"/>
                      <w:szCs w:val="21"/>
                      <w:lang w:val="en-US" w:eastAsia="zh-CN"/>
                    </w:rPr>
                    <w:t>PH、</w:t>
                  </w:r>
                  <w:r>
                    <w:rPr>
                      <w:rFonts w:hint="default" w:ascii="Times New Roman" w:hAnsi="Times New Roman" w:cs="Times New Roman"/>
                      <w:bCs/>
                      <w:color w:val="auto"/>
                      <w:sz w:val="21"/>
                      <w:szCs w:val="21"/>
                    </w:rPr>
                    <w:t>COD、BOD</w:t>
                  </w:r>
                  <w:r>
                    <w:rPr>
                      <w:rFonts w:hint="default" w:ascii="Times New Roman" w:hAnsi="Times New Roman" w:cs="Times New Roman"/>
                      <w:bCs/>
                      <w:color w:val="auto"/>
                      <w:sz w:val="21"/>
                      <w:szCs w:val="21"/>
                      <w:vertAlign w:val="subscript"/>
                    </w:rPr>
                    <w:t>5</w:t>
                  </w:r>
                  <w:r>
                    <w:rPr>
                      <w:rFonts w:hint="default" w:ascii="Times New Roman" w:hAnsi="Times New Roman" w:cs="Times New Roman"/>
                      <w:bCs/>
                      <w:color w:val="auto"/>
                      <w:sz w:val="21"/>
                      <w:szCs w:val="21"/>
                    </w:rPr>
                    <w:t>、SS、氨氮</w:t>
                  </w:r>
                  <w:r>
                    <w:rPr>
                      <w:rFonts w:hint="eastAsia" w:cs="Times New Roman"/>
                      <w:bCs/>
                      <w:color w:val="auto"/>
                      <w:sz w:val="21"/>
                      <w:szCs w:val="21"/>
                      <w:lang w:eastAsia="zh-CN"/>
                    </w:rPr>
                    <w:t>、</w:t>
                  </w:r>
                  <w:r>
                    <w:rPr>
                      <w:rFonts w:hint="default" w:ascii="Times New Roman" w:hAnsi="Times New Roman" w:cs="Times New Roman"/>
                      <w:bCs/>
                      <w:color w:val="auto"/>
                      <w:kern w:val="2"/>
                      <w:szCs w:val="24"/>
                      <w:u w:val="none"/>
                      <w:lang w:val="en-US" w:eastAsia="zh-CN"/>
                    </w:rPr>
                    <w:t>TP</w:t>
                  </w:r>
                  <w:r>
                    <w:rPr>
                      <w:rFonts w:hint="eastAsia" w:ascii="Times New Roman" w:hAnsi="Times New Roman" w:cs="Times New Roman"/>
                      <w:bCs/>
                      <w:color w:val="auto"/>
                      <w:kern w:val="2"/>
                      <w:szCs w:val="24"/>
                      <w:u w:val="none"/>
                      <w:lang w:val="en-US" w:eastAsia="zh-CN"/>
                    </w:rPr>
                    <w:t>、</w:t>
                  </w:r>
                  <w:r>
                    <w:rPr>
                      <w:rFonts w:hint="default" w:ascii="Times New Roman" w:hAnsi="Times New Roman" w:cs="Times New Roman"/>
                      <w:bCs/>
                      <w:color w:val="auto"/>
                      <w:kern w:val="2"/>
                      <w:szCs w:val="24"/>
                      <w:u w:val="none"/>
                      <w:lang w:val="en-US" w:eastAsia="zh-CN"/>
                    </w:rPr>
                    <w:t>TN</w:t>
                  </w:r>
                </w:p>
              </w:tc>
              <w:tc>
                <w:tcPr>
                  <w:tcW w:w="712" w:type="dxa"/>
                  <w:noWrap w:val="0"/>
                  <w:vAlign w:val="center"/>
                </w:tcPr>
                <w:p w14:paraId="23355D96">
                  <w:pPr>
                    <w:jc w:val="center"/>
                    <w:rPr>
                      <w:rFonts w:hint="eastAsia" w:eastAsia="宋体"/>
                      <w:color w:val="auto"/>
                      <w:sz w:val="21"/>
                      <w:szCs w:val="21"/>
                      <w:lang w:eastAsia="zh-CN"/>
                    </w:rPr>
                  </w:pPr>
                  <w:r>
                    <w:rPr>
                      <w:rFonts w:hint="default" w:ascii="Times New Roman" w:hAnsi="Times New Roman" w:cs="Times New Roman"/>
                      <w:bCs/>
                      <w:color w:val="auto"/>
                      <w:sz w:val="21"/>
                      <w:szCs w:val="21"/>
                      <w:lang w:eastAsia="zh-CN"/>
                    </w:rPr>
                    <w:t>龙潭镇</w:t>
                  </w:r>
                  <w:r>
                    <w:rPr>
                      <w:rFonts w:hint="default" w:ascii="Times New Roman" w:hAnsi="Times New Roman" w:cs="Times New Roman"/>
                      <w:bCs/>
                      <w:color w:val="auto"/>
                      <w:sz w:val="21"/>
                      <w:szCs w:val="21"/>
                    </w:rPr>
                    <w:t>污水处理厂</w:t>
                  </w:r>
                </w:p>
              </w:tc>
              <w:tc>
                <w:tcPr>
                  <w:tcW w:w="675" w:type="dxa"/>
                  <w:noWrap w:val="0"/>
                  <w:vAlign w:val="center"/>
                </w:tcPr>
                <w:p w14:paraId="5D013DB5">
                  <w:pPr>
                    <w:pStyle w:val="82"/>
                    <w:spacing w:line="240" w:lineRule="auto"/>
                    <w:ind w:firstLine="0" w:firstLineChars="0"/>
                    <w:jc w:val="center"/>
                    <w:rPr>
                      <w:rFonts w:hint="default" w:ascii="Times New Roman" w:hAnsi="Times New Roman" w:cs="Times New Roman"/>
                      <w:bCs/>
                      <w:color w:val="auto"/>
                      <w:sz w:val="21"/>
                      <w:szCs w:val="21"/>
                      <w:lang w:eastAsia="zh-CN"/>
                    </w:rPr>
                  </w:pPr>
                  <w:r>
                    <w:rPr>
                      <w:rFonts w:hint="default" w:ascii="Times New Roman" w:hAnsi="Times New Roman" w:eastAsia="宋体" w:cs="Times New Roman"/>
                      <w:bCs/>
                      <w:color w:val="auto"/>
                      <w:sz w:val="21"/>
                      <w:szCs w:val="21"/>
                      <w:highlight w:val="none"/>
                      <w:lang w:eastAsia="zh-CN"/>
                    </w:rPr>
                    <w:t>二都河</w:t>
                  </w:r>
                </w:p>
              </w:tc>
              <w:tc>
                <w:tcPr>
                  <w:tcW w:w="613" w:type="dxa"/>
                  <w:noWrap w:val="0"/>
                  <w:vAlign w:val="center"/>
                </w:tcPr>
                <w:p w14:paraId="17219FC8">
                  <w:pPr>
                    <w:jc w:val="center"/>
                    <w:rPr>
                      <w:color w:val="auto"/>
                      <w:sz w:val="21"/>
                      <w:szCs w:val="21"/>
                    </w:rPr>
                  </w:pPr>
                  <w:r>
                    <w:rPr>
                      <w:color w:val="auto"/>
                      <w:sz w:val="21"/>
                      <w:szCs w:val="21"/>
                    </w:rPr>
                    <w:t>/</w:t>
                  </w:r>
                </w:p>
              </w:tc>
              <w:tc>
                <w:tcPr>
                  <w:tcW w:w="1005" w:type="dxa"/>
                  <w:noWrap w:val="0"/>
                  <w:vAlign w:val="center"/>
                </w:tcPr>
                <w:p w14:paraId="4C991618">
                  <w:pPr>
                    <w:jc w:val="center"/>
                    <w:rPr>
                      <w:rFonts w:hint="default" w:eastAsia="宋体"/>
                      <w:color w:val="auto"/>
                      <w:sz w:val="21"/>
                      <w:szCs w:val="21"/>
                      <w:lang w:val="en-US" w:eastAsia="zh-CN"/>
                    </w:rPr>
                  </w:pPr>
                  <w:r>
                    <w:rPr>
                      <w:color w:val="auto"/>
                      <w:sz w:val="21"/>
                      <w:szCs w:val="21"/>
                    </w:rPr>
                    <w:t>化粪池</w:t>
                  </w:r>
                  <w:r>
                    <w:rPr>
                      <w:rFonts w:hint="eastAsia"/>
                      <w:color w:val="auto"/>
                      <w:sz w:val="21"/>
                      <w:szCs w:val="21"/>
                      <w:lang w:eastAsia="zh-CN"/>
                    </w:rPr>
                    <w:t>、</w:t>
                  </w:r>
                  <w:r>
                    <w:rPr>
                      <w:rFonts w:hint="eastAsia"/>
                      <w:color w:val="auto"/>
                      <w:sz w:val="21"/>
                      <w:szCs w:val="21"/>
                      <w:lang w:val="en-US" w:eastAsia="zh-CN"/>
                    </w:rPr>
                    <w:t>三级沉淀池</w:t>
                  </w:r>
                </w:p>
              </w:tc>
              <w:tc>
                <w:tcPr>
                  <w:tcW w:w="971" w:type="dxa"/>
                  <w:noWrap w:val="0"/>
                  <w:vAlign w:val="center"/>
                </w:tcPr>
                <w:p w14:paraId="412ECA36">
                  <w:pPr>
                    <w:jc w:val="center"/>
                    <w:rPr>
                      <w:rFonts w:hint="default" w:eastAsia="宋体"/>
                      <w:color w:val="auto"/>
                      <w:sz w:val="21"/>
                      <w:szCs w:val="21"/>
                      <w:lang w:val="en-US" w:eastAsia="zh-CN"/>
                    </w:rPr>
                  </w:pPr>
                  <w:r>
                    <w:rPr>
                      <w:color w:val="auto"/>
                      <w:sz w:val="21"/>
                      <w:szCs w:val="21"/>
                    </w:rPr>
                    <w:t>厌氧</w:t>
                  </w:r>
                  <w:r>
                    <w:rPr>
                      <w:rFonts w:hint="eastAsia"/>
                      <w:color w:val="auto"/>
                      <w:sz w:val="21"/>
                      <w:szCs w:val="21"/>
                      <w:lang w:eastAsia="zh-CN"/>
                    </w:rPr>
                    <w:t>、</w:t>
                  </w:r>
                  <w:r>
                    <w:rPr>
                      <w:rFonts w:hint="eastAsia"/>
                      <w:color w:val="auto"/>
                      <w:sz w:val="21"/>
                      <w:szCs w:val="21"/>
                      <w:lang w:val="en-US" w:eastAsia="zh-CN"/>
                    </w:rPr>
                    <w:t>沉淀</w:t>
                  </w:r>
                </w:p>
              </w:tc>
              <w:tc>
                <w:tcPr>
                  <w:tcW w:w="848" w:type="dxa"/>
                  <w:noWrap w:val="0"/>
                  <w:vAlign w:val="center"/>
                </w:tcPr>
                <w:p w14:paraId="58B86312">
                  <w:pPr>
                    <w:jc w:val="center"/>
                    <w:rPr>
                      <w:color w:val="auto"/>
                      <w:sz w:val="21"/>
                      <w:szCs w:val="21"/>
                    </w:rPr>
                  </w:pPr>
                  <w:r>
                    <w:rPr>
                      <w:color w:val="auto"/>
                      <w:sz w:val="21"/>
                      <w:szCs w:val="21"/>
                    </w:rPr>
                    <w:t>可行</w:t>
                  </w:r>
                </w:p>
              </w:tc>
              <w:tc>
                <w:tcPr>
                  <w:tcW w:w="726" w:type="dxa"/>
                  <w:noWrap w:val="0"/>
                  <w:vAlign w:val="center"/>
                </w:tcPr>
                <w:p w14:paraId="04678C55">
                  <w:pPr>
                    <w:jc w:val="center"/>
                    <w:rPr>
                      <w:color w:val="auto"/>
                      <w:sz w:val="21"/>
                      <w:szCs w:val="21"/>
                    </w:rPr>
                  </w:pPr>
                  <w:r>
                    <w:rPr>
                      <w:color w:val="auto"/>
                      <w:sz w:val="21"/>
                      <w:szCs w:val="21"/>
                    </w:rPr>
                    <w:t>一般排放口</w:t>
                  </w:r>
                </w:p>
              </w:tc>
            </w:tr>
          </w:tbl>
          <w:p w14:paraId="0518383C">
            <w:pPr>
              <w:keepNext w:val="0"/>
              <w:keepLines w:val="0"/>
              <w:pageBreakBefore w:val="0"/>
              <w:widowControl w:val="0"/>
              <w:kinsoku/>
              <w:wordWrap/>
              <w:overflowPunct/>
              <w:topLinePunct w:val="0"/>
              <w:autoSpaceDE w:val="0"/>
              <w:autoSpaceDN w:val="0"/>
              <w:bidi w:val="0"/>
              <w:adjustRightInd/>
              <w:snapToGrid/>
              <w:spacing w:before="157" w:beforeLines="50"/>
              <w:jc w:val="center"/>
              <w:textAlignment w:val="auto"/>
              <w:rPr>
                <w:b/>
                <w:bCs/>
                <w:color w:val="auto"/>
                <w:sz w:val="24"/>
              </w:rPr>
            </w:pPr>
            <w:r>
              <w:rPr>
                <w:b/>
                <w:bCs/>
                <w:color w:val="auto"/>
                <w:sz w:val="24"/>
              </w:rPr>
              <w:t>表4</w:t>
            </w:r>
            <w:r>
              <w:rPr>
                <w:rFonts w:hint="eastAsia"/>
                <w:b/>
                <w:bCs/>
                <w:color w:val="auto"/>
                <w:sz w:val="24"/>
              </w:rPr>
              <w:t>-</w:t>
            </w:r>
            <w:r>
              <w:rPr>
                <w:rFonts w:hint="eastAsia"/>
                <w:b/>
                <w:bCs/>
                <w:color w:val="auto"/>
                <w:sz w:val="24"/>
                <w:lang w:val="en-US" w:eastAsia="zh-CN"/>
              </w:rPr>
              <w:t>3</w:t>
            </w:r>
            <w:r>
              <w:rPr>
                <w:rFonts w:hint="eastAsia"/>
                <w:b/>
                <w:bCs/>
                <w:color w:val="auto"/>
                <w:sz w:val="24"/>
              </w:rPr>
              <w:t xml:space="preserve">   </w:t>
            </w:r>
            <w:r>
              <w:rPr>
                <w:b/>
                <w:bCs/>
                <w:color w:val="auto"/>
                <w:sz w:val="24"/>
              </w:rPr>
              <w:t>建设项目废水间接排放口基本情况表</w:t>
            </w:r>
            <w:bookmarkStart w:id="37" w:name="BIAO12"/>
          </w:p>
          <w:bookmarkEnd w:id="37"/>
          <w:tbl>
            <w:tblPr>
              <w:tblStyle w:val="32"/>
              <w:tblW w:w="78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88"/>
              <w:gridCol w:w="755"/>
              <w:gridCol w:w="589"/>
              <w:gridCol w:w="665"/>
              <w:gridCol w:w="1025"/>
              <w:gridCol w:w="700"/>
              <w:gridCol w:w="637"/>
              <w:gridCol w:w="1450"/>
              <w:gridCol w:w="644"/>
            </w:tblGrid>
            <w:tr w14:paraId="1E78D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restart"/>
                  <w:tcBorders>
                    <w:tl2br w:val="nil"/>
                    <w:tr2bl w:val="nil"/>
                  </w:tcBorders>
                  <w:noWrap w:val="0"/>
                  <w:vAlign w:val="center"/>
                </w:tcPr>
                <w:p w14:paraId="64A6E3FE">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序号</w:t>
                  </w:r>
                </w:p>
              </w:tc>
              <w:tc>
                <w:tcPr>
                  <w:tcW w:w="569" w:type="pct"/>
                  <w:vMerge w:val="restart"/>
                  <w:tcBorders>
                    <w:tl2br w:val="nil"/>
                    <w:tr2bl w:val="nil"/>
                  </w:tcBorders>
                  <w:noWrap w:val="0"/>
                  <w:vAlign w:val="center"/>
                </w:tcPr>
                <w:p w14:paraId="5F02E4AF">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污染物排放口名称及编号</w:t>
                  </w:r>
                </w:p>
              </w:tc>
              <w:tc>
                <w:tcPr>
                  <w:tcW w:w="483" w:type="pct"/>
                  <w:vMerge w:val="restart"/>
                  <w:tcBorders>
                    <w:tl2br w:val="nil"/>
                    <w:tr2bl w:val="nil"/>
                  </w:tcBorders>
                  <w:noWrap w:val="0"/>
                  <w:vAlign w:val="center"/>
                </w:tcPr>
                <w:p w14:paraId="1F13F867">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污染物种类</w:t>
                  </w:r>
                </w:p>
              </w:tc>
              <w:tc>
                <w:tcPr>
                  <w:tcW w:w="377" w:type="pct"/>
                  <w:vMerge w:val="restart"/>
                  <w:tcBorders>
                    <w:tl2br w:val="nil"/>
                    <w:tr2bl w:val="nil"/>
                  </w:tcBorders>
                  <w:noWrap w:val="0"/>
                  <w:vAlign w:val="center"/>
                </w:tcPr>
                <w:p w14:paraId="44EE834F">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排放方式</w:t>
                  </w:r>
                </w:p>
              </w:tc>
              <w:tc>
                <w:tcPr>
                  <w:tcW w:w="426" w:type="pct"/>
                  <w:vMerge w:val="restart"/>
                  <w:tcBorders>
                    <w:tl2br w:val="nil"/>
                    <w:tr2bl w:val="nil"/>
                  </w:tcBorders>
                  <w:noWrap w:val="0"/>
                  <w:vAlign w:val="center"/>
                </w:tcPr>
                <w:p w14:paraId="392B3E06">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排放去向</w:t>
                  </w:r>
                </w:p>
              </w:tc>
              <w:tc>
                <w:tcPr>
                  <w:tcW w:w="656" w:type="pct"/>
                  <w:vMerge w:val="restart"/>
                  <w:tcBorders>
                    <w:tl2br w:val="nil"/>
                    <w:tr2bl w:val="nil"/>
                  </w:tcBorders>
                  <w:noWrap w:val="0"/>
                  <w:vAlign w:val="center"/>
                </w:tcPr>
                <w:p w14:paraId="78762160">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排放规律</w:t>
                  </w:r>
                </w:p>
              </w:tc>
              <w:tc>
                <w:tcPr>
                  <w:tcW w:w="856" w:type="pct"/>
                  <w:gridSpan w:val="2"/>
                  <w:tcBorders>
                    <w:tl2br w:val="nil"/>
                    <w:tr2bl w:val="nil"/>
                  </w:tcBorders>
                  <w:noWrap w:val="0"/>
                  <w:vAlign w:val="center"/>
                </w:tcPr>
                <w:p w14:paraId="7073D677">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排放口坐标</w:t>
                  </w:r>
                </w:p>
              </w:tc>
              <w:tc>
                <w:tcPr>
                  <w:tcW w:w="1342" w:type="pct"/>
                  <w:gridSpan w:val="2"/>
                  <w:tcBorders>
                    <w:tl2br w:val="nil"/>
                    <w:tr2bl w:val="nil"/>
                  </w:tcBorders>
                  <w:noWrap w:val="0"/>
                  <w:vAlign w:val="center"/>
                </w:tcPr>
                <w:p w14:paraId="20B7EAD9">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排放标准（mg/L）</w:t>
                  </w:r>
                </w:p>
              </w:tc>
            </w:tr>
            <w:tr w14:paraId="24DFF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01B5B729">
                  <w:pPr>
                    <w:widowControl/>
                    <w:jc w:val="left"/>
                    <w:rPr>
                      <w:color w:val="auto"/>
                      <w:szCs w:val="21"/>
                    </w:rPr>
                  </w:pPr>
                </w:p>
              </w:tc>
              <w:tc>
                <w:tcPr>
                  <w:tcW w:w="569" w:type="pct"/>
                  <w:vMerge w:val="continue"/>
                  <w:tcBorders>
                    <w:tl2br w:val="nil"/>
                    <w:tr2bl w:val="nil"/>
                  </w:tcBorders>
                  <w:noWrap w:val="0"/>
                  <w:vAlign w:val="center"/>
                </w:tcPr>
                <w:p w14:paraId="132549BF">
                  <w:pPr>
                    <w:widowControl/>
                    <w:jc w:val="left"/>
                    <w:rPr>
                      <w:color w:val="auto"/>
                      <w:szCs w:val="21"/>
                    </w:rPr>
                  </w:pPr>
                </w:p>
              </w:tc>
              <w:tc>
                <w:tcPr>
                  <w:tcW w:w="483" w:type="pct"/>
                  <w:vMerge w:val="continue"/>
                  <w:tcBorders>
                    <w:tl2br w:val="nil"/>
                    <w:tr2bl w:val="nil"/>
                  </w:tcBorders>
                  <w:noWrap w:val="0"/>
                  <w:vAlign w:val="center"/>
                </w:tcPr>
                <w:p w14:paraId="5A4CCD83">
                  <w:pPr>
                    <w:widowControl/>
                    <w:jc w:val="left"/>
                    <w:rPr>
                      <w:color w:val="auto"/>
                      <w:szCs w:val="21"/>
                    </w:rPr>
                  </w:pPr>
                </w:p>
              </w:tc>
              <w:tc>
                <w:tcPr>
                  <w:tcW w:w="377" w:type="pct"/>
                  <w:vMerge w:val="continue"/>
                  <w:tcBorders>
                    <w:tl2br w:val="nil"/>
                    <w:tr2bl w:val="nil"/>
                  </w:tcBorders>
                  <w:noWrap w:val="0"/>
                  <w:vAlign w:val="center"/>
                </w:tcPr>
                <w:p w14:paraId="0EC11E34">
                  <w:pPr>
                    <w:widowControl/>
                    <w:jc w:val="left"/>
                    <w:rPr>
                      <w:color w:val="auto"/>
                      <w:szCs w:val="21"/>
                    </w:rPr>
                  </w:pPr>
                </w:p>
              </w:tc>
              <w:tc>
                <w:tcPr>
                  <w:tcW w:w="426" w:type="pct"/>
                  <w:vMerge w:val="continue"/>
                  <w:tcBorders>
                    <w:tl2br w:val="nil"/>
                    <w:tr2bl w:val="nil"/>
                  </w:tcBorders>
                  <w:noWrap w:val="0"/>
                  <w:vAlign w:val="center"/>
                </w:tcPr>
                <w:p w14:paraId="5755A2D6">
                  <w:pPr>
                    <w:widowControl/>
                    <w:jc w:val="left"/>
                    <w:rPr>
                      <w:color w:val="auto"/>
                      <w:szCs w:val="21"/>
                    </w:rPr>
                  </w:pPr>
                </w:p>
              </w:tc>
              <w:tc>
                <w:tcPr>
                  <w:tcW w:w="656" w:type="pct"/>
                  <w:vMerge w:val="continue"/>
                  <w:tcBorders>
                    <w:tl2br w:val="nil"/>
                    <w:tr2bl w:val="nil"/>
                  </w:tcBorders>
                  <w:noWrap w:val="0"/>
                  <w:vAlign w:val="center"/>
                </w:tcPr>
                <w:p w14:paraId="14B37A7C">
                  <w:pPr>
                    <w:pStyle w:val="61"/>
                    <w:adjustRightInd/>
                    <w:snapToGrid/>
                    <w:spacing w:before="0" w:beforeLines="0" w:after="0" w:afterLines="0" w:line="240" w:lineRule="auto"/>
                    <w:ind w:left="0" w:firstLine="0" w:firstLineChars="0"/>
                    <w:rPr>
                      <w:rFonts w:ascii="Times New Roman"/>
                      <w:color w:val="auto"/>
                      <w:szCs w:val="21"/>
                    </w:rPr>
                  </w:pPr>
                </w:p>
              </w:tc>
              <w:tc>
                <w:tcPr>
                  <w:tcW w:w="448" w:type="pct"/>
                  <w:tcBorders>
                    <w:tl2br w:val="nil"/>
                    <w:tr2bl w:val="nil"/>
                  </w:tcBorders>
                  <w:noWrap w:val="0"/>
                  <w:vAlign w:val="center"/>
                </w:tcPr>
                <w:p w14:paraId="18AE1ED9">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经度</w:t>
                  </w:r>
                </w:p>
              </w:tc>
              <w:tc>
                <w:tcPr>
                  <w:tcW w:w="408" w:type="pct"/>
                  <w:tcBorders>
                    <w:tl2br w:val="nil"/>
                    <w:tr2bl w:val="nil"/>
                  </w:tcBorders>
                  <w:noWrap w:val="0"/>
                  <w:vAlign w:val="center"/>
                </w:tcPr>
                <w:p w14:paraId="4FED4C47">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纬度</w:t>
                  </w:r>
                </w:p>
              </w:tc>
              <w:tc>
                <w:tcPr>
                  <w:tcW w:w="929" w:type="pct"/>
                  <w:tcBorders>
                    <w:tl2br w:val="nil"/>
                    <w:tr2bl w:val="nil"/>
                  </w:tcBorders>
                  <w:noWrap w:val="0"/>
                  <w:vAlign w:val="center"/>
                </w:tcPr>
                <w:p w14:paraId="013DF0D4">
                  <w:pPr>
                    <w:pStyle w:val="61"/>
                    <w:adjustRightInd/>
                    <w:snapToGrid/>
                    <w:spacing w:before="0" w:beforeLines="0" w:after="0" w:afterLines="0" w:line="240" w:lineRule="auto"/>
                    <w:ind w:left="0" w:firstLine="0" w:firstLineChars="0"/>
                    <w:jc w:val="center"/>
                    <w:rPr>
                      <w:rFonts w:ascii="Times New Roman"/>
                      <w:color w:val="auto"/>
                      <w:szCs w:val="21"/>
                    </w:rPr>
                  </w:pPr>
                  <w:r>
                    <w:rPr>
                      <w:rFonts w:ascii="Times New Roman"/>
                      <w:color w:val="auto"/>
                      <w:szCs w:val="21"/>
                    </w:rPr>
                    <w:t>名称</w:t>
                  </w:r>
                </w:p>
              </w:tc>
              <w:tc>
                <w:tcPr>
                  <w:tcW w:w="412" w:type="pct"/>
                  <w:tcBorders>
                    <w:tl2br w:val="nil"/>
                    <w:tr2bl w:val="nil"/>
                  </w:tcBorders>
                  <w:noWrap w:val="0"/>
                  <w:vAlign w:val="center"/>
                </w:tcPr>
                <w:p w14:paraId="04CF3B41">
                  <w:pPr>
                    <w:pStyle w:val="61"/>
                    <w:adjustRightInd/>
                    <w:snapToGrid/>
                    <w:spacing w:before="0" w:beforeLines="0" w:after="0" w:afterLines="0" w:line="240" w:lineRule="auto"/>
                    <w:ind w:left="0" w:firstLine="0" w:firstLineChars="0"/>
                    <w:rPr>
                      <w:rFonts w:ascii="Times New Roman"/>
                      <w:color w:val="auto"/>
                      <w:szCs w:val="21"/>
                    </w:rPr>
                  </w:pPr>
                  <w:r>
                    <w:rPr>
                      <w:rFonts w:hint="eastAsia" w:ascii="Times New Roman"/>
                      <w:color w:val="auto"/>
                      <w:szCs w:val="21"/>
                    </w:rPr>
                    <w:t>限值</w:t>
                  </w:r>
                </w:p>
              </w:tc>
            </w:tr>
            <w:tr w14:paraId="45B3A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restart"/>
                  <w:tcBorders>
                    <w:tl2br w:val="nil"/>
                    <w:tr2bl w:val="nil"/>
                  </w:tcBorders>
                  <w:noWrap w:val="0"/>
                  <w:vAlign w:val="center"/>
                </w:tcPr>
                <w:p w14:paraId="1F372E9F">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1</w:t>
                  </w:r>
                </w:p>
              </w:tc>
              <w:tc>
                <w:tcPr>
                  <w:tcW w:w="569" w:type="pct"/>
                  <w:vMerge w:val="restart"/>
                  <w:tcBorders>
                    <w:tl2br w:val="nil"/>
                    <w:tr2bl w:val="nil"/>
                  </w:tcBorders>
                  <w:noWrap w:val="0"/>
                  <w:vAlign w:val="center"/>
                </w:tcPr>
                <w:p w14:paraId="44BE8A4E">
                  <w:pPr>
                    <w:pStyle w:val="61"/>
                    <w:adjustRightInd/>
                    <w:snapToGrid/>
                    <w:spacing w:before="0" w:beforeLines="0" w:after="0" w:afterLines="0" w:line="240" w:lineRule="auto"/>
                    <w:ind w:left="0" w:firstLine="0" w:firstLineChars="0"/>
                    <w:rPr>
                      <w:rFonts w:ascii="Times New Roman"/>
                      <w:color w:val="auto"/>
                      <w:szCs w:val="21"/>
                    </w:rPr>
                  </w:pPr>
                  <w:r>
                    <w:rPr>
                      <w:rFonts w:hint="eastAsia" w:ascii="Times New Roman"/>
                      <w:color w:val="auto"/>
                      <w:szCs w:val="21"/>
                      <w:lang w:val="en-US" w:eastAsia="zh-CN"/>
                    </w:rPr>
                    <w:t>废水总排口</w:t>
                  </w:r>
                  <w:r>
                    <w:rPr>
                      <w:rFonts w:ascii="Times New Roman"/>
                      <w:color w:val="auto"/>
                      <w:szCs w:val="21"/>
                    </w:rPr>
                    <w:t>DW001</w:t>
                  </w:r>
                </w:p>
              </w:tc>
              <w:tc>
                <w:tcPr>
                  <w:tcW w:w="483" w:type="pct"/>
                  <w:tcBorders>
                    <w:tl2br w:val="nil"/>
                    <w:tr2bl w:val="nil"/>
                  </w:tcBorders>
                  <w:noWrap w:val="0"/>
                  <w:vAlign w:val="center"/>
                </w:tcPr>
                <w:p w14:paraId="0646AA74">
                  <w:pPr>
                    <w:pStyle w:val="61"/>
                    <w:adjustRightInd/>
                    <w:snapToGrid/>
                    <w:spacing w:before="0" w:beforeLines="0" w:after="0" w:afterLines="0" w:line="240" w:lineRule="auto"/>
                    <w:ind w:left="0" w:firstLine="0" w:firstLineChars="0"/>
                    <w:rPr>
                      <w:rFonts w:ascii="Times New Roman"/>
                      <w:color w:val="auto"/>
                      <w:szCs w:val="21"/>
                    </w:rPr>
                  </w:pPr>
                  <w:r>
                    <w:rPr>
                      <w:rFonts w:hint="eastAsia" w:ascii="Times New Roman" w:hAnsi="Times New Roman" w:cs="Times New Roman"/>
                      <w:bCs/>
                      <w:color w:val="auto"/>
                      <w:sz w:val="21"/>
                      <w:szCs w:val="21"/>
                      <w:lang w:val="en-US" w:eastAsia="zh-CN"/>
                    </w:rPr>
                    <w:t>PH</w:t>
                  </w:r>
                </w:p>
              </w:tc>
              <w:tc>
                <w:tcPr>
                  <w:tcW w:w="377" w:type="pct"/>
                  <w:vMerge w:val="restart"/>
                  <w:tcBorders>
                    <w:tl2br w:val="nil"/>
                    <w:tr2bl w:val="nil"/>
                  </w:tcBorders>
                  <w:noWrap w:val="0"/>
                  <w:vAlign w:val="center"/>
                </w:tcPr>
                <w:p w14:paraId="19779B95">
                  <w:pPr>
                    <w:pStyle w:val="61"/>
                    <w:adjustRightInd/>
                    <w:snapToGrid/>
                    <w:spacing w:before="0" w:beforeLines="0" w:after="0" w:afterLines="0" w:line="240" w:lineRule="auto"/>
                    <w:ind w:left="0" w:firstLine="0" w:firstLineChars="0"/>
                    <w:rPr>
                      <w:rFonts w:ascii="Times New Roman"/>
                      <w:color w:val="auto"/>
                      <w:szCs w:val="21"/>
                    </w:rPr>
                  </w:pPr>
                  <w:r>
                    <w:rPr>
                      <w:rFonts w:ascii="Times New Roman"/>
                      <w:color w:val="auto"/>
                      <w:szCs w:val="21"/>
                    </w:rPr>
                    <w:t>间接排放</w:t>
                  </w:r>
                </w:p>
              </w:tc>
              <w:tc>
                <w:tcPr>
                  <w:tcW w:w="426" w:type="pct"/>
                  <w:vMerge w:val="restart"/>
                  <w:tcBorders>
                    <w:tl2br w:val="nil"/>
                    <w:tr2bl w:val="nil"/>
                  </w:tcBorders>
                  <w:noWrap w:val="0"/>
                  <w:vAlign w:val="center"/>
                </w:tcPr>
                <w:p w14:paraId="3441804B">
                  <w:pPr>
                    <w:pStyle w:val="61"/>
                    <w:adjustRightInd/>
                    <w:snapToGrid/>
                    <w:spacing w:before="0" w:beforeLines="0" w:after="0" w:afterLines="0" w:line="240" w:lineRule="auto"/>
                    <w:ind w:left="0" w:firstLine="0" w:firstLineChars="0"/>
                    <w:rPr>
                      <w:rFonts w:hint="eastAsia" w:ascii="Times New Roman" w:eastAsia="宋体"/>
                      <w:color w:val="auto"/>
                      <w:szCs w:val="21"/>
                      <w:lang w:eastAsia="zh-CN"/>
                    </w:rPr>
                  </w:pPr>
                  <w:r>
                    <w:rPr>
                      <w:rFonts w:hint="default" w:ascii="Times New Roman" w:hAnsi="Times New Roman" w:cs="Times New Roman"/>
                      <w:bCs/>
                      <w:color w:val="auto"/>
                      <w:sz w:val="21"/>
                      <w:szCs w:val="21"/>
                      <w:lang w:eastAsia="zh-CN"/>
                    </w:rPr>
                    <w:t>龙潭镇</w:t>
                  </w:r>
                  <w:r>
                    <w:rPr>
                      <w:rFonts w:hint="default" w:ascii="Times New Roman" w:hAnsi="Times New Roman" w:cs="Times New Roman"/>
                      <w:bCs/>
                      <w:color w:val="auto"/>
                      <w:sz w:val="21"/>
                      <w:szCs w:val="21"/>
                    </w:rPr>
                    <w:t>污水处理厂</w:t>
                  </w:r>
                </w:p>
              </w:tc>
              <w:tc>
                <w:tcPr>
                  <w:tcW w:w="656" w:type="pct"/>
                  <w:vMerge w:val="restart"/>
                  <w:tcBorders>
                    <w:tl2br w:val="nil"/>
                    <w:tr2bl w:val="nil"/>
                  </w:tcBorders>
                  <w:noWrap w:val="0"/>
                  <w:vAlign w:val="center"/>
                </w:tcPr>
                <w:p w14:paraId="551BE75A">
                  <w:pPr>
                    <w:jc w:val="center"/>
                    <w:rPr>
                      <w:color w:val="auto"/>
                      <w:szCs w:val="21"/>
                    </w:rPr>
                  </w:pPr>
                  <w:r>
                    <w:rPr>
                      <w:rFonts w:hint="default" w:ascii="Times New Roman" w:hAnsi="Times New Roman" w:eastAsia="CIDFont" w:cs="Times New Roman"/>
                      <w:color w:val="auto"/>
                      <w:kern w:val="0"/>
                      <w:szCs w:val="21"/>
                    </w:rPr>
                    <w:t>间断排放，排放期间流量不稳定且无规律，但不属于冲击型排放。</w:t>
                  </w:r>
                </w:p>
              </w:tc>
              <w:tc>
                <w:tcPr>
                  <w:tcW w:w="448" w:type="pct"/>
                  <w:vMerge w:val="restart"/>
                  <w:tcBorders>
                    <w:tl2br w:val="nil"/>
                    <w:tr2bl w:val="nil"/>
                  </w:tcBorders>
                  <w:noWrap w:val="0"/>
                  <w:vAlign w:val="center"/>
                </w:tcPr>
                <w:p w14:paraId="01D381C7">
                  <w:pPr>
                    <w:pStyle w:val="61"/>
                    <w:adjustRightInd/>
                    <w:snapToGrid/>
                    <w:spacing w:before="0" w:beforeLines="0" w:after="0" w:afterLines="0" w:line="240" w:lineRule="auto"/>
                    <w:ind w:left="0" w:firstLine="0" w:firstLineChars="0"/>
                    <w:rPr>
                      <w:rFonts w:ascii="Times New Roman"/>
                      <w:color w:val="auto"/>
                      <w:szCs w:val="21"/>
                    </w:rPr>
                  </w:pPr>
                  <w:r>
                    <w:rPr>
                      <w:rFonts w:hint="eastAsia" w:ascii="Times New Roman"/>
                      <w:color w:val="auto"/>
                      <w:szCs w:val="21"/>
                    </w:rPr>
                    <w:t>110.53018</w:t>
                  </w:r>
                </w:p>
              </w:tc>
              <w:tc>
                <w:tcPr>
                  <w:tcW w:w="408" w:type="pct"/>
                  <w:vMerge w:val="restart"/>
                  <w:tcBorders>
                    <w:tl2br w:val="nil"/>
                    <w:tr2bl w:val="nil"/>
                  </w:tcBorders>
                  <w:noWrap w:val="0"/>
                  <w:vAlign w:val="center"/>
                </w:tcPr>
                <w:p w14:paraId="7E9632E5">
                  <w:pPr>
                    <w:pStyle w:val="61"/>
                    <w:adjustRightInd/>
                    <w:snapToGrid/>
                    <w:spacing w:before="0" w:beforeLines="0" w:after="0" w:afterLines="0" w:line="240" w:lineRule="auto"/>
                    <w:ind w:left="0" w:firstLine="0" w:firstLineChars="0"/>
                    <w:rPr>
                      <w:rFonts w:ascii="Times New Roman"/>
                      <w:color w:val="auto"/>
                      <w:szCs w:val="21"/>
                    </w:rPr>
                  </w:pPr>
                  <w:r>
                    <w:rPr>
                      <w:rFonts w:hint="eastAsia" w:ascii="Times New Roman"/>
                      <w:color w:val="auto"/>
                      <w:szCs w:val="21"/>
                    </w:rPr>
                    <w:t>27.41619</w:t>
                  </w:r>
                </w:p>
              </w:tc>
              <w:tc>
                <w:tcPr>
                  <w:tcW w:w="929" w:type="pct"/>
                  <w:vMerge w:val="restart"/>
                  <w:tcBorders>
                    <w:tl2br w:val="nil"/>
                    <w:tr2bl w:val="nil"/>
                  </w:tcBorders>
                  <w:noWrap w:val="0"/>
                  <w:vAlign w:val="center"/>
                </w:tcPr>
                <w:p w14:paraId="390D87FC">
                  <w:pPr>
                    <w:pStyle w:val="61"/>
                    <w:adjustRightInd/>
                    <w:snapToGrid/>
                    <w:spacing w:before="0" w:beforeLines="0" w:after="0" w:afterLines="0" w:line="240" w:lineRule="auto"/>
                    <w:ind w:left="0" w:firstLine="0" w:firstLineChars="0"/>
                    <w:rPr>
                      <w:rFonts w:ascii="Times New Roman"/>
                      <w:color w:val="auto"/>
                      <w:szCs w:val="21"/>
                    </w:rPr>
                  </w:pPr>
                  <w:r>
                    <w:rPr>
                      <w:rFonts w:hint="eastAsia" w:ascii="Times New Roman"/>
                      <w:color w:val="auto"/>
                      <w:szCs w:val="21"/>
                      <w:lang w:eastAsia="zh-CN"/>
                    </w:rPr>
                    <w:t>《污水综合排放标准》（GB8978-1996）</w:t>
                  </w:r>
                  <w:r>
                    <w:rPr>
                      <w:rFonts w:hint="eastAsia" w:ascii="Times New Roman"/>
                      <w:color w:val="auto"/>
                      <w:szCs w:val="21"/>
                      <w:lang w:val="en-US" w:eastAsia="zh-CN"/>
                    </w:rPr>
                    <w:t>表4中三级标准及</w:t>
                  </w:r>
                  <w:r>
                    <w:rPr>
                      <w:rFonts w:hint="eastAsia" w:ascii="Times New Roman" w:hAnsi="Times New Roman" w:eastAsia="宋体" w:cs="Times New Roman"/>
                      <w:color w:val="FF0000"/>
                      <w:szCs w:val="21"/>
                      <w:lang w:val="en-US" w:eastAsia="zh-CN"/>
                    </w:rPr>
                    <w:t>龙潭镇污水处理厂进水水质标准中较严格的限值</w:t>
                  </w:r>
                </w:p>
              </w:tc>
              <w:tc>
                <w:tcPr>
                  <w:tcW w:w="412" w:type="pct"/>
                  <w:tcBorders>
                    <w:tl2br w:val="nil"/>
                    <w:tr2bl w:val="nil"/>
                  </w:tcBorders>
                  <w:noWrap w:val="0"/>
                  <w:vAlign w:val="center"/>
                </w:tcPr>
                <w:p w14:paraId="554A8974">
                  <w:pPr>
                    <w:pStyle w:val="61"/>
                    <w:adjustRightInd/>
                    <w:snapToGrid/>
                    <w:spacing w:before="0" w:beforeLines="0" w:after="0" w:afterLines="0" w:line="240" w:lineRule="auto"/>
                    <w:ind w:left="0" w:firstLine="0" w:firstLineChars="0"/>
                    <w:rPr>
                      <w:rFonts w:hint="default" w:ascii="Times New Roman" w:eastAsia="宋体"/>
                      <w:color w:val="auto"/>
                      <w:szCs w:val="21"/>
                      <w:lang w:val="en-US" w:eastAsia="zh-CN"/>
                    </w:rPr>
                  </w:pPr>
                  <w:r>
                    <w:rPr>
                      <w:rFonts w:hint="eastAsia" w:ascii="Times New Roman"/>
                      <w:color w:val="auto"/>
                      <w:szCs w:val="21"/>
                      <w:lang w:val="en-US" w:eastAsia="zh-CN"/>
                    </w:rPr>
                    <w:t>6~9</w:t>
                  </w:r>
                </w:p>
              </w:tc>
            </w:tr>
            <w:tr w14:paraId="2E37B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2DE8C437">
                  <w:pPr>
                    <w:pStyle w:val="61"/>
                    <w:adjustRightInd/>
                    <w:snapToGrid/>
                    <w:spacing w:before="0" w:beforeLines="0" w:after="0" w:afterLines="0" w:line="240" w:lineRule="auto"/>
                    <w:ind w:left="0" w:firstLine="0" w:firstLineChars="0"/>
                    <w:rPr>
                      <w:rFonts w:ascii="Times New Roman"/>
                      <w:color w:val="auto"/>
                      <w:szCs w:val="21"/>
                    </w:rPr>
                  </w:pPr>
                </w:p>
              </w:tc>
              <w:tc>
                <w:tcPr>
                  <w:tcW w:w="569" w:type="pct"/>
                  <w:vMerge w:val="continue"/>
                  <w:tcBorders>
                    <w:tl2br w:val="nil"/>
                    <w:tr2bl w:val="nil"/>
                  </w:tcBorders>
                  <w:noWrap w:val="0"/>
                  <w:vAlign w:val="center"/>
                </w:tcPr>
                <w:p w14:paraId="7E8C1C08">
                  <w:pPr>
                    <w:pStyle w:val="61"/>
                    <w:adjustRightInd/>
                    <w:snapToGrid/>
                    <w:spacing w:before="0" w:beforeLines="0" w:after="0" w:afterLines="0" w:line="240" w:lineRule="auto"/>
                    <w:ind w:left="0" w:firstLine="0" w:firstLineChars="0"/>
                    <w:rPr>
                      <w:rFonts w:hint="eastAsia" w:ascii="Times New Roman"/>
                      <w:color w:val="auto"/>
                      <w:szCs w:val="21"/>
                      <w:lang w:val="en-US" w:eastAsia="zh-CN"/>
                    </w:rPr>
                  </w:pPr>
                </w:p>
              </w:tc>
              <w:tc>
                <w:tcPr>
                  <w:tcW w:w="483" w:type="pct"/>
                  <w:tcBorders>
                    <w:tl2br w:val="nil"/>
                    <w:tr2bl w:val="nil"/>
                  </w:tcBorders>
                  <w:noWrap w:val="0"/>
                  <w:vAlign w:val="center"/>
                </w:tcPr>
                <w:p w14:paraId="5C4DCDA1">
                  <w:pPr>
                    <w:pStyle w:val="61"/>
                    <w:adjustRightInd/>
                    <w:snapToGrid/>
                    <w:spacing w:before="0" w:beforeLines="0" w:after="0" w:afterLines="0" w:line="240" w:lineRule="auto"/>
                    <w:ind w:left="0" w:leftChars="0" w:firstLine="0" w:firstLineChars="0"/>
                    <w:rPr>
                      <w:rFonts w:ascii="Times New Roman"/>
                      <w:color w:val="auto"/>
                      <w:szCs w:val="21"/>
                    </w:rPr>
                  </w:pPr>
                  <w:r>
                    <w:rPr>
                      <w:rFonts w:ascii="Times New Roman"/>
                      <w:color w:val="auto"/>
                      <w:szCs w:val="21"/>
                    </w:rPr>
                    <w:t>COD</w:t>
                  </w:r>
                </w:p>
              </w:tc>
              <w:tc>
                <w:tcPr>
                  <w:tcW w:w="377" w:type="pct"/>
                  <w:vMerge w:val="continue"/>
                  <w:tcBorders>
                    <w:tl2br w:val="nil"/>
                    <w:tr2bl w:val="nil"/>
                  </w:tcBorders>
                  <w:noWrap w:val="0"/>
                  <w:vAlign w:val="center"/>
                </w:tcPr>
                <w:p w14:paraId="1FD4052C">
                  <w:pPr>
                    <w:pStyle w:val="61"/>
                    <w:adjustRightInd/>
                    <w:snapToGrid/>
                    <w:spacing w:before="0" w:beforeLines="0" w:after="0" w:afterLines="0" w:line="240" w:lineRule="auto"/>
                    <w:ind w:left="0" w:firstLine="0" w:firstLineChars="0"/>
                    <w:rPr>
                      <w:rFonts w:ascii="Times New Roman"/>
                      <w:color w:val="auto"/>
                      <w:szCs w:val="21"/>
                    </w:rPr>
                  </w:pPr>
                </w:p>
              </w:tc>
              <w:tc>
                <w:tcPr>
                  <w:tcW w:w="426" w:type="pct"/>
                  <w:vMerge w:val="continue"/>
                  <w:tcBorders>
                    <w:tl2br w:val="nil"/>
                    <w:tr2bl w:val="nil"/>
                  </w:tcBorders>
                  <w:noWrap w:val="0"/>
                  <w:vAlign w:val="center"/>
                </w:tcPr>
                <w:p w14:paraId="7528F39A">
                  <w:pPr>
                    <w:pStyle w:val="61"/>
                    <w:adjustRightInd/>
                    <w:snapToGrid/>
                    <w:spacing w:before="0" w:beforeLines="0" w:after="0" w:afterLines="0" w:line="240" w:lineRule="auto"/>
                    <w:ind w:left="0" w:firstLine="0" w:firstLineChars="0"/>
                    <w:rPr>
                      <w:rFonts w:hint="eastAsia" w:ascii="Times New Roman"/>
                      <w:color w:val="auto"/>
                      <w:szCs w:val="21"/>
                      <w:lang w:eastAsia="zh-CN"/>
                    </w:rPr>
                  </w:pPr>
                </w:p>
              </w:tc>
              <w:tc>
                <w:tcPr>
                  <w:tcW w:w="656" w:type="pct"/>
                  <w:vMerge w:val="continue"/>
                  <w:tcBorders>
                    <w:tl2br w:val="nil"/>
                    <w:tr2bl w:val="nil"/>
                  </w:tcBorders>
                  <w:noWrap w:val="0"/>
                  <w:vAlign w:val="center"/>
                </w:tcPr>
                <w:p w14:paraId="019D46C8">
                  <w:pPr>
                    <w:jc w:val="center"/>
                    <w:rPr>
                      <w:color w:val="auto"/>
                      <w:szCs w:val="21"/>
                    </w:rPr>
                  </w:pPr>
                </w:p>
              </w:tc>
              <w:tc>
                <w:tcPr>
                  <w:tcW w:w="448" w:type="pct"/>
                  <w:vMerge w:val="continue"/>
                  <w:tcBorders>
                    <w:tl2br w:val="nil"/>
                    <w:tr2bl w:val="nil"/>
                  </w:tcBorders>
                  <w:noWrap w:val="0"/>
                  <w:vAlign w:val="center"/>
                </w:tcPr>
                <w:p w14:paraId="01EACEC8">
                  <w:pPr>
                    <w:pStyle w:val="61"/>
                    <w:adjustRightInd/>
                    <w:snapToGrid/>
                    <w:spacing w:before="0" w:beforeLines="0" w:after="0" w:afterLines="0" w:line="240" w:lineRule="auto"/>
                    <w:ind w:left="0" w:firstLine="0" w:firstLineChars="0"/>
                    <w:rPr>
                      <w:rFonts w:hint="eastAsia" w:ascii="Times New Roman"/>
                      <w:color w:val="auto"/>
                      <w:szCs w:val="21"/>
                    </w:rPr>
                  </w:pPr>
                </w:p>
              </w:tc>
              <w:tc>
                <w:tcPr>
                  <w:tcW w:w="408" w:type="pct"/>
                  <w:vMerge w:val="continue"/>
                  <w:tcBorders>
                    <w:tl2br w:val="nil"/>
                    <w:tr2bl w:val="nil"/>
                  </w:tcBorders>
                  <w:noWrap w:val="0"/>
                  <w:vAlign w:val="center"/>
                </w:tcPr>
                <w:p w14:paraId="7F6AC405">
                  <w:pPr>
                    <w:pStyle w:val="61"/>
                    <w:adjustRightInd/>
                    <w:snapToGrid/>
                    <w:spacing w:before="0" w:beforeLines="0" w:after="0" w:afterLines="0" w:line="240" w:lineRule="auto"/>
                    <w:ind w:left="0" w:firstLine="0" w:firstLineChars="0"/>
                    <w:rPr>
                      <w:rFonts w:hint="eastAsia" w:ascii="Times New Roman"/>
                      <w:color w:val="auto"/>
                      <w:szCs w:val="21"/>
                    </w:rPr>
                  </w:pPr>
                </w:p>
              </w:tc>
              <w:tc>
                <w:tcPr>
                  <w:tcW w:w="929" w:type="pct"/>
                  <w:vMerge w:val="continue"/>
                  <w:tcBorders>
                    <w:tl2br w:val="nil"/>
                    <w:tr2bl w:val="nil"/>
                  </w:tcBorders>
                  <w:noWrap w:val="0"/>
                  <w:vAlign w:val="center"/>
                </w:tcPr>
                <w:p w14:paraId="25574B83">
                  <w:pPr>
                    <w:pStyle w:val="61"/>
                    <w:adjustRightInd/>
                    <w:snapToGrid/>
                    <w:spacing w:before="0" w:beforeLines="0" w:after="0" w:afterLines="0" w:line="240" w:lineRule="auto"/>
                    <w:ind w:left="0" w:firstLine="0" w:firstLineChars="0"/>
                    <w:jc w:val="center"/>
                    <w:rPr>
                      <w:rFonts w:hint="default" w:ascii="Times New Roman" w:hAnsi="Times New Roman" w:eastAsia="宋体" w:cs="Times New Roman"/>
                      <w:color w:val="auto"/>
                      <w:spacing w:val="7"/>
                      <w:sz w:val="21"/>
                      <w:szCs w:val="21"/>
                    </w:rPr>
                  </w:pPr>
                </w:p>
              </w:tc>
              <w:tc>
                <w:tcPr>
                  <w:tcW w:w="412" w:type="pct"/>
                  <w:tcBorders>
                    <w:tl2br w:val="nil"/>
                    <w:tr2bl w:val="nil"/>
                  </w:tcBorders>
                  <w:noWrap w:val="0"/>
                  <w:vAlign w:val="center"/>
                </w:tcPr>
                <w:p w14:paraId="4D53BE85">
                  <w:pPr>
                    <w:pStyle w:val="61"/>
                    <w:adjustRightInd/>
                    <w:snapToGrid/>
                    <w:spacing w:before="0" w:beforeLines="0" w:after="0" w:afterLines="0" w:line="240" w:lineRule="auto"/>
                    <w:ind w:left="0" w:firstLine="0" w:firstLineChars="0"/>
                    <w:rPr>
                      <w:rFonts w:hint="default" w:ascii="Times New Roman" w:hAnsi="Times New Roman" w:eastAsia="宋体" w:cs="Times New Roman"/>
                      <w:bCs/>
                      <w:snapToGrid w:val="0"/>
                      <w:color w:val="auto"/>
                      <w:szCs w:val="21"/>
                      <w:lang w:val="en-US" w:eastAsia="zh-CN"/>
                    </w:rPr>
                  </w:pPr>
                  <w:r>
                    <w:rPr>
                      <w:rFonts w:hint="eastAsia" w:ascii="Times New Roman" w:cs="Times New Roman"/>
                      <w:bCs/>
                      <w:snapToGrid w:val="0"/>
                      <w:color w:val="auto"/>
                      <w:szCs w:val="21"/>
                      <w:lang w:val="en-US" w:eastAsia="zh-CN"/>
                    </w:rPr>
                    <w:t>300</w:t>
                  </w:r>
                </w:p>
              </w:tc>
            </w:tr>
            <w:tr w14:paraId="2C3E2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2F0CAD62">
                  <w:pPr>
                    <w:pStyle w:val="61"/>
                    <w:adjustRightInd/>
                    <w:snapToGrid/>
                    <w:spacing w:before="0" w:beforeLines="0" w:after="0" w:afterLines="0" w:line="240" w:lineRule="auto"/>
                    <w:ind w:left="0" w:firstLine="0" w:firstLineChars="0"/>
                    <w:rPr>
                      <w:rFonts w:ascii="Times New Roman"/>
                      <w:color w:val="auto"/>
                      <w:szCs w:val="21"/>
                    </w:rPr>
                  </w:pPr>
                </w:p>
              </w:tc>
              <w:tc>
                <w:tcPr>
                  <w:tcW w:w="569" w:type="pct"/>
                  <w:vMerge w:val="continue"/>
                  <w:tcBorders>
                    <w:tl2br w:val="nil"/>
                    <w:tr2bl w:val="nil"/>
                  </w:tcBorders>
                  <w:noWrap w:val="0"/>
                  <w:vAlign w:val="center"/>
                </w:tcPr>
                <w:p w14:paraId="344595CC">
                  <w:pPr>
                    <w:pStyle w:val="61"/>
                    <w:adjustRightInd/>
                    <w:snapToGrid/>
                    <w:spacing w:before="0" w:beforeLines="0" w:after="0" w:afterLines="0" w:line="240" w:lineRule="auto"/>
                    <w:ind w:left="0" w:firstLine="0" w:firstLineChars="0"/>
                    <w:rPr>
                      <w:rFonts w:hint="eastAsia" w:ascii="Times New Roman"/>
                      <w:color w:val="auto"/>
                      <w:szCs w:val="21"/>
                      <w:lang w:val="en-US" w:eastAsia="zh-CN"/>
                    </w:rPr>
                  </w:pPr>
                </w:p>
              </w:tc>
              <w:tc>
                <w:tcPr>
                  <w:tcW w:w="483" w:type="pct"/>
                  <w:tcBorders>
                    <w:tl2br w:val="nil"/>
                    <w:tr2bl w:val="nil"/>
                  </w:tcBorders>
                  <w:noWrap w:val="0"/>
                  <w:vAlign w:val="center"/>
                </w:tcPr>
                <w:p w14:paraId="3B212B8B">
                  <w:pPr>
                    <w:pStyle w:val="61"/>
                    <w:adjustRightInd/>
                    <w:snapToGrid/>
                    <w:spacing w:before="0" w:beforeLines="0" w:after="0" w:afterLines="0" w:line="240" w:lineRule="auto"/>
                    <w:ind w:left="0" w:leftChars="0" w:firstLine="0" w:firstLineChars="0"/>
                    <w:rPr>
                      <w:rFonts w:hint="default" w:ascii="Times New Roman" w:hAnsi="Times New Roman" w:eastAsia="宋体" w:cs="Times New Roman"/>
                      <w:color w:val="auto"/>
                      <w:spacing w:val="5"/>
                      <w:sz w:val="21"/>
                      <w:szCs w:val="21"/>
                    </w:rPr>
                  </w:pPr>
                  <w:r>
                    <w:rPr>
                      <w:rFonts w:hint="default" w:ascii="Times New Roman" w:hAnsi="Times New Roman" w:eastAsia="宋体" w:cs="Times New Roman"/>
                      <w:color w:val="auto"/>
                      <w:spacing w:val="5"/>
                      <w:sz w:val="21"/>
                      <w:szCs w:val="21"/>
                    </w:rPr>
                    <w:t>BOD</w:t>
                  </w:r>
                  <w:r>
                    <w:rPr>
                      <w:rFonts w:hint="default" w:ascii="Times New Roman" w:hAnsi="Times New Roman" w:eastAsia="宋体" w:cs="Times New Roman"/>
                      <w:color w:val="auto"/>
                      <w:spacing w:val="5"/>
                      <w:position w:val="-1"/>
                      <w:sz w:val="21"/>
                      <w:szCs w:val="21"/>
                      <w:vertAlign w:val="subscript"/>
                    </w:rPr>
                    <w:t>5</w:t>
                  </w:r>
                </w:p>
              </w:tc>
              <w:tc>
                <w:tcPr>
                  <w:tcW w:w="377" w:type="pct"/>
                  <w:vMerge w:val="continue"/>
                  <w:tcBorders>
                    <w:tl2br w:val="nil"/>
                    <w:tr2bl w:val="nil"/>
                  </w:tcBorders>
                  <w:noWrap w:val="0"/>
                  <w:vAlign w:val="center"/>
                </w:tcPr>
                <w:p w14:paraId="1FFF42F5">
                  <w:pPr>
                    <w:pStyle w:val="61"/>
                    <w:adjustRightInd/>
                    <w:snapToGrid/>
                    <w:spacing w:before="0" w:beforeLines="0" w:after="0" w:afterLines="0" w:line="240" w:lineRule="auto"/>
                    <w:ind w:left="0" w:firstLine="0" w:firstLineChars="0"/>
                    <w:rPr>
                      <w:rFonts w:ascii="Times New Roman"/>
                      <w:color w:val="auto"/>
                      <w:szCs w:val="21"/>
                    </w:rPr>
                  </w:pPr>
                </w:p>
              </w:tc>
              <w:tc>
                <w:tcPr>
                  <w:tcW w:w="426" w:type="pct"/>
                  <w:vMerge w:val="continue"/>
                  <w:tcBorders>
                    <w:tl2br w:val="nil"/>
                    <w:tr2bl w:val="nil"/>
                  </w:tcBorders>
                  <w:noWrap w:val="0"/>
                  <w:vAlign w:val="center"/>
                </w:tcPr>
                <w:p w14:paraId="0FD67EBF">
                  <w:pPr>
                    <w:pStyle w:val="61"/>
                    <w:adjustRightInd/>
                    <w:snapToGrid/>
                    <w:spacing w:before="0" w:beforeLines="0" w:after="0" w:afterLines="0" w:line="240" w:lineRule="auto"/>
                    <w:ind w:left="0" w:firstLine="0" w:firstLineChars="0"/>
                    <w:rPr>
                      <w:rFonts w:hint="eastAsia" w:ascii="Times New Roman"/>
                      <w:color w:val="auto"/>
                      <w:szCs w:val="21"/>
                      <w:lang w:eastAsia="zh-CN"/>
                    </w:rPr>
                  </w:pPr>
                </w:p>
              </w:tc>
              <w:tc>
                <w:tcPr>
                  <w:tcW w:w="656" w:type="pct"/>
                  <w:vMerge w:val="continue"/>
                  <w:tcBorders>
                    <w:tl2br w:val="nil"/>
                    <w:tr2bl w:val="nil"/>
                  </w:tcBorders>
                  <w:noWrap w:val="0"/>
                  <w:vAlign w:val="center"/>
                </w:tcPr>
                <w:p w14:paraId="3E81D981">
                  <w:pPr>
                    <w:jc w:val="center"/>
                    <w:rPr>
                      <w:color w:val="auto"/>
                      <w:szCs w:val="21"/>
                    </w:rPr>
                  </w:pPr>
                </w:p>
              </w:tc>
              <w:tc>
                <w:tcPr>
                  <w:tcW w:w="448" w:type="pct"/>
                  <w:vMerge w:val="continue"/>
                  <w:tcBorders>
                    <w:tl2br w:val="nil"/>
                    <w:tr2bl w:val="nil"/>
                  </w:tcBorders>
                  <w:noWrap w:val="0"/>
                  <w:vAlign w:val="center"/>
                </w:tcPr>
                <w:p w14:paraId="1DF25D25">
                  <w:pPr>
                    <w:pStyle w:val="61"/>
                    <w:adjustRightInd/>
                    <w:snapToGrid/>
                    <w:spacing w:before="0" w:beforeLines="0" w:after="0" w:afterLines="0" w:line="240" w:lineRule="auto"/>
                    <w:ind w:left="0" w:firstLine="0" w:firstLineChars="0"/>
                    <w:rPr>
                      <w:rFonts w:hint="eastAsia" w:ascii="Times New Roman"/>
                      <w:color w:val="auto"/>
                      <w:szCs w:val="21"/>
                    </w:rPr>
                  </w:pPr>
                </w:p>
              </w:tc>
              <w:tc>
                <w:tcPr>
                  <w:tcW w:w="408" w:type="pct"/>
                  <w:vMerge w:val="continue"/>
                  <w:tcBorders>
                    <w:tl2br w:val="nil"/>
                    <w:tr2bl w:val="nil"/>
                  </w:tcBorders>
                  <w:noWrap w:val="0"/>
                  <w:vAlign w:val="center"/>
                </w:tcPr>
                <w:p w14:paraId="717B3B2F">
                  <w:pPr>
                    <w:pStyle w:val="61"/>
                    <w:adjustRightInd/>
                    <w:snapToGrid/>
                    <w:spacing w:before="0" w:beforeLines="0" w:after="0" w:afterLines="0" w:line="240" w:lineRule="auto"/>
                    <w:ind w:left="0" w:firstLine="0" w:firstLineChars="0"/>
                    <w:rPr>
                      <w:rFonts w:hint="eastAsia" w:ascii="Times New Roman"/>
                      <w:color w:val="auto"/>
                      <w:szCs w:val="21"/>
                    </w:rPr>
                  </w:pPr>
                </w:p>
              </w:tc>
              <w:tc>
                <w:tcPr>
                  <w:tcW w:w="929" w:type="pct"/>
                  <w:vMerge w:val="continue"/>
                  <w:tcBorders>
                    <w:tl2br w:val="nil"/>
                    <w:tr2bl w:val="nil"/>
                  </w:tcBorders>
                  <w:noWrap w:val="0"/>
                  <w:vAlign w:val="center"/>
                </w:tcPr>
                <w:p w14:paraId="66E403F8">
                  <w:pPr>
                    <w:pStyle w:val="61"/>
                    <w:adjustRightInd/>
                    <w:snapToGrid/>
                    <w:spacing w:before="0" w:beforeLines="0" w:after="0" w:afterLines="0" w:line="240" w:lineRule="auto"/>
                    <w:ind w:left="0" w:firstLine="0" w:firstLineChars="0"/>
                    <w:jc w:val="center"/>
                    <w:rPr>
                      <w:rFonts w:hint="default" w:ascii="Times New Roman" w:hAnsi="Times New Roman" w:eastAsia="宋体" w:cs="Times New Roman"/>
                      <w:color w:val="auto"/>
                      <w:spacing w:val="7"/>
                      <w:sz w:val="21"/>
                      <w:szCs w:val="21"/>
                    </w:rPr>
                  </w:pPr>
                </w:p>
              </w:tc>
              <w:tc>
                <w:tcPr>
                  <w:tcW w:w="412" w:type="pct"/>
                  <w:tcBorders>
                    <w:tl2br w:val="nil"/>
                    <w:tr2bl w:val="nil"/>
                  </w:tcBorders>
                  <w:noWrap w:val="0"/>
                  <w:vAlign w:val="center"/>
                </w:tcPr>
                <w:p w14:paraId="595310D0">
                  <w:pPr>
                    <w:pStyle w:val="61"/>
                    <w:adjustRightInd/>
                    <w:snapToGrid/>
                    <w:spacing w:before="0" w:beforeLines="0" w:after="0" w:afterLines="0" w:line="240" w:lineRule="auto"/>
                    <w:ind w:left="0" w:firstLine="0" w:firstLineChars="0"/>
                    <w:rPr>
                      <w:rFonts w:hint="default" w:ascii="Times New Roman" w:hAnsi="Times New Roman" w:eastAsia="宋体" w:cs="Times New Roman"/>
                      <w:bCs/>
                      <w:snapToGrid w:val="0"/>
                      <w:color w:val="auto"/>
                      <w:szCs w:val="21"/>
                      <w:lang w:val="en-US" w:eastAsia="zh-CN"/>
                    </w:rPr>
                  </w:pPr>
                  <w:r>
                    <w:rPr>
                      <w:rFonts w:hint="eastAsia" w:ascii="Times New Roman" w:cs="Times New Roman"/>
                      <w:bCs/>
                      <w:snapToGrid w:val="0"/>
                      <w:color w:val="auto"/>
                      <w:szCs w:val="21"/>
                      <w:lang w:val="en-US" w:eastAsia="zh-CN"/>
                    </w:rPr>
                    <w:t>150</w:t>
                  </w:r>
                </w:p>
              </w:tc>
            </w:tr>
            <w:tr w14:paraId="6B8E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42DCD1BC">
                  <w:pPr>
                    <w:pStyle w:val="61"/>
                    <w:adjustRightInd/>
                    <w:snapToGrid/>
                    <w:spacing w:before="0" w:beforeLines="0" w:after="0" w:afterLines="0" w:line="240" w:lineRule="auto"/>
                    <w:ind w:left="0" w:firstLine="0" w:firstLineChars="0"/>
                    <w:rPr>
                      <w:rFonts w:ascii="Times New Roman"/>
                      <w:color w:val="auto"/>
                      <w:szCs w:val="21"/>
                    </w:rPr>
                  </w:pPr>
                </w:p>
              </w:tc>
              <w:tc>
                <w:tcPr>
                  <w:tcW w:w="569" w:type="pct"/>
                  <w:vMerge w:val="continue"/>
                  <w:tcBorders>
                    <w:tl2br w:val="nil"/>
                    <w:tr2bl w:val="nil"/>
                  </w:tcBorders>
                  <w:noWrap w:val="0"/>
                  <w:vAlign w:val="center"/>
                </w:tcPr>
                <w:p w14:paraId="29FE6AD6">
                  <w:pPr>
                    <w:pStyle w:val="61"/>
                    <w:adjustRightInd/>
                    <w:snapToGrid/>
                    <w:spacing w:before="0" w:beforeLines="0" w:after="0" w:afterLines="0" w:line="240" w:lineRule="auto"/>
                    <w:ind w:left="0" w:firstLine="0" w:firstLineChars="0"/>
                    <w:rPr>
                      <w:rFonts w:hint="eastAsia" w:ascii="Times New Roman"/>
                      <w:color w:val="auto"/>
                      <w:szCs w:val="21"/>
                      <w:lang w:val="en-US" w:eastAsia="zh-CN"/>
                    </w:rPr>
                  </w:pPr>
                </w:p>
              </w:tc>
              <w:tc>
                <w:tcPr>
                  <w:tcW w:w="483" w:type="pct"/>
                  <w:tcBorders>
                    <w:tl2br w:val="nil"/>
                    <w:tr2bl w:val="nil"/>
                  </w:tcBorders>
                  <w:noWrap w:val="0"/>
                  <w:vAlign w:val="center"/>
                </w:tcPr>
                <w:p w14:paraId="2D5D6EA3">
                  <w:pPr>
                    <w:pStyle w:val="61"/>
                    <w:adjustRightInd/>
                    <w:snapToGrid/>
                    <w:spacing w:before="0" w:beforeLines="0" w:after="0" w:afterLines="0" w:line="240" w:lineRule="auto"/>
                    <w:ind w:left="0" w:leftChars="0" w:firstLine="0" w:firstLineChars="0"/>
                    <w:rPr>
                      <w:rFonts w:hint="default" w:ascii="Times New Roman" w:hAnsi="Times New Roman" w:eastAsia="宋体" w:cs="Times New Roman"/>
                      <w:color w:val="auto"/>
                      <w:spacing w:val="-3"/>
                      <w:sz w:val="21"/>
                      <w:szCs w:val="21"/>
                    </w:rPr>
                  </w:pPr>
                  <w:r>
                    <w:rPr>
                      <w:rFonts w:hint="default" w:ascii="Times New Roman" w:hAnsi="Times New Roman" w:eastAsia="宋体" w:cs="Times New Roman"/>
                      <w:color w:val="auto"/>
                      <w:spacing w:val="-3"/>
                      <w:sz w:val="21"/>
                      <w:szCs w:val="21"/>
                    </w:rPr>
                    <w:t>SS</w:t>
                  </w:r>
                </w:p>
              </w:tc>
              <w:tc>
                <w:tcPr>
                  <w:tcW w:w="377" w:type="pct"/>
                  <w:vMerge w:val="continue"/>
                  <w:tcBorders>
                    <w:tl2br w:val="nil"/>
                    <w:tr2bl w:val="nil"/>
                  </w:tcBorders>
                  <w:noWrap w:val="0"/>
                  <w:vAlign w:val="center"/>
                </w:tcPr>
                <w:p w14:paraId="26761641">
                  <w:pPr>
                    <w:pStyle w:val="61"/>
                    <w:adjustRightInd/>
                    <w:snapToGrid/>
                    <w:spacing w:before="0" w:beforeLines="0" w:after="0" w:afterLines="0" w:line="240" w:lineRule="auto"/>
                    <w:ind w:left="0" w:firstLine="0" w:firstLineChars="0"/>
                    <w:rPr>
                      <w:rFonts w:ascii="Times New Roman"/>
                      <w:color w:val="auto"/>
                      <w:szCs w:val="21"/>
                    </w:rPr>
                  </w:pPr>
                </w:p>
              </w:tc>
              <w:tc>
                <w:tcPr>
                  <w:tcW w:w="426" w:type="pct"/>
                  <w:vMerge w:val="continue"/>
                  <w:tcBorders>
                    <w:tl2br w:val="nil"/>
                    <w:tr2bl w:val="nil"/>
                  </w:tcBorders>
                  <w:noWrap w:val="0"/>
                  <w:vAlign w:val="center"/>
                </w:tcPr>
                <w:p w14:paraId="69607456">
                  <w:pPr>
                    <w:pStyle w:val="61"/>
                    <w:adjustRightInd/>
                    <w:snapToGrid/>
                    <w:spacing w:before="0" w:beforeLines="0" w:after="0" w:afterLines="0" w:line="240" w:lineRule="auto"/>
                    <w:ind w:left="0" w:firstLine="0" w:firstLineChars="0"/>
                    <w:rPr>
                      <w:rFonts w:hint="eastAsia" w:ascii="Times New Roman"/>
                      <w:color w:val="auto"/>
                      <w:szCs w:val="21"/>
                      <w:lang w:eastAsia="zh-CN"/>
                    </w:rPr>
                  </w:pPr>
                </w:p>
              </w:tc>
              <w:tc>
                <w:tcPr>
                  <w:tcW w:w="656" w:type="pct"/>
                  <w:vMerge w:val="continue"/>
                  <w:tcBorders>
                    <w:tl2br w:val="nil"/>
                    <w:tr2bl w:val="nil"/>
                  </w:tcBorders>
                  <w:noWrap w:val="0"/>
                  <w:vAlign w:val="center"/>
                </w:tcPr>
                <w:p w14:paraId="64490F7A">
                  <w:pPr>
                    <w:jc w:val="center"/>
                    <w:rPr>
                      <w:color w:val="auto"/>
                      <w:szCs w:val="21"/>
                    </w:rPr>
                  </w:pPr>
                </w:p>
              </w:tc>
              <w:tc>
                <w:tcPr>
                  <w:tcW w:w="448" w:type="pct"/>
                  <w:vMerge w:val="continue"/>
                  <w:tcBorders>
                    <w:tl2br w:val="nil"/>
                    <w:tr2bl w:val="nil"/>
                  </w:tcBorders>
                  <w:noWrap w:val="0"/>
                  <w:vAlign w:val="center"/>
                </w:tcPr>
                <w:p w14:paraId="1033E127">
                  <w:pPr>
                    <w:pStyle w:val="61"/>
                    <w:adjustRightInd/>
                    <w:snapToGrid/>
                    <w:spacing w:before="0" w:beforeLines="0" w:after="0" w:afterLines="0" w:line="240" w:lineRule="auto"/>
                    <w:ind w:left="0" w:firstLine="0" w:firstLineChars="0"/>
                    <w:rPr>
                      <w:rFonts w:hint="eastAsia" w:ascii="Times New Roman"/>
                      <w:color w:val="auto"/>
                      <w:szCs w:val="21"/>
                    </w:rPr>
                  </w:pPr>
                </w:p>
              </w:tc>
              <w:tc>
                <w:tcPr>
                  <w:tcW w:w="408" w:type="pct"/>
                  <w:vMerge w:val="continue"/>
                  <w:tcBorders>
                    <w:tl2br w:val="nil"/>
                    <w:tr2bl w:val="nil"/>
                  </w:tcBorders>
                  <w:noWrap w:val="0"/>
                  <w:vAlign w:val="center"/>
                </w:tcPr>
                <w:p w14:paraId="4EFEA21A">
                  <w:pPr>
                    <w:pStyle w:val="61"/>
                    <w:adjustRightInd/>
                    <w:snapToGrid/>
                    <w:spacing w:before="0" w:beforeLines="0" w:after="0" w:afterLines="0" w:line="240" w:lineRule="auto"/>
                    <w:ind w:left="0" w:firstLine="0" w:firstLineChars="0"/>
                    <w:rPr>
                      <w:rFonts w:hint="eastAsia" w:ascii="Times New Roman"/>
                      <w:color w:val="auto"/>
                      <w:szCs w:val="21"/>
                    </w:rPr>
                  </w:pPr>
                </w:p>
              </w:tc>
              <w:tc>
                <w:tcPr>
                  <w:tcW w:w="929" w:type="pct"/>
                  <w:vMerge w:val="continue"/>
                  <w:tcBorders>
                    <w:tl2br w:val="nil"/>
                    <w:tr2bl w:val="nil"/>
                  </w:tcBorders>
                  <w:noWrap w:val="0"/>
                  <w:vAlign w:val="center"/>
                </w:tcPr>
                <w:p w14:paraId="3B7A3EBA">
                  <w:pPr>
                    <w:pStyle w:val="61"/>
                    <w:adjustRightInd/>
                    <w:snapToGrid/>
                    <w:spacing w:before="0" w:beforeLines="0" w:after="0" w:afterLines="0" w:line="240" w:lineRule="auto"/>
                    <w:ind w:left="0" w:firstLine="0" w:firstLineChars="0"/>
                    <w:jc w:val="center"/>
                    <w:rPr>
                      <w:rFonts w:hint="default" w:ascii="Times New Roman" w:hAnsi="Times New Roman" w:eastAsia="宋体" w:cs="Times New Roman"/>
                      <w:color w:val="auto"/>
                      <w:spacing w:val="7"/>
                      <w:sz w:val="21"/>
                      <w:szCs w:val="21"/>
                    </w:rPr>
                  </w:pPr>
                </w:p>
              </w:tc>
              <w:tc>
                <w:tcPr>
                  <w:tcW w:w="412" w:type="pct"/>
                  <w:tcBorders>
                    <w:tl2br w:val="nil"/>
                    <w:tr2bl w:val="nil"/>
                  </w:tcBorders>
                  <w:noWrap w:val="0"/>
                  <w:vAlign w:val="center"/>
                </w:tcPr>
                <w:p w14:paraId="22E798D1">
                  <w:pPr>
                    <w:pStyle w:val="61"/>
                    <w:adjustRightInd/>
                    <w:snapToGrid/>
                    <w:spacing w:before="0" w:beforeLines="0" w:after="0" w:afterLines="0" w:line="240" w:lineRule="auto"/>
                    <w:ind w:left="0" w:firstLine="0" w:firstLineChars="0"/>
                    <w:rPr>
                      <w:rFonts w:hint="default" w:ascii="Times New Roman" w:hAnsi="Times New Roman" w:eastAsia="宋体" w:cs="Times New Roman"/>
                      <w:bCs/>
                      <w:snapToGrid w:val="0"/>
                      <w:color w:val="auto"/>
                      <w:szCs w:val="21"/>
                      <w:lang w:val="en-US" w:eastAsia="zh-CN"/>
                    </w:rPr>
                  </w:pPr>
                  <w:r>
                    <w:rPr>
                      <w:rFonts w:hint="eastAsia" w:ascii="Times New Roman" w:cs="Times New Roman"/>
                      <w:bCs/>
                      <w:snapToGrid w:val="0"/>
                      <w:color w:val="auto"/>
                      <w:szCs w:val="21"/>
                      <w:lang w:val="en-US" w:eastAsia="zh-CN"/>
                    </w:rPr>
                    <w:t>200</w:t>
                  </w:r>
                </w:p>
              </w:tc>
            </w:tr>
            <w:tr w14:paraId="54A72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4281848D">
                  <w:pPr>
                    <w:pStyle w:val="61"/>
                    <w:adjustRightInd/>
                    <w:snapToGrid/>
                    <w:spacing w:before="0" w:beforeLines="0" w:after="0" w:afterLines="0" w:line="240" w:lineRule="auto"/>
                    <w:ind w:left="0" w:firstLine="0" w:firstLineChars="0"/>
                    <w:rPr>
                      <w:rFonts w:ascii="Times New Roman"/>
                      <w:color w:val="auto"/>
                      <w:szCs w:val="21"/>
                    </w:rPr>
                  </w:pPr>
                </w:p>
              </w:tc>
              <w:tc>
                <w:tcPr>
                  <w:tcW w:w="569" w:type="pct"/>
                  <w:vMerge w:val="continue"/>
                  <w:tcBorders>
                    <w:tl2br w:val="nil"/>
                    <w:tr2bl w:val="nil"/>
                  </w:tcBorders>
                  <w:noWrap w:val="0"/>
                  <w:vAlign w:val="center"/>
                </w:tcPr>
                <w:p w14:paraId="67E456B4">
                  <w:pPr>
                    <w:pStyle w:val="61"/>
                    <w:adjustRightInd/>
                    <w:snapToGrid/>
                    <w:spacing w:before="0" w:beforeLines="0" w:after="0" w:afterLines="0" w:line="240" w:lineRule="auto"/>
                    <w:ind w:left="0" w:firstLine="0" w:firstLineChars="0"/>
                    <w:rPr>
                      <w:rFonts w:hint="eastAsia" w:ascii="Times New Roman"/>
                      <w:color w:val="auto"/>
                      <w:szCs w:val="21"/>
                      <w:lang w:val="en-US" w:eastAsia="zh-CN"/>
                    </w:rPr>
                  </w:pPr>
                </w:p>
              </w:tc>
              <w:tc>
                <w:tcPr>
                  <w:tcW w:w="483" w:type="pct"/>
                  <w:tcBorders>
                    <w:tl2br w:val="nil"/>
                    <w:tr2bl w:val="nil"/>
                  </w:tcBorders>
                  <w:noWrap w:val="0"/>
                  <w:vAlign w:val="center"/>
                </w:tcPr>
                <w:p w14:paraId="47CB56D5">
                  <w:pPr>
                    <w:pStyle w:val="61"/>
                    <w:adjustRightInd/>
                    <w:snapToGrid/>
                    <w:spacing w:before="0" w:beforeLines="0" w:after="0" w:afterLines="0" w:line="240" w:lineRule="auto"/>
                    <w:ind w:left="0" w:leftChars="0" w:firstLine="0" w:firstLineChars="0"/>
                    <w:rPr>
                      <w:rFonts w:hint="default" w:ascii="Times New Roman" w:hAnsi="Times New Roman" w:eastAsia="宋体" w:cs="Times New Roman"/>
                      <w:color w:val="auto"/>
                      <w:spacing w:val="-3"/>
                      <w:sz w:val="21"/>
                      <w:szCs w:val="21"/>
                    </w:rPr>
                  </w:pPr>
                  <w:r>
                    <w:rPr>
                      <w:rFonts w:hint="default" w:ascii="Times New Roman" w:hAnsi="Times New Roman" w:cs="Times New Roman"/>
                      <w:bCs/>
                      <w:color w:val="auto"/>
                      <w:kern w:val="2"/>
                      <w:szCs w:val="24"/>
                      <w:u w:val="none"/>
                      <w:lang w:val="en-US" w:eastAsia="zh-CN"/>
                    </w:rPr>
                    <w:t>TP</w:t>
                  </w:r>
                </w:p>
              </w:tc>
              <w:tc>
                <w:tcPr>
                  <w:tcW w:w="377" w:type="pct"/>
                  <w:vMerge w:val="continue"/>
                  <w:tcBorders>
                    <w:tl2br w:val="nil"/>
                    <w:tr2bl w:val="nil"/>
                  </w:tcBorders>
                  <w:noWrap w:val="0"/>
                  <w:vAlign w:val="center"/>
                </w:tcPr>
                <w:p w14:paraId="7666D4E9">
                  <w:pPr>
                    <w:pStyle w:val="61"/>
                    <w:adjustRightInd/>
                    <w:snapToGrid/>
                    <w:spacing w:before="0" w:beforeLines="0" w:after="0" w:afterLines="0" w:line="240" w:lineRule="auto"/>
                    <w:ind w:left="0" w:firstLine="0" w:firstLineChars="0"/>
                    <w:rPr>
                      <w:rFonts w:ascii="Times New Roman"/>
                      <w:color w:val="auto"/>
                      <w:szCs w:val="21"/>
                    </w:rPr>
                  </w:pPr>
                </w:p>
              </w:tc>
              <w:tc>
                <w:tcPr>
                  <w:tcW w:w="426" w:type="pct"/>
                  <w:vMerge w:val="continue"/>
                  <w:tcBorders>
                    <w:tl2br w:val="nil"/>
                    <w:tr2bl w:val="nil"/>
                  </w:tcBorders>
                  <w:noWrap w:val="0"/>
                  <w:vAlign w:val="center"/>
                </w:tcPr>
                <w:p w14:paraId="25688397">
                  <w:pPr>
                    <w:pStyle w:val="61"/>
                    <w:adjustRightInd/>
                    <w:snapToGrid/>
                    <w:spacing w:before="0" w:beforeLines="0" w:after="0" w:afterLines="0" w:line="240" w:lineRule="auto"/>
                    <w:ind w:left="0" w:firstLine="0" w:firstLineChars="0"/>
                    <w:rPr>
                      <w:rFonts w:hint="eastAsia" w:ascii="Times New Roman"/>
                      <w:color w:val="auto"/>
                      <w:szCs w:val="21"/>
                      <w:lang w:eastAsia="zh-CN"/>
                    </w:rPr>
                  </w:pPr>
                </w:p>
              </w:tc>
              <w:tc>
                <w:tcPr>
                  <w:tcW w:w="656" w:type="pct"/>
                  <w:vMerge w:val="continue"/>
                  <w:tcBorders>
                    <w:tl2br w:val="nil"/>
                    <w:tr2bl w:val="nil"/>
                  </w:tcBorders>
                  <w:noWrap w:val="0"/>
                  <w:vAlign w:val="center"/>
                </w:tcPr>
                <w:p w14:paraId="360C4ACC">
                  <w:pPr>
                    <w:jc w:val="center"/>
                    <w:rPr>
                      <w:color w:val="auto"/>
                      <w:szCs w:val="21"/>
                    </w:rPr>
                  </w:pPr>
                </w:p>
              </w:tc>
              <w:tc>
                <w:tcPr>
                  <w:tcW w:w="448" w:type="pct"/>
                  <w:vMerge w:val="continue"/>
                  <w:tcBorders>
                    <w:tl2br w:val="nil"/>
                    <w:tr2bl w:val="nil"/>
                  </w:tcBorders>
                  <w:noWrap w:val="0"/>
                  <w:vAlign w:val="center"/>
                </w:tcPr>
                <w:p w14:paraId="10E6A049">
                  <w:pPr>
                    <w:pStyle w:val="61"/>
                    <w:adjustRightInd/>
                    <w:snapToGrid/>
                    <w:spacing w:before="0" w:beforeLines="0" w:after="0" w:afterLines="0" w:line="240" w:lineRule="auto"/>
                    <w:ind w:left="0" w:firstLine="0" w:firstLineChars="0"/>
                    <w:rPr>
                      <w:rFonts w:hint="eastAsia" w:ascii="Times New Roman"/>
                      <w:color w:val="auto"/>
                      <w:szCs w:val="21"/>
                    </w:rPr>
                  </w:pPr>
                </w:p>
              </w:tc>
              <w:tc>
                <w:tcPr>
                  <w:tcW w:w="408" w:type="pct"/>
                  <w:vMerge w:val="continue"/>
                  <w:tcBorders>
                    <w:tl2br w:val="nil"/>
                    <w:tr2bl w:val="nil"/>
                  </w:tcBorders>
                  <w:noWrap w:val="0"/>
                  <w:vAlign w:val="center"/>
                </w:tcPr>
                <w:p w14:paraId="33E74F8C">
                  <w:pPr>
                    <w:pStyle w:val="61"/>
                    <w:adjustRightInd/>
                    <w:snapToGrid/>
                    <w:spacing w:before="0" w:beforeLines="0" w:after="0" w:afterLines="0" w:line="240" w:lineRule="auto"/>
                    <w:ind w:left="0" w:firstLine="0" w:firstLineChars="0"/>
                    <w:rPr>
                      <w:rFonts w:hint="eastAsia" w:ascii="Times New Roman"/>
                      <w:color w:val="auto"/>
                      <w:szCs w:val="21"/>
                    </w:rPr>
                  </w:pPr>
                </w:p>
              </w:tc>
              <w:tc>
                <w:tcPr>
                  <w:tcW w:w="929" w:type="pct"/>
                  <w:vMerge w:val="continue"/>
                  <w:tcBorders>
                    <w:tl2br w:val="nil"/>
                    <w:tr2bl w:val="nil"/>
                  </w:tcBorders>
                  <w:noWrap w:val="0"/>
                  <w:vAlign w:val="center"/>
                </w:tcPr>
                <w:p w14:paraId="35725DB8">
                  <w:pPr>
                    <w:pStyle w:val="61"/>
                    <w:adjustRightInd/>
                    <w:snapToGrid/>
                    <w:spacing w:before="0" w:beforeLines="0" w:after="0" w:afterLines="0" w:line="240" w:lineRule="auto"/>
                    <w:ind w:left="0" w:firstLine="0" w:firstLineChars="0"/>
                    <w:jc w:val="center"/>
                    <w:rPr>
                      <w:rFonts w:hint="default" w:ascii="Times New Roman" w:hAnsi="Times New Roman" w:eastAsia="宋体" w:cs="Times New Roman"/>
                      <w:color w:val="auto"/>
                      <w:spacing w:val="7"/>
                      <w:sz w:val="21"/>
                      <w:szCs w:val="21"/>
                    </w:rPr>
                  </w:pPr>
                </w:p>
              </w:tc>
              <w:tc>
                <w:tcPr>
                  <w:tcW w:w="412" w:type="pct"/>
                  <w:tcBorders>
                    <w:tl2br w:val="nil"/>
                    <w:tr2bl w:val="nil"/>
                  </w:tcBorders>
                  <w:noWrap w:val="0"/>
                  <w:vAlign w:val="center"/>
                </w:tcPr>
                <w:p w14:paraId="4C2FB0BB">
                  <w:pPr>
                    <w:pStyle w:val="61"/>
                    <w:adjustRightInd/>
                    <w:snapToGrid/>
                    <w:spacing w:before="0" w:beforeLines="0" w:after="0" w:afterLines="0" w:line="240" w:lineRule="auto"/>
                    <w:ind w:left="0" w:firstLine="0" w:firstLineChars="0"/>
                    <w:rPr>
                      <w:rFonts w:hint="default" w:ascii="Times New Roman" w:cs="Times New Roman"/>
                      <w:bCs/>
                      <w:snapToGrid w:val="0"/>
                      <w:color w:val="auto"/>
                      <w:szCs w:val="21"/>
                      <w:lang w:val="en-US" w:eastAsia="zh-CN"/>
                    </w:rPr>
                  </w:pPr>
                  <w:r>
                    <w:rPr>
                      <w:rFonts w:hint="eastAsia" w:ascii="Times New Roman" w:cs="Times New Roman"/>
                      <w:bCs/>
                      <w:snapToGrid w:val="0"/>
                      <w:color w:val="auto"/>
                      <w:szCs w:val="21"/>
                      <w:lang w:val="en-US" w:eastAsia="zh-CN"/>
                    </w:rPr>
                    <w:t>5.0</w:t>
                  </w:r>
                </w:p>
              </w:tc>
            </w:tr>
            <w:tr w14:paraId="10E9C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18D4FCDE">
                  <w:pPr>
                    <w:pStyle w:val="61"/>
                    <w:adjustRightInd/>
                    <w:snapToGrid/>
                    <w:spacing w:before="0" w:beforeLines="0" w:after="0" w:afterLines="0" w:line="240" w:lineRule="auto"/>
                    <w:ind w:left="0" w:firstLine="0" w:firstLineChars="0"/>
                    <w:rPr>
                      <w:rFonts w:ascii="Times New Roman"/>
                      <w:color w:val="auto"/>
                      <w:szCs w:val="21"/>
                    </w:rPr>
                  </w:pPr>
                </w:p>
              </w:tc>
              <w:tc>
                <w:tcPr>
                  <w:tcW w:w="569" w:type="pct"/>
                  <w:vMerge w:val="continue"/>
                  <w:tcBorders>
                    <w:tl2br w:val="nil"/>
                    <w:tr2bl w:val="nil"/>
                  </w:tcBorders>
                  <w:noWrap w:val="0"/>
                  <w:vAlign w:val="center"/>
                </w:tcPr>
                <w:p w14:paraId="28D3002B">
                  <w:pPr>
                    <w:pStyle w:val="61"/>
                    <w:adjustRightInd/>
                    <w:snapToGrid/>
                    <w:spacing w:before="0" w:beforeLines="0" w:after="0" w:afterLines="0" w:line="240" w:lineRule="auto"/>
                    <w:ind w:left="0" w:firstLine="0" w:firstLineChars="0"/>
                    <w:rPr>
                      <w:rFonts w:hint="eastAsia" w:ascii="Times New Roman"/>
                      <w:color w:val="auto"/>
                      <w:szCs w:val="21"/>
                      <w:lang w:val="en-US" w:eastAsia="zh-CN"/>
                    </w:rPr>
                  </w:pPr>
                </w:p>
              </w:tc>
              <w:tc>
                <w:tcPr>
                  <w:tcW w:w="483" w:type="pct"/>
                  <w:tcBorders>
                    <w:tl2br w:val="nil"/>
                    <w:tr2bl w:val="nil"/>
                  </w:tcBorders>
                  <w:noWrap w:val="0"/>
                  <w:vAlign w:val="center"/>
                </w:tcPr>
                <w:p w14:paraId="1E4B9488">
                  <w:pPr>
                    <w:pStyle w:val="61"/>
                    <w:adjustRightInd/>
                    <w:snapToGrid/>
                    <w:spacing w:before="0" w:beforeLines="0" w:after="0" w:afterLines="0" w:line="240" w:lineRule="auto"/>
                    <w:ind w:left="0" w:leftChars="0" w:firstLine="0" w:firstLineChars="0"/>
                    <w:rPr>
                      <w:rFonts w:hint="default" w:ascii="Times New Roman" w:hAnsi="Times New Roman" w:eastAsia="宋体" w:cs="Times New Roman"/>
                      <w:color w:val="auto"/>
                      <w:spacing w:val="-3"/>
                      <w:sz w:val="21"/>
                      <w:szCs w:val="21"/>
                    </w:rPr>
                  </w:pPr>
                  <w:r>
                    <w:rPr>
                      <w:rFonts w:hint="default" w:ascii="Times New Roman" w:hAnsi="Times New Roman" w:cs="Times New Roman"/>
                      <w:bCs/>
                      <w:color w:val="auto"/>
                      <w:kern w:val="2"/>
                      <w:szCs w:val="24"/>
                      <w:u w:val="none"/>
                      <w:lang w:val="en-US" w:eastAsia="zh-CN"/>
                    </w:rPr>
                    <w:t>TN</w:t>
                  </w:r>
                </w:p>
              </w:tc>
              <w:tc>
                <w:tcPr>
                  <w:tcW w:w="377" w:type="pct"/>
                  <w:vMerge w:val="continue"/>
                  <w:tcBorders>
                    <w:tl2br w:val="nil"/>
                    <w:tr2bl w:val="nil"/>
                  </w:tcBorders>
                  <w:noWrap w:val="0"/>
                  <w:vAlign w:val="center"/>
                </w:tcPr>
                <w:p w14:paraId="6793BE4A">
                  <w:pPr>
                    <w:pStyle w:val="61"/>
                    <w:adjustRightInd/>
                    <w:snapToGrid/>
                    <w:spacing w:before="0" w:beforeLines="0" w:after="0" w:afterLines="0" w:line="240" w:lineRule="auto"/>
                    <w:ind w:left="0" w:firstLine="0" w:firstLineChars="0"/>
                    <w:rPr>
                      <w:rFonts w:ascii="Times New Roman"/>
                      <w:color w:val="auto"/>
                      <w:szCs w:val="21"/>
                    </w:rPr>
                  </w:pPr>
                </w:p>
              </w:tc>
              <w:tc>
                <w:tcPr>
                  <w:tcW w:w="426" w:type="pct"/>
                  <w:vMerge w:val="continue"/>
                  <w:tcBorders>
                    <w:tl2br w:val="nil"/>
                    <w:tr2bl w:val="nil"/>
                  </w:tcBorders>
                  <w:noWrap w:val="0"/>
                  <w:vAlign w:val="center"/>
                </w:tcPr>
                <w:p w14:paraId="2C0693C0">
                  <w:pPr>
                    <w:pStyle w:val="61"/>
                    <w:adjustRightInd/>
                    <w:snapToGrid/>
                    <w:spacing w:before="0" w:beforeLines="0" w:after="0" w:afterLines="0" w:line="240" w:lineRule="auto"/>
                    <w:ind w:left="0" w:firstLine="0" w:firstLineChars="0"/>
                    <w:rPr>
                      <w:rFonts w:hint="eastAsia" w:ascii="Times New Roman"/>
                      <w:color w:val="auto"/>
                      <w:szCs w:val="21"/>
                      <w:lang w:eastAsia="zh-CN"/>
                    </w:rPr>
                  </w:pPr>
                </w:p>
              </w:tc>
              <w:tc>
                <w:tcPr>
                  <w:tcW w:w="656" w:type="pct"/>
                  <w:vMerge w:val="continue"/>
                  <w:tcBorders>
                    <w:tl2br w:val="nil"/>
                    <w:tr2bl w:val="nil"/>
                  </w:tcBorders>
                  <w:noWrap w:val="0"/>
                  <w:vAlign w:val="center"/>
                </w:tcPr>
                <w:p w14:paraId="23183AF6">
                  <w:pPr>
                    <w:jc w:val="center"/>
                    <w:rPr>
                      <w:color w:val="auto"/>
                      <w:szCs w:val="21"/>
                    </w:rPr>
                  </w:pPr>
                </w:p>
              </w:tc>
              <w:tc>
                <w:tcPr>
                  <w:tcW w:w="448" w:type="pct"/>
                  <w:vMerge w:val="continue"/>
                  <w:tcBorders>
                    <w:tl2br w:val="nil"/>
                    <w:tr2bl w:val="nil"/>
                  </w:tcBorders>
                  <w:noWrap w:val="0"/>
                  <w:vAlign w:val="center"/>
                </w:tcPr>
                <w:p w14:paraId="4640EC14">
                  <w:pPr>
                    <w:pStyle w:val="61"/>
                    <w:adjustRightInd/>
                    <w:snapToGrid/>
                    <w:spacing w:before="0" w:beforeLines="0" w:after="0" w:afterLines="0" w:line="240" w:lineRule="auto"/>
                    <w:ind w:left="0" w:firstLine="0" w:firstLineChars="0"/>
                    <w:rPr>
                      <w:rFonts w:hint="eastAsia" w:ascii="Times New Roman"/>
                      <w:color w:val="auto"/>
                      <w:szCs w:val="21"/>
                    </w:rPr>
                  </w:pPr>
                </w:p>
              </w:tc>
              <w:tc>
                <w:tcPr>
                  <w:tcW w:w="408" w:type="pct"/>
                  <w:vMerge w:val="continue"/>
                  <w:tcBorders>
                    <w:tl2br w:val="nil"/>
                    <w:tr2bl w:val="nil"/>
                  </w:tcBorders>
                  <w:noWrap w:val="0"/>
                  <w:vAlign w:val="center"/>
                </w:tcPr>
                <w:p w14:paraId="5BDD450D">
                  <w:pPr>
                    <w:pStyle w:val="61"/>
                    <w:adjustRightInd/>
                    <w:snapToGrid/>
                    <w:spacing w:before="0" w:beforeLines="0" w:after="0" w:afterLines="0" w:line="240" w:lineRule="auto"/>
                    <w:ind w:left="0" w:firstLine="0" w:firstLineChars="0"/>
                    <w:rPr>
                      <w:rFonts w:hint="eastAsia" w:ascii="Times New Roman"/>
                      <w:color w:val="auto"/>
                      <w:szCs w:val="21"/>
                    </w:rPr>
                  </w:pPr>
                </w:p>
              </w:tc>
              <w:tc>
                <w:tcPr>
                  <w:tcW w:w="929" w:type="pct"/>
                  <w:vMerge w:val="continue"/>
                  <w:tcBorders>
                    <w:tl2br w:val="nil"/>
                    <w:tr2bl w:val="nil"/>
                  </w:tcBorders>
                  <w:noWrap w:val="0"/>
                  <w:vAlign w:val="center"/>
                </w:tcPr>
                <w:p w14:paraId="34CC49A7">
                  <w:pPr>
                    <w:pStyle w:val="61"/>
                    <w:adjustRightInd/>
                    <w:snapToGrid/>
                    <w:spacing w:before="0" w:beforeLines="0" w:after="0" w:afterLines="0" w:line="240" w:lineRule="auto"/>
                    <w:ind w:left="0" w:firstLine="0" w:firstLineChars="0"/>
                    <w:jc w:val="center"/>
                    <w:rPr>
                      <w:rFonts w:hint="default" w:ascii="Times New Roman" w:hAnsi="Times New Roman" w:eastAsia="宋体" w:cs="Times New Roman"/>
                      <w:color w:val="auto"/>
                      <w:spacing w:val="7"/>
                      <w:sz w:val="21"/>
                      <w:szCs w:val="21"/>
                    </w:rPr>
                  </w:pPr>
                </w:p>
              </w:tc>
              <w:tc>
                <w:tcPr>
                  <w:tcW w:w="412" w:type="pct"/>
                  <w:tcBorders>
                    <w:tl2br w:val="nil"/>
                    <w:tr2bl w:val="nil"/>
                  </w:tcBorders>
                  <w:noWrap w:val="0"/>
                  <w:vAlign w:val="center"/>
                </w:tcPr>
                <w:p w14:paraId="7AE0C256">
                  <w:pPr>
                    <w:pStyle w:val="61"/>
                    <w:adjustRightInd/>
                    <w:snapToGrid/>
                    <w:spacing w:before="0" w:beforeLines="0" w:after="0" w:afterLines="0" w:line="240" w:lineRule="auto"/>
                    <w:ind w:left="0" w:firstLine="0" w:firstLineChars="0"/>
                    <w:rPr>
                      <w:rFonts w:hint="default" w:ascii="Times New Roman" w:cs="Times New Roman"/>
                      <w:bCs/>
                      <w:snapToGrid w:val="0"/>
                      <w:color w:val="auto"/>
                      <w:szCs w:val="21"/>
                      <w:lang w:val="en-US" w:eastAsia="zh-CN"/>
                    </w:rPr>
                  </w:pPr>
                  <w:r>
                    <w:rPr>
                      <w:rFonts w:hint="eastAsia" w:ascii="Times New Roman" w:cs="Times New Roman"/>
                      <w:bCs/>
                      <w:snapToGrid w:val="0"/>
                      <w:color w:val="auto"/>
                      <w:szCs w:val="21"/>
                      <w:lang w:val="en-US" w:eastAsia="zh-CN"/>
                    </w:rPr>
                    <w:t>40</w:t>
                  </w:r>
                </w:p>
              </w:tc>
            </w:tr>
            <w:tr w14:paraId="7729C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 w:type="pct"/>
                  <w:vMerge w:val="continue"/>
                  <w:tcBorders>
                    <w:tl2br w:val="nil"/>
                    <w:tr2bl w:val="nil"/>
                  </w:tcBorders>
                  <w:noWrap w:val="0"/>
                  <w:vAlign w:val="center"/>
                </w:tcPr>
                <w:p w14:paraId="365AD341">
                  <w:pPr>
                    <w:pStyle w:val="61"/>
                    <w:adjustRightInd/>
                    <w:snapToGrid/>
                    <w:spacing w:before="0" w:beforeLines="0" w:after="0" w:afterLines="0" w:line="240" w:lineRule="auto"/>
                    <w:ind w:left="0" w:firstLine="0" w:firstLineChars="0"/>
                    <w:rPr>
                      <w:rFonts w:ascii="Times New Roman"/>
                      <w:color w:val="auto"/>
                      <w:szCs w:val="21"/>
                    </w:rPr>
                  </w:pPr>
                </w:p>
              </w:tc>
              <w:tc>
                <w:tcPr>
                  <w:tcW w:w="569" w:type="pct"/>
                  <w:vMerge w:val="continue"/>
                  <w:tcBorders>
                    <w:tl2br w:val="nil"/>
                    <w:tr2bl w:val="nil"/>
                  </w:tcBorders>
                  <w:noWrap w:val="0"/>
                  <w:vAlign w:val="center"/>
                </w:tcPr>
                <w:p w14:paraId="0944FB8A">
                  <w:pPr>
                    <w:pStyle w:val="61"/>
                    <w:adjustRightInd/>
                    <w:snapToGrid/>
                    <w:spacing w:before="0" w:beforeLines="0" w:after="0" w:afterLines="0" w:line="240" w:lineRule="auto"/>
                    <w:ind w:left="0" w:firstLine="0" w:firstLineChars="0"/>
                    <w:rPr>
                      <w:rFonts w:hint="eastAsia" w:ascii="Times New Roman"/>
                      <w:color w:val="auto"/>
                      <w:szCs w:val="21"/>
                      <w:lang w:val="en-US" w:eastAsia="zh-CN"/>
                    </w:rPr>
                  </w:pPr>
                </w:p>
              </w:tc>
              <w:tc>
                <w:tcPr>
                  <w:tcW w:w="483" w:type="pct"/>
                  <w:tcBorders>
                    <w:tl2br w:val="nil"/>
                    <w:tr2bl w:val="nil"/>
                  </w:tcBorders>
                  <w:noWrap w:val="0"/>
                  <w:vAlign w:val="center"/>
                </w:tcPr>
                <w:p w14:paraId="69674A86">
                  <w:pPr>
                    <w:pStyle w:val="61"/>
                    <w:adjustRightInd/>
                    <w:snapToGrid/>
                    <w:spacing w:before="0" w:beforeLines="0" w:after="0" w:afterLines="0" w:line="240" w:lineRule="auto"/>
                    <w:ind w:left="0" w:leftChars="0" w:firstLine="0" w:firstLineChars="0"/>
                    <w:rPr>
                      <w:rFonts w:hint="default" w:ascii="Times New Roman" w:hAnsi="Times New Roman" w:eastAsia="宋体" w:cs="Times New Roman"/>
                      <w:color w:val="auto"/>
                      <w:spacing w:val="-3"/>
                      <w:sz w:val="21"/>
                      <w:szCs w:val="21"/>
                    </w:rPr>
                  </w:pPr>
                  <w:r>
                    <w:rPr>
                      <w:rFonts w:hint="default" w:ascii="Times New Roman" w:hAnsi="Times New Roman" w:cs="Times New Roman"/>
                      <w:bCs/>
                      <w:color w:val="auto"/>
                      <w:sz w:val="21"/>
                      <w:szCs w:val="21"/>
                    </w:rPr>
                    <w:t>氨氮</w:t>
                  </w:r>
                </w:p>
              </w:tc>
              <w:tc>
                <w:tcPr>
                  <w:tcW w:w="377" w:type="pct"/>
                  <w:vMerge w:val="continue"/>
                  <w:tcBorders>
                    <w:tl2br w:val="nil"/>
                    <w:tr2bl w:val="nil"/>
                  </w:tcBorders>
                  <w:noWrap w:val="0"/>
                  <w:vAlign w:val="center"/>
                </w:tcPr>
                <w:p w14:paraId="5DB79706">
                  <w:pPr>
                    <w:pStyle w:val="61"/>
                    <w:adjustRightInd/>
                    <w:snapToGrid/>
                    <w:spacing w:before="0" w:beforeLines="0" w:after="0" w:afterLines="0" w:line="240" w:lineRule="auto"/>
                    <w:ind w:left="0" w:firstLine="0" w:firstLineChars="0"/>
                    <w:rPr>
                      <w:rFonts w:ascii="Times New Roman"/>
                      <w:color w:val="auto"/>
                      <w:szCs w:val="21"/>
                    </w:rPr>
                  </w:pPr>
                </w:p>
              </w:tc>
              <w:tc>
                <w:tcPr>
                  <w:tcW w:w="426" w:type="pct"/>
                  <w:vMerge w:val="continue"/>
                  <w:tcBorders>
                    <w:tl2br w:val="nil"/>
                    <w:tr2bl w:val="nil"/>
                  </w:tcBorders>
                  <w:noWrap w:val="0"/>
                  <w:vAlign w:val="center"/>
                </w:tcPr>
                <w:p w14:paraId="5DC2A5E0">
                  <w:pPr>
                    <w:pStyle w:val="61"/>
                    <w:adjustRightInd/>
                    <w:snapToGrid/>
                    <w:spacing w:before="0" w:beforeLines="0" w:after="0" w:afterLines="0" w:line="240" w:lineRule="auto"/>
                    <w:ind w:left="0" w:firstLine="0" w:firstLineChars="0"/>
                    <w:rPr>
                      <w:rFonts w:hint="eastAsia" w:ascii="Times New Roman"/>
                      <w:color w:val="auto"/>
                      <w:szCs w:val="21"/>
                      <w:lang w:eastAsia="zh-CN"/>
                    </w:rPr>
                  </w:pPr>
                </w:p>
              </w:tc>
              <w:tc>
                <w:tcPr>
                  <w:tcW w:w="656" w:type="pct"/>
                  <w:vMerge w:val="continue"/>
                  <w:tcBorders>
                    <w:tl2br w:val="nil"/>
                    <w:tr2bl w:val="nil"/>
                  </w:tcBorders>
                  <w:noWrap w:val="0"/>
                  <w:vAlign w:val="center"/>
                </w:tcPr>
                <w:p w14:paraId="350FBDB7">
                  <w:pPr>
                    <w:jc w:val="center"/>
                    <w:rPr>
                      <w:color w:val="auto"/>
                      <w:szCs w:val="21"/>
                    </w:rPr>
                  </w:pPr>
                </w:p>
              </w:tc>
              <w:tc>
                <w:tcPr>
                  <w:tcW w:w="448" w:type="pct"/>
                  <w:vMerge w:val="continue"/>
                  <w:tcBorders>
                    <w:tl2br w:val="nil"/>
                    <w:tr2bl w:val="nil"/>
                  </w:tcBorders>
                  <w:noWrap w:val="0"/>
                  <w:vAlign w:val="center"/>
                </w:tcPr>
                <w:p w14:paraId="20B9F600">
                  <w:pPr>
                    <w:pStyle w:val="61"/>
                    <w:adjustRightInd/>
                    <w:snapToGrid/>
                    <w:spacing w:before="0" w:beforeLines="0" w:after="0" w:afterLines="0" w:line="240" w:lineRule="auto"/>
                    <w:ind w:left="0" w:firstLine="0" w:firstLineChars="0"/>
                    <w:rPr>
                      <w:rFonts w:hint="eastAsia" w:ascii="Times New Roman"/>
                      <w:color w:val="auto"/>
                      <w:szCs w:val="21"/>
                    </w:rPr>
                  </w:pPr>
                </w:p>
              </w:tc>
              <w:tc>
                <w:tcPr>
                  <w:tcW w:w="408" w:type="pct"/>
                  <w:vMerge w:val="continue"/>
                  <w:tcBorders>
                    <w:tl2br w:val="nil"/>
                    <w:tr2bl w:val="nil"/>
                  </w:tcBorders>
                  <w:noWrap w:val="0"/>
                  <w:vAlign w:val="center"/>
                </w:tcPr>
                <w:p w14:paraId="66722847">
                  <w:pPr>
                    <w:pStyle w:val="61"/>
                    <w:adjustRightInd/>
                    <w:snapToGrid/>
                    <w:spacing w:before="0" w:beforeLines="0" w:after="0" w:afterLines="0" w:line="240" w:lineRule="auto"/>
                    <w:ind w:left="0" w:firstLine="0" w:firstLineChars="0"/>
                    <w:rPr>
                      <w:rFonts w:hint="eastAsia" w:ascii="Times New Roman"/>
                      <w:color w:val="auto"/>
                      <w:szCs w:val="21"/>
                    </w:rPr>
                  </w:pPr>
                </w:p>
              </w:tc>
              <w:tc>
                <w:tcPr>
                  <w:tcW w:w="929" w:type="pct"/>
                  <w:vMerge w:val="continue"/>
                  <w:tcBorders>
                    <w:tl2br w:val="nil"/>
                    <w:tr2bl w:val="nil"/>
                  </w:tcBorders>
                  <w:noWrap w:val="0"/>
                  <w:vAlign w:val="center"/>
                </w:tcPr>
                <w:p w14:paraId="5236788D">
                  <w:pPr>
                    <w:pStyle w:val="61"/>
                    <w:adjustRightInd/>
                    <w:snapToGrid/>
                    <w:spacing w:before="0" w:beforeLines="0" w:after="0" w:afterLines="0" w:line="240" w:lineRule="auto"/>
                    <w:ind w:left="0" w:firstLine="0" w:firstLineChars="0"/>
                    <w:jc w:val="center"/>
                    <w:rPr>
                      <w:rFonts w:hint="default" w:ascii="Times New Roman" w:hAnsi="Times New Roman" w:eastAsia="宋体" w:cs="Times New Roman"/>
                      <w:color w:val="auto"/>
                      <w:spacing w:val="7"/>
                      <w:sz w:val="21"/>
                      <w:szCs w:val="21"/>
                    </w:rPr>
                  </w:pPr>
                </w:p>
              </w:tc>
              <w:tc>
                <w:tcPr>
                  <w:tcW w:w="412" w:type="pct"/>
                  <w:tcBorders>
                    <w:tl2br w:val="nil"/>
                    <w:tr2bl w:val="nil"/>
                  </w:tcBorders>
                  <w:noWrap w:val="0"/>
                  <w:vAlign w:val="center"/>
                </w:tcPr>
                <w:p w14:paraId="0C9A966E">
                  <w:pPr>
                    <w:pStyle w:val="61"/>
                    <w:adjustRightInd/>
                    <w:snapToGrid/>
                    <w:spacing w:before="0" w:beforeLines="0" w:after="0" w:afterLines="0" w:line="240" w:lineRule="auto"/>
                    <w:ind w:left="0" w:firstLine="0" w:firstLineChars="0"/>
                    <w:rPr>
                      <w:rFonts w:hint="default" w:ascii="Times New Roman" w:hAnsi="Times New Roman" w:eastAsia="宋体" w:cs="Times New Roman"/>
                      <w:bCs/>
                      <w:snapToGrid w:val="0"/>
                      <w:color w:val="auto"/>
                      <w:szCs w:val="21"/>
                      <w:lang w:val="en-US" w:eastAsia="zh-CN"/>
                    </w:rPr>
                  </w:pPr>
                  <w:r>
                    <w:rPr>
                      <w:rFonts w:hint="eastAsia" w:ascii="Times New Roman" w:cs="Times New Roman"/>
                      <w:bCs/>
                      <w:snapToGrid w:val="0"/>
                      <w:color w:val="auto"/>
                      <w:szCs w:val="21"/>
                      <w:lang w:val="en-US" w:eastAsia="zh-CN"/>
                    </w:rPr>
                    <w:t>30</w:t>
                  </w:r>
                </w:p>
              </w:tc>
            </w:tr>
          </w:tbl>
          <w:p w14:paraId="451E9B3F">
            <w:pPr>
              <w:pStyle w:val="82"/>
              <w:keepNext w:val="0"/>
              <w:keepLines w:val="0"/>
              <w:pageBreakBefore w:val="0"/>
              <w:widowControl w:val="0"/>
              <w:kinsoku/>
              <w:wordWrap/>
              <w:overflowPunct/>
              <w:topLinePunct w:val="0"/>
              <w:autoSpaceDE/>
              <w:autoSpaceDN/>
              <w:bidi w:val="0"/>
              <w:adjustRightInd/>
              <w:snapToGrid/>
              <w:spacing w:before="157" w:beforeLines="50"/>
              <w:ind w:left="0" w:leftChars="0" w:firstLine="482" w:firstLineChars="200"/>
              <w:textAlignment w:val="auto"/>
              <w:rPr>
                <w:rFonts w:hint="default" w:ascii="Times New Roman" w:hAnsi="Times New Roman" w:cs="Times New Roman"/>
                <w:b/>
                <w:color w:val="auto"/>
                <w:szCs w:val="24"/>
              </w:rPr>
            </w:pPr>
            <w:r>
              <w:rPr>
                <w:rFonts w:hint="eastAsia" w:cs="Times New Roman"/>
                <w:b/>
                <w:color w:val="auto"/>
                <w:szCs w:val="24"/>
                <w:lang w:eastAsia="zh-CN"/>
              </w:rPr>
              <w:t>（</w:t>
            </w:r>
            <w:r>
              <w:rPr>
                <w:rFonts w:hint="eastAsia" w:cs="Times New Roman"/>
                <w:b/>
                <w:color w:val="auto"/>
                <w:szCs w:val="24"/>
                <w:lang w:val="en-US" w:eastAsia="zh-CN"/>
              </w:rPr>
              <w:t>5</w:t>
            </w:r>
            <w:r>
              <w:rPr>
                <w:rFonts w:hint="eastAsia" w:cs="Times New Roman"/>
                <w:b/>
                <w:color w:val="auto"/>
                <w:szCs w:val="24"/>
                <w:lang w:eastAsia="zh-CN"/>
              </w:rPr>
              <w:t>）</w:t>
            </w:r>
            <w:r>
              <w:rPr>
                <w:rFonts w:hint="default" w:ascii="Times New Roman" w:hAnsi="Times New Roman" w:cs="Times New Roman"/>
                <w:b/>
                <w:color w:val="auto"/>
                <w:szCs w:val="24"/>
              </w:rPr>
              <w:t>废水环境监测计划</w:t>
            </w:r>
          </w:p>
          <w:p w14:paraId="2EA419EA">
            <w:pPr>
              <w:pStyle w:val="82"/>
              <w:rPr>
                <w:rFonts w:hint="default" w:ascii="Times New Roman" w:hAnsi="Times New Roman" w:cs="Times New Roman"/>
                <w:bCs/>
                <w:color w:val="auto"/>
                <w:szCs w:val="24"/>
              </w:rPr>
            </w:pPr>
            <w:r>
              <w:rPr>
                <w:rFonts w:hint="eastAsia" w:ascii="Times New Roman" w:hAnsi="Times New Roman" w:cs="Times New Roman"/>
                <w:bCs/>
                <w:color w:val="auto"/>
                <w:szCs w:val="24"/>
                <w:lang w:val="en-US" w:eastAsia="zh-CN"/>
              </w:rPr>
              <w:t>参照</w:t>
            </w:r>
            <w:r>
              <w:rPr>
                <w:rFonts w:hint="default" w:ascii="Times New Roman" w:hAnsi="Times New Roman" w:cs="Times New Roman"/>
                <w:bCs/>
                <w:color w:val="auto"/>
                <w:szCs w:val="24"/>
              </w:rPr>
              <w:t>《排污单位自行监测技术指南</w:t>
            </w:r>
            <w:r>
              <w:rPr>
                <w:rFonts w:hint="default" w:ascii="Times New Roman" w:hAnsi="Times New Roman" w:cs="Times New Roman"/>
                <w:bCs/>
                <w:color w:val="auto"/>
                <w:szCs w:val="24"/>
                <w:lang w:val="en-US" w:eastAsia="zh-CN"/>
              </w:rPr>
              <w:t xml:space="preserve"> </w:t>
            </w:r>
            <w:r>
              <w:rPr>
                <w:rFonts w:hint="default" w:ascii="Times New Roman" w:hAnsi="Times New Roman" w:cs="Times New Roman"/>
                <w:bCs/>
                <w:color w:val="auto"/>
                <w:szCs w:val="24"/>
              </w:rPr>
              <w:t>火力发电及锅炉》（HJ820-2017）</w:t>
            </w:r>
            <w:r>
              <w:rPr>
                <w:rFonts w:hint="eastAsia" w:ascii="Times New Roman" w:hAnsi="Times New Roman" w:cs="Times New Roman"/>
                <w:bCs/>
                <w:color w:val="auto"/>
                <w:szCs w:val="24"/>
                <w:lang w:eastAsia="zh-CN"/>
              </w:rPr>
              <w:t>，</w:t>
            </w:r>
            <w:r>
              <w:rPr>
                <w:rFonts w:hint="eastAsia" w:ascii="Times New Roman" w:hAnsi="Times New Roman" w:cs="Times New Roman"/>
                <w:bCs/>
                <w:color w:val="auto"/>
                <w:szCs w:val="24"/>
                <w:lang w:val="en-US" w:eastAsia="zh-CN"/>
              </w:rPr>
              <w:t>本项目</w:t>
            </w:r>
            <w:r>
              <w:rPr>
                <w:rFonts w:hint="default" w:ascii="Times New Roman" w:hAnsi="Times New Roman" w:cs="Times New Roman"/>
                <w:bCs/>
                <w:color w:val="auto"/>
                <w:szCs w:val="24"/>
              </w:rPr>
              <w:t>废水环境监测计划建议如下：</w:t>
            </w:r>
          </w:p>
          <w:p w14:paraId="28701E1E">
            <w:pPr>
              <w:autoSpaceDE w:val="0"/>
              <w:autoSpaceDN w:val="0"/>
              <w:jc w:val="center"/>
              <w:rPr>
                <w:rFonts w:hint="default" w:ascii="Times New Roman" w:hAnsi="Times New Roman" w:eastAsia="宋体" w:cs="Times New Roman"/>
                <w:b/>
                <w:bCs/>
                <w:color w:val="auto"/>
                <w:sz w:val="24"/>
                <w:u w:val="single"/>
              </w:rPr>
            </w:pPr>
            <w:r>
              <w:rPr>
                <w:rFonts w:hint="default" w:ascii="Times New Roman" w:hAnsi="Times New Roman" w:eastAsia="宋体" w:cs="Times New Roman"/>
                <w:b/>
                <w:bCs/>
                <w:color w:val="auto"/>
                <w:sz w:val="24"/>
                <w:u w:val="single"/>
              </w:rPr>
              <w:t>表4-</w:t>
            </w:r>
            <w:r>
              <w:rPr>
                <w:rFonts w:hint="eastAsia" w:ascii="Times New Roman" w:hAnsi="Times New Roman" w:eastAsia="宋体" w:cs="Times New Roman"/>
                <w:b/>
                <w:bCs/>
                <w:color w:val="auto"/>
                <w:sz w:val="24"/>
                <w:u w:val="single"/>
                <w:lang w:val="en-US" w:eastAsia="zh-CN"/>
              </w:rPr>
              <w:t xml:space="preserve">4 </w:t>
            </w:r>
            <w:r>
              <w:rPr>
                <w:rFonts w:hint="default" w:ascii="Times New Roman" w:hAnsi="Times New Roman" w:eastAsia="宋体" w:cs="Times New Roman"/>
                <w:b/>
                <w:bCs/>
                <w:color w:val="auto"/>
                <w:sz w:val="24"/>
                <w:u w:val="single"/>
              </w:rPr>
              <w:t xml:space="preserve"> </w:t>
            </w:r>
            <w:r>
              <w:rPr>
                <w:rFonts w:hint="eastAsia" w:ascii="Times New Roman" w:hAnsi="Times New Roman" w:eastAsia="宋体" w:cs="Times New Roman"/>
                <w:b/>
                <w:bCs/>
                <w:color w:val="auto"/>
                <w:sz w:val="24"/>
                <w:u w:val="single"/>
                <w:lang w:val="en-US" w:eastAsia="zh-CN"/>
              </w:rPr>
              <w:t xml:space="preserve"> </w:t>
            </w:r>
            <w:r>
              <w:rPr>
                <w:rFonts w:hint="default" w:ascii="Times New Roman" w:hAnsi="Times New Roman" w:eastAsia="宋体" w:cs="Times New Roman"/>
                <w:b/>
                <w:bCs/>
                <w:color w:val="auto"/>
                <w:sz w:val="24"/>
                <w:u w:val="single"/>
              </w:rPr>
              <w:t>项目</w:t>
            </w:r>
            <w:r>
              <w:rPr>
                <w:rFonts w:hint="default" w:ascii="Times New Roman" w:hAnsi="Times New Roman" w:eastAsia="宋体" w:cs="Times New Roman"/>
                <w:b/>
                <w:bCs/>
                <w:color w:val="auto"/>
                <w:sz w:val="24"/>
                <w:u w:val="single"/>
                <w:lang w:eastAsia="zh-CN"/>
              </w:rPr>
              <w:t>废</w:t>
            </w:r>
            <w:r>
              <w:rPr>
                <w:rFonts w:hint="default" w:ascii="Times New Roman" w:hAnsi="Times New Roman" w:eastAsia="宋体" w:cs="Times New Roman"/>
                <w:b/>
                <w:bCs/>
                <w:color w:val="auto"/>
                <w:sz w:val="24"/>
                <w:u w:val="single"/>
              </w:rPr>
              <w:t>水环境监测计划</w:t>
            </w:r>
          </w:p>
          <w:tbl>
            <w:tblPr>
              <w:tblStyle w:val="32"/>
              <w:tblW w:w="7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475"/>
              <w:gridCol w:w="1087"/>
              <w:gridCol w:w="3063"/>
              <w:gridCol w:w="961"/>
            </w:tblGrid>
            <w:tr w14:paraId="3CD5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tcBorders>
                    <w:top w:val="single" w:color="auto" w:sz="4" w:space="0"/>
                    <w:left w:val="single" w:color="auto" w:sz="4" w:space="0"/>
                    <w:bottom w:val="single" w:color="auto" w:sz="4" w:space="0"/>
                    <w:right w:val="single" w:color="auto" w:sz="4" w:space="0"/>
                    <w:tl2br w:val="nil"/>
                    <w:tr2bl w:val="nil"/>
                  </w:tcBorders>
                  <w:vAlign w:val="center"/>
                </w:tcPr>
                <w:p w14:paraId="3720DACB">
                  <w:pPr>
                    <w:pStyle w:val="12"/>
                    <w:spacing w:before="0" w:after="0" w:line="240" w:lineRule="auto"/>
                    <w:ind w:right="0"/>
                    <w:jc w:val="center"/>
                    <w:rPr>
                      <w:rFonts w:hint="default" w:ascii="Times New Roman" w:hAnsi="Times New Roman" w:cs="Times New Roman"/>
                      <w:b/>
                      <w:color w:val="auto"/>
                      <w:sz w:val="21"/>
                      <w:szCs w:val="21"/>
                      <w:u w:val="single"/>
                    </w:rPr>
                  </w:pPr>
                  <w:r>
                    <w:rPr>
                      <w:rFonts w:hint="default" w:ascii="Times New Roman" w:hAnsi="Times New Roman" w:eastAsia="宋体" w:cs="Times New Roman"/>
                      <w:b/>
                      <w:color w:val="auto"/>
                      <w:sz w:val="21"/>
                      <w:szCs w:val="21"/>
                      <w:u w:val="single"/>
                    </w:rPr>
                    <w:t>监测点位</w:t>
                  </w: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14:paraId="1E125F32">
                  <w:pPr>
                    <w:pStyle w:val="12"/>
                    <w:spacing w:before="0" w:after="0" w:line="240" w:lineRule="auto"/>
                    <w:ind w:right="0"/>
                    <w:jc w:val="center"/>
                    <w:rPr>
                      <w:rFonts w:hint="default" w:ascii="Times New Roman" w:hAnsi="Times New Roman" w:cs="Times New Roman"/>
                      <w:b/>
                      <w:color w:val="auto"/>
                      <w:sz w:val="21"/>
                      <w:szCs w:val="21"/>
                      <w:u w:val="single"/>
                    </w:rPr>
                  </w:pPr>
                  <w:r>
                    <w:rPr>
                      <w:rFonts w:hint="default" w:ascii="Times New Roman" w:hAnsi="Times New Roman" w:eastAsia="宋体" w:cs="Times New Roman"/>
                      <w:b/>
                      <w:color w:val="auto"/>
                      <w:sz w:val="21"/>
                      <w:szCs w:val="21"/>
                      <w:u w:val="single"/>
                    </w:rPr>
                    <w:t>监测项目</w:t>
                  </w:r>
                </w:p>
              </w:tc>
              <w:tc>
                <w:tcPr>
                  <w:tcW w:w="698" w:type="pct"/>
                  <w:tcBorders>
                    <w:top w:val="single" w:color="auto" w:sz="4" w:space="0"/>
                    <w:left w:val="single" w:color="auto" w:sz="4" w:space="0"/>
                    <w:bottom w:val="single" w:color="auto" w:sz="4" w:space="0"/>
                    <w:right w:val="single" w:color="auto" w:sz="4" w:space="0"/>
                    <w:tl2br w:val="nil"/>
                    <w:tr2bl w:val="nil"/>
                  </w:tcBorders>
                  <w:vAlign w:val="center"/>
                </w:tcPr>
                <w:p w14:paraId="6849C3A7">
                  <w:pPr>
                    <w:pStyle w:val="12"/>
                    <w:spacing w:before="0" w:after="0" w:line="240" w:lineRule="auto"/>
                    <w:ind w:right="0"/>
                    <w:jc w:val="center"/>
                    <w:rPr>
                      <w:rFonts w:hint="default" w:ascii="Times New Roman" w:hAnsi="Times New Roman" w:cs="Times New Roman"/>
                      <w:b/>
                      <w:color w:val="auto"/>
                      <w:sz w:val="21"/>
                      <w:szCs w:val="21"/>
                      <w:u w:val="single"/>
                    </w:rPr>
                  </w:pPr>
                  <w:r>
                    <w:rPr>
                      <w:rFonts w:hint="default" w:ascii="Times New Roman" w:hAnsi="Times New Roman" w:eastAsia="宋体" w:cs="Times New Roman"/>
                      <w:b/>
                      <w:color w:val="auto"/>
                      <w:sz w:val="21"/>
                      <w:szCs w:val="21"/>
                      <w:u w:val="single"/>
                    </w:rPr>
                    <w:t>监测频次</w:t>
                  </w:r>
                </w:p>
              </w:tc>
              <w:tc>
                <w:tcPr>
                  <w:tcW w:w="1969" w:type="pct"/>
                  <w:tcBorders>
                    <w:top w:val="single" w:color="auto" w:sz="4" w:space="0"/>
                    <w:left w:val="single" w:color="auto" w:sz="4" w:space="0"/>
                    <w:bottom w:val="single" w:color="auto" w:sz="4" w:space="0"/>
                    <w:right w:val="single" w:color="auto" w:sz="4" w:space="0"/>
                    <w:tl2br w:val="nil"/>
                    <w:tr2bl w:val="nil"/>
                  </w:tcBorders>
                  <w:vAlign w:val="center"/>
                </w:tcPr>
                <w:p w14:paraId="1C7134DC">
                  <w:pPr>
                    <w:pStyle w:val="12"/>
                    <w:spacing w:before="0" w:after="0" w:line="240" w:lineRule="auto"/>
                    <w:ind w:right="0"/>
                    <w:jc w:val="center"/>
                    <w:rPr>
                      <w:rFonts w:hint="default" w:ascii="Times New Roman" w:hAnsi="Times New Roman" w:cs="Times New Roman"/>
                      <w:b/>
                      <w:color w:val="auto"/>
                      <w:sz w:val="21"/>
                      <w:szCs w:val="21"/>
                      <w:u w:val="single"/>
                    </w:rPr>
                  </w:pPr>
                  <w:r>
                    <w:rPr>
                      <w:rFonts w:hint="default" w:ascii="Times New Roman" w:hAnsi="Times New Roman" w:eastAsia="宋体" w:cs="Times New Roman"/>
                      <w:b/>
                      <w:color w:val="auto"/>
                      <w:sz w:val="21"/>
                      <w:szCs w:val="21"/>
                      <w:u w:val="single"/>
                    </w:rPr>
                    <w:t>执行标准</w:t>
                  </w:r>
                </w:p>
              </w:tc>
              <w:tc>
                <w:tcPr>
                  <w:tcW w:w="617" w:type="pct"/>
                  <w:tcBorders>
                    <w:top w:val="single" w:color="auto" w:sz="4" w:space="0"/>
                    <w:left w:val="single" w:color="auto" w:sz="4" w:space="0"/>
                    <w:bottom w:val="single" w:color="auto" w:sz="4" w:space="0"/>
                    <w:right w:val="single" w:color="auto" w:sz="4" w:space="0"/>
                    <w:tl2br w:val="nil"/>
                    <w:tr2bl w:val="nil"/>
                  </w:tcBorders>
                  <w:vAlign w:val="center"/>
                </w:tcPr>
                <w:p w14:paraId="3D1D6087">
                  <w:pPr>
                    <w:pStyle w:val="12"/>
                    <w:spacing w:before="0" w:after="0" w:line="240" w:lineRule="auto"/>
                    <w:ind w:right="0"/>
                    <w:jc w:val="center"/>
                    <w:rPr>
                      <w:rFonts w:hint="eastAsia" w:ascii="Times New Roman" w:hAnsi="Times New Roman" w:eastAsia="宋体" w:cs="Times New Roman"/>
                      <w:b/>
                      <w:color w:val="auto"/>
                      <w:sz w:val="21"/>
                      <w:szCs w:val="21"/>
                      <w:u w:val="single"/>
                      <w:lang w:val="en-US" w:eastAsia="zh-CN"/>
                    </w:rPr>
                  </w:pPr>
                  <w:r>
                    <w:rPr>
                      <w:rFonts w:hint="eastAsia" w:cs="Times New Roman"/>
                      <w:b/>
                      <w:color w:val="auto"/>
                      <w:sz w:val="21"/>
                      <w:szCs w:val="21"/>
                      <w:u w:val="single"/>
                      <w:lang w:val="en-US" w:eastAsia="zh-CN"/>
                    </w:rPr>
                    <w:t>备注</w:t>
                  </w:r>
                </w:p>
              </w:tc>
            </w:tr>
            <w:tr w14:paraId="4840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tcBorders>
                    <w:top w:val="single" w:color="auto" w:sz="4" w:space="0"/>
                    <w:left w:val="single" w:color="auto" w:sz="4" w:space="0"/>
                    <w:bottom w:val="single" w:color="auto" w:sz="4" w:space="0"/>
                    <w:right w:val="single" w:color="auto" w:sz="4" w:space="0"/>
                    <w:tl2br w:val="nil"/>
                    <w:tr2bl w:val="nil"/>
                  </w:tcBorders>
                  <w:vAlign w:val="center"/>
                </w:tcPr>
                <w:p w14:paraId="2FCC18AC">
                  <w:pPr>
                    <w:pStyle w:val="12"/>
                    <w:spacing w:before="0" w:after="0" w:line="240" w:lineRule="auto"/>
                    <w:ind w:right="0"/>
                    <w:jc w:val="center"/>
                    <w:rPr>
                      <w:rFonts w:hint="default" w:ascii="Times New Roman" w:hAnsi="Times New Roman"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废水</w:t>
                  </w:r>
                  <w:r>
                    <w:rPr>
                      <w:rFonts w:hint="default" w:ascii="Times New Roman" w:hAnsi="Times New Roman" w:eastAsia="宋体" w:cs="Times New Roman"/>
                      <w:color w:val="auto"/>
                      <w:sz w:val="21"/>
                      <w:szCs w:val="21"/>
                      <w:u w:val="single"/>
                    </w:rPr>
                    <w:t>总排口</w:t>
                  </w:r>
                </w:p>
              </w:tc>
              <w:tc>
                <w:tcPr>
                  <w:tcW w:w="948" w:type="pct"/>
                  <w:tcBorders>
                    <w:top w:val="single" w:color="auto" w:sz="4" w:space="0"/>
                    <w:left w:val="single" w:color="auto" w:sz="4" w:space="0"/>
                    <w:right w:val="single" w:color="auto" w:sz="4" w:space="0"/>
                    <w:tl2br w:val="nil"/>
                    <w:tr2bl w:val="nil"/>
                  </w:tcBorders>
                  <w:vAlign w:val="center"/>
                </w:tcPr>
                <w:p w14:paraId="11A27DB0">
                  <w:pPr>
                    <w:pStyle w:val="12"/>
                    <w:spacing w:before="0" w:after="0" w:line="240" w:lineRule="auto"/>
                    <w:ind w:right="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pH</w:t>
                  </w:r>
                  <w:r>
                    <w:rPr>
                      <w:rFonts w:hint="eastAsia" w:ascii="Times New Roman" w:hAnsi="Times New Roman" w:eastAsia="宋体" w:cs="Times New Roman"/>
                      <w:color w:val="auto"/>
                      <w:sz w:val="21"/>
                      <w:szCs w:val="21"/>
                      <w:u w:val="single"/>
                      <w:lang w:eastAsia="zh-CN"/>
                    </w:rPr>
                    <w:t>、</w:t>
                  </w:r>
                  <w:r>
                    <w:rPr>
                      <w:rFonts w:hint="default" w:ascii="Times New Roman" w:hAnsi="Times New Roman" w:eastAsia="宋体" w:cs="Times New Roman"/>
                      <w:color w:val="auto"/>
                      <w:sz w:val="21"/>
                      <w:szCs w:val="21"/>
                      <w:u w:val="single"/>
                    </w:rPr>
                    <w:t>COD、</w:t>
                  </w:r>
                  <w:r>
                    <w:rPr>
                      <w:rFonts w:hint="eastAsia" w:ascii="Times New Roman" w:hAnsi="Times New Roman" w:eastAsia="宋体" w:cs="Times New Roman"/>
                      <w:color w:val="auto"/>
                      <w:sz w:val="21"/>
                      <w:szCs w:val="21"/>
                      <w:u w:val="single"/>
                      <w:lang w:eastAsia="zh-CN"/>
                    </w:rPr>
                    <w:t>氨氮</w:t>
                  </w:r>
                  <w:r>
                    <w:rPr>
                      <w:rFonts w:hint="eastAsia" w:ascii="Times New Roman" w:hAnsi="Times New Roman" w:cs="Times New Roman"/>
                      <w:bCs/>
                      <w:color w:val="auto"/>
                      <w:kern w:val="2"/>
                      <w:szCs w:val="24"/>
                      <w:u w:val="none"/>
                      <w:lang w:val="en-US" w:eastAsia="zh-CN"/>
                    </w:rPr>
                    <w:t>、</w:t>
                  </w:r>
                  <w:r>
                    <w:rPr>
                      <w:rFonts w:hint="default" w:ascii="Times New Roman" w:hAnsi="Times New Roman" w:eastAsia="宋体" w:cs="Times New Roman"/>
                      <w:color w:val="auto"/>
                      <w:sz w:val="21"/>
                      <w:szCs w:val="21"/>
                      <w:u w:val="single"/>
                    </w:rPr>
                    <w:t>SS</w:t>
                  </w:r>
                  <w:r>
                    <w:rPr>
                      <w:rFonts w:hint="eastAsia" w:ascii="Times New Roman" w:hAnsi="Times New Roman" w:eastAsia="宋体" w:cs="Times New Roman"/>
                      <w:color w:val="auto"/>
                      <w:sz w:val="21"/>
                      <w:szCs w:val="21"/>
                      <w:u w:val="single"/>
                      <w:lang w:eastAsia="zh-CN"/>
                    </w:rPr>
                    <w:t>、</w:t>
                  </w:r>
                  <w:r>
                    <w:rPr>
                      <w:rFonts w:hint="default" w:ascii="Times New Roman" w:hAnsi="Times New Roman" w:eastAsia="宋体" w:cs="Times New Roman"/>
                      <w:color w:val="auto"/>
                      <w:sz w:val="21"/>
                      <w:szCs w:val="21"/>
                      <w:u w:val="single"/>
                    </w:rPr>
                    <w:t>BOD</w:t>
                  </w:r>
                  <w:r>
                    <w:rPr>
                      <w:rFonts w:hint="default" w:ascii="Times New Roman" w:hAnsi="Times New Roman" w:eastAsia="宋体" w:cs="Times New Roman"/>
                      <w:color w:val="auto"/>
                      <w:sz w:val="21"/>
                      <w:szCs w:val="21"/>
                      <w:u w:val="single"/>
                      <w:vertAlign w:val="subscript"/>
                    </w:rPr>
                    <w:t>5</w:t>
                  </w:r>
                  <w:r>
                    <w:rPr>
                      <w:rFonts w:hint="eastAsia" w:ascii="Times New Roman" w:hAnsi="Times New Roman" w:eastAsia="宋体" w:cs="Times New Roman"/>
                      <w:color w:val="auto"/>
                      <w:sz w:val="21"/>
                      <w:szCs w:val="21"/>
                      <w:u w:val="single"/>
                      <w:lang w:eastAsia="zh-CN"/>
                    </w:rPr>
                    <w:t>、</w:t>
                  </w:r>
                  <w:r>
                    <w:rPr>
                      <w:rFonts w:hint="default" w:ascii="Times New Roman" w:hAnsi="Times New Roman" w:eastAsia="宋体" w:cs="Times New Roman"/>
                      <w:bCs/>
                      <w:color w:val="FF0000"/>
                      <w:sz w:val="21"/>
                      <w:szCs w:val="21"/>
                      <w:u w:val="single"/>
                      <w:lang w:val="en-US" w:eastAsia="zh-CN"/>
                    </w:rPr>
                    <w:t>TP</w:t>
                  </w:r>
                  <w:r>
                    <w:rPr>
                      <w:rFonts w:hint="eastAsia"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TN</w:t>
                  </w:r>
                </w:p>
              </w:tc>
              <w:tc>
                <w:tcPr>
                  <w:tcW w:w="698" w:type="pct"/>
                  <w:tcBorders>
                    <w:top w:val="single" w:color="auto" w:sz="4" w:space="0"/>
                    <w:left w:val="single" w:color="auto" w:sz="4" w:space="0"/>
                    <w:bottom w:val="single" w:color="auto" w:sz="4" w:space="0"/>
                    <w:right w:val="single" w:color="auto" w:sz="4" w:space="0"/>
                    <w:tl2br w:val="nil"/>
                    <w:tr2bl w:val="nil"/>
                  </w:tcBorders>
                  <w:vAlign w:val="center"/>
                </w:tcPr>
                <w:p w14:paraId="39B4E93C">
                  <w:pPr>
                    <w:pStyle w:val="12"/>
                    <w:spacing w:before="0" w:after="0" w:line="240" w:lineRule="auto"/>
                    <w:ind w:right="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1次/年</w:t>
                  </w:r>
                </w:p>
              </w:tc>
              <w:tc>
                <w:tcPr>
                  <w:tcW w:w="1969" w:type="pct"/>
                  <w:tcBorders>
                    <w:top w:val="single" w:color="auto" w:sz="4" w:space="0"/>
                    <w:left w:val="single" w:color="auto" w:sz="4" w:space="0"/>
                    <w:bottom w:val="single" w:color="auto" w:sz="4" w:space="0"/>
                    <w:right w:val="single" w:color="auto" w:sz="4" w:space="0"/>
                    <w:tl2br w:val="nil"/>
                    <w:tr2bl w:val="nil"/>
                  </w:tcBorders>
                  <w:vAlign w:val="center"/>
                </w:tcPr>
                <w:p w14:paraId="3E431527">
                  <w:pPr>
                    <w:pStyle w:val="12"/>
                    <w:spacing w:before="0" w:after="0" w:line="240" w:lineRule="auto"/>
                    <w:ind w:right="0"/>
                    <w:jc w:val="center"/>
                    <w:rPr>
                      <w:rFonts w:hint="default" w:ascii="Times New Roman" w:hAnsi="Times New Roman" w:cs="Times New Roman"/>
                      <w:color w:val="auto"/>
                      <w:sz w:val="21"/>
                      <w:szCs w:val="21"/>
                      <w:u w:val="single"/>
                    </w:rPr>
                  </w:pPr>
                  <w:r>
                    <w:rPr>
                      <w:rFonts w:hint="eastAsia" w:ascii="Times New Roman" w:hAnsi="Times New Roman" w:eastAsia="宋体" w:cs="Times New Roman"/>
                      <w:bCs/>
                      <w:color w:val="auto"/>
                      <w:sz w:val="21"/>
                      <w:szCs w:val="21"/>
                      <w:u w:val="single"/>
                      <w:lang w:eastAsia="zh-CN"/>
                    </w:rPr>
                    <w:t>《污水综合排放标准》</w:t>
                  </w:r>
                  <w:r>
                    <w:rPr>
                      <w:rFonts w:hint="eastAsia" w:cs="Times New Roman"/>
                      <w:bCs/>
                      <w:color w:val="auto"/>
                      <w:sz w:val="21"/>
                      <w:szCs w:val="21"/>
                      <w:u w:val="single"/>
                      <w:lang w:eastAsia="zh-CN"/>
                    </w:rPr>
                    <w:t>（</w:t>
                  </w:r>
                  <w:r>
                    <w:rPr>
                      <w:rFonts w:hint="eastAsia" w:ascii="Times New Roman" w:hAnsi="Times New Roman" w:eastAsia="宋体" w:cs="Times New Roman"/>
                      <w:bCs/>
                      <w:color w:val="auto"/>
                      <w:sz w:val="21"/>
                      <w:szCs w:val="21"/>
                      <w:u w:val="single"/>
                      <w:lang w:val="en-US" w:eastAsia="zh-CN"/>
                    </w:rPr>
                    <w:t>GB8978-1996</w:t>
                  </w:r>
                  <w:r>
                    <w:rPr>
                      <w:rFonts w:hint="eastAsia" w:cs="Times New Roman"/>
                      <w:bCs/>
                      <w:color w:val="auto"/>
                      <w:sz w:val="21"/>
                      <w:szCs w:val="21"/>
                      <w:u w:val="single"/>
                      <w:lang w:eastAsia="zh-CN"/>
                    </w:rPr>
                    <w:t>）</w:t>
                  </w:r>
                  <w:r>
                    <w:rPr>
                      <w:rFonts w:hint="eastAsia" w:ascii="Times New Roman" w:hAnsi="Times New Roman" w:eastAsia="宋体" w:cs="Times New Roman"/>
                      <w:bCs/>
                      <w:color w:val="auto"/>
                      <w:sz w:val="21"/>
                      <w:szCs w:val="21"/>
                      <w:u w:val="single"/>
                      <w:lang w:val="en-US" w:eastAsia="zh-CN"/>
                    </w:rPr>
                    <w:t>表4中三级标准</w:t>
                  </w:r>
                  <w:r>
                    <w:rPr>
                      <w:rFonts w:hint="eastAsia" w:ascii="Times New Roman" w:hAnsi="Times New Roman" w:eastAsia="宋体" w:cs="Times New Roman"/>
                      <w:bCs/>
                      <w:color w:val="FF0000"/>
                      <w:sz w:val="21"/>
                      <w:szCs w:val="21"/>
                      <w:u w:val="single"/>
                      <w:lang w:val="en-US" w:eastAsia="zh-CN"/>
                    </w:rPr>
                    <w:t>及龙潭镇污水处理厂进水水质标准中较严格的限值</w:t>
                  </w:r>
                </w:p>
              </w:tc>
              <w:tc>
                <w:tcPr>
                  <w:tcW w:w="617" w:type="pct"/>
                  <w:tcBorders>
                    <w:top w:val="single" w:color="auto" w:sz="4" w:space="0"/>
                    <w:left w:val="single" w:color="auto" w:sz="4" w:space="0"/>
                    <w:bottom w:val="single" w:color="auto" w:sz="4" w:space="0"/>
                    <w:right w:val="single" w:color="auto" w:sz="4" w:space="0"/>
                    <w:tl2br w:val="nil"/>
                    <w:tr2bl w:val="nil"/>
                  </w:tcBorders>
                  <w:vAlign w:val="center"/>
                </w:tcPr>
                <w:p w14:paraId="3B7622F3">
                  <w:pPr>
                    <w:pStyle w:val="12"/>
                    <w:spacing w:before="0" w:after="0" w:line="240" w:lineRule="auto"/>
                    <w:ind w:right="0"/>
                    <w:jc w:val="center"/>
                    <w:rPr>
                      <w:rFonts w:hint="default" w:ascii="Times New Roman" w:hAnsi="Times New Roman" w:eastAsia="宋体" w:cs="Times New Roman"/>
                      <w:bCs/>
                      <w:color w:val="auto"/>
                      <w:sz w:val="21"/>
                      <w:szCs w:val="21"/>
                      <w:u w:val="single"/>
                      <w:lang w:val="en-US" w:eastAsia="zh-CN"/>
                    </w:rPr>
                  </w:pPr>
                  <w:r>
                    <w:rPr>
                      <w:rFonts w:hint="eastAsia" w:cs="Times New Roman"/>
                      <w:color w:val="auto"/>
                      <w:sz w:val="21"/>
                      <w:szCs w:val="21"/>
                      <w:u w:val="single"/>
                      <w:lang w:val="en-US" w:eastAsia="zh-CN"/>
                    </w:rPr>
                    <w:t>生产期间进行监测</w:t>
                  </w:r>
                </w:p>
              </w:tc>
            </w:tr>
          </w:tbl>
          <w:p w14:paraId="4FA1587F">
            <w:pPr>
              <w:pStyle w:val="82"/>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hint="default" w:ascii="Times New Roman" w:hAnsi="Times New Roman" w:cs="Times New Roman"/>
                <w:b/>
                <w:color w:val="auto"/>
                <w:szCs w:val="24"/>
              </w:rPr>
            </w:pPr>
            <w:r>
              <w:rPr>
                <w:rFonts w:hint="eastAsia" w:cs="Times New Roman"/>
                <w:b/>
                <w:color w:val="auto"/>
                <w:szCs w:val="24"/>
                <w:lang w:val="en-US" w:eastAsia="zh-CN"/>
              </w:rPr>
              <w:t>2</w:t>
            </w:r>
            <w:r>
              <w:rPr>
                <w:rFonts w:hint="default" w:ascii="Times New Roman" w:hAnsi="Times New Roman" w:cs="Times New Roman"/>
                <w:b/>
                <w:color w:val="auto"/>
                <w:szCs w:val="24"/>
              </w:rPr>
              <w:t>、废气环境影响和保护措施</w:t>
            </w:r>
          </w:p>
          <w:p w14:paraId="3CF6DC09">
            <w:pPr>
              <w:pStyle w:val="82"/>
              <w:rPr>
                <w:rFonts w:hint="default" w:ascii="Times New Roman" w:hAnsi="Times New Roman" w:eastAsia="宋体" w:cs="Times New Roman"/>
                <w:bCs/>
                <w:color w:val="auto"/>
                <w:szCs w:val="24"/>
              </w:rPr>
            </w:pPr>
            <w:r>
              <w:rPr>
                <w:rFonts w:hint="eastAsia" w:ascii="Times New Roman" w:hAnsi="Times New Roman" w:eastAsia="宋体" w:cs="Times New Roman"/>
                <w:bCs/>
                <w:color w:val="auto"/>
                <w:szCs w:val="24"/>
                <w:lang w:val="en-US" w:eastAsia="zh-CN"/>
              </w:rPr>
              <w:t>项目运营期</w:t>
            </w:r>
            <w:r>
              <w:rPr>
                <w:rFonts w:hint="default" w:ascii="Times New Roman" w:hAnsi="Times New Roman" w:eastAsia="宋体" w:cs="Times New Roman"/>
                <w:bCs/>
                <w:color w:val="auto"/>
                <w:szCs w:val="24"/>
              </w:rPr>
              <w:t>废气污染源主要为</w:t>
            </w:r>
            <w:r>
              <w:rPr>
                <w:rFonts w:hint="eastAsia" w:ascii="Times New Roman" w:hAnsi="Times New Roman" w:eastAsia="宋体" w:cs="Times New Roman"/>
                <w:bCs/>
                <w:color w:val="auto"/>
                <w:szCs w:val="24"/>
                <w:lang w:val="en-US" w:eastAsia="zh-CN"/>
              </w:rPr>
              <w:t>蒸汽发生器生物质</w:t>
            </w:r>
            <w:r>
              <w:rPr>
                <w:rFonts w:hint="default" w:ascii="Times New Roman" w:hAnsi="Times New Roman" w:eastAsia="宋体" w:cs="Times New Roman"/>
                <w:bCs/>
                <w:color w:val="auto"/>
                <w:szCs w:val="24"/>
                <w:lang w:eastAsia="zh-CN"/>
              </w:rPr>
              <w:t>燃烧废气</w:t>
            </w:r>
            <w:r>
              <w:rPr>
                <w:rFonts w:hint="eastAsia" w:ascii="Times New Roman" w:hAnsi="Times New Roman" w:eastAsia="宋体" w:cs="Times New Roman"/>
                <w:bCs/>
                <w:color w:val="auto"/>
                <w:szCs w:val="24"/>
                <w:lang w:val="en-US" w:eastAsia="zh-CN"/>
              </w:rPr>
              <w:t>、热风炉生物质燃烧废气、中药材烘干异味等</w:t>
            </w:r>
            <w:r>
              <w:rPr>
                <w:rFonts w:hint="default" w:ascii="Times New Roman" w:hAnsi="Times New Roman" w:eastAsia="宋体" w:cs="Times New Roman"/>
                <w:bCs/>
                <w:color w:val="auto"/>
                <w:szCs w:val="24"/>
              </w:rPr>
              <w:t>。</w:t>
            </w:r>
          </w:p>
          <w:p w14:paraId="3A5ED0DF">
            <w:pPr>
              <w:pStyle w:val="82"/>
              <w:keepNext w:val="0"/>
              <w:keepLines w:val="0"/>
              <w:pageBreakBefore w:val="0"/>
              <w:widowControl w:val="0"/>
              <w:numPr>
                <w:ilvl w:val="0"/>
                <w:numId w:val="0"/>
              </w:numPr>
              <w:kinsoku/>
              <w:wordWrap/>
              <w:overflowPunct/>
              <w:topLinePunct w:val="0"/>
              <w:autoSpaceDE/>
              <w:autoSpaceDN/>
              <w:bidi w:val="0"/>
              <w:adjustRightInd/>
              <w:snapToGrid/>
              <w:ind w:firstLine="442" w:firstLineChars="200"/>
              <w:textAlignment w:val="auto"/>
              <w:rPr>
                <w:rFonts w:hint="eastAsia" w:cs="Times New Roman"/>
                <w:b/>
                <w:color w:val="auto"/>
                <w:szCs w:val="24"/>
                <w:u w:val="none" w:color="auto"/>
                <w:lang w:eastAsia="zh-CN"/>
              </w:rPr>
            </w:pPr>
            <w:r>
              <w:rPr>
                <w:b/>
                <w:color w:val="auto"/>
                <w:spacing w:val="-10"/>
                <w:sz w:val="24"/>
              </w:rPr>
              <w:t>（1）大气污染物源强核算</w:t>
            </w:r>
          </w:p>
          <w:p w14:paraId="4E4EE698">
            <w:pPr>
              <w:pStyle w:val="82"/>
              <w:keepNext w:val="0"/>
              <w:keepLines w:val="0"/>
              <w:pageBreakBefore w:val="0"/>
              <w:widowControl w:val="0"/>
              <w:kinsoku/>
              <w:wordWrap/>
              <w:overflowPunct/>
              <w:topLinePunct w:val="0"/>
              <w:autoSpaceDE/>
              <w:autoSpaceDN/>
              <w:bidi w:val="0"/>
              <w:adjustRightInd/>
              <w:snapToGrid/>
              <w:ind w:firstLine="482"/>
              <w:textAlignment w:val="auto"/>
              <w:rPr>
                <w:rFonts w:hint="default" w:cs="Times New Roman"/>
                <w:b/>
                <w:color w:val="auto"/>
                <w:szCs w:val="24"/>
                <w:highlight w:val="none"/>
                <w:u w:val="none" w:color="auto"/>
                <w:lang w:val="en-US" w:eastAsia="zh-CN"/>
              </w:rPr>
            </w:pPr>
            <w:r>
              <w:rPr>
                <w:rFonts w:hint="eastAsia" w:cs="Times New Roman"/>
                <w:b/>
                <w:color w:val="auto"/>
                <w:szCs w:val="24"/>
                <w:highlight w:val="none"/>
                <w:u w:val="none" w:color="auto"/>
                <w:lang w:val="en-US" w:eastAsia="zh-CN"/>
              </w:rPr>
              <w:t>1）生物质</w:t>
            </w:r>
            <w:r>
              <w:rPr>
                <w:rFonts w:hint="default" w:cs="Times New Roman"/>
                <w:b/>
                <w:color w:val="auto"/>
                <w:szCs w:val="24"/>
                <w:highlight w:val="none"/>
                <w:u w:val="none" w:color="auto"/>
                <w:lang w:val="en-US" w:eastAsia="zh-CN"/>
              </w:rPr>
              <w:t>燃烧废气</w:t>
            </w:r>
          </w:p>
          <w:p w14:paraId="497497FF">
            <w:pPr>
              <w:pStyle w:val="8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lang w:val="en-US" w:eastAsia="zh-CN" w:bidi="ar-SA"/>
              </w:rPr>
              <w:t>本项目生物质蒸汽发生器、热风炉、烘干机</w:t>
            </w:r>
            <w:r>
              <w:rPr>
                <w:rFonts w:hint="default" w:ascii="Times New Roman" w:hAnsi="Times New Roman" w:eastAsia="宋体" w:cs="Times New Roman"/>
                <w:color w:val="auto"/>
                <w:kern w:val="2"/>
                <w:sz w:val="24"/>
                <w:szCs w:val="24"/>
                <w:u w:val="none" w:color="auto"/>
                <w:lang w:val="en-US" w:eastAsia="zh-CN" w:bidi="ar-SA"/>
              </w:rPr>
              <w:t>年工作时间</w:t>
            </w:r>
            <w:r>
              <w:rPr>
                <w:rFonts w:hint="eastAsia" w:cs="Times New Roman"/>
                <w:color w:val="auto"/>
                <w:kern w:val="2"/>
                <w:sz w:val="24"/>
                <w:szCs w:val="24"/>
                <w:u w:val="none" w:color="auto"/>
                <w:lang w:val="en-US" w:eastAsia="zh-CN" w:bidi="ar-SA"/>
              </w:rPr>
              <w:t>1200</w:t>
            </w:r>
            <w:r>
              <w:rPr>
                <w:rFonts w:hint="default" w:ascii="Times New Roman" w:hAnsi="Times New Roman" w:eastAsia="宋体" w:cs="Times New Roman"/>
                <w:color w:val="auto"/>
                <w:kern w:val="2"/>
                <w:sz w:val="24"/>
                <w:szCs w:val="24"/>
                <w:u w:val="none" w:color="auto"/>
                <w:lang w:val="en-US" w:eastAsia="zh-CN" w:bidi="ar-SA"/>
              </w:rPr>
              <w:t>h，生物质年用量约</w:t>
            </w:r>
            <w:r>
              <w:rPr>
                <w:rFonts w:hint="eastAsia"/>
                <w:color w:val="auto"/>
                <w:kern w:val="0"/>
                <w:szCs w:val="21"/>
                <w:lang w:val="en-US" w:eastAsia="zh-CN"/>
              </w:rPr>
              <w:t>680.49</w:t>
            </w:r>
            <w:r>
              <w:rPr>
                <w:rFonts w:hint="default" w:ascii="Times New Roman" w:hAnsi="Times New Roman" w:eastAsia="宋体" w:cs="Times New Roman"/>
                <w:color w:val="auto"/>
                <w:kern w:val="2"/>
                <w:sz w:val="24"/>
                <w:szCs w:val="24"/>
                <w:u w:val="none" w:color="auto"/>
                <w:lang w:val="en-US" w:eastAsia="zh-CN" w:bidi="ar-SA"/>
              </w:rPr>
              <w:t>t/a</w:t>
            </w:r>
            <w:r>
              <w:rPr>
                <w:rFonts w:hint="eastAsia" w:cs="Times New Roman"/>
                <w:color w:val="auto"/>
                <w:kern w:val="2"/>
                <w:sz w:val="24"/>
                <w:szCs w:val="24"/>
                <w:u w:val="none" w:color="auto"/>
                <w:lang w:val="en-US" w:eastAsia="zh-CN" w:bidi="ar-SA"/>
              </w:rPr>
              <w:t>，生物质燃烧废气产排污参照</w:t>
            </w:r>
            <w:r>
              <w:rPr>
                <w:rFonts w:hint="default" w:ascii="Times New Roman" w:hAnsi="Times New Roman" w:eastAsia="宋体" w:cs="Times New Roman"/>
                <w:color w:val="auto"/>
                <w:kern w:val="2"/>
                <w:sz w:val="24"/>
                <w:szCs w:val="24"/>
                <w:u w:val="none" w:color="auto"/>
                <w:lang w:val="en-US" w:eastAsia="zh-CN" w:bidi="ar-SA"/>
              </w:rPr>
              <w:t>《排放源统计调查产排污核算方法和系数手册》中表</w:t>
            </w:r>
            <w:r>
              <w:rPr>
                <w:rFonts w:hint="eastAsia"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4430工业锅炉（热力生产和供应行业）产排污系数表-生物质工业锅炉</w:t>
            </w:r>
            <w:r>
              <w:rPr>
                <w:rFonts w:hint="eastAsia"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进行核算</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燃生物质工业锅炉产排污系数</w:t>
            </w:r>
            <w:r>
              <w:rPr>
                <w:rFonts w:hint="eastAsia" w:ascii="Times New Roman" w:hAnsi="Times New Roman" w:eastAsia="宋体" w:cs="Times New Roman"/>
                <w:color w:val="auto"/>
                <w:kern w:val="2"/>
                <w:sz w:val="24"/>
                <w:szCs w:val="24"/>
                <w:u w:val="none" w:color="auto"/>
                <w:lang w:val="en-US" w:eastAsia="zh-CN" w:bidi="ar-SA"/>
              </w:rPr>
              <w:t>详见下表。</w:t>
            </w:r>
          </w:p>
          <w:p w14:paraId="655D2F76">
            <w:pPr>
              <w:spacing w:line="240" w:lineRule="auto"/>
              <w:jc w:val="center"/>
              <w:rPr>
                <w:rFonts w:hint="default" w:ascii="Times New Roman" w:hAnsi="Times New Roman" w:cs="Times New Roman"/>
                <w:color w:val="auto"/>
                <w:sz w:val="24"/>
                <w:szCs w:val="24"/>
                <w:u w:val="none" w:color="auto"/>
              </w:rPr>
            </w:pPr>
            <w:r>
              <w:rPr>
                <w:rFonts w:hint="default" w:ascii="Times New Roman" w:hAnsi="Times New Roman" w:eastAsia="宋体" w:cs="Times New Roman"/>
                <w:b/>
                <w:color w:val="auto"/>
                <w:sz w:val="24"/>
                <w:szCs w:val="24"/>
                <w:u w:val="none" w:color="auto"/>
              </w:rPr>
              <w:t>表</w:t>
            </w:r>
            <w:r>
              <w:rPr>
                <w:rFonts w:hint="default" w:ascii="Times New Roman" w:hAnsi="Times New Roman" w:eastAsia="宋体" w:cs="Times New Roman"/>
                <w:b/>
                <w:color w:val="auto"/>
                <w:sz w:val="24"/>
                <w:szCs w:val="24"/>
                <w:u w:val="none" w:color="auto"/>
                <w:lang w:val="en-US" w:eastAsia="zh-CN"/>
              </w:rPr>
              <w:t>4</w:t>
            </w:r>
            <w:r>
              <w:rPr>
                <w:rFonts w:hint="default" w:ascii="Times New Roman" w:hAnsi="Times New Roman" w:eastAsia="宋体" w:cs="Times New Roman"/>
                <w:b/>
                <w:color w:val="auto"/>
                <w:sz w:val="24"/>
                <w:szCs w:val="24"/>
                <w:u w:val="none" w:color="auto"/>
              </w:rPr>
              <w:t>-</w:t>
            </w:r>
            <w:r>
              <w:rPr>
                <w:rFonts w:hint="eastAsia" w:cs="Times New Roman"/>
                <w:b/>
                <w:color w:val="auto"/>
                <w:sz w:val="24"/>
                <w:szCs w:val="24"/>
                <w:u w:val="none" w:color="auto"/>
                <w:lang w:val="en-US" w:eastAsia="zh-CN"/>
              </w:rPr>
              <w:t>5</w:t>
            </w:r>
            <w:r>
              <w:rPr>
                <w:rFonts w:hint="default" w:ascii="Times New Roman" w:hAnsi="Times New Roman" w:eastAsia="宋体" w:cs="Times New Roman"/>
                <w:b/>
                <w:color w:val="auto"/>
                <w:sz w:val="24"/>
                <w:szCs w:val="24"/>
                <w:u w:val="none" w:color="auto"/>
              </w:rPr>
              <w:t xml:space="preserve"> </w:t>
            </w:r>
            <w:r>
              <w:rPr>
                <w:rFonts w:hint="eastAsia" w:cs="Times New Roman"/>
                <w:b/>
                <w:color w:val="auto"/>
                <w:sz w:val="24"/>
                <w:szCs w:val="24"/>
                <w:u w:val="none" w:color="auto"/>
                <w:lang w:val="en-US" w:eastAsia="zh-CN"/>
              </w:rPr>
              <w:t xml:space="preserve">  </w:t>
            </w:r>
            <w:r>
              <w:rPr>
                <w:rFonts w:hint="default" w:ascii="Times New Roman" w:hAnsi="Times New Roman" w:eastAsia="宋体" w:cs="Times New Roman"/>
                <w:b/>
                <w:color w:val="auto"/>
                <w:sz w:val="24"/>
                <w:szCs w:val="24"/>
                <w:u w:val="none" w:color="auto"/>
              </w:rPr>
              <w:t>燃</w:t>
            </w:r>
            <w:r>
              <w:rPr>
                <w:rFonts w:hint="default" w:ascii="Times New Roman" w:hAnsi="Times New Roman" w:eastAsia="宋体" w:cs="Times New Roman"/>
                <w:b/>
                <w:color w:val="auto"/>
                <w:sz w:val="24"/>
                <w:szCs w:val="24"/>
                <w:u w:val="none" w:color="auto"/>
                <w:lang w:eastAsia="zh-CN"/>
              </w:rPr>
              <w:t>生物质</w:t>
            </w:r>
            <w:r>
              <w:rPr>
                <w:rFonts w:hint="default" w:ascii="Times New Roman" w:hAnsi="Times New Roman" w:eastAsia="宋体" w:cs="Times New Roman"/>
                <w:b/>
                <w:color w:val="auto"/>
                <w:sz w:val="24"/>
                <w:szCs w:val="24"/>
                <w:u w:val="none" w:color="auto"/>
              </w:rPr>
              <w:t>工业锅炉产排污系数表</w:t>
            </w:r>
          </w:p>
          <w:tbl>
            <w:tblPr>
              <w:tblStyle w:val="3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695"/>
              <w:gridCol w:w="595"/>
              <w:gridCol w:w="1247"/>
              <w:gridCol w:w="1682"/>
              <w:gridCol w:w="1406"/>
              <w:gridCol w:w="1005"/>
              <w:gridCol w:w="1077"/>
            </w:tblGrid>
            <w:tr w14:paraId="0DA46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51" w:type="pct"/>
                  <w:tcBorders>
                    <w:tl2br w:val="nil"/>
                    <w:tr2bl w:val="nil"/>
                  </w:tcBorders>
                  <w:vAlign w:val="center"/>
                </w:tcPr>
                <w:p w14:paraId="22D9262C">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产品</w:t>
                  </w:r>
                </w:p>
                <w:p w14:paraId="3647A435">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名称</w:t>
                  </w:r>
                </w:p>
              </w:tc>
              <w:tc>
                <w:tcPr>
                  <w:tcW w:w="386" w:type="pct"/>
                  <w:tcBorders>
                    <w:tl2br w:val="nil"/>
                    <w:tr2bl w:val="nil"/>
                  </w:tcBorders>
                  <w:vAlign w:val="center"/>
                </w:tcPr>
                <w:p w14:paraId="015E738F">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原料</w:t>
                  </w:r>
                </w:p>
                <w:p w14:paraId="7E56B842">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名称</w:t>
                  </w:r>
                </w:p>
              </w:tc>
              <w:tc>
                <w:tcPr>
                  <w:tcW w:w="808" w:type="pct"/>
                  <w:tcBorders>
                    <w:tl2br w:val="nil"/>
                    <w:tr2bl w:val="nil"/>
                  </w:tcBorders>
                  <w:vAlign w:val="center"/>
                </w:tcPr>
                <w:p w14:paraId="3CE627BD">
                  <w:pPr>
                    <w:widowControl/>
                    <w:snapToGrid w:val="0"/>
                    <w:spacing w:line="240" w:lineRule="auto"/>
                    <w:ind w:firstLine="105" w:firstLineChars="50"/>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污染物指标</w:t>
                  </w:r>
                </w:p>
              </w:tc>
              <w:tc>
                <w:tcPr>
                  <w:tcW w:w="1090" w:type="pct"/>
                  <w:tcBorders>
                    <w:tl2br w:val="nil"/>
                    <w:tr2bl w:val="nil"/>
                  </w:tcBorders>
                  <w:vAlign w:val="center"/>
                </w:tcPr>
                <w:p w14:paraId="2AE5B80F">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单位</w:t>
                  </w:r>
                </w:p>
              </w:tc>
              <w:tc>
                <w:tcPr>
                  <w:tcW w:w="912" w:type="pct"/>
                  <w:tcBorders>
                    <w:tl2br w:val="nil"/>
                    <w:tr2bl w:val="nil"/>
                  </w:tcBorders>
                  <w:vAlign w:val="center"/>
                </w:tcPr>
                <w:p w14:paraId="497797B6">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产污系数</w:t>
                  </w:r>
                </w:p>
              </w:tc>
              <w:tc>
                <w:tcPr>
                  <w:tcW w:w="651" w:type="pct"/>
                  <w:tcBorders>
                    <w:tl2br w:val="nil"/>
                    <w:tr2bl w:val="nil"/>
                  </w:tcBorders>
                  <w:vAlign w:val="center"/>
                </w:tcPr>
                <w:p w14:paraId="019690E9">
                  <w:pPr>
                    <w:widowControl/>
                    <w:snapToGrid w:val="0"/>
                    <w:spacing w:line="240" w:lineRule="auto"/>
                    <w:jc w:val="center"/>
                    <w:rPr>
                      <w:rFonts w:hint="default" w:ascii="Times New Roman" w:hAnsi="Times New Roman"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末端处理技术</w:t>
                  </w:r>
                </w:p>
              </w:tc>
              <w:tc>
                <w:tcPr>
                  <w:tcW w:w="698" w:type="pct"/>
                  <w:tcBorders>
                    <w:tl2br w:val="nil"/>
                    <w:tr2bl w:val="nil"/>
                  </w:tcBorders>
                  <w:vAlign w:val="center"/>
                </w:tcPr>
                <w:p w14:paraId="69846CFF">
                  <w:pPr>
                    <w:widowControl/>
                    <w:snapToGrid w:val="0"/>
                    <w:spacing w:line="240" w:lineRule="auto"/>
                    <w:jc w:val="center"/>
                    <w:rPr>
                      <w:rFonts w:hint="default" w:ascii="Times New Roman" w:hAnsi="Times New Roman" w:eastAsia="宋体" w:cs="Times New Roman"/>
                      <w:b/>
                      <w:color w:val="auto"/>
                      <w:kern w:val="0"/>
                      <w:sz w:val="21"/>
                      <w:szCs w:val="21"/>
                      <w:u w:val="none" w:color="auto"/>
                      <w:lang w:eastAsia="zh-CN"/>
                    </w:rPr>
                  </w:pPr>
                  <w:r>
                    <w:rPr>
                      <w:rFonts w:hint="default" w:ascii="Times New Roman" w:hAnsi="Times New Roman" w:eastAsia="宋体" w:cs="Times New Roman"/>
                      <w:b/>
                      <w:color w:val="auto"/>
                      <w:kern w:val="0"/>
                      <w:sz w:val="21"/>
                      <w:szCs w:val="21"/>
                      <w:u w:val="none" w:color="auto"/>
                      <w:lang w:eastAsia="zh-CN"/>
                    </w:rPr>
                    <w:t>去除效率</w:t>
                  </w:r>
                </w:p>
              </w:tc>
            </w:tr>
            <w:tr w14:paraId="6E4CF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51" w:type="pct"/>
                  <w:vMerge w:val="restart"/>
                  <w:tcBorders>
                    <w:tl2br w:val="nil"/>
                    <w:tr2bl w:val="nil"/>
                  </w:tcBorders>
                  <w:vAlign w:val="center"/>
                </w:tcPr>
                <w:p w14:paraId="03789C32">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蒸汽/热水/</w:t>
                  </w:r>
                  <w:r>
                    <w:rPr>
                      <w:rFonts w:hint="eastAsia" w:cs="Times New Roman"/>
                      <w:color w:val="auto"/>
                      <w:kern w:val="0"/>
                      <w:sz w:val="21"/>
                      <w:szCs w:val="21"/>
                      <w:u w:val="none" w:color="auto"/>
                      <w:lang w:eastAsia="zh-CN"/>
                    </w:rPr>
                    <w:t>其他</w:t>
                  </w:r>
                </w:p>
              </w:tc>
              <w:tc>
                <w:tcPr>
                  <w:tcW w:w="386" w:type="pct"/>
                  <w:vMerge w:val="restart"/>
                  <w:tcBorders>
                    <w:tl2br w:val="nil"/>
                    <w:tr2bl w:val="nil"/>
                  </w:tcBorders>
                  <w:vAlign w:val="center"/>
                </w:tcPr>
                <w:p w14:paraId="57D0DA00">
                  <w:pPr>
                    <w:snapToGrid w:val="0"/>
                    <w:spacing w:line="240" w:lineRule="auto"/>
                    <w:jc w:val="center"/>
                    <w:rPr>
                      <w:rFonts w:hint="default" w:ascii="Times New Roman" w:hAnsi="Times New Roman" w:eastAsia="宋体" w:cs="Times New Roman"/>
                      <w:color w:val="auto"/>
                      <w:kern w:val="0"/>
                      <w:sz w:val="21"/>
                      <w:szCs w:val="21"/>
                      <w:u w:val="none" w:color="auto"/>
                      <w:lang w:eastAsia="zh-CN"/>
                    </w:rPr>
                  </w:pPr>
                  <w:r>
                    <w:rPr>
                      <w:rFonts w:hint="default" w:ascii="Times New Roman" w:hAnsi="Times New Roman" w:eastAsia="宋体" w:cs="Times New Roman"/>
                      <w:color w:val="auto"/>
                      <w:kern w:val="0"/>
                      <w:sz w:val="21"/>
                      <w:szCs w:val="21"/>
                      <w:u w:val="none" w:color="auto"/>
                      <w:lang w:eastAsia="zh-CN"/>
                    </w:rPr>
                    <w:t>生物质颗粒</w:t>
                  </w:r>
                </w:p>
              </w:tc>
              <w:tc>
                <w:tcPr>
                  <w:tcW w:w="808" w:type="pct"/>
                  <w:tcBorders>
                    <w:tl2br w:val="nil"/>
                    <w:tr2bl w:val="nil"/>
                  </w:tcBorders>
                  <w:vAlign w:val="center"/>
                </w:tcPr>
                <w:p w14:paraId="57BCB52E">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工业废气量</w:t>
                  </w:r>
                </w:p>
              </w:tc>
              <w:tc>
                <w:tcPr>
                  <w:tcW w:w="1090" w:type="pct"/>
                  <w:tcBorders>
                    <w:tl2br w:val="nil"/>
                    <w:tr2bl w:val="nil"/>
                  </w:tcBorders>
                  <w:vAlign w:val="center"/>
                </w:tcPr>
                <w:p w14:paraId="020E829A">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标立方米/吨-原料</w:t>
                  </w:r>
                </w:p>
              </w:tc>
              <w:tc>
                <w:tcPr>
                  <w:tcW w:w="912" w:type="pct"/>
                  <w:tcBorders>
                    <w:tl2br w:val="nil"/>
                    <w:tr2bl w:val="nil"/>
                  </w:tcBorders>
                  <w:vAlign w:val="center"/>
                </w:tcPr>
                <w:p w14:paraId="20288EC6">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6240</w:t>
                  </w:r>
                </w:p>
              </w:tc>
              <w:tc>
                <w:tcPr>
                  <w:tcW w:w="651" w:type="pct"/>
                  <w:tcBorders>
                    <w:tl2br w:val="nil"/>
                    <w:tr2bl w:val="nil"/>
                  </w:tcBorders>
                  <w:vAlign w:val="center"/>
                </w:tcPr>
                <w:p w14:paraId="0CD6FFC1">
                  <w:pPr>
                    <w:snapToGrid w:val="0"/>
                    <w:spacing w:line="240" w:lineRule="auto"/>
                    <w:jc w:val="center"/>
                    <w:rPr>
                      <w:rFonts w:hint="default" w:ascii="Times New Roman" w:hAnsi="Times New Roman" w:eastAsia="宋体" w:cs="Times New Roman"/>
                      <w:color w:val="auto"/>
                      <w:kern w:val="0"/>
                      <w:sz w:val="21"/>
                      <w:szCs w:val="21"/>
                      <w:u w:val="none" w:color="auto"/>
                      <w:lang w:eastAsia="zh-CN"/>
                    </w:rPr>
                  </w:pPr>
                  <w:r>
                    <w:rPr>
                      <w:rFonts w:hint="default" w:ascii="Times New Roman" w:hAnsi="Times New Roman" w:eastAsia="宋体" w:cs="Times New Roman"/>
                      <w:color w:val="auto"/>
                      <w:kern w:val="0"/>
                      <w:sz w:val="21"/>
                      <w:szCs w:val="21"/>
                      <w:u w:val="none" w:color="auto"/>
                      <w:lang w:val="en-US" w:eastAsia="zh-CN"/>
                    </w:rPr>
                    <w:t>/</w:t>
                  </w:r>
                </w:p>
              </w:tc>
              <w:tc>
                <w:tcPr>
                  <w:tcW w:w="698" w:type="pct"/>
                  <w:tcBorders>
                    <w:tl2br w:val="nil"/>
                    <w:tr2bl w:val="nil"/>
                  </w:tcBorders>
                  <w:vAlign w:val="center"/>
                </w:tcPr>
                <w:p w14:paraId="13DFDFAD">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w:t>
                  </w:r>
                </w:p>
              </w:tc>
            </w:tr>
            <w:tr w14:paraId="02F54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51" w:type="pct"/>
                  <w:vMerge w:val="continue"/>
                  <w:tcBorders>
                    <w:tl2br w:val="nil"/>
                    <w:tr2bl w:val="nil"/>
                  </w:tcBorders>
                  <w:vAlign w:val="center"/>
                </w:tcPr>
                <w:p w14:paraId="4BF9631C">
                  <w:pPr>
                    <w:widowControl/>
                    <w:spacing w:line="240" w:lineRule="auto"/>
                    <w:jc w:val="center"/>
                    <w:rPr>
                      <w:rFonts w:hint="default" w:ascii="Times New Roman" w:hAnsi="Times New Roman" w:cs="Times New Roman"/>
                      <w:color w:val="auto"/>
                      <w:kern w:val="0"/>
                      <w:sz w:val="21"/>
                      <w:szCs w:val="21"/>
                      <w:u w:val="none" w:color="auto"/>
                    </w:rPr>
                  </w:pPr>
                </w:p>
              </w:tc>
              <w:tc>
                <w:tcPr>
                  <w:tcW w:w="386" w:type="pct"/>
                  <w:vMerge w:val="continue"/>
                  <w:tcBorders>
                    <w:tl2br w:val="nil"/>
                    <w:tr2bl w:val="nil"/>
                  </w:tcBorders>
                  <w:vAlign w:val="center"/>
                </w:tcPr>
                <w:p w14:paraId="75AD4D87">
                  <w:pPr>
                    <w:widowControl/>
                    <w:spacing w:line="240" w:lineRule="auto"/>
                    <w:jc w:val="center"/>
                    <w:rPr>
                      <w:rFonts w:hint="default" w:ascii="Times New Roman" w:hAnsi="Times New Roman" w:cs="Times New Roman"/>
                      <w:color w:val="auto"/>
                      <w:kern w:val="0"/>
                      <w:sz w:val="21"/>
                      <w:szCs w:val="21"/>
                      <w:u w:val="none" w:color="auto"/>
                    </w:rPr>
                  </w:pPr>
                </w:p>
              </w:tc>
              <w:tc>
                <w:tcPr>
                  <w:tcW w:w="808" w:type="pct"/>
                  <w:tcBorders>
                    <w:tl2br w:val="nil"/>
                    <w:tr2bl w:val="nil"/>
                  </w:tcBorders>
                  <w:vAlign w:val="center"/>
                </w:tcPr>
                <w:p w14:paraId="26340E09">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二氧化硫</w:t>
                  </w:r>
                </w:p>
              </w:tc>
              <w:tc>
                <w:tcPr>
                  <w:tcW w:w="1090" w:type="pct"/>
                  <w:tcBorders>
                    <w:tl2br w:val="nil"/>
                    <w:tr2bl w:val="nil"/>
                  </w:tcBorders>
                  <w:vAlign w:val="center"/>
                </w:tcPr>
                <w:p w14:paraId="450BB53C">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kg/t-</w:t>
                  </w:r>
                  <w:r>
                    <w:rPr>
                      <w:rFonts w:hint="default" w:ascii="Times New Roman" w:hAnsi="Times New Roman" w:eastAsia="宋体" w:cs="Times New Roman"/>
                      <w:color w:val="auto"/>
                      <w:kern w:val="0"/>
                      <w:sz w:val="21"/>
                      <w:szCs w:val="21"/>
                      <w:u w:val="none" w:color="auto"/>
                    </w:rPr>
                    <w:t>原料</w:t>
                  </w:r>
                </w:p>
              </w:tc>
              <w:tc>
                <w:tcPr>
                  <w:tcW w:w="912" w:type="pct"/>
                  <w:tcBorders>
                    <w:tl2br w:val="nil"/>
                    <w:tr2bl w:val="nil"/>
                  </w:tcBorders>
                  <w:vAlign w:val="center"/>
                </w:tcPr>
                <w:p w14:paraId="13401575">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lang w:val="en-US" w:eastAsia="zh-CN"/>
                    </w:rPr>
                    <w:t>17</w:t>
                  </w:r>
                  <w:r>
                    <w:rPr>
                      <w:rFonts w:hint="default" w:ascii="Times New Roman" w:hAnsi="Times New Roman" w:cs="Times New Roman"/>
                      <w:color w:val="auto"/>
                      <w:kern w:val="0"/>
                      <w:sz w:val="21"/>
                      <w:szCs w:val="21"/>
                      <w:u w:val="none" w:color="auto"/>
                    </w:rPr>
                    <w:t>S</w:t>
                  </w:r>
                  <w:r>
                    <w:rPr>
                      <w:rFonts w:hint="default" w:ascii="Times New Roman" w:hAnsi="Times New Roman" w:cs="Times New Roman"/>
                      <w:color w:val="auto"/>
                      <w:sz w:val="21"/>
                      <w:szCs w:val="21"/>
                      <w:u w:val="none" w:color="auto"/>
                      <w:vertAlign w:val="superscript"/>
                    </w:rPr>
                    <w:t>②</w:t>
                  </w:r>
                </w:p>
              </w:tc>
              <w:tc>
                <w:tcPr>
                  <w:tcW w:w="651" w:type="pct"/>
                  <w:tcBorders>
                    <w:tl2br w:val="nil"/>
                    <w:tr2bl w:val="nil"/>
                  </w:tcBorders>
                  <w:vAlign w:val="center"/>
                </w:tcPr>
                <w:p w14:paraId="6741A084">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w:t>
                  </w:r>
                </w:p>
              </w:tc>
              <w:tc>
                <w:tcPr>
                  <w:tcW w:w="698" w:type="pct"/>
                  <w:tcBorders>
                    <w:tl2br w:val="nil"/>
                    <w:tr2bl w:val="nil"/>
                  </w:tcBorders>
                  <w:vAlign w:val="center"/>
                </w:tcPr>
                <w:p w14:paraId="69584814">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w:t>
                  </w:r>
                </w:p>
              </w:tc>
            </w:tr>
            <w:tr w14:paraId="28655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51" w:type="pct"/>
                  <w:vMerge w:val="continue"/>
                  <w:tcBorders>
                    <w:tl2br w:val="nil"/>
                    <w:tr2bl w:val="nil"/>
                  </w:tcBorders>
                  <w:vAlign w:val="center"/>
                </w:tcPr>
                <w:p w14:paraId="112C0F27">
                  <w:pPr>
                    <w:widowControl/>
                    <w:spacing w:line="240" w:lineRule="auto"/>
                    <w:jc w:val="center"/>
                    <w:rPr>
                      <w:rFonts w:hint="default" w:ascii="Times New Roman" w:hAnsi="Times New Roman" w:cs="Times New Roman"/>
                      <w:color w:val="auto"/>
                      <w:kern w:val="0"/>
                      <w:sz w:val="21"/>
                      <w:szCs w:val="21"/>
                      <w:u w:val="none" w:color="auto"/>
                    </w:rPr>
                  </w:pPr>
                </w:p>
              </w:tc>
              <w:tc>
                <w:tcPr>
                  <w:tcW w:w="386" w:type="pct"/>
                  <w:vMerge w:val="continue"/>
                  <w:tcBorders>
                    <w:tl2br w:val="nil"/>
                    <w:tr2bl w:val="nil"/>
                  </w:tcBorders>
                  <w:vAlign w:val="center"/>
                </w:tcPr>
                <w:p w14:paraId="3F71BA37">
                  <w:pPr>
                    <w:widowControl/>
                    <w:spacing w:line="240" w:lineRule="auto"/>
                    <w:jc w:val="center"/>
                    <w:rPr>
                      <w:rFonts w:hint="default" w:ascii="Times New Roman" w:hAnsi="Times New Roman" w:cs="Times New Roman"/>
                      <w:color w:val="auto"/>
                      <w:kern w:val="0"/>
                      <w:sz w:val="21"/>
                      <w:szCs w:val="21"/>
                      <w:u w:val="none" w:color="auto"/>
                    </w:rPr>
                  </w:pPr>
                </w:p>
              </w:tc>
              <w:tc>
                <w:tcPr>
                  <w:tcW w:w="808" w:type="pct"/>
                  <w:tcBorders>
                    <w:tl2br w:val="nil"/>
                    <w:tr2bl w:val="nil"/>
                  </w:tcBorders>
                  <w:vAlign w:val="center"/>
                </w:tcPr>
                <w:p w14:paraId="0239FA3A">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颗粒物</w:t>
                  </w:r>
                </w:p>
              </w:tc>
              <w:tc>
                <w:tcPr>
                  <w:tcW w:w="1090" w:type="pct"/>
                  <w:tcBorders>
                    <w:tl2br w:val="nil"/>
                    <w:tr2bl w:val="nil"/>
                  </w:tcBorders>
                  <w:vAlign w:val="center"/>
                </w:tcPr>
                <w:p w14:paraId="6DDBAA93">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kg/t-</w:t>
                  </w:r>
                  <w:r>
                    <w:rPr>
                      <w:rFonts w:hint="default" w:ascii="Times New Roman" w:hAnsi="Times New Roman" w:eastAsia="宋体" w:cs="Times New Roman"/>
                      <w:color w:val="auto"/>
                      <w:kern w:val="0"/>
                      <w:sz w:val="21"/>
                      <w:szCs w:val="21"/>
                      <w:u w:val="none" w:color="auto"/>
                    </w:rPr>
                    <w:t>原料</w:t>
                  </w:r>
                </w:p>
              </w:tc>
              <w:tc>
                <w:tcPr>
                  <w:tcW w:w="912" w:type="pct"/>
                  <w:tcBorders>
                    <w:tl2br w:val="nil"/>
                    <w:tr2bl w:val="nil"/>
                  </w:tcBorders>
                  <w:vAlign w:val="center"/>
                </w:tcPr>
                <w:p w14:paraId="4A64137A">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0.5</w:t>
                  </w:r>
                </w:p>
              </w:tc>
              <w:tc>
                <w:tcPr>
                  <w:tcW w:w="651" w:type="pct"/>
                  <w:tcBorders>
                    <w:tl2br w:val="nil"/>
                    <w:tr2bl w:val="nil"/>
                  </w:tcBorders>
                  <w:vAlign w:val="center"/>
                </w:tcPr>
                <w:p w14:paraId="4AC3F340">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highlight w:val="none"/>
                      <w:u w:val="none" w:color="auto"/>
                      <w:lang w:eastAsia="zh-CN"/>
                    </w:rPr>
                    <w:t>布袋除尘</w:t>
                  </w:r>
                </w:p>
              </w:tc>
              <w:tc>
                <w:tcPr>
                  <w:tcW w:w="698" w:type="pct"/>
                  <w:tcBorders>
                    <w:tl2br w:val="nil"/>
                    <w:tr2bl w:val="nil"/>
                  </w:tcBorders>
                  <w:vAlign w:val="center"/>
                </w:tcPr>
                <w:p w14:paraId="44481456">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99%</w:t>
                  </w:r>
                </w:p>
              </w:tc>
            </w:tr>
            <w:tr w14:paraId="64803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51" w:type="pct"/>
                  <w:vMerge w:val="continue"/>
                  <w:tcBorders>
                    <w:tl2br w:val="nil"/>
                    <w:tr2bl w:val="nil"/>
                  </w:tcBorders>
                  <w:vAlign w:val="center"/>
                </w:tcPr>
                <w:p w14:paraId="4396AE65">
                  <w:pPr>
                    <w:widowControl/>
                    <w:spacing w:line="240" w:lineRule="auto"/>
                    <w:jc w:val="center"/>
                    <w:rPr>
                      <w:rFonts w:hint="default" w:ascii="Times New Roman" w:hAnsi="Times New Roman" w:cs="Times New Roman"/>
                      <w:color w:val="auto"/>
                      <w:kern w:val="0"/>
                      <w:sz w:val="21"/>
                      <w:szCs w:val="21"/>
                      <w:u w:val="none" w:color="auto"/>
                    </w:rPr>
                  </w:pPr>
                </w:p>
              </w:tc>
              <w:tc>
                <w:tcPr>
                  <w:tcW w:w="386" w:type="pct"/>
                  <w:vMerge w:val="continue"/>
                  <w:tcBorders>
                    <w:tl2br w:val="nil"/>
                    <w:tr2bl w:val="nil"/>
                  </w:tcBorders>
                  <w:vAlign w:val="center"/>
                </w:tcPr>
                <w:p w14:paraId="38720555">
                  <w:pPr>
                    <w:widowControl/>
                    <w:spacing w:line="240" w:lineRule="auto"/>
                    <w:jc w:val="center"/>
                    <w:rPr>
                      <w:rFonts w:hint="default" w:ascii="Times New Roman" w:hAnsi="Times New Roman" w:cs="Times New Roman"/>
                      <w:color w:val="auto"/>
                      <w:kern w:val="0"/>
                      <w:sz w:val="21"/>
                      <w:szCs w:val="21"/>
                      <w:u w:val="none" w:color="auto"/>
                    </w:rPr>
                  </w:pPr>
                </w:p>
              </w:tc>
              <w:tc>
                <w:tcPr>
                  <w:tcW w:w="808" w:type="pct"/>
                  <w:tcBorders>
                    <w:tl2br w:val="nil"/>
                    <w:tr2bl w:val="nil"/>
                  </w:tcBorders>
                  <w:vAlign w:val="center"/>
                </w:tcPr>
                <w:p w14:paraId="472DD4F5">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氮氧化物</w:t>
                  </w:r>
                </w:p>
              </w:tc>
              <w:tc>
                <w:tcPr>
                  <w:tcW w:w="1090" w:type="pct"/>
                  <w:tcBorders>
                    <w:tl2br w:val="nil"/>
                    <w:tr2bl w:val="nil"/>
                  </w:tcBorders>
                  <w:vAlign w:val="center"/>
                </w:tcPr>
                <w:p w14:paraId="5B2341CA">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kg/t-</w:t>
                  </w:r>
                  <w:r>
                    <w:rPr>
                      <w:rFonts w:hint="default" w:ascii="Times New Roman" w:hAnsi="Times New Roman" w:eastAsia="宋体" w:cs="Times New Roman"/>
                      <w:color w:val="auto"/>
                      <w:kern w:val="0"/>
                      <w:sz w:val="21"/>
                      <w:szCs w:val="21"/>
                      <w:u w:val="none" w:color="auto"/>
                    </w:rPr>
                    <w:t>原料</w:t>
                  </w:r>
                </w:p>
              </w:tc>
              <w:tc>
                <w:tcPr>
                  <w:tcW w:w="912" w:type="pct"/>
                  <w:tcBorders>
                    <w:tl2br w:val="nil"/>
                    <w:tr2bl w:val="nil"/>
                  </w:tcBorders>
                  <w:vAlign w:val="center"/>
                </w:tcPr>
                <w:p w14:paraId="37F45FEB">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1.02</w:t>
                  </w:r>
                </w:p>
              </w:tc>
              <w:tc>
                <w:tcPr>
                  <w:tcW w:w="651" w:type="pct"/>
                  <w:tcBorders>
                    <w:tl2br w:val="nil"/>
                    <w:tr2bl w:val="nil"/>
                  </w:tcBorders>
                  <w:vAlign w:val="center"/>
                </w:tcPr>
                <w:p w14:paraId="008316A6">
                  <w:pPr>
                    <w:snapToGrid w:val="0"/>
                    <w:spacing w:line="240" w:lineRule="auto"/>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低氮燃烧</w:t>
                  </w:r>
                </w:p>
              </w:tc>
              <w:tc>
                <w:tcPr>
                  <w:tcW w:w="698" w:type="pct"/>
                  <w:tcBorders>
                    <w:tl2br w:val="nil"/>
                    <w:tr2bl w:val="nil"/>
                  </w:tcBorders>
                  <w:vAlign w:val="center"/>
                </w:tcPr>
                <w:p w14:paraId="02700C9D">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30%</w:t>
                  </w:r>
                </w:p>
              </w:tc>
            </w:tr>
            <w:tr w14:paraId="1962B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5000" w:type="pct"/>
                  <w:gridSpan w:val="7"/>
                  <w:tcBorders>
                    <w:tl2br w:val="nil"/>
                    <w:tr2bl w:val="nil"/>
                  </w:tcBorders>
                  <w:vAlign w:val="center"/>
                </w:tcPr>
                <w:p w14:paraId="58B2D451">
                  <w:pPr>
                    <w:snapToGrid w:val="0"/>
                    <w:spacing w:line="240" w:lineRule="auto"/>
                    <w:jc w:val="both"/>
                    <w:rPr>
                      <w:rFonts w:hint="default" w:ascii="Times New Roman" w:hAnsi="Times New Roman" w:cs="Times New Roman"/>
                      <w:color w:val="auto"/>
                      <w:kern w:val="0"/>
                      <w:sz w:val="21"/>
                      <w:szCs w:val="21"/>
                      <w:u w:val="none" w:color="auto"/>
                      <w:lang w:val="en-US" w:eastAsia="zh-CN"/>
                    </w:rPr>
                  </w:pPr>
                  <w:r>
                    <w:rPr>
                      <w:rFonts w:hint="default" w:ascii="Times New Roman" w:hAnsi="Times New Roman" w:cs="Times New Roman"/>
                      <w:color w:val="auto"/>
                      <w:sz w:val="21"/>
                      <w:szCs w:val="21"/>
                      <w:u w:val="none" w:color="auto"/>
                    </w:rPr>
                    <w:t>①二氧化硫的产污系数是以含硫量</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S%</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的形式表示的，其中含硫量</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S%</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是指生物质收到基硫分含量，以质量百分数的形式表示。例如生物质中含硫量</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S%</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为0.1%，则S=0.1。</w:t>
                  </w:r>
                </w:p>
              </w:tc>
            </w:tr>
          </w:tbl>
          <w:p w14:paraId="3ACE9CA7">
            <w:pPr>
              <w:pStyle w:val="82"/>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本评价要求</w:t>
            </w:r>
            <w:r>
              <w:rPr>
                <w:rFonts w:hint="eastAsia" w:cs="Times New Roman"/>
                <w:color w:val="auto"/>
                <w:kern w:val="2"/>
                <w:sz w:val="24"/>
                <w:szCs w:val="24"/>
                <w:u w:val="none" w:color="auto"/>
                <w:lang w:val="en-US" w:eastAsia="zh-CN" w:bidi="ar-SA"/>
              </w:rPr>
              <w:t>项目建设单位</w:t>
            </w:r>
            <w:r>
              <w:rPr>
                <w:rFonts w:hint="eastAsia" w:ascii="Times New Roman" w:hAnsi="Times New Roman" w:eastAsia="宋体" w:cs="Times New Roman"/>
                <w:color w:val="auto"/>
                <w:kern w:val="2"/>
                <w:sz w:val="24"/>
                <w:szCs w:val="24"/>
                <w:u w:val="none" w:color="auto"/>
                <w:lang w:val="en-US" w:eastAsia="zh-CN" w:bidi="ar-SA"/>
              </w:rPr>
              <w:t>采购的生物质颗粒质量满足《</w:t>
            </w:r>
            <w:r>
              <w:rPr>
                <w:rFonts w:hint="eastAsia" w:ascii="Times New Roman" w:hAnsi="Times New Roman" w:eastAsia="宋体" w:cs="Times New Roman"/>
                <w:color w:val="auto"/>
                <w:szCs w:val="21"/>
                <w:u w:val="none" w:color="auto"/>
                <w:lang w:eastAsia="zh-CN"/>
              </w:rPr>
              <w:t>生物质固体成型燃料技术条件中质量标准</w:t>
            </w:r>
            <w:r>
              <w:rPr>
                <w:rFonts w:hint="eastAsia" w:ascii="Times New Roman" w:hAnsi="Times New Roman" w:eastAsia="宋体" w:cs="Times New Roman"/>
                <w:color w:val="auto"/>
                <w:kern w:val="2"/>
                <w:sz w:val="24"/>
                <w:szCs w:val="24"/>
                <w:u w:val="none" w:color="auto"/>
                <w:lang w:val="en-US" w:eastAsia="zh-CN" w:bidi="ar-SA"/>
              </w:rPr>
              <w:t>》（</w:t>
            </w:r>
            <w:r>
              <w:rPr>
                <w:rFonts w:hint="eastAsia" w:ascii="Times New Roman" w:hAnsi="Times New Roman" w:eastAsia="宋体" w:cs="Times New Roman"/>
                <w:color w:val="auto"/>
                <w:szCs w:val="21"/>
                <w:u w:val="none" w:color="auto"/>
                <w:lang w:eastAsia="zh-CN"/>
              </w:rPr>
              <w:t>NY_T1878-2010</w:t>
            </w:r>
            <w:r>
              <w:rPr>
                <w:rFonts w:hint="eastAsia" w:ascii="Times New Roman" w:hAnsi="Times New Roman" w:eastAsia="宋体" w:cs="Times New Roman"/>
                <w:color w:val="auto"/>
                <w:kern w:val="2"/>
                <w:sz w:val="24"/>
                <w:szCs w:val="24"/>
                <w:u w:val="none" w:color="auto"/>
                <w:lang w:val="en-US" w:eastAsia="zh-CN" w:bidi="ar-SA"/>
              </w:rPr>
              <w:t>）</w:t>
            </w:r>
            <w:r>
              <w:rPr>
                <w:rFonts w:hint="eastAsia" w:ascii="Times New Roman" w:hAnsi="Times New Roman" w:eastAsia="宋体" w:cs="Times New Roman"/>
                <w:color w:val="auto"/>
                <w:szCs w:val="21"/>
                <w:u w:val="none" w:color="auto"/>
                <w:lang w:eastAsia="zh-CN"/>
              </w:rPr>
              <w:t>且</w:t>
            </w:r>
            <w:r>
              <w:rPr>
                <w:rFonts w:hint="default" w:ascii="Times New Roman" w:hAnsi="Times New Roman" w:eastAsia="宋体" w:cs="Times New Roman"/>
                <w:color w:val="auto"/>
                <w:kern w:val="2"/>
                <w:sz w:val="24"/>
                <w:szCs w:val="24"/>
                <w:u w:val="none" w:color="auto"/>
                <w:lang w:val="en-US" w:eastAsia="zh-CN" w:bidi="ar-SA"/>
              </w:rPr>
              <w:t>生物质颗粒含硫率为</w:t>
            </w:r>
            <w:r>
              <w:rPr>
                <w:rFonts w:hint="eastAsia" w:ascii="宋体" w:hAnsi="宋体" w:eastAsia="宋体" w:cs="宋体"/>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0.</w:t>
            </w:r>
            <w:r>
              <w:rPr>
                <w:rFonts w:hint="eastAsia" w:ascii="Times New Roman" w:hAnsi="Times New Roman" w:eastAsia="宋体" w:cs="Times New Roman"/>
                <w:color w:val="auto"/>
                <w:kern w:val="2"/>
                <w:sz w:val="24"/>
                <w:szCs w:val="24"/>
                <w:u w:val="none" w:color="auto"/>
                <w:lang w:val="en-US" w:eastAsia="zh-CN" w:bidi="ar-SA"/>
              </w:rPr>
              <w:t>1</w:t>
            </w:r>
            <w:r>
              <w:rPr>
                <w:rFonts w:hint="default" w:ascii="Times New Roman" w:hAnsi="Times New Roman" w:eastAsia="宋体" w:cs="Times New Roman"/>
                <w:color w:val="auto"/>
                <w:kern w:val="2"/>
                <w:sz w:val="24"/>
                <w:szCs w:val="24"/>
                <w:u w:val="none" w:color="auto"/>
                <w:lang w:val="en-US" w:eastAsia="zh-CN" w:bidi="ar-SA"/>
              </w:rPr>
              <w:t>%，</w:t>
            </w:r>
            <w:r>
              <w:rPr>
                <w:rFonts w:hint="eastAsia" w:ascii="Times New Roman" w:hAnsi="Times New Roman" w:eastAsia="宋体" w:cs="Times New Roman"/>
                <w:color w:val="auto"/>
                <w:kern w:val="2"/>
                <w:sz w:val="24"/>
                <w:szCs w:val="24"/>
                <w:u w:val="none" w:color="auto"/>
                <w:lang w:val="en-US" w:eastAsia="zh-CN" w:bidi="ar-SA"/>
              </w:rPr>
              <w:t>本项目取标准的最大值0.1%，</w:t>
            </w:r>
            <w:r>
              <w:rPr>
                <w:rFonts w:hint="default" w:ascii="Times New Roman" w:hAnsi="Times New Roman" w:eastAsia="宋体" w:cs="Times New Roman"/>
                <w:color w:val="auto"/>
                <w:kern w:val="2"/>
                <w:sz w:val="24"/>
                <w:szCs w:val="24"/>
                <w:u w:val="none" w:color="auto"/>
                <w:lang w:val="en-US" w:eastAsia="zh-CN" w:bidi="ar-SA"/>
              </w:rPr>
              <w:t>则S=0.</w:t>
            </w:r>
            <w:r>
              <w:rPr>
                <w:rFonts w:hint="eastAsia" w:ascii="Times New Roman" w:hAnsi="Times New Roman" w:eastAsia="宋体" w:cs="Times New Roman"/>
                <w:color w:val="auto"/>
                <w:kern w:val="2"/>
                <w:sz w:val="24"/>
                <w:szCs w:val="24"/>
                <w:u w:val="none" w:color="auto"/>
                <w:lang w:val="en-US" w:eastAsia="zh-CN" w:bidi="ar-SA"/>
              </w:rPr>
              <w:t>1</w:t>
            </w:r>
            <w:r>
              <w:rPr>
                <w:rFonts w:hint="default" w:ascii="Times New Roman" w:hAnsi="Times New Roman" w:eastAsia="宋体" w:cs="Times New Roman"/>
                <w:color w:val="auto"/>
                <w:kern w:val="2"/>
                <w:sz w:val="24"/>
                <w:szCs w:val="24"/>
                <w:u w:val="none" w:color="auto"/>
                <w:lang w:val="en-US" w:eastAsia="zh-CN" w:bidi="ar-SA"/>
              </w:rPr>
              <w:t>。</w:t>
            </w:r>
          </w:p>
          <w:p w14:paraId="79DD2839">
            <w:pPr>
              <w:pStyle w:val="8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kern w:val="2"/>
                <w:sz w:val="24"/>
                <w:szCs w:val="24"/>
                <w:u w:val="single" w:color="auto"/>
                <w:lang w:val="en-US" w:eastAsia="zh-CN" w:bidi="ar-SA"/>
              </w:rPr>
            </w:pPr>
            <w:r>
              <w:rPr>
                <w:rFonts w:hint="eastAsia" w:cs="Times New Roman"/>
                <w:color w:val="auto"/>
                <w:kern w:val="2"/>
                <w:sz w:val="24"/>
                <w:szCs w:val="24"/>
                <w:u w:val="single" w:color="auto"/>
                <w:lang w:val="en-US" w:eastAsia="zh-CN" w:bidi="ar-SA"/>
              </w:rPr>
              <w:t>生物质蒸汽发生器使用生物质燃烧产生的废气经</w:t>
            </w:r>
            <w:r>
              <w:rPr>
                <w:rFonts w:hint="default" w:ascii="Times New Roman" w:hAnsi="Times New Roman" w:eastAsia="宋体" w:cs="Times New Roman"/>
                <w:color w:val="auto"/>
                <w:kern w:val="2"/>
                <w:sz w:val="24"/>
                <w:szCs w:val="24"/>
                <w:u w:val="single" w:color="auto"/>
                <w:lang w:val="en-US" w:eastAsia="zh-CN" w:bidi="ar-SA"/>
              </w:rPr>
              <w:t>配套</w:t>
            </w:r>
            <w:r>
              <w:rPr>
                <w:rFonts w:hint="eastAsia" w:ascii="Times New Roman" w:hAnsi="Times New Roman" w:eastAsia="宋体" w:cs="Times New Roman"/>
                <w:color w:val="auto"/>
                <w:kern w:val="2"/>
                <w:sz w:val="24"/>
                <w:szCs w:val="24"/>
                <w:u w:val="single" w:color="auto"/>
                <w:lang w:val="en-US" w:eastAsia="zh-CN" w:bidi="ar-SA"/>
              </w:rPr>
              <w:t>布袋</w:t>
            </w:r>
            <w:r>
              <w:rPr>
                <w:rFonts w:hint="default" w:ascii="Times New Roman" w:hAnsi="Times New Roman" w:eastAsia="宋体" w:cs="Times New Roman"/>
                <w:color w:val="auto"/>
                <w:kern w:val="2"/>
                <w:sz w:val="24"/>
                <w:szCs w:val="24"/>
                <w:u w:val="single" w:color="auto"/>
                <w:lang w:val="en-US" w:eastAsia="zh-CN" w:bidi="ar-SA"/>
              </w:rPr>
              <w:t>除尘器</w:t>
            </w:r>
            <w:r>
              <w:rPr>
                <w:rFonts w:hint="eastAsia" w:cs="Times New Roman"/>
                <w:color w:val="auto"/>
                <w:kern w:val="2"/>
                <w:sz w:val="24"/>
                <w:szCs w:val="24"/>
                <w:u w:val="single" w:color="auto"/>
                <w:lang w:val="en-US" w:eastAsia="zh-CN" w:bidi="ar-SA"/>
              </w:rPr>
              <w:t>处理后通过1</w:t>
            </w:r>
            <w:r>
              <w:rPr>
                <w:rFonts w:hint="default" w:ascii="Times New Roman" w:hAnsi="Times New Roman" w:eastAsia="宋体" w:cs="Times New Roman"/>
                <w:color w:val="auto"/>
                <w:kern w:val="2"/>
                <w:sz w:val="24"/>
                <w:szCs w:val="24"/>
                <w:u w:val="single" w:color="auto"/>
                <w:lang w:val="en-US" w:eastAsia="zh-CN" w:bidi="ar-SA"/>
              </w:rPr>
              <w:t>5m</w:t>
            </w:r>
            <w:r>
              <w:rPr>
                <w:rFonts w:hint="eastAsia" w:cs="Times New Roman"/>
                <w:color w:val="auto"/>
                <w:kern w:val="2"/>
                <w:sz w:val="24"/>
                <w:szCs w:val="24"/>
                <w:u w:val="single" w:color="auto"/>
                <w:lang w:val="en-US" w:eastAsia="zh-CN" w:bidi="ar-SA"/>
              </w:rPr>
              <w:t>高</w:t>
            </w:r>
            <w:r>
              <w:rPr>
                <w:rFonts w:hint="default" w:ascii="Times New Roman" w:hAnsi="Times New Roman" w:eastAsia="宋体" w:cs="Times New Roman"/>
                <w:color w:val="auto"/>
                <w:kern w:val="2"/>
                <w:sz w:val="24"/>
                <w:szCs w:val="24"/>
                <w:u w:val="single" w:color="auto"/>
                <w:lang w:val="en-US" w:eastAsia="zh-CN" w:bidi="ar-SA"/>
              </w:rPr>
              <w:t>排气筒</w:t>
            </w:r>
            <w:r>
              <w:rPr>
                <w:rFonts w:hint="eastAsia" w:cs="Times New Roman"/>
                <w:color w:val="auto"/>
                <w:kern w:val="2"/>
                <w:sz w:val="24"/>
                <w:szCs w:val="24"/>
                <w:u w:val="single" w:color="auto"/>
                <w:lang w:val="en-US" w:eastAsia="zh-CN" w:bidi="ar-SA"/>
              </w:rPr>
              <w:t>（DA001）</w:t>
            </w:r>
            <w:r>
              <w:rPr>
                <w:rFonts w:hint="default" w:ascii="Times New Roman" w:hAnsi="Times New Roman" w:eastAsia="宋体" w:cs="Times New Roman"/>
                <w:color w:val="auto"/>
                <w:kern w:val="2"/>
                <w:sz w:val="24"/>
                <w:szCs w:val="24"/>
                <w:u w:val="single" w:color="auto"/>
                <w:lang w:val="en-US" w:eastAsia="zh-CN" w:bidi="ar-SA"/>
              </w:rPr>
              <w:t>排放，</w:t>
            </w:r>
            <w:r>
              <w:rPr>
                <w:rFonts w:hint="eastAsia" w:cs="Times New Roman"/>
                <w:color w:val="auto"/>
                <w:kern w:val="2"/>
                <w:sz w:val="24"/>
                <w:szCs w:val="24"/>
                <w:u w:val="single" w:color="auto"/>
                <w:lang w:val="en-US" w:eastAsia="zh-CN" w:bidi="ar-SA"/>
              </w:rPr>
              <w:t>生物质热风炉使用生物质燃烧产生的废气经</w:t>
            </w:r>
            <w:r>
              <w:rPr>
                <w:rFonts w:hint="default" w:ascii="Times New Roman" w:hAnsi="Times New Roman" w:eastAsia="宋体" w:cs="Times New Roman"/>
                <w:color w:val="auto"/>
                <w:kern w:val="2"/>
                <w:sz w:val="24"/>
                <w:szCs w:val="24"/>
                <w:u w:val="single" w:color="auto"/>
                <w:lang w:val="en-US" w:eastAsia="zh-CN" w:bidi="ar-SA"/>
              </w:rPr>
              <w:t>配套</w:t>
            </w:r>
            <w:r>
              <w:rPr>
                <w:rFonts w:hint="eastAsia" w:ascii="Times New Roman" w:hAnsi="Times New Roman" w:eastAsia="宋体" w:cs="Times New Roman"/>
                <w:color w:val="auto"/>
                <w:kern w:val="2"/>
                <w:sz w:val="24"/>
                <w:szCs w:val="24"/>
                <w:u w:val="single" w:color="auto"/>
                <w:lang w:val="en-US" w:eastAsia="zh-CN" w:bidi="ar-SA"/>
              </w:rPr>
              <w:t>布袋</w:t>
            </w:r>
            <w:r>
              <w:rPr>
                <w:rFonts w:hint="default" w:ascii="Times New Roman" w:hAnsi="Times New Roman" w:eastAsia="宋体" w:cs="Times New Roman"/>
                <w:color w:val="auto"/>
                <w:kern w:val="2"/>
                <w:sz w:val="24"/>
                <w:szCs w:val="24"/>
                <w:u w:val="single" w:color="auto"/>
                <w:lang w:val="en-US" w:eastAsia="zh-CN" w:bidi="ar-SA"/>
              </w:rPr>
              <w:t>除尘器</w:t>
            </w:r>
            <w:r>
              <w:rPr>
                <w:rFonts w:hint="eastAsia" w:cs="Times New Roman"/>
                <w:color w:val="auto"/>
                <w:kern w:val="2"/>
                <w:sz w:val="24"/>
                <w:szCs w:val="24"/>
                <w:u w:val="single" w:color="auto"/>
                <w:lang w:val="en-US" w:eastAsia="zh-CN" w:bidi="ar-SA"/>
              </w:rPr>
              <w:t>处理后通过1</w:t>
            </w:r>
            <w:r>
              <w:rPr>
                <w:rFonts w:hint="default" w:ascii="Times New Roman" w:hAnsi="Times New Roman" w:eastAsia="宋体" w:cs="Times New Roman"/>
                <w:color w:val="auto"/>
                <w:kern w:val="2"/>
                <w:sz w:val="24"/>
                <w:szCs w:val="24"/>
                <w:u w:val="single" w:color="auto"/>
                <w:lang w:val="en-US" w:eastAsia="zh-CN" w:bidi="ar-SA"/>
              </w:rPr>
              <w:t>5m</w:t>
            </w:r>
            <w:r>
              <w:rPr>
                <w:rFonts w:hint="eastAsia" w:cs="Times New Roman"/>
                <w:color w:val="auto"/>
                <w:kern w:val="2"/>
                <w:sz w:val="24"/>
                <w:szCs w:val="24"/>
                <w:u w:val="single" w:color="auto"/>
                <w:lang w:val="en-US" w:eastAsia="zh-CN" w:bidi="ar-SA"/>
              </w:rPr>
              <w:t>高</w:t>
            </w:r>
            <w:r>
              <w:rPr>
                <w:rFonts w:hint="default" w:ascii="Times New Roman" w:hAnsi="Times New Roman" w:eastAsia="宋体" w:cs="Times New Roman"/>
                <w:color w:val="auto"/>
                <w:kern w:val="2"/>
                <w:sz w:val="24"/>
                <w:szCs w:val="24"/>
                <w:u w:val="single" w:color="auto"/>
                <w:lang w:val="en-US" w:eastAsia="zh-CN" w:bidi="ar-SA"/>
              </w:rPr>
              <w:t>排气筒</w:t>
            </w:r>
            <w:r>
              <w:rPr>
                <w:rFonts w:hint="eastAsia" w:cs="Times New Roman"/>
                <w:color w:val="auto"/>
                <w:kern w:val="2"/>
                <w:sz w:val="24"/>
                <w:szCs w:val="24"/>
                <w:u w:val="single" w:color="auto"/>
                <w:lang w:val="en-US" w:eastAsia="zh-CN" w:bidi="ar-SA"/>
              </w:rPr>
              <w:t>（DA002）</w:t>
            </w:r>
            <w:r>
              <w:rPr>
                <w:rFonts w:hint="default" w:ascii="Times New Roman" w:hAnsi="Times New Roman" w:eastAsia="宋体" w:cs="Times New Roman"/>
                <w:color w:val="auto"/>
                <w:kern w:val="2"/>
                <w:sz w:val="24"/>
                <w:szCs w:val="24"/>
                <w:u w:val="single" w:color="auto"/>
                <w:lang w:val="en-US" w:eastAsia="zh-CN" w:bidi="ar-SA"/>
              </w:rPr>
              <w:t>排放</w:t>
            </w:r>
            <w:r>
              <w:rPr>
                <w:rFonts w:hint="eastAsia"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生物质蒸汽发生器、热风炉</w:t>
            </w:r>
            <w:r>
              <w:rPr>
                <w:rFonts w:hint="default" w:ascii="Times New Roman" w:hAnsi="Times New Roman" w:eastAsia="宋体" w:cs="Times New Roman"/>
                <w:color w:val="auto"/>
                <w:kern w:val="2"/>
                <w:sz w:val="24"/>
                <w:szCs w:val="24"/>
                <w:u w:val="single" w:color="auto"/>
                <w:lang w:val="en-US" w:eastAsia="zh-CN" w:bidi="ar-SA"/>
              </w:rPr>
              <w:t>采用低氮燃烧、</w:t>
            </w:r>
            <w:r>
              <w:rPr>
                <w:rFonts w:hint="eastAsia" w:ascii="Times New Roman" w:hAnsi="Times New Roman" w:eastAsia="宋体" w:cs="Times New Roman"/>
                <w:color w:val="auto"/>
                <w:kern w:val="2"/>
                <w:sz w:val="24"/>
                <w:szCs w:val="24"/>
                <w:u w:val="single" w:color="auto"/>
                <w:lang w:val="en-US" w:eastAsia="zh-CN" w:bidi="ar-SA"/>
              </w:rPr>
              <w:t>使燃料燃烧充分，从而降低氮氧化物的产生。</w:t>
            </w:r>
          </w:p>
          <w:p w14:paraId="69697D29">
            <w:pPr>
              <w:pStyle w:val="8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kern w:val="2"/>
                <w:sz w:val="24"/>
                <w:szCs w:val="24"/>
                <w:u w:val="single" w:color="auto"/>
                <w:lang w:val="en-US" w:eastAsia="zh-CN" w:bidi="ar-SA"/>
              </w:rPr>
            </w:pPr>
            <w:r>
              <w:rPr>
                <w:rFonts w:hint="eastAsia" w:ascii="Times New Roman" w:hAnsi="Times New Roman" w:eastAsia="宋体" w:cs="Times New Roman"/>
                <w:color w:val="auto"/>
                <w:kern w:val="2"/>
                <w:sz w:val="24"/>
                <w:szCs w:val="24"/>
                <w:u w:val="single" w:color="auto"/>
                <w:lang w:val="en-US" w:eastAsia="zh-CN" w:bidi="ar-SA"/>
              </w:rPr>
              <w:t>根据</w:t>
            </w:r>
            <w:r>
              <w:rPr>
                <w:rFonts w:hint="default" w:ascii="Times New Roman" w:hAnsi="Times New Roman" w:eastAsia="宋体" w:cs="Times New Roman"/>
                <w:color w:val="auto"/>
                <w:kern w:val="2"/>
                <w:sz w:val="24"/>
                <w:szCs w:val="24"/>
                <w:u w:val="single" w:color="auto"/>
                <w:lang w:val="en-US" w:eastAsia="zh-CN" w:bidi="ar-SA"/>
              </w:rPr>
              <w:t>全国污染源普查工业源产排污系数手册中的推荐值</w:t>
            </w:r>
            <w:r>
              <w:rPr>
                <w:rFonts w:hint="eastAsia" w:ascii="Times New Roman" w:hAnsi="Times New Roman" w:eastAsia="宋体" w:cs="Times New Roman"/>
                <w:color w:val="auto"/>
                <w:kern w:val="2"/>
                <w:sz w:val="24"/>
                <w:szCs w:val="24"/>
                <w:u w:val="single" w:color="auto"/>
                <w:lang w:val="en-US" w:eastAsia="zh-CN" w:bidi="ar-SA"/>
              </w:rPr>
              <w:t>，布袋除尘</w:t>
            </w:r>
            <w:r>
              <w:rPr>
                <w:rFonts w:hint="default" w:ascii="Times New Roman" w:hAnsi="Times New Roman" w:eastAsia="宋体" w:cs="Times New Roman"/>
                <w:color w:val="auto"/>
                <w:kern w:val="2"/>
                <w:sz w:val="24"/>
                <w:szCs w:val="24"/>
                <w:u w:val="single" w:color="auto"/>
                <w:lang w:val="en-US" w:eastAsia="zh-CN" w:bidi="ar-SA"/>
              </w:rPr>
              <w:t>对颗粒物的处理效率为</w:t>
            </w:r>
            <w:r>
              <w:rPr>
                <w:rFonts w:hint="eastAsia" w:ascii="Times New Roman" w:hAnsi="Times New Roman" w:eastAsia="宋体" w:cs="Times New Roman"/>
                <w:color w:val="auto"/>
                <w:kern w:val="2"/>
                <w:sz w:val="24"/>
                <w:szCs w:val="24"/>
                <w:u w:val="single" w:color="auto"/>
                <w:lang w:val="en-US" w:eastAsia="zh-CN" w:bidi="ar-SA"/>
              </w:rPr>
              <w:t>99</w:t>
            </w:r>
            <w:r>
              <w:rPr>
                <w:rFonts w:hint="default" w:ascii="Times New Roman" w:hAnsi="Times New Roman" w:eastAsia="宋体" w:cs="Times New Roman"/>
                <w:color w:val="auto"/>
                <w:kern w:val="2"/>
                <w:sz w:val="24"/>
                <w:szCs w:val="24"/>
                <w:u w:val="single" w:color="auto"/>
                <w:lang w:val="en-US" w:eastAsia="zh-CN" w:bidi="ar-SA"/>
              </w:rPr>
              <w:t>%、低氮燃烧可去除30%氮氧化物</w:t>
            </w:r>
            <w:r>
              <w:rPr>
                <w:rFonts w:hint="eastAsia" w:ascii="Times New Roman" w:hAnsi="Times New Roman" w:eastAsia="宋体" w:cs="Times New Roman"/>
                <w:color w:val="auto"/>
                <w:kern w:val="2"/>
                <w:sz w:val="24"/>
                <w:szCs w:val="24"/>
                <w:u w:val="single" w:color="auto"/>
                <w:lang w:val="en-US" w:eastAsia="zh-CN" w:bidi="ar-SA"/>
              </w:rPr>
              <w:t>。</w:t>
            </w:r>
          </w:p>
          <w:p w14:paraId="5DC25752">
            <w:pPr>
              <w:pStyle w:val="8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s="Times New Roman"/>
                <w:color w:val="auto"/>
                <w:kern w:val="2"/>
                <w:sz w:val="24"/>
                <w:szCs w:val="24"/>
                <w:u w:val="single" w:color="auto"/>
                <w:lang w:val="en-US" w:eastAsia="zh-CN" w:bidi="ar-SA"/>
              </w:rPr>
            </w:pPr>
            <w:r>
              <w:rPr>
                <w:rFonts w:hint="eastAsia" w:cs="Times New Roman"/>
                <w:color w:val="auto"/>
                <w:kern w:val="2"/>
                <w:sz w:val="24"/>
                <w:szCs w:val="24"/>
                <w:u w:val="single" w:color="auto"/>
                <w:lang w:val="en-US" w:eastAsia="zh-CN" w:bidi="ar-SA"/>
              </w:rPr>
              <w:t>为确保废气达标排放，本项目拟对热风炉废气采用“布袋除尘+活性炭”处理，对二氧化硫的处理效率取90%、</w:t>
            </w:r>
            <w:r>
              <w:rPr>
                <w:rFonts w:hint="default" w:ascii="Times New Roman" w:hAnsi="Times New Roman" w:eastAsia="宋体" w:cs="Times New Roman"/>
                <w:color w:val="auto"/>
                <w:kern w:val="2"/>
                <w:sz w:val="24"/>
                <w:szCs w:val="24"/>
                <w:u w:val="single" w:color="auto"/>
                <w:lang w:val="en-US" w:eastAsia="zh-CN" w:bidi="ar-SA"/>
              </w:rPr>
              <w:t>颗粒物的处理效率为</w:t>
            </w:r>
            <w:r>
              <w:rPr>
                <w:rFonts w:hint="eastAsia" w:ascii="Times New Roman" w:hAnsi="Times New Roman" w:eastAsia="宋体" w:cs="Times New Roman"/>
                <w:color w:val="auto"/>
                <w:kern w:val="2"/>
                <w:sz w:val="24"/>
                <w:szCs w:val="24"/>
                <w:u w:val="single" w:color="auto"/>
                <w:lang w:val="en-US" w:eastAsia="zh-CN" w:bidi="ar-SA"/>
              </w:rPr>
              <w:t>99</w:t>
            </w:r>
            <w:r>
              <w:rPr>
                <w:rFonts w:hint="default" w:ascii="Times New Roman" w:hAnsi="Times New Roman" w:eastAsia="宋体" w:cs="Times New Roman"/>
                <w:color w:val="auto"/>
                <w:kern w:val="2"/>
                <w:sz w:val="24"/>
                <w:szCs w:val="24"/>
                <w:u w:val="single" w:color="auto"/>
                <w:lang w:val="en-US" w:eastAsia="zh-CN" w:bidi="ar-SA"/>
              </w:rPr>
              <w:t>%、低氮燃烧可去除30%氮氧化物</w:t>
            </w:r>
            <w:r>
              <w:rPr>
                <w:rFonts w:hint="eastAsia" w:ascii="Times New Roman" w:hAnsi="Times New Roman" w:eastAsia="宋体" w:cs="Times New Roman"/>
                <w:color w:val="auto"/>
                <w:kern w:val="2"/>
                <w:sz w:val="24"/>
                <w:szCs w:val="24"/>
                <w:u w:val="single" w:color="auto"/>
                <w:lang w:val="en-US" w:eastAsia="zh-CN" w:bidi="ar-SA"/>
              </w:rPr>
              <w:t>。</w:t>
            </w:r>
          </w:p>
          <w:p w14:paraId="1DDAC069">
            <w:pPr>
              <w:pStyle w:val="82"/>
              <w:keepNext w:val="0"/>
              <w:keepLines w:val="0"/>
              <w:pageBreakBefore w:val="0"/>
              <w:widowControl w:val="0"/>
              <w:kinsoku/>
              <w:wordWrap/>
              <w:overflowPunct/>
              <w:topLinePunct w:val="0"/>
              <w:autoSpaceDE/>
              <w:autoSpaceDN/>
              <w:bidi w:val="0"/>
              <w:adjustRightInd/>
              <w:snapToGrid/>
              <w:ind w:firstLine="482"/>
              <w:textAlignment w:val="auto"/>
              <w:rPr>
                <w:rFonts w:hint="eastAsia" w:cs="Times New Roman"/>
                <w:b/>
                <w:color w:val="auto"/>
                <w:szCs w:val="24"/>
                <w:highlight w:val="none"/>
                <w:u w:val="single" w:color="auto"/>
                <w:lang w:val="en-US" w:eastAsia="zh-CN"/>
              </w:rPr>
            </w:pPr>
            <w:r>
              <w:rPr>
                <w:rFonts w:hint="eastAsia" w:cs="Times New Roman"/>
                <w:b/>
                <w:color w:val="auto"/>
                <w:szCs w:val="24"/>
                <w:highlight w:val="none"/>
                <w:u w:val="single" w:color="auto"/>
                <w:lang w:val="en-US" w:eastAsia="zh-CN"/>
              </w:rPr>
              <w:t>2）烘干异味</w:t>
            </w:r>
          </w:p>
          <w:p w14:paraId="3A1DFE14">
            <w:pPr>
              <w:widowControl w:val="0"/>
              <w:spacing w:line="360" w:lineRule="auto"/>
              <w:ind w:firstLine="480" w:firstLineChars="200"/>
              <w:textAlignment w:val="baseline"/>
              <w:rPr>
                <w:b/>
                <w:color w:val="auto"/>
                <w:spacing w:val="-10"/>
                <w:sz w:val="24"/>
                <w:szCs w:val="21"/>
                <w:u w:val="single" w:color="auto"/>
              </w:rPr>
            </w:pPr>
            <w:r>
              <w:rPr>
                <w:rFonts w:hint="eastAsia" w:ascii="Times New Roman" w:hAnsi="Times New Roman" w:eastAsia="宋体" w:cs="Times New Roman"/>
                <w:color w:val="auto"/>
                <w:kern w:val="2"/>
                <w:sz w:val="24"/>
                <w:szCs w:val="24"/>
                <w:u w:val="single" w:color="auto"/>
                <w:lang w:val="en-US" w:eastAsia="zh-CN" w:bidi="ar-SA"/>
              </w:rPr>
              <w:t>项目中药材在杀青、烘干等工序产生的废气主要为水蒸气和少量</w:t>
            </w:r>
            <w:r>
              <w:rPr>
                <w:rFonts w:hint="eastAsia" w:cs="Times New Roman"/>
                <w:color w:val="auto"/>
                <w:kern w:val="2"/>
                <w:sz w:val="24"/>
                <w:szCs w:val="24"/>
                <w:u w:val="single" w:color="auto"/>
                <w:lang w:val="en-US" w:eastAsia="zh-CN" w:bidi="ar-SA"/>
              </w:rPr>
              <w:t>异味</w:t>
            </w:r>
            <w:r>
              <w:rPr>
                <w:rFonts w:hint="eastAsia"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本项目不涉及中药浸泡、煮制、锻制等工序，产生的恶臭气体较少。项目烘干工序在车间内进行，加强车间通风，恶臭气体</w:t>
            </w:r>
            <w:r>
              <w:rPr>
                <w:rFonts w:hint="eastAsia" w:ascii="Times New Roman" w:hAnsi="Times New Roman" w:eastAsia="宋体" w:cs="Times New Roman"/>
                <w:color w:val="auto"/>
                <w:kern w:val="2"/>
                <w:sz w:val="24"/>
                <w:szCs w:val="24"/>
                <w:u w:val="single" w:color="auto"/>
                <w:lang w:val="en-US" w:eastAsia="zh-CN" w:bidi="ar-SA"/>
              </w:rPr>
              <w:t>以无组织形式排放。</w:t>
            </w:r>
          </w:p>
          <w:p w14:paraId="3D4EB768">
            <w:pPr>
              <w:widowControl w:val="0"/>
              <w:spacing w:line="360" w:lineRule="auto"/>
              <w:ind w:firstLine="442" w:firstLineChars="200"/>
              <w:textAlignment w:val="baseline"/>
              <w:rPr>
                <w:rFonts w:hint="eastAsia" w:cs="Times New Roman"/>
                <w:color w:val="auto"/>
                <w:sz w:val="24"/>
                <w:szCs w:val="21"/>
                <w:u w:val="none" w:color="auto"/>
                <w:lang w:eastAsia="zh-CN"/>
              </w:rPr>
            </w:pPr>
            <w:r>
              <w:rPr>
                <w:b/>
                <w:color w:val="auto"/>
                <w:spacing w:val="-10"/>
                <w:sz w:val="24"/>
                <w:szCs w:val="21"/>
              </w:rPr>
              <w:t>（</w:t>
            </w:r>
            <w:r>
              <w:rPr>
                <w:rFonts w:hint="eastAsia"/>
                <w:b/>
                <w:color w:val="auto"/>
                <w:spacing w:val="-10"/>
                <w:sz w:val="24"/>
                <w:szCs w:val="21"/>
                <w:lang w:val="en-US" w:eastAsia="zh-CN"/>
              </w:rPr>
              <w:t>2</w:t>
            </w:r>
            <w:r>
              <w:rPr>
                <w:b/>
                <w:color w:val="auto"/>
                <w:spacing w:val="-10"/>
                <w:sz w:val="24"/>
                <w:szCs w:val="21"/>
              </w:rPr>
              <w:t>）污染源排放量核算</w:t>
            </w:r>
          </w:p>
          <w:p w14:paraId="5AD2ADD2">
            <w:pPr>
              <w:widowControl w:val="0"/>
              <w:spacing w:line="360" w:lineRule="auto"/>
              <w:ind w:firstLine="480" w:firstLineChars="200"/>
              <w:textAlignment w:val="baseline"/>
              <w:rPr>
                <w:rFonts w:hint="default" w:ascii="Times New Roman" w:hAnsi="Times New Roman" w:cs="Times New Roman"/>
                <w:b/>
                <w:color w:val="auto"/>
                <w:sz w:val="21"/>
                <w:szCs w:val="21"/>
                <w:u w:val="none" w:color="auto"/>
              </w:rPr>
            </w:pPr>
            <w:r>
              <w:rPr>
                <w:rFonts w:hint="eastAsia" w:cs="Times New Roman"/>
                <w:color w:val="auto"/>
                <w:sz w:val="24"/>
                <w:szCs w:val="21"/>
                <w:u w:val="none" w:color="auto"/>
                <w:lang w:val="en-US" w:eastAsia="zh-CN"/>
              </w:rPr>
              <w:t>根</w:t>
            </w:r>
            <w:r>
              <w:rPr>
                <w:rFonts w:hint="eastAsia" w:ascii="Times New Roman" w:hAnsi="Times New Roman" w:eastAsia="宋体" w:cs="Times New Roman"/>
                <w:color w:val="auto"/>
                <w:sz w:val="24"/>
                <w:szCs w:val="21"/>
                <w:u w:val="none" w:color="auto"/>
                <w:lang w:val="en-US" w:eastAsia="zh-CN"/>
              </w:rPr>
              <w:t>据</w:t>
            </w:r>
            <w:r>
              <w:rPr>
                <w:rFonts w:hint="eastAsia" w:cs="Times New Roman"/>
                <w:color w:val="auto"/>
                <w:sz w:val="24"/>
                <w:szCs w:val="21"/>
                <w:u w:val="none" w:color="auto"/>
                <w:lang w:val="en-US" w:eastAsia="zh-CN"/>
              </w:rPr>
              <w:t>工程分析，</w:t>
            </w:r>
            <w:r>
              <w:rPr>
                <w:rFonts w:hint="eastAsia" w:ascii="Times New Roman" w:hAnsi="Times New Roman" w:eastAsia="宋体" w:cs="Times New Roman"/>
                <w:color w:val="auto"/>
                <w:sz w:val="24"/>
                <w:szCs w:val="21"/>
                <w:u w:val="none" w:color="auto"/>
                <w:lang w:val="en-US" w:eastAsia="zh-CN"/>
              </w:rPr>
              <w:t>本项目杀青用蒸汽发生器燃烧生物质燃料量约为</w:t>
            </w:r>
            <w:r>
              <w:rPr>
                <w:rFonts w:hint="eastAsia" w:cs="Times New Roman"/>
                <w:color w:val="auto"/>
                <w:sz w:val="24"/>
                <w:szCs w:val="21"/>
                <w:u w:val="none" w:color="auto"/>
                <w:lang w:val="en-US" w:eastAsia="zh-CN"/>
              </w:rPr>
              <w:t>377.82</w:t>
            </w:r>
            <w:r>
              <w:rPr>
                <w:rFonts w:hint="eastAsia" w:ascii="Times New Roman" w:hAnsi="Times New Roman" w:eastAsia="宋体" w:cs="Times New Roman"/>
                <w:color w:val="auto"/>
                <w:sz w:val="24"/>
                <w:szCs w:val="21"/>
                <w:u w:val="none" w:color="auto"/>
                <w:lang w:val="en-US" w:eastAsia="zh-CN"/>
              </w:rPr>
              <w:t>t/a，热风炉燃烧生物质燃料量约为</w:t>
            </w:r>
            <w:r>
              <w:rPr>
                <w:rFonts w:hint="eastAsia" w:cs="Times New Roman"/>
                <w:color w:val="auto"/>
                <w:sz w:val="24"/>
                <w:szCs w:val="21"/>
                <w:u w:val="none" w:color="auto"/>
                <w:lang w:val="en-US" w:eastAsia="zh-CN"/>
              </w:rPr>
              <w:t>302.67</w:t>
            </w:r>
            <w:r>
              <w:rPr>
                <w:rFonts w:hint="eastAsia" w:ascii="Times New Roman" w:hAnsi="Times New Roman" w:eastAsia="宋体" w:cs="Times New Roman"/>
                <w:color w:val="auto"/>
                <w:sz w:val="24"/>
                <w:szCs w:val="21"/>
                <w:u w:val="none" w:color="auto"/>
                <w:lang w:val="en-US" w:eastAsia="zh-CN"/>
              </w:rPr>
              <w:t>t/a</w:t>
            </w:r>
            <w:r>
              <w:rPr>
                <w:rFonts w:hint="eastAsia" w:cs="Times New Roman"/>
                <w:color w:val="auto"/>
                <w:sz w:val="24"/>
                <w:szCs w:val="21"/>
                <w:u w:val="none" w:color="auto"/>
                <w:lang w:val="en-US" w:eastAsia="zh-CN"/>
              </w:rPr>
              <w:t>。</w:t>
            </w:r>
            <w:r>
              <w:rPr>
                <w:rFonts w:hint="default" w:ascii="Times New Roman" w:hAnsi="Times New Roman" w:cs="Times New Roman"/>
                <w:color w:val="auto"/>
                <w:sz w:val="24"/>
                <w:szCs w:val="21"/>
                <w:u w:val="none" w:color="auto"/>
              </w:rPr>
              <w:t>各污染物排放量如</w:t>
            </w:r>
            <w:r>
              <w:rPr>
                <w:rFonts w:hint="eastAsia" w:cs="Times New Roman"/>
                <w:color w:val="auto"/>
                <w:sz w:val="24"/>
                <w:szCs w:val="21"/>
                <w:u w:val="none" w:color="auto"/>
                <w:lang w:val="en-US" w:eastAsia="zh-CN"/>
              </w:rPr>
              <w:t>下</w:t>
            </w:r>
            <w:r>
              <w:rPr>
                <w:rFonts w:hint="default" w:ascii="Times New Roman" w:hAnsi="Times New Roman" w:cs="Times New Roman"/>
                <w:color w:val="auto"/>
                <w:sz w:val="24"/>
                <w:szCs w:val="21"/>
                <w:u w:val="none" w:color="auto"/>
              </w:rPr>
              <w:t>表所示。</w:t>
            </w:r>
          </w:p>
          <w:p w14:paraId="2B3A01C6">
            <w:pPr>
              <w:spacing w:line="240" w:lineRule="auto"/>
              <w:jc w:val="center"/>
              <w:rPr>
                <w:rFonts w:hint="default" w:ascii="Times New Roman" w:hAnsi="Times New Roman" w:eastAsia="宋体" w:cs="Times New Roman"/>
                <w:b/>
                <w:color w:val="auto"/>
                <w:sz w:val="24"/>
                <w:szCs w:val="24"/>
                <w:u w:val="none" w:color="auto"/>
              </w:rPr>
            </w:pPr>
            <w:r>
              <w:rPr>
                <w:rFonts w:hint="default" w:ascii="Times New Roman" w:hAnsi="Times New Roman" w:eastAsia="宋体" w:cs="Times New Roman"/>
                <w:b/>
                <w:color w:val="auto"/>
                <w:sz w:val="24"/>
                <w:szCs w:val="24"/>
                <w:u w:val="none" w:color="auto"/>
              </w:rPr>
              <w:t>表4-</w:t>
            </w:r>
            <w:r>
              <w:rPr>
                <w:rFonts w:hint="eastAsia" w:cs="Times New Roman"/>
                <w:b/>
                <w:color w:val="auto"/>
                <w:sz w:val="24"/>
                <w:szCs w:val="24"/>
                <w:u w:val="none" w:color="auto"/>
                <w:lang w:val="en-US" w:eastAsia="zh-CN"/>
              </w:rPr>
              <w:t>6</w:t>
            </w:r>
            <w:r>
              <w:rPr>
                <w:rFonts w:hint="eastAsia" w:ascii="Times New Roman" w:hAnsi="Times New Roman" w:eastAsia="宋体" w:cs="Times New Roman"/>
                <w:b/>
                <w:color w:val="auto"/>
                <w:sz w:val="24"/>
                <w:szCs w:val="24"/>
                <w:u w:val="none" w:color="auto"/>
                <w:lang w:val="en-US" w:eastAsia="zh-CN"/>
              </w:rPr>
              <w:t xml:space="preserve">   </w:t>
            </w:r>
            <w:r>
              <w:rPr>
                <w:rFonts w:hint="default" w:ascii="Times New Roman" w:hAnsi="Times New Roman" w:eastAsia="宋体" w:cs="Times New Roman"/>
                <w:b/>
                <w:color w:val="auto"/>
                <w:sz w:val="24"/>
                <w:szCs w:val="24"/>
                <w:u w:val="none" w:color="auto"/>
              </w:rPr>
              <w:t>废气</w:t>
            </w:r>
            <w:r>
              <w:rPr>
                <w:rFonts w:hint="default" w:ascii="Times New Roman" w:hAnsi="Times New Roman" w:eastAsia="宋体" w:cs="Times New Roman"/>
                <w:b/>
                <w:color w:val="auto"/>
                <w:sz w:val="24"/>
                <w:szCs w:val="24"/>
                <w:u w:val="none" w:color="auto"/>
                <w:lang w:eastAsia="zh-CN"/>
              </w:rPr>
              <w:t>污染源产排污情况一览表</w:t>
            </w:r>
          </w:p>
          <w:tbl>
            <w:tblPr>
              <w:tblStyle w:val="32"/>
              <w:tblW w:w="78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99"/>
              <w:gridCol w:w="697"/>
              <w:gridCol w:w="680"/>
              <w:gridCol w:w="670"/>
              <w:gridCol w:w="710"/>
              <w:gridCol w:w="710"/>
              <w:gridCol w:w="490"/>
              <w:gridCol w:w="750"/>
              <w:gridCol w:w="750"/>
              <w:gridCol w:w="710"/>
              <w:gridCol w:w="664"/>
            </w:tblGrid>
            <w:tr w14:paraId="3FE91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tcBorders>
                    <w:tl2br w:val="nil"/>
                    <w:tr2bl w:val="nil"/>
                  </w:tcBorders>
                  <w:vAlign w:val="center"/>
                </w:tcPr>
                <w:p w14:paraId="74C1CD72">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eastAsia="宋体" w:cs="Times New Roman"/>
                      <w:b/>
                      <w:color w:val="auto"/>
                      <w:sz w:val="21"/>
                      <w:szCs w:val="21"/>
                      <w:u w:val="none" w:color="auto"/>
                      <w:lang w:val="en-US" w:eastAsia="zh-CN"/>
                    </w:rPr>
                  </w:pPr>
                  <w:r>
                    <w:rPr>
                      <w:rFonts w:hint="eastAsia" w:ascii="Times New Roman" w:hAnsi="Times New Roman" w:cs="Times New Roman"/>
                      <w:b/>
                      <w:color w:val="auto"/>
                      <w:sz w:val="21"/>
                      <w:szCs w:val="21"/>
                      <w:u w:val="none" w:color="auto"/>
                      <w:lang w:val="en-US" w:eastAsia="zh-CN"/>
                    </w:rPr>
                    <w:t>产物环节</w:t>
                  </w:r>
                </w:p>
              </w:tc>
              <w:tc>
                <w:tcPr>
                  <w:tcW w:w="445" w:type="pct"/>
                  <w:tcBorders>
                    <w:tl2br w:val="nil"/>
                    <w:tr2bl w:val="nil"/>
                  </w:tcBorders>
                  <w:vAlign w:val="center"/>
                </w:tcPr>
                <w:p w14:paraId="7A619FCE">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污染物</w:t>
                  </w:r>
                </w:p>
              </w:tc>
              <w:tc>
                <w:tcPr>
                  <w:tcW w:w="434" w:type="pct"/>
                  <w:tcBorders>
                    <w:tl2br w:val="nil"/>
                    <w:tr2bl w:val="nil"/>
                  </w:tcBorders>
                  <w:vAlign w:val="center"/>
                </w:tcPr>
                <w:p w14:paraId="05F3CFF0">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工业废气量</w:t>
                  </w:r>
                </w:p>
                <w:p w14:paraId="23712477">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万</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r>
                    <w:rPr>
                      <w:rFonts w:hint="default" w:ascii="Times New Roman" w:hAnsi="Times New Roman" w:cs="Times New Roman"/>
                      <w:color w:val="auto"/>
                      <w:sz w:val="21"/>
                      <w:szCs w:val="21"/>
                      <w:u w:val="none" w:color="auto"/>
                    </w:rPr>
                    <w:t>/a</w:t>
                  </w:r>
                </w:p>
              </w:tc>
              <w:tc>
                <w:tcPr>
                  <w:tcW w:w="427" w:type="pct"/>
                  <w:tcBorders>
                    <w:tl2br w:val="nil"/>
                    <w:tr2bl w:val="nil"/>
                  </w:tcBorders>
                  <w:vAlign w:val="center"/>
                </w:tcPr>
                <w:p w14:paraId="720E4CA6">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eastAsia" w:ascii="Times New Roman" w:hAnsi="Times New Roman" w:eastAsia="宋体" w:cs="Times New Roman"/>
                      <w:b/>
                      <w:color w:val="auto"/>
                      <w:sz w:val="21"/>
                      <w:szCs w:val="21"/>
                      <w:u w:val="none" w:color="auto"/>
                      <w:lang w:eastAsia="zh-CN"/>
                    </w:rPr>
                  </w:pPr>
                  <w:r>
                    <w:rPr>
                      <w:rFonts w:hint="default" w:ascii="Times New Roman" w:hAnsi="Times New Roman" w:cs="Times New Roman"/>
                      <w:b/>
                      <w:color w:val="auto"/>
                      <w:sz w:val="21"/>
                      <w:szCs w:val="21"/>
                      <w:u w:val="none" w:color="auto"/>
                    </w:rPr>
                    <w:t>产生量t/a</w:t>
                  </w:r>
                </w:p>
              </w:tc>
              <w:tc>
                <w:tcPr>
                  <w:tcW w:w="453" w:type="pct"/>
                  <w:tcBorders>
                    <w:tl2br w:val="nil"/>
                    <w:tr2bl w:val="nil"/>
                  </w:tcBorders>
                  <w:vAlign w:val="center"/>
                </w:tcPr>
                <w:p w14:paraId="00C2ABEB">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产生速率</w:t>
                  </w:r>
                </w:p>
                <w:p w14:paraId="43628FD0">
                  <w:pPr>
                    <w:keepNext w:val="0"/>
                    <w:keepLines w:val="0"/>
                    <w:pageBreakBefore w:val="0"/>
                    <w:widowControl w:val="0"/>
                    <w:kinsoku/>
                    <w:wordWrap/>
                    <w:overflowPunct/>
                    <w:topLinePunct w:val="0"/>
                    <w:autoSpaceDE w:val="0"/>
                    <w:autoSpaceDN w:val="0"/>
                    <w:bidi w:val="0"/>
                    <w:adjustRightInd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kg/h</w:t>
                  </w:r>
                </w:p>
              </w:tc>
              <w:tc>
                <w:tcPr>
                  <w:tcW w:w="453" w:type="pct"/>
                  <w:tcBorders>
                    <w:tl2br w:val="nil"/>
                    <w:tr2bl w:val="nil"/>
                  </w:tcBorders>
                  <w:vAlign w:val="center"/>
                </w:tcPr>
                <w:p w14:paraId="29F89BAE">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产生浓度mg/m</w:t>
                  </w:r>
                  <w:r>
                    <w:rPr>
                      <w:rFonts w:hint="default" w:ascii="Times New Roman" w:hAnsi="Times New Roman" w:cs="Times New Roman"/>
                      <w:b/>
                      <w:color w:val="auto"/>
                      <w:sz w:val="21"/>
                      <w:szCs w:val="21"/>
                      <w:u w:val="none" w:color="auto"/>
                      <w:vertAlign w:val="superscript"/>
                    </w:rPr>
                    <w:t>3</w:t>
                  </w:r>
                </w:p>
              </w:tc>
              <w:tc>
                <w:tcPr>
                  <w:tcW w:w="312" w:type="pct"/>
                  <w:tcBorders>
                    <w:tl2br w:val="nil"/>
                    <w:tr2bl w:val="nil"/>
                  </w:tcBorders>
                  <w:vAlign w:val="center"/>
                </w:tcPr>
                <w:p w14:paraId="77842A5F">
                  <w:pPr>
                    <w:keepNext w:val="0"/>
                    <w:keepLines w:val="0"/>
                    <w:pageBreakBefore w:val="0"/>
                    <w:widowControl w:val="0"/>
                    <w:tabs>
                      <w:tab w:val="left" w:pos="5560"/>
                    </w:tabs>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处理</w:t>
                  </w:r>
                </w:p>
                <w:p w14:paraId="38507982">
                  <w:pPr>
                    <w:keepNext w:val="0"/>
                    <w:keepLines w:val="0"/>
                    <w:pageBreakBefore w:val="0"/>
                    <w:widowControl w:val="0"/>
                    <w:tabs>
                      <w:tab w:val="left" w:pos="5560"/>
                    </w:tabs>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效率</w:t>
                  </w:r>
                </w:p>
              </w:tc>
              <w:tc>
                <w:tcPr>
                  <w:tcW w:w="478" w:type="pct"/>
                  <w:tcBorders>
                    <w:tl2br w:val="nil"/>
                    <w:tr2bl w:val="nil"/>
                  </w:tcBorders>
                  <w:vAlign w:val="center"/>
                </w:tcPr>
                <w:p w14:paraId="2855A41A">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排放量</w:t>
                  </w:r>
                </w:p>
                <w:p w14:paraId="52F0EF90">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eastAsia" w:ascii="Times New Roman" w:hAnsi="Times New Roman" w:eastAsia="宋体" w:cs="Times New Roman"/>
                      <w:b/>
                      <w:color w:val="auto"/>
                      <w:sz w:val="21"/>
                      <w:szCs w:val="21"/>
                      <w:u w:val="none" w:color="auto"/>
                      <w:lang w:eastAsia="zh-CN"/>
                    </w:rPr>
                  </w:pPr>
                  <w:r>
                    <w:rPr>
                      <w:rFonts w:hint="default" w:ascii="Times New Roman" w:hAnsi="Times New Roman" w:cs="Times New Roman"/>
                      <w:b/>
                      <w:color w:val="auto"/>
                      <w:sz w:val="21"/>
                      <w:szCs w:val="21"/>
                      <w:u w:val="none" w:color="auto"/>
                    </w:rPr>
                    <w:t>t/a</w:t>
                  </w:r>
                </w:p>
              </w:tc>
              <w:tc>
                <w:tcPr>
                  <w:tcW w:w="478" w:type="pct"/>
                  <w:tcBorders>
                    <w:tl2br w:val="nil"/>
                    <w:tr2bl w:val="nil"/>
                  </w:tcBorders>
                  <w:vAlign w:val="center"/>
                </w:tcPr>
                <w:p w14:paraId="5E54E6F8">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排放速率</w:t>
                  </w:r>
                </w:p>
                <w:p w14:paraId="72FBCB5C">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kg/h</w:t>
                  </w:r>
                </w:p>
              </w:tc>
              <w:tc>
                <w:tcPr>
                  <w:tcW w:w="453" w:type="pct"/>
                  <w:tcBorders>
                    <w:tl2br w:val="nil"/>
                    <w:tr2bl w:val="nil"/>
                  </w:tcBorders>
                  <w:vAlign w:val="center"/>
                </w:tcPr>
                <w:p w14:paraId="69DAD195">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排放浓度mg/m</w:t>
                  </w:r>
                  <w:r>
                    <w:rPr>
                      <w:rFonts w:hint="default" w:ascii="Times New Roman" w:hAnsi="Times New Roman" w:cs="Times New Roman"/>
                      <w:b/>
                      <w:color w:val="auto"/>
                      <w:sz w:val="21"/>
                      <w:szCs w:val="21"/>
                      <w:u w:val="none" w:color="auto"/>
                      <w:vertAlign w:val="superscript"/>
                    </w:rPr>
                    <w:t>3</w:t>
                  </w:r>
                </w:p>
              </w:tc>
              <w:tc>
                <w:tcPr>
                  <w:tcW w:w="424" w:type="pct"/>
                  <w:tcBorders>
                    <w:tl2br w:val="nil"/>
                    <w:tr2bl w:val="nil"/>
                  </w:tcBorders>
                  <w:vAlign w:val="center"/>
                </w:tcPr>
                <w:p w14:paraId="47E1D096">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标准值mg/m</w:t>
                  </w:r>
                  <w:r>
                    <w:rPr>
                      <w:rFonts w:hint="default" w:ascii="Times New Roman" w:hAnsi="Times New Roman" w:cs="Times New Roman"/>
                      <w:b/>
                      <w:color w:val="auto"/>
                      <w:sz w:val="21"/>
                      <w:szCs w:val="21"/>
                      <w:u w:val="none" w:color="auto"/>
                      <w:vertAlign w:val="superscript"/>
                    </w:rPr>
                    <w:t>3</w:t>
                  </w:r>
                </w:p>
              </w:tc>
            </w:tr>
            <w:tr w14:paraId="2B57E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vMerge w:val="restart"/>
                  <w:tcBorders>
                    <w:tl2br w:val="nil"/>
                    <w:tr2bl w:val="nil"/>
                  </w:tcBorders>
                  <w:vAlign w:val="center"/>
                </w:tcPr>
                <w:p w14:paraId="6D9DE420">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蒸汽发生器废气（DA0</w:t>
                  </w:r>
                  <w:r>
                    <w:rPr>
                      <w:rFonts w:hint="eastAsia" w:ascii="Times New Roman" w:hAnsi="Times New Roman" w:cs="Times New Roman"/>
                      <w:color w:val="auto"/>
                      <w:sz w:val="21"/>
                      <w:szCs w:val="21"/>
                      <w:u w:val="none" w:color="auto"/>
                      <w:lang w:val="en-US" w:eastAsia="zh-CN"/>
                    </w:rPr>
                    <w:t>01）</w:t>
                  </w:r>
                </w:p>
              </w:tc>
              <w:tc>
                <w:tcPr>
                  <w:tcW w:w="445" w:type="pct"/>
                  <w:tcBorders>
                    <w:tl2br w:val="nil"/>
                    <w:tr2bl w:val="nil"/>
                  </w:tcBorders>
                  <w:vAlign w:val="center"/>
                </w:tcPr>
                <w:p w14:paraId="0BFF0638">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SO</w:t>
                  </w:r>
                  <w:r>
                    <w:rPr>
                      <w:rFonts w:hint="default" w:ascii="Times New Roman" w:hAnsi="Times New Roman" w:cs="Times New Roman"/>
                      <w:color w:val="auto"/>
                      <w:sz w:val="21"/>
                      <w:szCs w:val="21"/>
                      <w:u w:val="none" w:color="auto"/>
                      <w:vertAlign w:val="subscript"/>
                    </w:rPr>
                    <w:t>2</w:t>
                  </w:r>
                </w:p>
              </w:tc>
              <w:tc>
                <w:tcPr>
                  <w:tcW w:w="434" w:type="pct"/>
                  <w:vMerge w:val="restart"/>
                  <w:tcBorders>
                    <w:tl2br w:val="nil"/>
                    <w:tr2bl w:val="nil"/>
                  </w:tcBorders>
                  <w:vAlign w:val="center"/>
                </w:tcPr>
                <w:p w14:paraId="1F9FB286">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235.76</w:t>
                  </w:r>
                </w:p>
              </w:tc>
              <w:tc>
                <w:tcPr>
                  <w:tcW w:w="427" w:type="pct"/>
                  <w:tcBorders>
                    <w:tl2br w:val="nil"/>
                    <w:tr2bl w:val="nil"/>
                  </w:tcBorders>
                  <w:vAlign w:val="center"/>
                </w:tcPr>
                <w:p w14:paraId="394E58F5">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0.642</w:t>
                  </w:r>
                </w:p>
              </w:tc>
              <w:tc>
                <w:tcPr>
                  <w:tcW w:w="453" w:type="pct"/>
                  <w:tcBorders>
                    <w:tl2br w:val="nil"/>
                    <w:tr2bl w:val="nil"/>
                  </w:tcBorders>
                  <w:vAlign w:val="center"/>
                </w:tcPr>
                <w:p w14:paraId="064ABF12">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0.535</w:t>
                  </w:r>
                </w:p>
              </w:tc>
              <w:tc>
                <w:tcPr>
                  <w:tcW w:w="453" w:type="pct"/>
                  <w:tcBorders>
                    <w:tl2br w:val="nil"/>
                    <w:tr2bl w:val="nil"/>
                  </w:tcBorders>
                  <w:vAlign w:val="center"/>
                </w:tcPr>
                <w:p w14:paraId="65167971">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272.43</w:t>
                  </w:r>
                  <w:r>
                    <w:rPr>
                      <w:rFonts w:hint="eastAsia" w:ascii="Times New Roman" w:hAnsi="Times New Roman" w:eastAsia="宋体" w:cs="Times New Roman"/>
                      <w:i w:val="0"/>
                      <w:iCs w:val="0"/>
                      <w:color w:val="auto"/>
                      <w:kern w:val="0"/>
                      <w:sz w:val="21"/>
                      <w:szCs w:val="21"/>
                      <w:u w:val="none"/>
                      <w:lang w:val="en-US" w:eastAsia="zh-CN" w:bidi="ar"/>
                    </w:rPr>
                    <w:t>6</w:t>
                  </w:r>
                </w:p>
              </w:tc>
              <w:tc>
                <w:tcPr>
                  <w:tcW w:w="312" w:type="pct"/>
                  <w:tcBorders>
                    <w:tl2br w:val="nil"/>
                    <w:tr2bl w:val="nil"/>
                  </w:tcBorders>
                  <w:vAlign w:val="center"/>
                </w:tcPr>
                <w:p w14:paraId="24FD4B99">
                  <w:pPr>
                    <w:keepNext w:val="0"/>
                    <w:keepLines w:val="0"/>
                    <w:widowControl/>
                    <w:suppressLineNumbers w:val="0"/>
                    <w:jc w:val="center"/>
                    <w:textAlignment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i w:val="0"/>
                      <w:iCs w:val="0"/>
                      <w:color w:val="auto"/>
                      <w:kern w:val="0"/>
                      <w:sz w:val="21"/>
                      <w:szCs w:val="21"/>
                      <w:u w:val="none"/>
                      <w:lang w:val="en-US" w:eastAsia="zh-CN" w:bidi="ar"/>
                    </w:rPr>
                    <w:t>/</w:t>
                  </w:r>
                </w:p>
              </w:tc>
              <w:tc>
                <w:tcPr>
                  <w:tcW w:w="478" w:type="pct"/>
                  <w:tcBorders>
                    <w:tl2br w:val="nil"/>
                    <w:tr2bl w:val="nil"/>
                  </w:tcBorders>
                  <w:vAlign w:val="center"/>
                </w:tcPr>
                <w:p w14:paraId="6A6429C1">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0.642</w:t>
                  </w:r>
                </w:p>
              </w:tc>
              <w:tc>
                <w:tcPr>
                  <w:tcW w:w="478" w:type="pct"/>
                  <w:tcBorders>
                    <w:tl2br w:val="nil"/>
                    <w:tr2bl w:val="nil"/>
                  </w:tcBorders>
                  <w:vAlign w:val="center"/>
                </w:tcPr>
                <w:p w14:paraId="6E6BB07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0.535</w:t>
                  </w:r>
                </w:p>
              </w:tc>
              <w:tc>
                <w:tcPr>
                  <w:tcW w:w="453" w:type="pct"/>
                  <w:tcBorders>
                    <w:tl2br w:val="nil"/>
                    <w:tr2bl w:val="nil"/>
                  </w:tcBorders>
                  <w:vAlign w:val="center"/>
                </w:tcPr>
                <w:p w14:paraId="0621A7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272.43</w:t>
                  </w:r>
                  <w:r>
                    <w:rPr>
                      <w:rFonts w:hint="eastAsia" w:ascii="Times New Roman" w:hAnsi="Times New Roman" w:eastAsia="宋体" w:cs="Times New Roman"/>
                      <w:i w:val="0"/>
                      <w:iCs w:val="0"/>
                      <w:color w:val="auto"/>
                      <w:kern w:val="0"/>
                      <w:sz w:val="21"/>
                      <w:szCs w:val="21"/>
                      <w:u w:val="none"/>
                      <w:lang w:val="en-US" w:eastAsia="zh-CN" w:bidi="ar"/>
                    </w:rPr>
                    <w:t>6</w:t>
                  </w:r>
                </w:p>
              </w:tc>
              <w:tc>
                <w:tcPr>
                  <w:tcW w:w="424" w:type="pct"/>
                  <w:tcBorders>
                    <w:tl2br w:val="nil"/>
                    <w:tr2bl w:val="nil"/>
                  </w:tcBorders>
                  <w:vAlign w:val="center"/>
                </w:tcPr>
                <w:p w14:paraId="4F4C9974">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00</w:t>
                  </w:r>
                </w:p>
              </w:tc>
            </w:tr>
            <w:tr w14:paraId="2ADA1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vMerge w:val="continue"/>
                  <w:tcBorders>
                    <w:tl2br w:val="nil"/>
                    <w:tr2bl w:val="nil"/>
                  </w:tcBorders>
                  <w:vAlign w:val="center"/>
                </w:tcPr>
                <w:p w14:paraId="165AC87F">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45" w:type="pct"/>
                  <w:tcBorders>
                    <w:tl2br w:val="nil"/>
                    <w:tr2bl w:val="nil"/>
                  </w:tcBorders>
                  <w:vAlign w:val="center"/>
                </w:tcPr>
                <w:p w14:paraId="423CB4A0">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NO</w:t>
                  </w:r>
                  <w:r>
                    <w:rPr>
                      <w:rFonts w:hint="default" w:ascii="Times New Roman" w:hAnsi="Times New Roman" w:cs="Times New Roman"/>
                      <w:color w:val="auto"/>
                      <w:sz w:val="21"/>
                      <w:szCs w:val="21"/>
                      <w:u w:val="none" w:color="auto"/>
                      <w:vertAlign w:val="subscript"/>
                    </w:rPr>
                    <w:t>X</w:t>
                  </w:r>
                </w:p>
              </w:tc>
              <w:tc>
                <w:tcPr>
                  <w:tcW w:w="434" w:type="pct"/>
                  <w:vMerge w:val="continue"/>
                  <w:tcBorders>
                    <w:tl2br w:val="nil"/>
                    <w:tr2bl w:val="nil"/>
                  </w:tcBorders>
                  <w:vAlign w:val="center"/>
                </w:tcPr>
                <w:p w14:paraId="4BD85495">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27" w:type="pct"/>
                  <w:tcBorders>
                    <w:tl2br w:val="nil"/>
                    <w:tr2bl w:val="nil"/>
                  </w:tcBorders>
                  <w:vAlign w:val="center"/>
                </w:tcPr>
                <w:p w14:paraId="183298D1">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0.385</w:t>
                  </w:r>
                </w:p>
              </w:tc>
              <w:tc>
                <w:tcPr>
                  <w:tcW w:w="453" w:type="pct"/>
                  <w:tcBorders>
                    <w:tl2br w:val="nil"/>
                    <w:tr2bl w:val="nil"/>
                  </w:tcBorders>
                  <w:vAlign w:val="center"/>
                </w:tcPr>
                <w:p w14:paraId="010D6D2F">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0.321</w:t>
                  </w:r>
                </w:p>
              </w:tc>
              <w:tc>
                <w:tcPr>
                  <w:tcW w:w="453" w:type="pct"/>
                  <w:tcBorders>
                    <w:tl2br w:val="nil"/>
                    <w:tr2bl w:val="nil"/>
                  </w:tcBorders>
                  <w:vAlign w:val="center"/>
                </w:tcPr>
                <w:p w14:paraId="67C64CA1">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163.46</w:t>
                  </w:r>
                  <w:r>
                    <w:rPr>
                      <w:rFonts w:hint="eastAsia" w:ascii="Times New Roman" w:hAnsi="Times New Roman" w:eastAsia="宋体" w:cs="Times New Roman"/>
                      <w:i w:val="0"/>
                      <w:iCs w:val="0"/>
                      <w:color w:val="auto"/>
                      <w:kern w:val="0"/>
                      <w:sz w:val="21"/>
                      <w:szCs w:val="21"/>
                      <w:u w:val="none"/>
                      <w:lang w:val="en-US" w:eastAsia="zh-CN" w:bidi="ar"/>
                    </w:rPr>
                    <w:t>2</w:t>
                  </w:r>
                </w:p>
              </w:tc>
              <w:tc>
                <w:tcPr>
                  <w:tcW w:w="312" w:type="pct"/>
                  <w:tcBorders>
                    <w:tl2br w:val="nil"/>
                    <w:tr2bl w:val="nil"/>
                  </w:tcBorders>
                  <w:vAlign w:val="center"/>
                </w:tcPr>
                <w:p w14:paraId="52B85875">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30%</w:t>
                  </w:r>
                </w:p>
              </w:tc>
              <w:tc>
                <w:tcPr>
                  <w:tcW w:w="478" w:type="pct"/>
                  <w:tcBorders>
                    <w:tl2br w:val="nil"/>
                    <w:tr2bl w:val="nil"/>
                  </w:tcBorders>
                  <w:vAlign w:val="center"/>
                </w:tcPr>
                <w:p w14:paraId="66B87048">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r>
                    <w:rPr>
                      <w:rFonts w:hint="eastAsia" w:ascii="Times New Roman" w:hAnsi="Times New Roman" w:eastAsia="宋体" w:cs="Times New Roman"/>
                      <w:i w:val="0"/>
                      <w:iCs w:val="0"/>
                      <w:color w:val="auto"/>
                      <w:kern w:val="0"/>
                      <w:sz w:val="21"/>
                      <w:szCs w:val="21"/>
                      <w:u w:val="none"/>
                      <w:lang w:val="en-US" w:eastAsia="zh-CN" w:bidi="ar"/>
                    </w:rPr>
                    <w:t>70</w:t>
                  </w:r>
                </w:p>
              </w:tc>
              <w:tc>
                <w:tcPr>
                  <w:tcW w:w="478" w:type="pct"/>
                  <w:tcBorders>
                    <w:tl2br w:val="nil"/>
                    <w:tr2bl w:val="nil"/>
                  </w:tcBorders>
                  <w:vAlign w:val="center"/>
                </w:tcPr>
                <w:p w14:paraId="2375E8A2">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0.22</w:t>
                  </w:r>
                  <w:r>
                    <w:rPr>
                      <w:rFonts w:hint="eastAsia" w:ascii="Times New Roman" w:hAnsi="Times New Roman" w:eastAsia="宋体" w:cs="Times New Roman"/>
                      <w:i w:val="0"/>
                      <w:iCs w:val="0"/>
                      <w:color w:val="auto"/>
                      <w:kern w:val="0"/>
                      <w:sz w:val="21"/>
                      <w:szCs w:val="21"/>
                      <w:u w:val="none"/>
                      <w:lang w:val="en-US" w:eastAsia="zh-CN" w:bidi="ar"/>
                    </w:rPr>
                    <w:t>5</w:t>
                  </w:r>
                </w:p>
              </w:tc>
              <w:tc>
                <w:tcPr>
                  <w:tcW w:w="453" w:type="pct"/>
                  <w:tcBorders>
                    <w:tl2br w:val="nil"/>
                    <w:tr2bl w:val="nil"/>
                  </w:tcBorders>
                  <w:vAlign w:val="center"/>
                </w:tcPr>
                <w:p w14:paraId="10B4D5C8">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114.423</w:t>
                  </w:r>
                </w:p>
              </w:tc>
              <w:tc>
                <w:tcPr>
                  <w:tcW w:w="424" w:type="pct"/>
                  <w:tcBorders>
                    <w:tl2br w:val="nil"/>
                    <w:tr2bl w:val="nil"/>
                  </w:tcBorders>
                  <w:vAlign w:val="center"/>
                </w:tcPr>
                <w:p w14:paraId="490BBAD7">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00</w:t>
                  </w:r>
                </w:p>
              </w:tc>
            </w:tr>
            <w:tr w14:paraId="6C369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vMerge w:val="continue"/>
                  <w:tcBorders>
                    <w:tl2br w:val="nil"/>
                    <w:tr2bl w:val="nil"/>
                  </w:tcBorders>
                  <w:vAlign w:val="center"/>
                </w:tcPr>
                <w:p w14:paraId="436A708A">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both"/>
                    <w:textAlignment w:val="auto"/>
                    <w:rPr>
                      <w:rFonts w:hint="default" w:ascii="Times New Roman" w:hAnsi="Times New Roman" w:cs="Times New Roman"/>
                      <w:color w:val="auto"/>
                      <w:sz w:val="21"/>
                      <w:szCs w:val="21"/>
                      <w:u w:val="none" w:color="auto"/>
                    </w:rPr>
                  </w:pPr>
                </w:p>
              </w:tc>
              <w:tc>
                <w:tcPr>
                  <w:tcW w:w="445" w:type="pct"/>
                  <w:tcBorders>
                    <w:tl2br w:val="nil"/>
                    <w:tr2bl w:val="nil"/>
                  </w:tcBorders>
                  <w:vAlign w:val="center"/>
                </w:tcPr>
                <w:p w14:paraId="33FA0534">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颗粒物</w:t>
                  </w:r>
                </w:p>
              </w:tc>
              <w:tc>
                <w:tcPr>
                  <w:tcW w:w="434" w:type="pct"/>
                  <w:vMerge w:val="continue"/>
                  <w:tcBorders>
                    <w:tl2br w:val="nil"/>
                    <w:tr2bl w:val="nil"/>
                  </w:tcBorders>
                  <w:vAlign w:val="center"/>
                </w:tcPr>
                <w:p w14:paraId="59707773">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27" w:type="pct"/>
                  <w:tcBorders>
                    <w:tl2br w:val="nil"/>
                    <w:tr2bl w:val="nil"/>
                  </w:tcBorders>
                  <w:vAlign w:val="center"/>
                </w:tcPr>
                <w:p w14:paraId="322660E4">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0.18</w:t>
                  </w:r>
                  <w:r>
                    <w:rPr>
                      <w:rFonts w:hint="eastAsia" w:ascii="Times New Roman" w:hAnsi="Times New Roman" w:eastAsia="宋体" w:cs="Times New Roman"/>
                      <w:i w:val="0"/>
                      <w:iCs w:val="0"/>
                      <w:color w:val="auto"/>
                      <w:kern w:val="0"/>
                      <w:sz w:val="21"/>
                      <w:szCs w:val="21"/>
                      <w:u w:val="none"/>
                      <w:lang w:val="en-US" w:eastAsia="zh-CN" w:bidi="ar"/>
                    </w:rPr>
                    <w:t>9</w:t>
                  </w:r>
                </w:p>
              </w:tc>
              <w:tc>
                <w:tcPr>
                  <w:tcW w:w="453" w:type="pct"/>
                  <w:tcBorders>
                    <w:tl2br w:val="nil"/>
                    <w:tr2bl w:val="nil"/>
                  </w:tcBorders>
                  <w:vAlign w:val="center"/>
                </w:tcPr>
                <w:p w14:paraId="407BF9A7">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0.157</w:t>
                  </w:r>
                </w:p>
              </w:tc>
              <w:tc>
                <w:tcPr>
                  <w:tcW w:w="453" w:type="pct"/>
                  <w:tcBorders>
                    <w:tl2br w:val="nil"/>
                    <w:tr2bl w:val="nil"/>
                  </w:tcBorders>
                  <w:vAlign w:val="center"/>
                </w:tcPr>
                <w:p w14:paraId="098EB2EA">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80.128</w:t>
                  </w:r>
                </w:p>
              </w:tc>
              <w:tc>
                <w:tcPr>
                  <w:tcW w:w="312" w:type="pct"/>
                  <w:tcBorders>
                    <w:tl2br w:val="nil"/>
                    <w:tr2bl w:val="nil"/>
                  </w:tcBorders>
                  <w:vAlign w:val="center"/>
                </w:tcPr>
                <w:p w14:paraId="286EB00D">
                  <w:pPr>
                    <w:keepNext w:val="0"/>
                    <w:keepLines w:val="0"/>
                    <w:widowControl/>
                    <w:suppressLineNumbers w:val="0"/>
                    <w:jc w:val="center"/>
                    <w:textAlignment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i w:val="0"/>
                      <w:iCs w:val="0"/>
                      <w:color w:val="auto"/>
                      <w:kern w:val="0"/>
                      <w:sz w:val="21"/>
                      <w:szCs w:val="21"/>
                      <w:u w:val="none"/>
                      <w:lang w:val="en-US" w:eastAsia="zh-CN" w:bidi="ar"/>
                    </w:rPr>
                    <w:t>99%</w:t>
                  </w:r>
                </w:p>
              </w:tc>
              <w:tc>
                <w:tcPr>
                  <w:tcW w:w="478" w:type="pct"/>
                  <w:tcBorders>
                    <w:tl2br w:val="nil"/>
                    <w:tr2bl w:val="nil"/>
                  </w:tcBorders>
                  <w:vAlign w:val="center"/>
                </w:tcPr>
                <w:p w14:paraId="4BF90504">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0.0018</w:t>
                  </w:r>
                  <w:r>
                    <w:rPr>
                      <w:rFonts w:hint="eastAsia" w:ascii="Times New Roman" w:hAnsi="Times New Roman" w:eastAsia="宋体" w:cs="Times New Roman"/>
                      <w:i w:val="0"/>
                      <w:iCs w:val="0"/>
                      <w:color w:val="auto"/>
                      <w:kern w:val="0"/>
                      <w:sz w:val="21"/>
                      <w:szCs w:val="21"/>
                      <w:u w:val="none"/>
                      <w:lang w:val="en-US" w:eastAsia="zh-CN" w:bidi="ar"/>
                    </w:rPr>
                    <w:t>9</w:t>
                  </w:r>
                </w:p>
              </w:tc>
              <w:tc>
                <w:tcPr>
                  <w:tcW w:w="478" w:type="pct"/>
                  <w:tcBorders>
                    <w:tl2br w:val="nil"/>
                    <w:tr2bl w:val="nil"/>
                  </w:tcBorders>
                  <w:vAlign w:val="center"/>
                </w:tcPr>
                <w:p w14:paraId="643A33CF">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0.00157</w:t>
                  </w:r>
                </w:p>
              </w:tc>
              <w:tc>
                <w:tcPr>
                  <w:tcW w:w="453" w:type="pct"/>
                  <w:tcBorders>
                    <w:tl2br w:val="nil"/>
                    <w:tr2bl w:val="nil"/>
                  </w:tcBorders>
                  <w:vAlign w:val="center"/>
                </w:tcPr>
                <w:p w14:paraId="38265877">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0.801</w:t>
                  </w:r>
                </w:p>
              </w:tc>
              <w:tc>
                <w:tcPr>
                  <w:tcW w:w="424" w:type="pct"/>
                  <w:tcBorders>
                    <w:tl2br w:val="nil"/>
                    <w:tr2bl w:val="nil"/>
                  </w:tcBorders>
                  <w:vAlign w:val="center"/>
                </w:tcPr>
                <w:p w14:paraId="1344C6ED">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50</w:t>
                  </w:r>
                </w:p>
              </w:tc>
            </w:tr>
            <w:tr w14:paraId="71810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vMerge w:val="restart"/>
                  <w:tcBorders>
                    <w:tl2br w:val="nil"/>
                    <w:tr2bl w:val="nil"/>
                  </w:tcBorders>
                  <w:vAlign w:val="center"/>
                </w:tcPr>
                <w:p w14:paraId="4B257412">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热风炉废气</w:t>
                  </w:r>
                  <w:r>
                    <w:rPr>
                      <w:rFonts w:hint="eastAsia" w:ascii="Times New Roman" w:hAnsi="Times New Roman" w:eastAsia="宋体" w:cs="Times New Roman"/>
                      <w:color w:val="auto"/>
                      <w:sz w:val="21"/>
                      <w:szCs w:val="21"/>
                      <w:u w:val="none" w:color="auto"/>
                      <w:lang w:val="en-US" w:eastAsia="zh-CN"/>
                    </w:rPr>
                    <w:t>（DA0</w:t>
                  </w:r>
                  <w:r>
                    <w:rPr>
                      <w:rFonts w:hint="eastAsia" w:ascii="Times New Roman" w:hAnsi="Times New Roman" w:cs="Times New Roman"/>
                      <w:color w:val="auto"/>
                      <w:sz w:val="21"/>
                      <w:szCs w:val="21"/>
                      <w:u w:val="none" w:color="auto"/>
                      <w:lang w:val="en-US" w:eastAsia="zh-CN"/>
                    </w:rPr>
                    <w:t>02）</w:t>
                  </w:r>
                </w:p>
              </w:tc>
              <w:tc>
                <w:tcPr>
                  <w:tcW w:w="445" w:type="pct"/>
                  <w:tcBorders>
                    <w:tl2br w:val="nil"/>
                    <w:tr2bl w:val="nil"/>
                  </w:tcBorders>
                  <w:vAlign w:val="center"/>
                </w:tcPr>
                <w:p w14:paraId="7376E0DB">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SO</w:t>
                  </w:r>
                  <w:r>
                    <w:rPr>
                      <w:rFonts w:hint="default" w:ascii="Times New Roman" w:hAnsi="Times New Roman" w:cs="Times New Roman"/>
                      <w:color w:val="auto"/>
                      <w:sz w:val="21"/>
                      <w:szCs w:val="21"/>
                      <w:u w:val="none" w:color="auto"/>
                      <w:vertAlign w:val="subscript"/>
                    </w:rPr>
                    <w:t>2</w:t>
                  </w:r>
                </w:p>
              </w:tc>
              <w:tc>
                <w:tcPr>
                  <w:tcW w:w="434" w:type="pct"/>
                  <w:vMerge w:val="restart"/>
                  <w:tcBorders>
                    <w:tl2br w:val="nil"/>
                    <w:tr2bl w:val="nil"/>
                  </w:tcBorders>
                  <w:vAlign w:val="center"/>
                </w:tcPr>
                <w:p w14:paraId="0D73F4AE">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188.87</w:t>
                  </w:r>
                </w:p>
              </w:tc>
              <w:tc>
                <w:tcPr>
                  <w:tcW w:w="427" w:type="pct"/>
                  <w:tcBorders>
                    <w:tl2br w:val="nil"/>
                    <w:tr2bl w:val="nil"/>
                  </w:tcBorders>
                  <w:vAlign w:val="center"/>
                </w:tcPr>
                <w:p w14:paraId="1745FC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0.51</w:t>
                  </w:r>
                  <w:r>
                    <w:rPr>
                      <w:rFonts w:hint="eastAsia" w:ascii="Times New Roman" w:hAnsi="Times New Roman" w:eastAsia="宋体" w:cs="Times New Roman"/>
                      <w:i w:val="0"/>
                      <w:iCs w:val="0"/>
                      <w:color w:val="auto"/>
                      <w:kern w:val="0"/>
                      <w:sz w:val="21"/>
                      <w:szCs w:val="21"/>
                      <w:u w:val="none"/>
                      <w:lang w:val="en-US" w:eastAsia="zh-CN" w:bidi="ar"/>
                    </w:rPr>
                    <w:t>5</w:t>
                  </w:r>
                </w:p>
              </w:tc>
              <w:tc>
                <w:tcPr>
                  <w:tcW w:w="453" w:type="pct"/>
                  <w:tcBorders>
                    <w:tl2br w:val="nil"/>
                    <w:tr2bl w:val="nil"/>
                  </w:tcBorders>
                  <w:vAlign w:val="center"/>
                </w:tcPr>
                <w:p w14:paraId="3BDBE9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0.42</w:t>
                  </w:r>
                  <w:r>
                    <w:rPr>
                      <w:rFonts w:hint="eastAsia" w:ascii="Times New Roman" w:hAnsi="Times New Roman" w:eastAsia="宋体" w:cs="Times New Roman"/>
                      <w:i w:val="0"/>
                      <w:iCs w:val="0"/>
                      <w:color w:val="auto"/>
                      <w:kern w:val="0"/>
                      <w:sz w:val="21"/>
                      <w:szCs w:val="21"/>
                      <w:u w:val="none"/>
                      <w:lang w:val="en-US" w:eastAsia="zh-CN" w:bidi="ar"/>
                    </w:rPr>
                    <w:t>9</w:t>
                  </w:r>
                </w:p>
              </w:tc>
              <w:tc>
                <w:tcPr>
                  <w:tcW w:w="453" w:type="pct"/>
                  <w:tcBorders>
                    <w:tl2br w:val="nil"/>
                    <w:tr2bl w:val="nil"/>
                  </w:tcBorders>
                  <w:vAlign w:val="center"/>
                </w:tcPr>
                <w:p w14:paraId="668AD6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272.43</w:t>
                  </w:r>
                  <w:r>
                    <w:rPr>
                      <w:rFonts w:hint="eastAsia" w:ascii="Times New Roman" w:hAnsi="Times New Roman" w:eastAsia="宋体" w:cs="Times New Roman"/>
                      <w:i w:val="0"/>
                      <w:iCs w:val="0"/>
                      <w:color w:val="auto"/>
                      <w:kern w:val="0"/>
                      <w:sz w:val="21"/>
                      <w:szCs w:val="21"/>
                      <w:u w:val="none"/>
                      <w:lang w:val="en-US" w:eastAsia="zh-CN" w:bidi="ar"/>
                    </w:rPr>
                    <w:t>6</w:t>
                  </w:r>
                </w:p>
              </w:tc>
              <w:tc>
                <w:tcPr>
                  <w:tcW w:w="312" w:type="pct"/>
                  <w:tcBorders>
                    <w:tl2br w:val="nil"/>
                    <w:tr2bl w:val="nil"/>
                  </w:tcBorders>
                  <w:vAlign w:val="center"/>
                </w:tcPr>
                <w:p w14:paraId="39AE65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9</w:t>
                  </w:r>
                  <w:r>
                    <w:rPr>
                      <w:rFonts w:hint="default" w:ascii="Times New Roman" w:hAnsi="Times New Roman" w:eastAsia="宋体" w:cs="Times New Roman"/>
                      <w:i w:val="0"/>
                      <w:iCs w:val="0"/>
                      <w:color w:val="auto"/>
                      <w:kern w:val="0"/>
                      <w:sz w:val="21"/>
                      <w:szCs w:val="21"/>
                      <w:u w:val="none"/>
                      <w:lang w:val="en-US" w:eastAsia="zh-CN" w:bidi="ar"/>
                    </w:rPr>
                    <w:t>0%</w:t>
                  </w:r>
                </w:p>
              </w:tc>
              <w:tc>
                <w:tcPr>
                  <w:tcW w:w="750" w:type="dxa"/>
                  <w:tcBorders>
                    <w:tl2br w:val="nil"/>
                    <w:tr2bl w:val="nil"/>
                  </w:tcBorders>
                  <w:vAlign w:val="center"/>
                </w:tcPr>
                <w:p w14:paraId="440F7B56">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0.051</w:t>
                  </w:r>
                  <w:r>
                    <w:rPr>
                      <w:rFonts w:hint="eastAsia" w:ascii="Times New Roman" w:hAnsi="Times New Roman" w:eastAsia="宋体" w:cs="Times New Roman"/>
                      <w:i w:val="0"/>
                      <w:iCs w:val="0"/>
                      <w:color w:val="FF0000"/>
                      <w:kern w:val="0"/>
                      <w:sz w:val="21"/>
                      <w:szCs w:val="21"/>
                      <w:u w:val="none"/>
                      <w:lang w:val="en-US" w:eastAsia="zh-CN" w:bidi="ar"/>
                    </w:rPr>
                    <w:t>5</w:t>
                  </w:r>
                </w:p>
              </w:tc>
              <w:tc>
                <w:tcPr>
                  <w:tcW w:w="750" w:type="dxa"/>
                  <w:tcBorders>
                    <w:tl2br w:val="nil"/>
                    <w:tr2bl w:val="nil"/>
                  </w:tcBorders>
                  <w:vAlign w:val="center"/>
                </w:tcPr>
                <w:p w14:paraId="16D97FAE">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0.042</w:t>
                  </w:r>
                  <w:r>
                    <w:rPr>
                      <w:rFonts w:hint="eastAsia" w:ascii="Times New Roman" w:hAnsi="Times New Roman" w:eastAsia="宋体" w:cs="Times New Roman"/>
                      <w:i w:val="0"/>
                      <w:iCs w:val="0"/>
                      <w:color w:val="FF0000"/>
                      <w:kern w:val="0"/>
                      <w:sz w:val="21"/>
                      <w:szCs w:val="21"/>
                      <w:u w:val="none"/>
                      <w:lang w:val="en-US" w:eastAsia="zh-CN" w:bidi="ar"/>
                    </w:rPr>
                    <w:t>9</w:t>
                  </w:r>
                </w:p>
              </w:tc>
              <w:tc>
                <w:tcPr>
                  <w:tcW w:w="710" w:type="dxa"/>
                  <w:tcBorders>
                    <w:tl2br w:val="nil"/>
                    <w:tr2bl w:val="nil"/>
                  </w:tcBorders>
                  <w:vAlign w:val="center"/>
                </w:tcPr>
                <w:p w14:paraId="1D35D10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darkRed"/>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27.244</w:t>
                  </w:r>
                </w:p>
              </w:tc>
              <w:tc>
                <w:tcPr>
                  <w:tcW w:w="424" w:type="pct"/>
                  <w:tcBorders>
                    <w:tl2br w:val="nil"/>
                    <w:tr2bl w:val="nil"/>
                  </w:tcBorders>
                  <w:vAlign w:val="center"/>
                </w:tcPr>
                <w:p w14:paraId="5136A9C9">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color w:val="auto"/>
                      <w:sz w:val="21"/>
                      <w:szCs w:val="21"/>
                      <w:highlight w:val="darkRed"/>
                      <w:u w:val="none" w:color="auto"/>
                      <w:lang w:val="en-US" w:eastAsia="zh-CN"/>
                    </w:rPr>
                  </w:pPr>
                  <w:r>
                    <w:rPr>
                      <w:rFonts w:hint="eastAsia" w:ascii="Times New Roman" w:hAnsi="Times New Roman" w:eastAsia="宋体" w:cs="Times New Roman"/>
                      <w:color w:val="auto"/>
                      <w:sz w:val="21"/>
                      <w:szCs w:val="21"/>
                      <w:u w:val="none" w:color="auto"/>
                      <w:lang w:val="en-US" w:eastAsia="zh-CN"/>
                    </w:rPr>
                    <w:t>200</w:t>
                  </w:r>
                </w:p>
              </w:tc>
            </w:tr>
            <w:tr w14:paraId="57ADF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vMerge w:val="continue"/>
                  <w:tcBorders>
                    <w:tl2br w:val="nil"/>
                    <w:tr2bl w:val="nil"/>
                  </w:tcBorders>
                  <w:vAlign w:val="center"/>
                </w:tcPr>
                <w:p w14:paraId="674E6A19">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45" w:type="pct"/>
                  <w:tcBorders>
                    <w:tl2br w:val="nil"/>
                    <w:tr2bl w:val="nil"/>
                  </w:tcBorders>
                  <w:vAlign w:val="center"/>
                </w:tcPr>
                <w:p w14:paraId="2744F9B4">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NO</w:t>
                  </w:r>
                  <w:r>
                    <w:rPr>
                      <w:rFonts w:hint="default" w:ascii="Times New Roman" w:hAnsi="Times New Roman" w:cs="Times New Roman"/>
                      <w:color w:val="auto"/>
                      <w:sz w:val="21"/>
                      <w:szCs w:val="21"/>
                      <w:u w:val="none" w:color="auto"/>
                      <w:vertAlign w:val="subscript"/>
                    </w:rPr>
                    <w:t>X</w:t>
                  </w:r>
                </w:p>
              </w:tc>
              <w:tc>
                <w:tcPr>
                  <w:tcW w:w="434" w:type="pct"/>
                  <w:vMerge w:val="continue"/>
                  <w:tcBorders>
                    <w:tl2br w:val="nil"/>
                    <w:tr2bl w:val="nil"/>
                  </w:tcBorders>
                  <w:vAlign w:val="center"/>
                </w:tcPr>
                <w:p w14:paraId="4D1D1947">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27" w:type="pct"/>
                  <w:tcBorders>
                    <w:tl2br w:val="nil"/>
                    <w:tr2bl w:val="nil"/>
                  </w:tcBorders>
                  <w:vAlign w:val="center"/>
                </w:tcPr>
                <w:p w14:paraId="4F12E8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0.30</w:t>
                  </w:r>
                  <w:r>
                    <w:rPr>
                      <w:rFonts w:hint="eastAsia" w:ascii="Times New Roman" w:hAnsi="Times New Roman" w:eastAsia="宋体" w:cs="Times New Roman"/>
                      <w:i w:val="0"/>
                      <w:iCs w:val="0"/>
                      <w:color w:val="auto"/>
                      <w:kern w:val="0"/>
                      <w:sz w:val="21"/>
                      <w:szCs w:val="21"/>
                      <w:u w:val="none"/>
                      <w:lang w:val="en-US" w:eastAsia="zh-CN" w:bidi="ar"/>
                    </w:rPr>
                    <w:t>9</w:t>
                  </w:r>
                </w:p>
              </w:tc>
              <w:tc>
                <w:tcPr>
                  <w:tcW w:w="453" w:type="pct"/>
                  <w:tcBorders>
                    <w:tl2br w:val="nil"/>
                    <w:tr2bl w:val="nil"/>
                  </w:tcBorders>
                  <w:vAlign w:val="center"/>
                </w:tcPr>
                <w:p w14:paraId="6F93FB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0.257</w:t>
                  </w:r>
                </w:p>
              </w:tc>
              <w:tc>
                <w:tcPr>
                  <w:tcW w:w="453" w:type="pct"/>
                  <w:tcBorders>
                    <w:tl2br w:val="nil"/>
                    <w:tr2bl w:val="nil"/>
                  </w:tcBorders>
                  <w:vAlign w:val="center"/>
                </w:tcPr>
                <w:p w14:paraId="57DFFC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163.46</w:t>
                  </w:r>
                  <w:r>
                    <w:rPr>
                      <w:rFonts w:hint="eastAsia" w:ascii="Times New Roman" w:hAnsi="Times New Roman" w:eastAsia="宋体" w:cs="Times New Roman"/>
                      <w:i w:val="0"/>
                      <w:iCs w:val="0"/>
                      <w:color w:val="auto"/>
                      <w:kern w:val="0"/>
                      <w:sz w:val="21"/>
                      <w:szCs w:val="21"/>
                      <w:u w:val="none"/>
                      <w:lang w:val="en-US" w:eastAsia="zh-CN" w:bidi="ar"/>
                    </w:rPr>
                    <w:t>2</w:t>
                  </w:r>
                </w:p>
              </w:tc>
              <w:tc>
                <w:tcPr>
                  <w:tcW w:w="312" w:type="pct"/>
                  <w:tcBorders>
                    <w:tl2br w:val="nil"/>
                    <w:tr2bl w:val="nil"/>
                  </w:tcBorders>
                  <w:vAlign w:val="center"/>
                </w:tcPr>
                <w:p w14:paraId="607B44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478" w:type="pct"/>
                  <w:tcBorders>
                    <w:tl2br w:val="nil"/>
                    <w:tr2bl w:val="nil"/>
                  </w:tcBorders>
                  <w:vAlign w:val="center"/>
                </w:tcPr>
                <w:p w14:paraId="622FDC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0.216</w:t>
                  </w:r>
                </w:p>
              </w:tc>
              <w:tc>
                <w:tcPr>
                  <w:tcW w:w="478" w:type="pct"/>
                  <w:tcBorders>
                    <w:tl2br w:val="nil"/>
                    <w:tr2bl w:val="nil"/>
                  </w:tcBorders>
                  <w:vAlign w:val="center"/>
                </w:tcPr>
                <w:p w14:paraId="5B5CF2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0.180</w:t>
                  </w:r>
                </w:p>
              </w:tc>
              <w:tc>
                <w:tcPr>
                  <w:tcW w:w="453" w:type="pct"/>
                  <w:tcBorders>
                    <w:tl2br w:val="nil"/>
                    <w:tr2bl w:val="nil"/>
                  </w:tcBorders>
                  <w:vAlign w:val="center"/>
                </w:tcPr>
                <w:p w14:paraId="226D7F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114.423</w:t>
                  </w:r>
                </w:p>
              </w:tc>
              <w:tc>
                <w:tcPr>
                  <w:tcW w:w="424" w:type="pct"/>
                  <w:tcBorders>
                    <w:tl2br w:val="nil"/>
                    <w:tr2bl w:val="nil"/>
                  </w:tcBorders>
                  <w:vAlign w:val="center"/>
                </w:tcPr>
                <w:p w14:paraId="1B03FEA9">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300</w:t>
                  </w:r>
                </w:p>
              </w:tc>
            </w:tr>
            <w:tr w14:paraId="5A19D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7" w:type="pct"/>
                  <w:vMerge w:val="continue"/>
                  <w:tcBorders>
                    <w:tl2br w:val="nil"/>
                    <w:tr2bl w:val="nil"/>
                  </w:tcBorders>
                  <w:vAlign w:val="center"/>
                </w:tcPr>
                <w:p w14:paraId="319CE109">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45" w:type="pct"/>
                  <w:tcBorders>
                    <w:tl2br w:val="nil"/>
                    <w:tr2bl w:val="nil"/>
                  </w:tcBorders>
                  <w:vAlign w:val="center"/>
                </w:tcPr>
                <w:p w14:paraId="7A09A821">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颗粒物</w:t>
                  </w:r>
                </w:p>
              </w:tc>
              <w:tc>
                <w:tcPr>
                  <w:tcW w:w="434" w:type="pct"/>
                  <w:vMerge w:val="continue"/>
                  <w:tcBorders>
                    <w:tl2br w:val="nil"/>
                    <w:tr2bl w:val="nil"/>
                  </w:tcBorders>
                  <w:vAlign w:val="center"/>
                </w:tcPr>
                <w:p w14:paraId="40FFA8D1">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rPr>
                  </w:pPr>
                </w:p>
              </w:tc>
              <w:tc>
                <w:tcPr>
                  <w:tcW w:w="427" w:type="pct"/>
                  <w:tcBorders>
                    <w:tl2br w:val="nil"/>
                    <w:tr2bl w:val="nil"/>
                  </w:tcBorders>
                  <w:vAlign w:val="center"/>
                </w:tcPr>
                <w:p w14:paraId="4B24DC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0.151</w:t>
                  </w:r>
                </w:p>
              </w:tc>
              <w:tc>
                <w:tcPr>
                  <w:tcW w:w="453" w:type="pct"/>
                  <w:tcBorders>
                    <w:tl2br w:val="nil"/>
                    <w:tr2bl w:val="nil"/>
                  </w:tcBorders>
                  <w:vAlign w:val="center"/>
                </w:tcPr>
                <w:p w14:paraId="0EB759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0.126</w:t>
                  </w:r>
                </w:p>
              </w:tc>
              <w:tc>
                <w:tcPr>
                  <w:tcW w:w="453" w:type="pct"/>
                  <w:tcBorders>
                    <w:tl2br w:val="nil"/>
                    <w:tr2bl w:val="nil"/>
                  </w:tcBorders>
                  <w:vAlign w:val="center"/>
                </w:tcPr>
                <w:p w14:paraId="131D4F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80.128</w:t>
                  </w:r>
                </w:p>
              </w:tc>
              <w:tc>
                <w:tcPr>
                  <w:tcW w:w="312" w:type="pct"/>
                  <w:tcBorders>
                    <w:tl2br w:val="nil"/>
                    <w:tr2bl w:val="nil"/>
                  </w:tcBorders>
                  <w:vAlign w:val="center"/>
                </w:tcPr>
                <w:p w14:paraId="0DE744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99%</w:t>
                  </w:r>
                </w:p>
              </w:tc>
              <w:tc>
                <w:tcPr>
                  <w:tcW w:w="478" w:type="pct"/>
                  <w:tcBorders>
                    <w:tl2br w:val="nil"/>
                    <w:tr2bl w:val="nil"/>
                  </w:tcBorders>
                  <w:vAlign w:val="center"/>
                </w:tcPr>
                <w:p w14:paraId="5CFCAB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0.00151</w:t>
                  </w:r>
                </w:p>
              </w:tc>
              <w:tc>
                <w:tcPr>
                  <w:tcW w:w="478" w:type="pct"/>
                  <w:tcBorders>
                    <w:tl2br w:val="nil"/>
                    <w:tr2bl w:val="nil"/>
                  </w:tcBorders>
                  <w:vAlign w:val="center"/>
                </w:tcPr>
                <w:p w14:paraId="255532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0.00126</w:t>
                  </w:r>
                </w:p>
              </w:tc>
              <w:tc>
                <w:tcPr>
                  <w:tcW w:w="453" w:type="pct"/>
                  <w:tcBorders>
                    <w:tl2br w:val="nil"/>
                    <w:tr2bl w:val="nil"/>
                  </w:tcBorders>
                  <w:vAlign w:val="center"/>
                </w:tcPr>
                <w:p w14:paraId="5A8381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0.801</w:t>
                  </w:r>
                </w:p>
              </w:tc>
              <w:tc>
                <w:tcPr>
                  <w:tcW w:w="424" w:type="pct"/>
                  <w:tcBorders>
                    <w:tl2br w:val="nil"/>
                    <w:tr2bl w:val="nil"/>
                  </w:tcBorders>
                  <w:vAlign w:val="center"/>
                </w:tcPr>
                <w:p w14:paraId="0B7FEBC1">
                  <w:pPr>
                    <w:keepNext w:val="0"/>
                    <w:keepLines w:val="0"/>
                    <w:pageBreakBefore w:val="0"/>
                    <w:widowControl w:val="0"/>
                    <w:kinsoku/>
                    <w:wordWrap/>
                    <w:overflowPunct/>
                    <w:topLinePunct w:val="0"/>
                    <w:bidi w:val="0"/>
                    <w:snapToGrid/>
                    <w:ind w:left="0" w:leftChars="0" w:right="0" w:rightChars="0"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30</w:t>
                  </w:r>
                </w:p>
              </w:tc>
            </w:tr>
          </w:tbl>
          <w:p w14:paraId="757A2B54">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color w:val="auto"/>
                <w:sz w:val="24"/>
              </w:rPr>
            </w:pPr>
            <w:r>
              <w:rPr>
                <w:color w:val="auto"/>
                <w:sz w:val="24"/>
              </w:rPr>
              <w:t>②项目大气污染治理设施信息表见表4</w:t>
            </w:r>
            <w:r>
              <w:rPr>
                <w:rFonts w:hint="eastAsia"/>
                <w:color w:val="auto"/>
                <w:sz w:val="24"/>
              </w:rPr>
              <w:t>-</w:t>
            </w:r>
            <w:r>
              <w:rPr>
                <w:rFonts w:hint="eastAsia"/>
                <w:color w:val="auto"/>
                <w:sz w:val="24"/>
                <w:lang w:val="en-US" w:eastAsia="zh-CN"/>
              </w:rPr>
              <w:t>7</w:t>
            </w:r>
            <w:r>
              <w:rPr>
                <w:color w:val="auto"/>
                <w:sz w:val="24"/>
              </w:rPr>
              <w:t>。</w:t>
            </w:r>
          </w:p>
          <w:p w14:paraId="64FEEBFD">
            <w:pPr>
              <w:pStyle w:val="12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b/>
                <w:bCs/>
                <w:color w:val="auto"/>
                <w:spacing w:val="5"/>
                <w:sz w:val="24"/>
                <w:szCs w:val="24"/>
              </w:rPr>
            </w:pPr>
            <w:r>
              <w:rPr>
                <w:rFonts w:hint="default" w:ascii="Times New Roman" w:hAnsi="Times New Roman" w:eastAsia="Times New Roman" w:cs="Times New Roman"/>
                <w:b/>
                <w:bCs/>
                <w:color w:val="auto"/>
                <w:spacing w:val="5"/>
                <w:sz w:val="24"/>
                <w:szCs w:val="24"/>
              </w:rPr>
              <w:t>表4-</w:t>
            </w:r>
            <w:r>
              <w:rPr>
                <w:rFonts w:hint="eastAsia" w:ascii="Times New Roman" w:hAnsi="Times New Roman" w:cs="Times New Roman"/>
                <w:b/>
                <w:bCs/>
                <w:color w:val="auto"/>
                <w:spacing w:val="5"/>
                <w:sz w:val="24"/>
                <w:szCs w:val="24"/>
                <w:lang w:val="en-US" w:eastAsia="zh-CN"/>
              </w:rPr>
              <w:t>7</w:t>
            </w:r>
            <w:r>
              <w:rPr>
                <w:rFonts w:hint="default" w:ascii="Times New Roman" w:hAnsi="Times New Roman" w:eastAsia="Times New Roman" w:cs="Times New Roman"/>
                <w:b/>
                <w:bCs/>
                <w:color w:val="auto"/>
                <w:spacing w:val="5"/>
                <w:sz w:val="24"/>
                <w:szCs w:val="24"/>
              </w:rPr>
              <w:t xml:space="preserve">   治理设施情况一览表</w:t>
            </w:r>
          </w:p>
          <w:tbl>
            <w:tblPr>
              <w:tblStyle w:val="126"/>
              <w:tblW w:w="7797" w:type="dxa"/>
              <w:tblInd w:w="-39"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090"/>
              <w:gridCol w:w="2060"/>
              <w:gridCol w:w="983"/>
              <w:gridCol w:w="913"/>
              <w:gridCol w:w="710"/>
              <w:gridCol w:w="902"/>
            </w:tblGrid>
            <w:tr w14:paraId="021CDA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tcBorders>
                    <w:tl2br w:val="nil"/>
                    <w:tr2bl w:val="nil"/>
                  </w:tcBorders>
                  <w:noWrap w:val="0"/>
                  <w:vAlign w:val="center"/>
                </w:tcPr>
                <w:p w14:paraId="3F2C17AC">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7"/>
                      <w:sz w:val="21"/>
                      <w:szCs w:val="21"/>
                      <w:u w:val="none" w:color="auto"/>
                    </w:rPr>
                    <w:t>产排污环</w:t>
                  </w:r>
                  <w:r>
                    <w:rPr>
                      <w:rFonts w:hint="default" w:ascii="Times New Roman" w:hAnsi="Times New Roman" w:eastAsia="宋体" w:cs="Times New Roman"/>
                      <w:color w:val="auto"/>
                      <w:sz w:val="21"/>
                      <w:szCs w:val="21"/>
                      <w:u w:val="none" w:color="auto"/>
                    </w:rPr>
                    <w:t>节</w:t>
                  </w:r>
                </w:p>
              </w:tc>
              <w:tc>
                <w:tcPr>
                  <w:tcW w:w="1090" w:type="dxa"/>
                  <w:tcBorders>
                    <w:tl2br w:val="nil"/>
                    <w:tr2bl w:val="nil"/>
                  </w:tcBorders>
                  <w:noWrap w:val="0"/>
                  <w:vAlign w:val="center"/>
                </w:tcPr>
                <w:p w14:paraId="0547D598">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6"/>
                      <w:sz w:val="21"/>
                      <w:szCs w:val="21"/>
                      <w:u w:val="none" w:color="auto"/>
                    </w:rPr>
                    <w:t>污染物</w:t>
                  </w:r>
                  <w:r>
                    <w:rPr>
                      <w:rFonts w:hint="default" w:ascii="Times New Roman" w:hAnsi="Times New Roman" w:eastAsia="宋体" w:cs="Times New Roman"/>
                      <w:color w:val="auto"/>
                      <w:spacing w:val="4"/>
                      <w:sz w:val="21"/>
                      <w:szCs w:val="21"/>
                      <w:u w:val="none" w:color="auto"/>
                    </w:rPr>
                    <w:t>种类</w:t>
                  </w:r>
                </w:p>
              </w:tc>
              <w:tc>
                <w:tcPr>
                  <w:tcW w:w="2060" w:type="dxa"/>
                  <w:tcBorders>
                    <w:tl2br w:val="nil"/>
                    <w:tr2bl w:val="nil"/>
                  </w:tcBorders>
                  <w:noWrap w:val="0"/>
                  <w:vAlign w:val="center"/>
                </w:tcPr>
                <w:p w14:paraId="765DB2C5">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6"/>
                      <w:sz w:val="21"/>
                      <w:szCs w:val="21"/>
                      <w:u w:val="none" w:color="auto"/>
                    </w:rPr>
                    <w:t>治理设施</w:t>
                  </w:r>
                </w:p>
              </w:tc>
              <w:tc>
                <w:tcPr>
                  <w:tcW w:w="983" w:type="dxa"/>
                  <w:tcBorders>
                    <w:tl2br w:val="nil"/>
                    <w:tr2bl w:val="nil"/>
                  </w:tcBorders>
                  <w:noWrap w:val="0"/>
                  <w:vAlign w:val="center"/>
                </w:tcPr>
                <w:p w14:paraId="69890176">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2"/>
                      <w:sz w:val="21"/>
                      <w:szCs w:val="21"/>
                      <w:u w:val="none" w:color="auto"/>
                    </w:rPr>
                    <w:t>处理</w:t>
                  </w:r>
                  <w:r>
                    <w:rPr>
                      <w:rFonts w:hint="default" w:ascii="Times New Roman" w:hAnsi="Times New Roman" w:eastAsia="宋体" w:cs="Times New Roman"/>
                      <w:color w:val="auto"/>
                      <w:sz w:val="21"/>
                      <w:szCs w:val="21"/>
                      <w:u w:val="none" w:color="auto"/>
                    </w:rPr>
                    <w:t>能力</w:t>
                  </w:r>
                  <w:r>
                    <w:rPr>
                      <w:rFonts w:hint="default" w:ascii="Times New Roman" w:hAnsi="Times New Roman" w:eastAsia="宋体" w:cs="Times New Roman"/>
                      <w:color w:val="auto"/>
                      <w:position w:val="1"/>
                      <w:sz w:val="21"/>
                      <w:szCs w:val="21"/>
                      <w:u w:val="none" w:color="auto"/>
                    </w:rPr>
                    <w:t>m</w:t>
                  </w:r>
                  <w:r>
                    <w:rPr>
                      <w:rFonts w:hint="default" w:ascii="Times New Roman" w:hAnsi="Times New Roman" w:eastAsia="宋体" w:cs="Times New Roman"/>
                      <w:color w:val="auto"/>
                      <w:position w:val="1"/>
                      <w:sz w:val="21"/>
                      <w:szCs w:val="21"/>
                      <w:u w:val="none" w:color="auto"/>
                      <w:vertAlign w:val="superscript"/>
                      <w:lang w:val="en-US" w:eastAsia="zh-CN"/>
                    </w:rPr>
                    <w:t>3</w:t>
                  </w:r>
                  <w:r>
                    <w:rPr>
                      <w:rFonts w:hint="default" w:ascii="Times New Roman" w:hAnsi="Times New Roman" w:eastAsia="宋体" w:cs="Times New Roman"/>
                      <w:color w:val="auto"/>
                      <w:position w:val="1"/>
                      <w:sz w:val="21"/>
                      <w:szCs w:val="21"/>
                      <w:u w:val="none" w:color="auto"/>
                    </w:rPr>
                    <w:t>/h</w:t>
                  </w:r>
                </w:p>
              </w:tc>
              <w:tc>
                <w:tcPr>
                  <w:tcW w:w="913" w:type="dxa"/>
                  <w:tcBorders>
                    <w:tl2br w:val="nil"/>
                    <w:tr2bl w:val="nil"/>
                  </w:tcBorders>
                  <w:noWrap w:val="0"/>
                  <w:vAlign w:val="center"/>
                </w:tcPr>
                <w:p w14:paraId="0040FE71">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1"/>
                      <w:sz w:val="21"/>
                      <w:szCs w:val="21"/>
                      <w:u w:val="none" w:color="auto"/>
                    </w:rPr>
                    <w:t>收集</w:t>
                  </w:r>
                  <w:r>
                    <w:rPr>
                      <w:rFonts w:hint="default" w:ascii="Times New Roman" w:hAnsi="Times New Roman" w:eastAsia="宋体" w:cs="Times New Roman"/>
                      <w:color w:val="auto"/>
                      <w:spacing w:val="2"/>
                      <w:sz w:val="21"/>
                      <w:szCs w:val="21"/>
                      <w:u w:val="none" w:color="auto"/>
                    </w:rPr>
                    <w:t>效率</w:t>
                  </w:r>
                  <w:r>
                    <w:rPr>
                      <w:rFonts w:hint="default" w:ascii="Times New Roman" w:hAnsi="Times New Roman" w:eastAsia="宋体" w:cs="Times New Roman"/>
                      <w:color w:val="auto"/>
                      <w:spacing w:val="1"/>
                      <w:position w:val="2"/>
                      <w:sz w:val="21"/>
                      <w:szCs w:val="21"/>
                      <w:u w:val="none" w:color="auto"/>
                    </w:rPr>
                    <w:t>%</w:t>
                  </w:r>
                </w:p>
              </w:tc>
              <w:tc>
                <w:tcPr>
                  <w:tcW w:w="710" w:type="dxa"/>
                  <w:tcBorders>
                    <w:tl2br w:val="nil"/>
                    <w:tr2bl w:val="nil"/>
                  </w:tcBorders>
                  <w:noWrap w:val="0"/>
                  <w:vAlign w:val="center"/>
                </w:tcPr>
                <w:p w14:paraId="44C865AA">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3"/>
                      <w:sz w:val="21"/>
                      <w:szCs w:val="21"/>
                      <w:u w:val="none" w:color="auto"/>
                    </w:rPr>
                    <w:t>去除</w:t>
                  </w:r>
                  <w:r>
                    <w:rPr>
                      <w:rFonts w:hint="default" w:ascii="Times New Roman" w:hAnsi="Times New Roman" w:eastAsia="宋体" w:cs="Times New Roman"/>
                      <w:color w:val="auto"/>
                      <w:spacing w:val="2"/>
                      <w:sz w:val="21"/>
                      <w:szCs w:val="21"/>
                      <w:u w:val="none" w:color="auto"/>
                    </w:rPr>
                    <w:t>效率</w:t>
                  </w:r>
                  <w:r>
                    <w:rPr>
                      <w:rFonts w:hint="default" w:ascii="Times New Roman" w:hAnsi="Times New Roman" w:eastAsia="宋体" w:cs="Times New Roman"/>
                      <w:color w:val="auto"/>
                      <w:spacing w:val="1"/>
                      <w:position w:val="2"/>
                      <w:sz w:val="21"/>
                      <w:szCs w:val="21"/>
                      <w:u w:val="none" w:color="auto"/>
                    </w:rPr>
                    <w:t>%</w:t>
                  </w:r>
                </w:p>
              </w:tc>
              <w:tc>
                <w:tcPr>
                  <w:tcW w:w="902" w:type="dxa"/>
                  <w:tcBorders>
                    <w:tl2br w:val="nil"/>
                    <w:tr2bl w:val="nil"/>
                  </w:tcBorders>
                  <w:noWrap w:val="0"/>
                  <w:vAlign w:val="center"/>
                </w:tcPr>
                <w:p w14:paraId="6773C398">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6"/>
                      <w:sz w:val="21"/>
                      <w:szCs w:val="21"/>
                      <w:u w:val="none" w:color="auto"/>
                    </w:rPr>
                    <w:t>是否为可</w:t>
                  </w:r>
                  <w:r>
                    <w:rPr>
                      <w:rFonts w:hint="default" w:ascii="Times New Roman" w:hAnsi="Times New Roman" w:eastAsia="宋体" w:cs="Times New Roman"/>
                      <w:color w:val="auto"/>
                      <w:spacing w:val="5"/>
                      <w:sz w:val="21"/>
                      <w:szCs w:val="21"/>
                      <w:u w:val="none" w:color="auto"/>
                    </w:rPr>
                    <w:t>行技术</w:t>
                  </w:r>
                </w:p>
              </w:tc>
            </w:tr>
            <w:tr w14:paraId="23DC3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vMerge w:val="restart"/>
                  <w:tcBorders>
                    <w:tl2br w:val="nil"/>
                    <w:tr2bl w:val="nil"/>
                  </w:tcBorders>
                  <w:noWrap w:val="0"/>
                  <w:vAlign w:val="center"/>
                </w:tcPr>
                <w:p w14:paraId="4248BF79">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 w:bidi="ar-SA"/>
                    </w:rPr>
                  </w:pPr>
                  <w:r>
                    <w:rPr>
                      <w:rFonts w:hint="eastAsia" w:ascii="Times New Roman" w:hAnsi="Times New Roman" w:eastAsia="宋体" w:cs="Times New Roman"/>
                      <w:color w:val="auto"/>
                      <w:sz w:val="21"/>
                      <w:szCs w:val="21"/>
                      <w:u w:val="none" w:color="auto"/>
                      <w:lang w:val="en-US" w:eastAsia="zh-CN"/>
                    </w:rPr>
                    <w:t>蒸汽发生器废气</w:t>
                  </w:r>
                </w:p>
              </w:tc>
              <w:tc>
                <w:tcPr>
                  <w:tcW w:w="1090" w:type="dxa"/>
                  <w:tcBorders>
                    <w:tl2br w:val="nil"/>
                    <w:tr2bl w:val="nil"/>
                  </w:tcBorders>
                  <w:noWrap w:val="0"/>
                  <w:vAlign w:val="center"/>
                </w:tcPr>
                <w:p w14:paraId="0C6C7B7F">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pacing w:val="4"/>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2060" w:type="dxa"/>
                  <w:vMerge w:val="restart"/>
                  <w:tcBorders>
                    <w:tl2br w:val="nil"/>
                    <w:tr2bl w:val="nil"/>
                  </w:tcBorders>
                  <w:noWrap w:val="0"/>
                  <w:vAlign w:val="center"/>
                </w:tcPr>
                <w:p w14:paraId="136CCF13">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低氮燃烧、</w:t>
                  </w:r>
                  <w:r>
                    <w:rPr>
                      <w:rFonts w:hint="default" w:ascii="Times New Roman" w:hAnsi="Times New Roman" w:eastAsia="宋体" w:cs="Times New Roman"/>
                      <w:color w:val="auto"/>
                      <w:sz w:val="21"/>
                      <w:szCs w:val="21"/>
                      <w:u w:val="none" w:color="auto"/>
                      <w:lang w:eastAsia="zh-CN"/>
                    </w:rPr>
                    <w:t>布袋</w:t>
                  </w:r>
                  <w:r>
                    <w:rPr>
                      <w:rFonts w:hint="default" w:ascii="Times New Roman" w:hAnsi="Times New Roman" w:eastAsia="宋体" w:cs="Times New Roman"/>
                      <w:color w:val="auto"/>
                      <w:sz w:val="21"/>
                      <w:szCs w:val="21"/>
                      <w:u w:val="none" w:color="auto"/>
                    </w:rPr>
                    <w:t>除尘器+</w:t>
                  </w:r>
                  <w:r>
                    <w:rPr>
                      <w:rFonts w:hint="default" w:ascii="Times New Roman" w:hAnsi="Times New Roman" w:eastAsia="宋体" w:cs="Times New Roman"/>
                      <w:color w:val="auto"/>
                      <w:sz w:val="21"/>
                      <w:szCs w:val="21"/>
                      <w:u w:val="none" w:color="auto"/>
                      <w:lang w:val="en-US" w:eastAsia="zh-CN"/>
                    </w:rPr>
                    <w:t>1</w:t>
                  </w:r>
                  <w:r>
                    <w:rPr>
                      <w:rFonts w:hint="default" w:ascii="Times New Roman" w:hAnsi="Times New Roman" w:eastAsia="宋体" w:cs="Times New Roman"/>
                      <w:color w:val="auto"/>
                      <w:sz w:val="21"/>
                      <w:szCs w:val="21"/>
                      <w:u w:val="none" w:color="auto"/>
                    </w:rPr>
                    <w:t>5m排气筒</w:t>
                  </w:r>
                  <w:r>
                    <w:rPr>
                      <w:rFonts w:hint="default" w:ascii="Times New Roman" w:hAnsi="Times New Roman" w:eastAsia="宋体" w:cs="Times New Roman"/>
                      <w:color w:val="auto"/>
                      <w:sz w:val="21"/>
                      <w:szCs w:val="21"/>
                      <w:u w:val="none" w:color="auto"/>
                      <w:lang w:val="en-US" w:eastAsia="zh-CN"/>
                    </w:rPr>
                    <w:t>高空</w:t>
                  </w:r>
                  <w:r>
                    <w:rPr>
                      <w:rFonts w:hint="default" w:ascii="Times New Roman" w:hAnsi="Times New Roman" w:eastAsia="宋体" w:cs="Times New Roman"/>
                      <w:color w:val="auto"/>
                      <w:sz w:val="21"/>
                      <w:szCs w:val="21"/>
                      <w:u w:val="none" w:color="auto"/>
                    </w:rPr>
                    <w:t>排放</w:t>
                  </w:r>
                  <w:r>
                    <w:rPr>
                      <w:rFonts w:hint="default" w:ascii="Times New Roman" w:hAnsi="Times New Roman" w:eastAsia="宋体" w:cs="Times New Roman"/>
                      <w:color w:val="auto"/>
                      <w:sz w:val="21"/>
                      <w:szCs w:val="21"/>
                      <w:u w:val="none" w:color="auto"/>
                      <w:lang w:val="en-US" w:eastAsia="zh-CN"/>
                    </w:rPr>
                    <w:t>（</w:t>
                  </w:r>
                  <w:r>
                    <w:rPr>
                      <w:rFonts w:hint="default" w:ascii="Times New Roman" w:hAnsi="Times New Roman" w:eastAsia="宋体" w:cs="Times New Roman"/>
                      <w:color w:val="auto"/>
                      <w:sz w:val="21"/>
                      <w:szCs w:val="21"/>
                      <w:u w:val="none" w:color="auto"/>
                      <w:lang w:eastAsia="zh-CN"/>
                    </w:rPr>
                    <w:t>DA00</w:t>
                  </w:r>
                  <w:r>
                    <w:rPr>
                      <w:rFonts w:hint="default" w:ascii="Times New Roman" w:hAnsi="Times New Roman" w:eastAsia="宋体" w:cs="Times New Roman"/>
                      <w:color w:val="auto"/>
                      <w:sz w:val="21"/>
                      <w:szCs w:val="21"/>
                      <w:u w:val="none" w:color="auto"/>
                      <w:lang w:val="en-US" w:eastAsia="zh-CN"/>
                    </w:rPr>
                    <w:t>1）</w:t>
                  </w:r>
                </w:p>
              </w:tc>
              <w:tc>
                <w:tcPr>
                  <w:tcW w:w="983" w:type="dxa"/>
                  <w:tcBorders>
                    <w:tl2br w:val="nil"/>
                    <w:tr2bl w:val="nil"/>
                  </w:tcBorders>
                  <w:noWrap w:val="0"/>
                  <w:vAlign w:val="center"/>
                </w:tcPr>
                <w:p w14:paraId="210B24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w:t>
                  </w:r>
                </w:p>
              </w:tc>
              <w:tc>
                <w:tcPr>
                  <w:tcW w:w="913" w:type="dxa"/>
                  <w:tcBorders>
                    <w:tl2br w:val="nil"/>
                    <w:tr2bl w:val="nil"/>
                  </w:tcBorders>
                  <w:noWrap w:val="0"/>
                  <w:vAlign w:val="center"/>
                </w:tcPr>
                <w:p w14:paraId="121296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w:t>
                  </w:r>
                </w:p>
              </w:tc>
              <w:tc>
                <w:tcPr>
                  <w:tcW w:w="710" w:type="dxa"/>
                  <w:tcBorders>
                    <w:tl2br w:val="nil"/>
                    <w:tr2bl w:val="nil"/>
                  </w:tcBorders>
                  <w:noWrap w:val="0"/>
                  <w:vAlign w:val="center"/>
                </w:tcPr>
                <w:p w14:paraId="1B6D0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p>
              </w:tc>
              <w:tc>
                <w:tcPr>
                  <w:tcW w:w="902" w:type="dxa"/>
                  <w:tcBorders>
                    <w:tl2br w:val="nil"/>
                    <w:tr2bl w:val="nil"/>
                  </w:tcBorders>
                  <w:noWrap w:val="0"/>
                  <w:vAlign w:val="center"/>
                </w:tcPr>
                <w:p w14:paraId="5F1F6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是</w:t>
                  </w:r>
                </w:p>
              </w:tc>
            </w:tr>
            <w:tr w14:paraId="6A9557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vMerge w:val="continue"/>
                  <w:tcBorders>
                    <w:tl2br w:val="nil"/>
                    <w:tr2bl w:val="nil"/>
                  </w:tcBorders>
                  <w:noWrap w:val="0"/>
                  <w:vAlign w:val="center"/>
                </w:tcPr>
                <w:p w14:paraId="38F59BB0">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090" w:type="dxa"/>
                  <w:tcBorders>
                    <w:tl2br w:val="nil"/>
                    <w:tr2bl w:val="nil"/>
                  </w:tcBorders>
                  <w:noWrap w:val="0"/>
                  <w:vAlign w:val="center"/>
                </w:tcPr>
                <w:p w14:paraId="1DB67189">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pacing w:val="5"/>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2060" w:type="dxa"/>
                  <w:vMerge w:val="continue"/>
                  <w:tcBorders>
                    <w:tl2br w:val="nil"/>
                    <w:tr2bl w:val="nil"/>
                  </w:tcBorders>
                  <w:noWrap w:val="0"/>
                  <w:vAlign w:val="center"/>
                </w:tcPr>
                <w:p w14:paraId="14BE98C9">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p>
              </w:tc>
              <w:tc>
                <w:tcPr>
                  <w:tcW w:w="983" w:type="dxa"/>
                  <w:tcBorders>
                    <w:tl2br w:val="nil"/>
                    <w:tr2bl w:val="nil"/>
                  </w:tcBorders>
                  <w:noWrap w:val="0"/>
                  <w:vAlign w:val="center"/>
                </w:tcPr>
                <w:p w14:paraId="6AA509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913" w:type="dxa"/>
                  <w:tcBorders>
                    <w:tl2br w:val="nil"/>
                    <w:tr2bl w:val="nil"/>
                  </w:tcBorders>
                  <w:noWrap w:val="0"/>
                  <w:vAlign w:val="center"/>
                </w:tcPr>
                <w:p w14:paraId="504757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710" w:type="dxa"/>
                  <w:tcBorders>
                    <w:tl2br w:val="nil"/>
                    <w:tr2bl w:val="nil"/>
                  </w:tcBorders>
                  <w:noWrap w:val="0"/>
                  <w:vAlign w:val="center"/>
                </w:tcPr>
                <w:p w14:paraId="2F24BDDA">
                  <w:pPr>
                    <w:snapToGrid w:val="0"/>
                    <w:spacing w:line="240" w:lineRule="auto"/>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30</w:t>
                  </w:r>
                </w:p>
              </w:tc>
              <w:tc>
                <w:tcPr>
                  <w:tcW w:w="902" w:type="dxa"/>
                  <w:tcBorders>
                    <w:tl2br w:val="nil"/>
                    <w:tr2bl w:val="nil"/>
                  </w:tcBorders>
                  <w:noWrap w:val="0"/>
                  <w:vAlign w:val="center"/>
                </w:tcPr>
                <w:p w14:paraId="181B92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是</w:t>
                  </w:r>
                </w:p>
              </w:tc>
            </w:tr>
            <w:tr w14:paraId="0145AF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vMerge w:val="continue"/>
                  <w:tcBorders>
                    <w:tl2br w:val="nil"/>
                    <w:tr2bl w:val="nil"/>
                  </w:tcBorders>
                  <w:noWrap w:val="0"/>
                  <w:vAlign w:val="center"/>
                </w:tcPr>
                <w:p w14:paraId="4681B59F">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090" w:type="dxa"/>
                  <w:tcBorders>
                    <w:tl2br w:val="nil"/>
                    <w:tr2bl w:val="nil"/>
                  </w:tcBorders>
                  <w:noWrap w:val="0"/>
                  <w:vAlign w:val="center"/>
                </w:tcPr>
                <w:p w14:paraId="1B87ABCB">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pacing w:val="5"/>
                      <w:sz w:val="21"/>
                      <w:szCs w:val="21"/>
                      <w:u w:val="none" w:color="auto"/>
                    </w:rPr>
                  </w:pPr>
                  <w:r>
                    <w:rPr>
                      <w:rFonts w:hint="default" w:ascii="Times New Roman" w:hAnsi="Times New Roman" w:eastAsia="宋体" w:cs="Times New Roman"/>
                      <w:color w:val="auto"/>
                      <w:sz w:val="21"/>
                      <w:szCs w:val="21"/>
                      <w:u w:val="none" w:color="auto"/>
                    </w:rPr>
                    <w:t>颗粒物</w:t>
                  </w:r>
                </w:p>
              </w:tc>
              <w:tc>
                <w:tcPr>
                  <w:tcW w:w="2060" w:type="dxa"/>
                  <w:vMerge w:val="continue"/>
                  <w:tcBorders>
                    <w:tl2br w:val="nil"/>
                    <w:tr2bl w:val="nil"/>
                  </w:tcBorders>
                  <w:noWrap w:val="0"/>
                  <w:vAlign w:val="center"/>
                </w:tcPr>
                <w:p w14:paraId="664EA59F">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p>
              </w:tc>
              <w:tc>
                <w:tcPr>
                  <w:tcW w:w="983" w:type="dxa"/>
                  <w:tcBorders>
                    <w:tl2br w:val="nil"/>
                    <w:tr2bl w:val="nil"/>
                  </w:tcBorders>
                  <w:noWrap w:val="0"/>
                  <w:vAlign w:val="center"/>
                </w:tcPr>
                <w:p w14:paraId="148AC4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913" w:type="dxa"/>
                  <w:tcBorders>
                    <w:tl2br w:val="nil"/>
                    <w:tr2bl w:val="nil"/>
                  </w:tcBorders>
                  <w:noWrap w:val="0"/>
                  <w:vAlign w:val="center"/>
                </w:tcPr>
                <w:p w14:paraId="5AFCB2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710" w:type="dxa"/>
                  <w:tcBorders>
                    <w:tl2br w:val="nil"/>
                    <w:tr2bl w:val="nil"/>
                  </w:tcBorders>
                  <w:noWrap w:val="0"/>
                  <w:vAlign w:val="center"/>
                </w:tcPr>
                <w:p w14:paraId="62C1568E">
                  <w:pPr>
                    <w:snapToGrid w:val="0"/>
                    <w:spacing w:line="240" w:lineRule="auto"/>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99</w:t>
                  </w:r>
                </w:p>
              </w:tc>
              <w:tc>
                <w:tcPr>
                  <w:tcW w:w="902" w:type="dxa"/>
                  <w:tcBorders>
                    <w:tl2br w:val="nil"/>
                    <w:tr2bl w:val="nil"/>
                  </w:tcBorders>
                  <w:noWrap w:val="0"/>
                  <w:vAlign w:val="center"/>
                </w:tcPr>
                <w:p w14:paraId="46759B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是</w:t>
                  </w:r>
                </w:p>
              </w:tc>
            </w:tr>
            <w:tr w14:paraId="2C3531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vMerge w:val="restart"/>
                  <w:tcBorders>
                    <w:tl2br w:val="nil"/>
                    <w:tr2bl w:val="nil"/>
                  </w:tcBorders>
                  <w:noWrap w:val="0"/>
                  <w:vAlign w:val="center"/>
                </w:tcPr>
                <w:p w14:paraId="479B69DB">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热风炉废气</w:t>
                  </w:r>
                </w:p>
              </w:tc>
              <w:tc>
                <w:tcPr>
                  <w:tcW w:w="1090" w:type="dxa"/>
                  <w:tcBorders>
                    <w:tl2br w:val="nil"/>
                    <w:tr2bl w:val="nil"/>
                  </w:tcBorders>
                  <w:noWrap w:val="0"/>
                  <w:vAlign w:val="center"/>
                </w:tcPr>
                <w:p w14:paraId="3968FF6A">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2060" w:type="dxa"/>
                  <w:vMerge w:val="restart"/>
                  <w:tcBorders>
                    <w:tl2br w:val="nil"/>
                    <w:tr2bl w:val="nil"/>
                  </w:tcBorders>
                  <w:noWrap w:val="0"/>
                  <w:vAlign w:val="center"/>
                </w:tcPr>
                <w:p w14:paraId="41F43A57">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低氮燃烧、</w:t>
                  </w:r>
                  <w:r>
                    <w:rPr>
                      <w:rFonts w:hint="eastAsia" w:cs="Times New Roman"/>
                      <w:color w:val="auto"/>
                      <w:sz w:val="21"/>
                      <w:szCs w:val="21"/>
                      <w:u w:val="none" w:color="auto"/>
                      <w:lang w:val="en-US" w:eastAsia="zh-CN"/>
                    </w:rPr>
                    <w:t>“</w:t>
                  </w:r>
                  <w:r>
                    <w:rPr>
                      <w:rFonts w:hint="eastAsia" w:ascii="Times New Roman" w:hAnsi="Times New Roman" w:eastAsia="宋体" w:cs="Times New Roman"/>
                      <w:color w:val="auto"/>
                      <w:sz w:val="21"/>
                      <w:szCs w:val="21"/>
                      <w:u w:val="none" w:color="auto"/>
                      <w:lang w:val="en-US" w:eastAsia="zh-CN"/>
                    </w:rPr>
                    <w:t>布袋除尘+</w:t>
                  </w:r>
                  <w:r>
                    <w:rPr>
                      <w:rFonts w:hint="eastAsia" w:cs="Times New Roman"/>
                      <w:color w:val="auto"/>
                      <w:sz w:val="21"/>
                      <w:szCs w:val="21"/>
                      <w:u w:val="none" w:color="auto"/>
                      <w:lang w:val="en-US" w:eastAsia="zh-CN"/>
                    </w:rPr>
                    <w:t>活性炭”</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1</w:t>
                  </w:r>
                  <w:r>
                    <w:rPr>
                      <w:rFonts w:hint="default" w:ascii="Times New Roman" w:hAnsi="Times New Roman" w:eastAsia="宋体" w:cs="Times New Roman"/>
                      <w:color w:val="auto"/>
                      <w:sz w:val="21"/>
                      <w:szCs w:val="21"/>
                      <w:u w:val="none" w:color="auto"/>
                    </w:rPr>
                    <w:t>5m排气筒</w:t>
                  </w:r>
                  <w:r>
                    <w:rPr>
                      <w:rFonts w:hint="default" w:ascii="Times New Roman" w:hAnsi="Times New Roman" w:eastAsia="宋体" w:cs="Times New Roman"/>
                      <w:color w:val="auto"/>
                      <w:sz w:val="21"/>
                      <w:szCs w:val="21"/>
                      <w:u w:val="none" w:color="auto"/>
                      <w:lang w:val="en-US" w:eastAsia="zh-CN"/>
                    </w:rPr>
                    <w:t>高空</w:t>
                  </w:r>
                  <w:r>
                    <w:rPr>
                      <w:rFonts w:hint="default" w:ascii="Times New Roman" w:hAnsi="Times New Roman" w:eastAsia="宋体" w:cs="Times New Roman"/>
                      <w:color w:val="auto"/>
                      <w:sz w:val="21"/>
                      <w:szCs w:val="21"/>
                      <w:u w:val="none" w:color="auto"/>
                    </w:rPr>
                    <w:t>排放</w:t>
                  </w:r>
                  <w:r>
                    <w:rPr>
                      <w:rFonts w:hint="default" w:ascii="Times New Roman" w:hAnsi="Times New Roman" w:eastAsia="宋体" w:cs="Times New Roman"/>
                      <w:color w:val="auto"/>
                      <w:sz w:val="21"/>
                      <w:szCs w:val="21"/>
                      <w:u w:val="none" w:color="auto"/>
                      <w:lang w:val="en-US" w:eastAsia="zh-CN"/>
                    </w:rPr>
                    <w:t>（</w:t>
                  </w:r>
                  <w:r>
                    <w:rPr>
                      <w:rFonts w:hint="default" w:ascii="Times New Roman" w:hAnsi="Times New Roman" w:eastAsia="宋体" w:cs="Times New Roman"/>
                      <w:color w:val="auto"/>
                      <w:sz w:val="21"/>
                      <w:szCs w:val="21"/>
                      <w:u w:val="none" w:color="auto"/>
                      <w:lang w:eastAsia="zh-CN"/>
                    </w:rPr>
                    <w:t>DA00</w:t>
                  </w:r>
                  <w:r>
                    <w:rPr>
                      <w:rFonts w:hint="eastAsia" w:ascii="Times New Roman" w:hAnsi="Times New Roman" w:eastAsia="宋体" w:cs="Times New Roman"/>
                      <w:color w:val="auto"/>
                      <w:sz w:val="21"/>
                      <w:szCs w:val="21"/>
                      <w:u w:val="none" w:color="auto"/>
                      <w:lang w:val="en-US" w:eastAsia="zh-CN"/>
                    </w:rPr>
                    <w:t>2</w:t>
                  </w:r>
                  <w:r>
                    <w:rPr>
                      <w:rFonts w:hint="default" w:ascii="Times New Roman" w:hAnsi="Times New Roman" w:eastAsia="宋体" w:cs="Times New Roman"/>
                      <w:color w:val="auto"/>
                      <w:sz w:val="21"/>
                      <w:szCs w:val="21"/>
                      <w:u w:val="none" w:color="auto"/>
                      <w:lang w:val="en-US" w:eastAsia="zh-CN"/>
                    </w:rPr>
                    <w:t>）</w:t>
                  </w:r>
                </w:p>
              </w:tc>
              <w:tc>
                <w:tcPr>
                  <w:tcW w:w="983" w:type="dxa"/>
                  <w:tcBorders>
                    <w:tl2br w:val="nil"/>
                    <w:tr2bl w:val="nil"/>
                  </w:tcBorders>
                  <w:noWrap w:val="0"/>
                  <w:vAlign w:val="center"/>
                </w:tcPr>
                <w:p w14:paraId="2297B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913" w:type="dxa"/>
                  <w:tcBorders>
                    <w:tl2br w:val="nil"/>
                    <w:tr2bl w:val="nil"/>
                  </w:tcBorders>
                  <w:noWrap w:val="0"/>
                  <w:vAlign w:val="center"/>
                </w:tcPr>
                <w:p w14:paraId="7C2DE2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710" w:type="dxa"/>
                  <w:tcBorders>
                    <w:tl2br w:val="nil"/>
                    <w:tr2bl w:val="nil"/>
                  </w:tcBorders>
                  <w:noWrap w:val="0"/>
                  <w:vAlign w:val="center"/>
                </w:tcPr>
                <w:p w14:paraId="54BA19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color="auto"/>
                      <w:lang w:val="en-US" w:eastAsia="zh-CN"/>
                    </w:rPr>
                  </w:pPr>
                  <w:r>
                    <w:rPr>
                      <w:rFonts w:hint="eastAsia" w:cs="Times New Roman"/>
                      <w:color w:val="auto"/>
                      <w:kern w:val="2"/>
                      <w:sz w:val="21"/>
                      <w:szCs w:val="21"/>
                      <w:u w:val="none" w:color="auto"/>
                      <w:lang w:val="en-US" w:eastAsia="zh-CN" w:bidi="ar-SA"/>
                    </w:rPr>
                    <w:t>90</w:t>
                  </w:r>
                </w:p>
              </w:tc>
              <w:tc>
                <w:tcPr>
                  <w:tcW w:w="902" w:type="dxa"/>
                  <w:tcBorders>
                    <w:tl2br w:val="nil"/>
                    <w:tr2bl w:val="nil"/>
                  </w:tcBorders>
                  <w:noWrap w:val="0"/>
                  <w:vAlign w:val="center"/>
                </w:tcPr>
                <w:p w14:paraId="6D1438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是</w:t>
                  </w:r>
                </w:p>
              </w:tc>
            </w:tr>
            <w:tr w14:paraId="79FE57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vMerge w:val="continue"/>
                  <w:tcBorders>
                    <w:tl2br w:val="nil"/>
                    <w:tr2bl w:val="nil"/>
                  </w:tcBorders>
                  <w:noWrap w:val="0"/>
                  <w:vAlign w:val="center"/>
                </w:tcPr>
                <w:p w14:paraId="742D8685">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090" w:type="dxa"/>
                  <w:tcBorders>
                    <w:tl2br w:val="nil"/>
                    <w:tr2bl w:val="nil"/>
                  </w:tcBorders>
                  <w:noWrap w:val="0"/>
                  <w:vAlign w:val="center"/>
                </w:tcPr>
                <w:p w14:paraId="40C1C722">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2060" w:type="dxa"/>
                  <w:vMerge w:val="continue"/>
                  <w:tcBorders>
                    <w:tl2br w:val="nil"/>
                    <w:tr2bl w:val="nil"/>
                  </w:tcBorders>
                  <w:noWrap w:val="0"/>
                  <w:vAlign w:val="center"/>
                </w:tcPr>
                <w:p w14:paraId="5AF07C5A">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p>
              </w:tc>
              <w:tc>
                <w:tcPr>
                  <w:tcW w:w="983" w:type="dxa"/>
                  <w:tcBorders>
                    <w:tl2br w:val="nil"/>
                    <w:tr2bl w:val="nil"/>
                  </w:tcBorders>
                  <w:noWrap w:val="0"/>
                  <w:vAlign w:val="center"/>
                </w:tcPr>
                <w:p w14:paraId="43E9DC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913" w:type="dxa"/>
                  <w:tcBorders>
                    <w:tl2br w:val="nil"/>
                    <w:tr2bl w:val="nil"/>
                  </w:tcBorders>
                  <w:noWrap w:val="0"/>
                  <w:vAlign w:val="center"/>
                </w:tcPr>
                <w:p w14:paraId="57AA80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710" w:type="dxa"/>
                  <w:tcBorders>
                    <w:tl2br w:val="nil"/>
                    <w:tr2bl w:val="nil"/>
                  </w:tcBorders>
                  <w:noWrap w:val="0"/>
                  <w:vAlign w:val="center"/>
                </w:tcPr>
                <w:p w14:paraId="1D14E62D">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30</w:t>
                  </w:r>
                </w:p>
              </w:tc>
              <w:tc>
                <w:tcPr>
                  <w:tcW w:w="902" w:type="dxa"/>
                  <w:tcBorders>
                    <w:tl2br w:val="nil"/>
                    <w:tr2bl w:val="nil"/>
                  </w:tcBorders>
                  <w:noWrap w:val="0"/>
                  <w:vAlign w:val="center"/>
                </w:tcPr>
                <w:p w14:paraId="7EDF8D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是</w:t>
                  </w:r>
                </w:p>
              </w:tc>
            </w:tr>
            <w:tr w14:paraId="4469BD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9" w:type="dxa"/>
                  <w:vMerge w:val="continue"/>
                  <w:tcBorders>
                    <w:tl2br w:val="nil"/>
                    <w:tr2bl w:val="nil"/>
                  </w:tcBorders>
                  <w:noWrap w:val="0"/>
                  <w:vAlign w:val="center"/>
                </w:tcPr>
                <w:p w14:paraId="06DB3261">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090" w:type="dxa"/>
                  <w:tcBorders>
                    <w:tl2br w:val="nil"/>
                    <w:tr2bl w:val="nil"/>
                  </w:tcBorders>
                  <w:noWrap w:val="0"/>
                  <w:vAlign w:val="center"/>
                </w:tcPr>
                <w:p w14:paraId="6ADF3480">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颗粒物</w:t>
                  </w:r>
                </w:p>
              </w:tc>
              <w:tc>
                <w:tcPr>
                  <w:tcW w:w="2060" w:type="dxa"/>
                  <w:vMerge w:val="continue"/>
                  <w:tcBorders>
                    <w:tl2br w:val="nil"/>
                    <w:tr2bl w:val="nil"/>
                  </w:tcBorders>
                  <w:noWrap w:val="0"/>
                  <w:vAlign w:val="center"/>
                </w:tcPr>
                <w:p w14:paraId="76FBEFA8">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p>
              </w:tc>
              <w:tc>
                <w:tcPr>
                  <w:tcW w:w="983" w:type="dxa"/>
                  <w:tcBorders>
                    <w:tl2br w:val="nil"/>
                    <w:tr2bl w:val="nil"/>
                  </w:tcBorders>
                  <w:noWrap w:val="0"/>
                  <w:vAlign w:val="center"/>
                </w:tcPr>
                <w:p w14:paraId="266179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913" w:type="dxa"/>
                  <w:tcBorders>
                    <w:tl2br w:val="nil"/>
                    <w:tr2bl w:val="nil"/>
                  </w:tcBorders>
                  <w:noWrap w:val="0"/>
                  <w:vAlign w:val="center"/>
                </w:tcPr>
                <w:p w14:paraId="21D83F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710" w:type="dxa"/>
                  <w:tcBorders>
                    <w:tl2br w:val="nil"/>
                    <w:tr2bl w:val="nil"/>
                  </w:tcBorders>
                  <w:noWrap w:val="0"/>
                  <w:vAlign w:val="center"/>
                </w:tcPr>
                <w:p w14:paraId="3421A522">
                  <w:pPr>
                    <w:snapToGri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99</w:t>
                  </w:r>
                </w:p>
              </w:tc>
              <w:tc>
                <w:tcPr>
                  <w:tcW w:w="902" w:type="dxa"/>
                  <w:tcBorders>
                    <w:tl2br w:val="nil"/>
                    <w:tr2bl w:val="nil"/>
                  </w:tcBorders>
                  <w:noWrap w:val="0"/>
                  <w:vAlign w:val="center"/>
                </w:tcPr>
                <w:p w14:paraId="299DB5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是</w:t>
                  </w:r>
                </w:p>
              </w:tc>
            </w:tr>
          </w:tbl>
          <w:p w14:paraId="215E4A63">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ascii="Times New Roman" w:hAnsi="Times New Roman" w:eastAsia="宋体" w:cs="Times New Roman"/>
                <w:b/>
                <w:color w:val="auto"/>
                <w:sz w:val="24"/>
                <w:szCs w:val="24"/>
                <w:u w:val="none" w:color="auto"/>
              </w:rPr>
            </w:pPr>
            <w:r>
              <w:rPr>
                <w:color w:val="auto"/>
                <w:sz w:val="24"/>
              </w:rPr>
              <w:t>③项目大气排放口基本情况表见表4</w:t>
            </w:r>
            <w:r>
              <w:rPr>
                <w:rFonts w:hint="eastAsia"/>
                <w:color w:val="auto"/>
                <w:sz w:val="24"/>
              </w:rPr>
              <w:t>-</w:t>
            </w:r>
            <w:r>
              <w:rPr>
                <w:rFonts w:hint="eastAsia"/>
                <w:color w:val="auto"/>
                <w:sz w:val="24"/>
                <w:lang w:val="en-US" w:eastAsia="zh-CN"/>
              </w:rPr>
              <w:t>8</w:t>
            </w:r>
            <w:r>
              <w:rPr>
                <w:color w:val="auto"/>
                <w:sz w:val="24"/>
              </w:rPr>
              <w:t>。</w:t>
            </w:r>
          </w:p>
          <w:p w14:paraId="461F5612">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color w:val="auto"/>
                <w:sz w:val="24"/>
                <w:szCs w:val="24"/>
                <w:u w:val="single" w:color="auto"/>
              </w:rPr>
            </w:pPr>
          </w:p>
          <w:p w14:paraId="3E351D35">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color w:val="auto"/>
                <w:sz w:val="24"/>
                <w:szCs w:val="24"/>
                <w:u w:val="single" w:color="auto"/>
              </w:rPr>
            </w:pPr>
          </w:p>
          <w:p w14:paraId="518006EA">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color w:val="auto"/>
                <w:sz w:val="24"/>
                <w:szCs w:val="24"/>
                <w:u w:val="single" w:color="auto"/>
              </w:rPr>
            </w:pPr>
          </w:p>
          <w:p w14:paraId="28FF5122">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表4-</w:t>
            </w:r>
            <w:r>
              <w:rPr>
                <w:rFonts w:hint="eastAsia" w:cs="Times New Roman"/>
                <w:b/>
                <w:color w:val="auto"/>
                <w:sz w:val="24"/>
                <w:szCs w:val="24"/>
                <w:u w:val="single" w:color="auto"/>
                <w:lang w:val="en-US" w:eastAsia="zh-CN"/>
              </w:rPr>
              <w:t>8</w:t>
            </w:r>
            <w:r>
              <w:rPr>
                <w:rFonts w:hint="default" w:ascii="Times New Roman" w:hAnsi="Times New Roman" w:eastAsia="宋体" w:cs="Times New Roman"/>
                <w:b/>
                <w:color w:val="auto"/>
                <w:sz w:val="24"/>
                <w:szCs w:val="24"/>
                <w:u w:val="single" w:color="auto"/>
              </w:rPr>
              <w:t xml:space="preserve"> </w:t>
            </w:r>
            <w:r>
              <w:rPr>
                <w:rFonts w:hint="eastAsia" w:cs="Times New Roman"/>
                <w:b/>
                <w:color w:val="auto"/>
                <w:sz w:val="24"/>
                <w:szCs w:val="24"/>
                <w:u w:val="single" w:color="auto"/>
                <w:lang w:val="en-US" w:eastAsia="zh-CN"/>
              </w:rPr>
              <w:t xml:space="preserve">  </w:t>
            </w:r>
            <w:r>
              <w:rPr>
                <w:rFonts w:hint="default" w:ascii="Times New Roman" w:hAnsi="Times New Roman" w:eastAsia="宋体" w:cs="Times New Roman"/>
                <w:b/>
                <w:color w:val="auto"/>
                <w:sz w:val="24"/>
                <w:szCs w:val="24"/>
                <w:u w:val="single" w:color="auto"/>
              </w:rPr>
              <w:t>项目</w:t>
            </w:r>
            <w:r>
              <w:rPr>
                <w:rFonts w:hint="default" w:ascii="Times New Roman" w:hAnsi="Times New Roman" w:eastAsia="Times New Roman" w:cs="Times New Roman"/>
                <w:b/>
                <w:bCs/>
                <w:color w:val="auto"/>
                <w:spacing w:val="5"/>
                <w:sz w:val="24"/>
                <w:szCs w:val="24"/>
                <w:u w:val="single" w:color="auto"/>
              </w:rPr>
              <w:t>排放口基本情况一览表</w:t>
            </w:r>
          </w:p>
          <w:tbl>
            <w:tblPr>
              <w:tblStyle w:val="32"/>
              <w:tblW w:w="7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343"/>
              <w:gridCol w:w="854"/>
              <w:gridCol w:w="911"/>
              <w:gridCol w:w="711"/>
              <w:gridCol w:w="704"/>
              <w:gridCol w:w="812"/>
              <w:gridCol w:w="763"/>
              <w:gridCol w:w="677"/>
              <w:gridCol w:w="846"/>
              <w:gridCol w:w="1136"/>
            </w:tblGrid>
            <w:tr w14:paraId="5C436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43" w:type="dxa"/>
                  <w:vMerge w:val="restart"/>
                  <w:tcBorders>
                    <w:tl2br w:val="nil"/>
                    <w:tr2bl w:val="nil"/>
                  </w:tcBorders>
                  <w:shd w:val="clear" w:color="auto" w:fill="auto"/>
                  <w:vAlign w:val="center"/>
                </w:tcPr>
                <w:p w14:paraId="032DFCB8">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编号</w:t>
                  </w:r>
                </w:p>
              </w:tc>
              <w:tc>
                <w:tcPr>
                  <w:tcW w:w="854" w:type="dxa"/>
                  <w:vMerge w:val="restart"/>
                  <w:tcBorders>
                    <w:tl2br w:val="nil"/>
                    <w:tr2bl w:val="nil"/>
                  </w:tcBorders>
                  <w:shd w:val="clear" w:color="auto" w:fill="auto"/>
                  <w:vAlign w:val="center"/>
                </w:tcPr>
                <w:p w14:paraId="06C91086">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污染物名称</w:t>
                  </w:r>
                </w:p>
              </w:tc>
              <w:tc>
                <w:tcPr>
                  <w:tcW w:w="911" w:type="dxa"/>
                  <w:vMerge w:val="restart"/>
                  <w:tcBorders>
                    <w:tl2br w:val="nil"/>
                    <w:tr2bl w:val="nil"/>
                  </w:tcBorders>
                  <w:shd w:val="clear" w:color="auto" w:fill="auto"/>
                  <w:vAlign w:val="center"/>
                </w:tcPr>
                <w:p w14:paraId="2965C930">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处理方式</w:t>
                  </w:r>
                </w:p>
              </w:tc>
              <w:tc>
                <w:tcPr>
                  <w:tcW w:w="2990" w:type="dxa"/>
                  <w:gridSpan w:val="4"/>
                  <w:tcBorders>
                    <w:tl2br w:val="nil"/>
                    <w:tr2bl w:val="nil"/>
                  </w:tcBorders>
                  <w:shd w:val="clear" w:color="auto" w:fill="auto"/>
                  <w:vAlign w:val="center"/>
                </w:tcPr>
                <w:p w14:paraId="4978DA45">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排放参数</w:t>
                  </w:r>
                </w:p>
              </w:tc>
              <w:tc>
                <w:tcPr>
                  <w:tcW w:w="677" w:type="dxa"/>
                  <w:vMerge w:val="restart"/>
                  <w:tcBorders>
                    <w:tl2br w:val="nil"/>
                    <w:tr2bl w:val="nil"/>
                  </w:tcBorders>
                  <w:shd w:val="clear" w:color="auto" w:fill="auto"/>
                  <w:vAlign w:val="center"/>
                </w:tcPr>
                <w:p w14:paraId="6D184CCA">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工作时间（h）</w:t>
                  </w:r>
                </w:p>
              </w:tc>
              <w:tc>
                <w:tcPr>
                  <w:tcW w:w="846" w:type="dxa"/>
                  <w:vMerge w:val="restart"/>
                  <w:tcBorders>
                    <w:tl2br w:val="nil"/>
                    <w:tr2bl w:val="nil"/>
                  </w:tcBorders>
                  <w:shd w:val="clear" w:color="auto" w:fill="auto"/>
                  <w:vAlign w:val="center"/>
                </w:tcPr>
                <w:p w14:paraId="2882DE67">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排气筒编号</w:t>
                  </w:r>
                </w:p>
              </w:tc>
              <w:tc>
                <w:tcPr>
                  <w:tcW w:w="1136" w:type="dxa"/>
                  <w:vMerge w:val="restart"/>
                  <w:tcBorders>
                    <w:tl2br w:val="nil"/>
                    <w:tr2bl w:val="nil"/>
                  </w:tcBorders>
                  <w:shd w:val="clear" w:color="auto" w:fill="auto"/>
                  <w:vAlign w:val="center"/>
                </w:tcPr>
                <w:p w14:paraId="0D23A664">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排气筒坐标</w:t>
                  </w:r>
                </w:p>
              </w:tc>
            </w:tr>
            <w:tr w14:paraId="2CEC8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7" w:hRule="atLeast"/>
              </w:trPr>
              <w:tc>
                <w:tcPr>
                  <w:tcW w:w="343" w:type="dxa"/>
                  <w:vMerge w:val="continue"/>
                  <w:tcBorders>
                    <w:tl2br w:val="nil"/>
                    <w:tr2bl w:val="nil"/>
                  </w:tcBorders>
                  <w:shd w:val="clear" w:color="auto" w:fill="auto"/>
                  <w:vAlign w:val="center"/>
                </w:tcPr>
                <w:p w14:paraId="606AB464">
                  <w:pPr>
                    <w:widowControl/>
                    <w:spacing w:line="240" w:lineRule="atLeast"/>
                    <w:jc w:val="center"/>
                    <w:rPr>
                      <w:rFonts w:hint="default" w:ascii="Times New Roman" w:hAnsi="Times New Roman" w:eastAsia="宋体" w:cs="Times New Roman"/>
                      <w:color w:val="auto"/>
                      <w:sz w:val="21"/>
                      <w:szCs w:val="21"/>
                      <w:u w:val="single" w:color="auto"/>
                    </w:rPr>
                  </w:pPr>
                </w:p>
              </w:tc>
              <w:tc>
                <w:tcPr>
                  <w:tcW w:w="854" w:type="dxa"/>
                  <w:vMerge w:val="continue"/>
                  <w:tcBorders>
                    <w:tl2br w:val="nil"/>
                    <w:tr2bl w:val="nil"/>
                  </w:tcBorders>
                  <w:shd w:val="clear" w:color="auto" w:fill="auto"/>
                  <w:vAlign w:val="center"/>
                </w:tcPr>
                <w:p w14:paraId="024F7AA8">
                  <w:pPr>
                    <w:widowControl/>
                    <w:spacing w:line="240" w:lineRule="atLeast"/>
                    <w:jc w:val="center"/>
                    <w:rPr>
                      <w:rFonts w:hint="default" w:ascii="Times New Roman" w:hAnsi="Times New Roman" w:eastAsia="宋体" w:cs="Times New Roman"/>
                      <w:color w:val="auto"/>
                      <w:sz w:val="21"/>
                      <w:szCs w:val="21"/>
                      <w:u w:val="single" w:color="auto"/>
                    </w:rPr>
                  </w:pPr>
                </w:p>
              </w:tc>
              <w:tc>
                <w:tcPr>
                  <w:tcW w:w="911" w:type="dxa"/>
                  <w:vMerge w:val="continue"/>
                  <w:tcBorders>
                    <w:tl2br w:val="nil"/>
                    <w:tr2bl w:val="nil"/>
                  </w:tcBorders>
                  <w:shd w:val="clear" w:color="auto" w:fill="auto"/>
                  <w:vAlign w:val="center"/>
                </w:tcPr>
                <w:p w14:paraId="59B28E4D">
                  <w:pPr>
                    <w:widowControl/>
                    <w:spacing w:line="240" w:lineRule="atLeast"/>
                    <w:jc w:val="center"/>
                    <w:rPr>
                      <w:rFonts w:hint="default" w:ascii="Times New Roman" w:hAnsi="Times New Roman" w:eastAsia="宋体" w:cs="Times New Roman"/>
                      <w:color w:val="auto"/>
                      <w:sz w:val="21"/>
                      <w:szCs w:val="21"/>
                      <w:u w:val="single" w:color="auto"/>
                    </w:rPr>
                  </w:pPr>
                </w:p>
              </w:tc>
              <w:tc>
                <w:tcPr>
                  <w:tcW w:w="711" w:type="dxa"/>
                  <w:tcBorders>
                    <w:tl2br w:val="nil"/>
                    <w:tr2bl w:val="nil"/>
                  </w:tcBorders>
                  <w:shd w:val="clear" w:color="auto" w:fill="auto"/>
                  <w:vAlign w:val="center"/>
                </w:tcPr>
                <w:p w14:paraId="4980C475">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高度（m）</w:t>
                  </w:r>
                </w:p>
              </w:tc>
              <w:tc>
                <w:tcPr>
                  <w:tcW w:w="704" w:type="dxa"/>
                  <w:tcBorders>
                    <w:tl2br w:val="nil"/>
                    <w:tr2bl w:val="nil"/>
                  </w:tcBorders>
                  <w:shd w:val="clear" w:color="auto" w:fill="auto"/>
                  <w:vAlign w:val="center"/>
                </w:tcPr>
                <w:p w14:paraId="318020D6">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内径（m）</w:t>
                  </w:r>
                </w:p>
              </w:tc>
              <w:tc>
                <w:tcPr>
                  <w:tcW w:w="812" w:type="dxa"/>
                  <w:tcBorders>
                    <w:tl2br w:val="nil"/>
                    <w:tr2bl w:val="nil"/>
                  </w:tcBorders>
                  <w:shd w:val="clear" w:color="auto" w:fill="auto"/>
                  <w:vAlign w:val="center"/>
                </w:tcPr>
                <w:p w14:paraId="1AC64885">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风量（</w:t>
                  </w:r>
                  <w:r>
                    <w:rPr>
                      <w:rFonts w:hint="default" w:ascii="Times New Roman" w:hAnsi="Times New Roman" w:eastAsia="宋体" w:cs="Times New Roman"/>
                      <w:color w:val="auto"/>
                      <w:spacing w:val="4"/>
                      <w:sz w:val="21"/>
                      <w:szCs w:val="21"/>
                      <w:u w:val="single" w:color="auto"/>
                    </w:rPr>
                    <w:t>万m</w:t>
                  </w:r>
                  <w:r>
                    <w:rPr>
                      <w:rFonts w:hint="default" w:ascii="Times New Roman" w:hAnsi="Times New Roman" w:eastAsia="宋体" w:cs="Times New Roman"/>
                      <w:color w:val="auto"/>
                      <w:spacing w:val="4"/>
                      <w:sz w:val="21"/>
                      <w:szCs w:val="21"/>
                      <w:u w:val="single" w:color="auto"/>
                      <w:vertAlign w:val="superscript"/>
                    </w:rPr>
                    <w:t>3</w:t>
                  </w:r>
                  <w:r>
                    <w:rPr>
                      <w:rFonts w:hint="default" w:ascii="Times New Roman" w:hAnsi="Times New Roman" w:eastAsia="宋体" w:cs="Times New Roman"/>
                      <w:color w:val="auto"/>
                      <w:spacing w:val="4"/>
                      <w:sz w:val="21"/>
                      <w:szCs w:val="21"/>
                      <w:u w:val="single" w:color="auto"/>
                    </w:rPr>
                    <w:t>/a</w:t>
                  </w:r>
                  <w:r>
                    <w:rPr>
                      <w:rFonts w:hint="default" w:ascii="Times New Roman" w:hAnsi="Times New Roman" w:eastAsia="宋体" w:cs="Times New Roman"/>
                      <w:color w:val="auto"/>
                      <w:sz w:val="21"/>
                      <w:szCs w:val="21"/>
                      <w:u w:val="single" w:color="auto"/>
                    </w:rPr>
                    <w:t>）</w:t>
                  </w:r>
                </w:p>
              </w:tc>
              <w:tc>
                <w:tcPr>
                  <w:tcW w:w="763" w:type="dxa"/>
                  <w:tcBorders>
                    <w:tl2br w:val="nil"/>
                    <w:tr2bl w:val="nil"/>
                  </w:tcBorders>
                  <w:shd w:val="clear" w:color="auto" w:fill="auto"/>
                  <w:vAlign w:val="center"/>
                </w:tcPr>
                <w:p w14:paraId="6EE8C8C3">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排放温度（℃）</w:t>
                  </w:r>
                </w:p>
              </w:tc>
              <w:tc>
                <w:tcPr>
                  <w:tcW w:w="677" w:type="dxa"/>
                  <w:vMerge w:val="continue"/>
                  <w:tcBorders>
                    <w:tl2br w:val="nil"/>
                    <w:tr2bl w:val="nil"/>
                  </w:tcBorders>
                  <w:shd w:val="clear" w:color="auto" w:fill="auto"/>
                  <w:vAlign w:val="center"/>
                </w:tcPr>
                <w:p w14:paraId="16EB6F7D">
                  <w:pPr>
                    <w:widowControl/>
                    <w:spacing w:line="240" w:lineRule="atLeast"/>
                    <w:jc w:val="center"/>
                    <w:rPr>
                      <w:rFonts w:hint="default" w:ascii="Times New Roman" w:hAnsi="Times New Roman" w:eastAsia="宋体" w:cs="Times New Roman"/>
                      <w:color w:val="auto"/>
                      <w:sz w:val="21"/>
                      <w:szCs w:val="21"/>
                      <w:u w:val="single" w:color="auto"/>
                    </w:rPr>
                  </w:pPr>
                </w:p>
              </w:tc>
              <w:tc>
                <w:tcPr>
                  <w:tcW w:w="846" w:type="dxa"/>
                  <w:vMerge w:val="continue"/>
                  <w:tcBorders>
                    <w:tl2br w:val="nil"/>
                    <w:tr2bl w:val="nil"/>
                  </w:tcBorders>
                  <w:shd w:val="clear" w:color="auto" w:fill="auto"/>
                  <w:vAlign w:val="center"/>
                </w:tcPr>
                <w:p w14:paraId="408EAEF0">
                  <w:pPr>
                    <w:widowControl/>
                    <w:spacing w:line="240" w:lineRule="atLeast"/>
                    <w:jc w:val="center"/>
                    <w:rPr>
                      <w:rFonts w:hint="default" w:ascii="Times New Roman" w:hAnsi="Times New Roman" w:eastAsia="宋体" w:cs="Times New Roman"/>
                      <w:color w:val="auto"/>
                      <w:sz w:val="21"/>
                      <w:szCs w:val="21"/>
                      <w:u w:val="single" w:color="auto"/>
                    </w:rPr>
                  </w:pPr>
                </w:p>
              </w:tc>
              <w:tc>
                <w:tcPr>
                  <w:tcW w:w="1136" w:type="dxa"/>
                  <w:vMerge w:val="continue"/>
                  <w:tcBorders>
                    <w:tl2br w:val="nil"/>
                    <w:tr2bl w:val="nil"/>
                  </w:tcBorders>
                  <w:shd w:val="clear" w:color="auto" w:fill="auto"/>
                  <w:vAlign w:val="center"/>
                </w:tcPr>
                <w:p w14:paraId="511F5373">
                  <w:pPr>
                    <w:widowControl/>
                    <w:spacing w:line="240" w:lineRule="atLeast"/>
                    <w:jc w:val="center"/>
                    <w:rPr>
                      <w:rFonts w:hint="default" w:ascii="Times New Roman" w:hAnsi="Times New Roman" w:eastAsia="宋体" w:cs="Times New Roman"/>
                      <w:color w:val="auto"/>
                      <w:sz w:val="21"/>
                      <w:szCs w:val="21"/>
                      <w:u w:val="single" w:color="auto"/>
                    </w:rPr>
                  </w:pPr>
                </w:p>
              </w:tc>
            </w:tr>
            <w:tr w14:paraId="0D536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11" w:hRule="atLeast"/>
              </w:trPr>
              <w:tc>
                <w:tcPr>
                  <w:tcW w:w="343" w:type="dxa"/>
                  <w:tcBorders>
                    <w:tl2br w:val="nil"/>
                    <w:tr2bl w:val="nil"/>
                  </w:tcBorders>
                  <w:shd w:val="clear" w:color="auto" w:fill="auto"/>
                  <w:vAlign w:val="center"/>
                </w:tcPr>
                <w:p w14:paraId="79970400">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w:t>
                  </w:r>
                </w:p>
              </w:tc>
              <w:tc>
                <w:tcPr>
                  <w:tcW w:w="854" w:type="dxa"/>
                  <w:tcBorders>
                    <w:tl2br w:val="nil"/>
                    <w:tr2bl w:val="nil"/>
                  </w:tcBorders>
                  <w:shd w:val="clear" w:color="auto" w:fill="auto"/>
                  <w:vAlign w:val="center"/>
                </w:tcPr>
                <w:p w14:paraId="3F252AD7">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蒸汽发生器废气</w:t>
                  </w:r>
                </w:p>
              </w:tc>
              <w:tc>
                <w:tcPr>
                  <w:tcW w:w="911" w:type="dxa"/>
                  <w:tcBorders>
                    <w:tl2br w:val="nil"/>
                    <w:tr2bl w:val="nil"/>
                  </w:tcBorders>
                  <w:shd w:val="clear" w:color="auto" w:fill="auto"/>
                  <w:vAlign w:val="center"/>
                </w:tcPr>
                <w:p w14:paraId="779E5407">
                  <w:pPr>
                    <w:widowControl/>
                    <w:spacing w:line="240" w:lineRule="atLeast"/>
                    <w:jc w:val="center"/>
                    <w:rPr>
                      <w:rFonts w:hint="default" w:cs="Times New Roman"/>
                      <w:color w:val="auto"/>
                      <w:sz w:val="21"/>
                      <w:szCs w:val="21"/>
                      <w:u w:val="single" w:color="auto"/>
                      <w:lang w:val="en-US" w:eastAsia="zh-CN"/>
                    </w:rPr>
                  </w:pPr>
                  <w:r>
                    <w:rPr>
                      <w:rFonts w:hint="default" w:cs="Times New Roman"/>
                      <w:color w:val="auto"/>
                      <w:sz w:val="21"/>
                      <w:szCs w:val="21"/>
                      <w:u w:val="single" w:color="auto"/>
                      <w:lang w:val="en-US" w:eastAsia="zh-CN"/>
                    </w:rPr>
                    <w:t>低氮燃烧、</w:t>
                  </w:r>
                  <w:r>
                    <w:rPr>
                      <w:rFonts w:hint="eastAsia" w:cs="Times New Roman"/>
                      <w:color w:val="auto"/>
                      <w:sz w:val="21"/>
                      <w:szCs w:val="21"/>
                      <w:u w:val="single" w:color="auto"/>
                      <w:lang w:val="en-US" w:eastAsia="zh-CN"/>
                    </w:rPr>
                    <w:t>布袋</w:t>
                  </w:r>
                  <w:r>
                    <w:rPr>
                      <w:rFonts w:hint="default" w:cs="Times New Roman"/>
                      <w:color w:val="auto"/>
                      <w:sz w:val="21"/>
                      <w:szCs w:val="21"/>
                      <w:u w:val="single" w:color="auto"/>
                      <w:lang w:val="en-US" w:eastAsia="zh-CN"/>
                    </w:rPr>
                    <w:t>除尘</w:t>
                  </w:r>
                </w:p>
              </w:tc>
              <w:tc>
                <w:tcPr>
                  <w:tcW w:w="711" w:type="dxa"/>
                  <w:tcBorders>
                    <w:tl2br w:val="nil"/>
                    <w:tr2bl w:val="nil"/>
                  </w:tcBorders>
                  <w:shd w:val="clear" w:color="auto" w:fill="auto"/>
                  <w:vAlign w:val="center"/>
                </w:tcPr>
                <w:p w14:paraId="50D94D4C">
                  <w:pPr>
                    <w:widowControl/>
                    <w:spacing w:line="240" w:lineRule="atLeast"/>
                    <w:jc w:val="center"/>
                    <w:rPr>
                      <w:rFonts w:hint="default" w:ascii="Times New Roman" w:hAnsi="Times New Roman" w:eastAsia="宋体" w:cs="Times New Roman"/>
                      <w:color w:val="auto"/>
                      <w:sz w:val="21"/>
                      <w:szCs w:val="21"/>
                      <w:u w:val="single" w:color="auto"/>
                      <w:lang w:eastAsia="zh-CN"/>
                    </w:rPr>
                  </w:pPr>
                  <w:r>
                    <w:rPr>
                      <w:rFonts w:hint="eastAsia" w:cs="Times New Roman"/>
                      <w:color w:val="auto"/>
                      <w:sz w:val="21"/>
                      <w:szCs w:val="21"/>
                      <w:u w:val="single" w:color="auto"/>
                      <w:lang w:val="en-US" w:eastAsia="zh-CN"/>
                    </w:rPr>
                    <w:t>1</w:t>
                  </w:r>
                  <w:r>
                    <w:rPr>
                      <w:rFonts w:hint="default" w:ascii="Times New Roman" w:hAnsi="Times New Roman" w:eastAsia="宋体" w:cs="Times New Roman"/>
                      <w:color w:val="auto"/>
                      <w:sz w:val="21"/>
                      <w:szCs w:val="21"/>
                      <w:u w:val="single" w:color="auto"/>
                      <w:lang w:val="en-US" w:eastAsia="zh-CN"/>
                    </w:rPr>
                    <w:t>5</w:t>
                  </w:r>
                </w:p>
              </w:tc>
              <w:tc>
                <w:tcPr>
                  <w:tcW w:w="704" w:type="dxa"/>
                  <w:tcBorders>
                    <w:tl2br w:val="nil"/>
                    <w:tr2bl w:val="nil"/>
                  </w:tcBorders>
                  <w:shd w:val="clear" w:color="auto" w:fill="auto"/>
                  <w:vAlign w:val="center"/>
                </w:tcPr>
                <w:p w14:paraId="4451EA0C">
                  <w:pPr>
                    <w:widowControl/>
                    <w:spacing w:line="240" w:lineRule="atLeast"/>
                    <w:jc w:val="center"/>
                    <w:rPr>
                      <w:rFonts w:hint="eastAsia"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0.</w:t>
                  </w:r>
                  <w:r>
                    <w:rPr>
                      <w:rFonts w:hint="eastAsia" w:cs="Times New Roman"/>
                      <w:color w:val="auto"/>
                      <w:sz w:val="21"/>
                      <w:szCs w:val="21"/>
                      <w:u w:val="single" w:color="auto"/>
                      <w:lang w:val="en-US" w:eastAsia="zh-CN"/>
                    </w:rPr>
                    <w:t>3</w:t>
                  </w:r>
                </w:p>
              </w:tc>
              <w:tc>
                <w:tcPr>
                  <w:tcW w:w="812" w:type="dxa"/>
                  <w:tcBorders>
                    <w:tl2br w:val="nil"/>
                    <w:tr2bl w:val="nil"/>
                  </w:tcBorders>
                  <w:shd w:val="clear" w:color="auto" w:fill="auto"/>
                  <w:vAlign w:val="center"/>
                </w:tcPr>
                <w:p w14:paraId="7246CE0C">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289.49</w:t>
                  </w:r>
                </w:p>
              </w:tc>
              <w:tc>
                <w:tcPr>
                  <w:tcW w:w="763" w:type="dxa"/>
                  <w:tcBorders>
                    <w:tl2br w:val="nil"/>
                    <w:tr2bl w:val="nil"/>
                  </w:tcBorders>
                  <w:shd w:val="clear" w:color="auto" w:fill="auto"/>
                  <w:vAlign w:val="center"/>
                </w:tcPr>
                <w:p w14:paraId="550D56BC">
                  <w:pPr>
                    <w:widowControl/>
                    <w:spacing w:line="240" w:lineRule="atLeast"/>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70</w:t>
                  </w:r>
                </w:p>
              </w:tc>
              <w:tc>
                <w:tcPr>
                  <w:tcW w:w="677" w:type="dxa"/>
                  <w:tcBorders>
                    <w:tl2br w:val="nil"/>
                    <w:tr2bl w:val="nil"/>
                  </w:tcBorders>
                  <w:shd w:val="clear" w:color="auto" w:fill="auto"/>
                  <w:vAlign w:val="center"/>
                </w:tcPr>
                <w:p w14:paraId="223A07C9">
                  <w:pPr>
                    <w:widowControl/>
                    <w:spacing w:line="240" w:lineRule="atLeast"/>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1200</w:t>
                  </w:r>
                </w:p>
              </w:tc>
              <w:tc>
                <w:tcPr>
                  <w:tcW w:w="846" w:type="dxa"/>
                  <w:tcBorders>
                    <w:tl2br w:val="nil"/>
                    <w:tr2bl w:val="nil"/>
                  </w:tcBorders>
                  <w:shd w:val="clear" w:color="auto" w:fill="auto"/>
                  <w:vAlign w:val="center"/>
                </w:tcPr>
                <w:p w14:paraId="5F345525">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DA001</w:t>
                  </w:r>
                </w:p>
              </w:tc>
              <w:tc>
                <w:tcPr>
                  <w:tcW w:w="1136" w:type="dxa"/>
                  <w:tcBorders>
                    <w:tl2br w:val="nil"/>
                    <w:tr2bl w:val="nil"/>
                  </w:tcBorders>
                  <w:shd w:val="clear" w:color="auto" w:fill="auto"/>
                  <w:vAlign w:val="center"/>
                </w:tcPr>
                <w:p w14:paraId="5216BFD5">
                  <w:pPr>
                    <w:widowControl/>
                    <w:spacing w:line="240" w:lineRule="atLeast"/>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110.53019</w:t>
                  </w:r>
                </w:p>
                <w:p w14:paraId="32606CDD">
                  <w:pPr>
                    <w:widowControl/>
                    <w:spacing w:line="240" w:lineRule="atLeast"/>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27.41647</w:t>
                  </w:r>
                </w:p>
              </w:tc>
            </w:tr>
            <w:tr w14:paraId="3D781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7" w:hRule="atLeast"/>
              </w:trPr>
              <w:tc>
                <w:tcPr>
                  <w:tcW w:w="343" w:type="dxa"/>
                  <w:tcBorders>
                    <w:tl2br w:val="nil"/>
                    <w:tr2bl w:val="nil"/>
                  </w:tcBorders>
                  <w:shd w:val="clear" w:color="auto" w:fill="auto"/>
                  <w:vAlign w:val="center"/>
                </w:tcPr>
                <w:p w14:paraId="76250CFE">
                  <w:pPr>
                    <w:widowControl/>
                    <w:spacing w:line="240" w:lineRule="atLeast"/>
                    <w:jc w:val="center"/>
                    <w:rPr>
                      <w:rFonts w:hint="eastAsia"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2</w:t>
                  </w:r>
                </w:p>
              </w:tc>
              <w:tc>
                <w:tcPr>
                  <w:tcW w:w="854" w:type="dxa"/>
                  <w:tcBorders>
                    <w:tl2br w:val="nil"/>
                    <w:tr2bl w:val="nil"/>
                  </w:tcBorders>
                  <w:shd w:val="clear" w:color="auto" w:fill="auto"/>
                  <w:vAlign w:val="center"/>
                </w:tcPr>
                <w:p w14:paraId="631A0FD6">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eastAsia" w:cs="Times New Roman"/>
                      <w:color w:val="auto"/>
                      <w:sz w:val="21"/>
                      <w:szCs w:val="21"/>
                      <w:u w:val="single" w:color="auto"/>
                      <w:lang w:val="en-US" w:eastAsia="zh-CN"/>
                    </w:rPr>
                  </w:pPr>
                  <w:r>
                    <w:rPr>
                      <w:rFonts w:hint="eastAsia" w:cs="Times New Roman"/>
                      <w:color w:val="auto"/>
                      <w:sz w:val="21"/>
                      <w:szCs w:val="21"/>
                      <w:u w:val="single" w:color="auto"/>
                      <w:lang w:val="en-US" w:eastAsia="zh-CN"/>
                    </w:rPr>
                    <w:t>热风炉废气</w:t>
                  </w:r>
                </w:p>
              </w:tc>
              <w:tc>
                <w:tcPr>
                  <w:tcW w:w="911" w:type="dxa"/>
                  <w:tcBorders>
                    <w:tl2br w:val="nil"/>
                    <w:tr2bl w:val="nil"/>
                  </w:tcBorders>
                  <w:shd w:val="clear" w:color="auto" w:fill="auto"/>
                  <w:vAlign w:val="center"/>
                </w:tcPr>
                <w:p w14:paraId="324BD047">
                  <w:pPr>
                    <w:widowControl/>
                    <w:spacing w:line="240" w:lineRule="atLeast"/>
                    <w:jc w:val="center"/>
                    <w:rPr>
                      <w:rFonts w:hint="default" w:cs="Times New Roman"/>
                      <w:color w:val="auto"/>
                      <w:sz w:val="21"/>
                      <w:szCs w:val="21"/>
                      <w:u w:val="single" w:color="auto"/>
                      <w:lang w:val="en-US" w:eastAsia="zh-CN"/>
                    </w:rPr>
                  </w:pPr>
                  <w:r>
                    <w:rPr>
                      <w:rFonts w:hint="default" w:cs="Times New Roman"/>
                      <w:color w:val="auto"/>
                      <w:sz w:val="21"/>
                      <w:szCs w:val="21"/>
                      <w:u w:val="single" w:color="auto"/>
                      <w:lang w:val="en-US" w:eastAsia="zh-CN"/>
                    </w:rPr>
                    <w:t>低氮燃烧、</w:t>
                  </w:r>
                  <w:r>
                    <w:rPr>
                      <w:rFonts w:hint="eastAsia" w:cs="Times New Roman"/>
                      <w:color w:val="auto"/>
                      <w:sz w:val="21"/>
                      <w:szCs w:val="21"/>
                      <w:u w:val="single" w:color="auto"/>
                      <w:lang w:val="en-US" w:eastAsia="zh-CN"/>
                    </w:rPr>
                    <w:t>布袋</w:t>
                  </w:r>
                  <w:r>
                    <w:rPr>
                      <w:rFonts w:hint="default" w:cs="Times New Roman"/>
                      <w:color w:val="auto"/>
                      <w:sz w:val="21"/>
                      <w:szCs w:val="21"/>
                      <w:u w:val="single" w:color="auto"/>
                      <w:lang w:val="en-US" w:eastAsia="zh-CN"/>
                    </w:rPr>
                    <w:t>除尘</w:t>
                  </w:r>
                  <w:r>
                    <w:rPr>
                      <w:rFonts w:hint="eastAsia" w:cs="Times New Roman"/>
                      <w:color w:val="auto"/>
                      <w:sz w:val="21"/>
                      <w:szCs w:val="21"/>
                      <w:u w:val="single" w:color="auto"/>
                      <w:lang w:val="en-US" w:eastAsia="zh-CN"/>
                    </w:rPr>
                    <w:t>、活性炭</w:t>
                  </w:r>
                </w:p>
              </w:tc>
              <w:tc>
                <w:tcPr>
                  <w:tcW w:w="711" w:type="dxa"/>
                  <w:tcBorders>
                    <w:tl2br w:val="nil"/>
                    <w:tr2bl w:val="nil"/>
                  </w:tcBorders>
                  <w:shd w:val="clear" w:color="auto" w:fill="auto"/>
                  <w:vAlign w:val="center"/>
                </w:tcPr>
                <w:p w14:paraId="651C36CD">
                  <w:pPr>
                    <w:widowControl/>
                    <w:spacing w:line="240" w:lineRule="atLeast"/>
                    <w:jc w:val="center"/>
                    <w:rPr>
                      <w:rFonts w:hint="eastAsia" w:cs="Times New Roman"/>
                      <w:color w:val="auto"/>
                      <w:sz w:val="21"/>
                      <w:szCs w:val="21"/>
                      <w:u w:val="single" w:color="auto"/>
                      <w:lang w:val="en-US" w:eastAsia="zh-CN"/>
                    </w:rPr>
                  </w:pPr>
                  <w:r>
                    <w:rPr>
                      <w:rFonts w:hint="eastAsia" w:cs="Times New Roman"/>
                      <w:color w:val="auto"/>
                      <w:sz w:val="21"/>
                      <w:szCs w:val="21"/>
                      <w:u w:val="single" w:color="auto"/>
                      <w:lang w:val="en-US" w:eastAsia="zh-CN"/>
                    </w:rPr>
                    <w:t>1</w:t>
                  </w:r>
                  <w:r>
                    <w:rPr>
                      <w:rFonts w:hint="default" w:ascii="Times New Roman" w:hAnsi="Times New Roman" w:eastAsia="宋体" w:cs="Times New Roman"/>
                      <w:color w:val="auto"/>
                      <w:sz w:val="21"/>
                      <w:szCs w:val="21"/>
                      <w:u w:val="single" w:color="auto"/>
                      <w:lang w:val="en-US" w:eastAsia="zh-CN"/>
                    </w:rPr>
                    <w:t>5</w:t>
                  </w:r>
                </w:p>
              </w:tc>
              <w:tc>
                <w:tcPr>
                  <w:tcW w:w="704" w:type="dxa"/>
                  <w:tcBorders>
                    <w:tl2br w:val="nil"/>
                    <w:tr2bl w:val="nil"/>
                  </w:tcBorders>
                  <w:shd w:val="clear" w:color="auto" w:fill="auto"/>
                  <w:vAlign w:val="center"/>
                </w:tcPr>
                <w:p w14:paraId="0316AA46">
                  <w:pPr>
                    <w:widowControl/>
                    <w:spacing w:line="240" w:lineRule="atLeas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0.</w:t>
                  </w:r>
                  <w:r>
                    <w:rPr>
                      <w:rFonts w:hint="eastAsia" w:cs="Times New Roman"/>
                      <w:color w:val="auto"/>
                      <w:sz w:val="21"/>
                      <w:szCs w:val="21"/>
                      <w:u w:val="single" w:color="auto"/>
                      <w:lang w:val="en-US" w:eastAsia="zh-CN"/>
                    </w:rPr>
                    <w:t>3</w:t>
                  </w:r>
                </w:p>
              </w:tc>
              <w:tc>
                <w:tcPr>
                  <w:tcW w:w="812" w:type="dxa"/>
                  <w:tcBorders>
                    <w:tl2br w:val="nil"/>
                    <w:tr2bl w:val="nil"/>
                  </w:tcBorders>
                  <w:shd w:val="clear" w:color="auto" w:fill="auto"/>
                  <w:vAlign w:val="center"/>
                </w:tcPr>
                <w:p w14:paraId="3351EFF9">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eastAsia" w:cs="Times New Roman"/>
                      <w:color w:val="auto"/>
                      <w:sz w:val="21"/>
                      <w:szCs w:val="21"/>
                      <w:u w:val="single" w:color="auto"/>
                      <w:lang w:val="en-US" w:eastAsia="zh-CN"/>
                    </w:rPr>
                  </w:pPr>
                  <w:r>
                    <w:rPr>
                      <w:rFonts w:hint="eastAsia" w:cs="Times New Roman"/>
                      <w:color w:val="auto"/>
                      <w:sz w:val="21"/>
                      <w:szCs w:val="21"/>
                      <w:u w:val="single" w:color="auto"/>
                      <w:lang w:val="en-US" w:eastAsia="zh-CN"/>
                    </w:rPr>
                    <w:t>143.86</w:t>
                  </w:r>
                </w:p>
              </w:tc>
              <w:tc>
                <w:tcPr>
                  <w:tcW w:w="763" w:type="dxa"/>
                  <w:tcBorders>
                    <w:tl2br w:val="nil"/>
                    <w:tr2bl w:val="nil"/>
                  </w:tcBorders>
                  <w:shd w:val="clear" w:color="auto" w:fill="auto"/>
                  <w:vAlign w:val="center"/>
                </w:tcPr>
                <w:p w14:paraId="1B8B2E3B">
                  <w:pPr>
                    <w:widowControl/>
                    <w:spacing w:line="240" w:lineRule="atLeast"/>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70</w:t>
                  </w:r>
                </w:p>
              </w:tc>
              <w:tc>
                <w:tcPr>
                  <w:tcW w:w="677" w:type="dxa"/>
                  <w:tcBorders>
                    <w:tl2br w:val="nil"/>
                    <w:tr2bl w:val="nil"/>
                  </w:tcBorders>
                  <w:shd w:val="clear" w:color="auto" w:fill="auto"/>
                  <w:vAlign w:val="center"/>
                </w:tcPr>
                <w:p w14:paraId="33201977">
                  <w:pPr>
                    <w:widowControl/>
                    <w:spacing w:line="240" w:lineRule="atLeast"/>
                    <w:jc w:val="center"/>
                    <w:rPr>
                      <w:rFonts w:hint="eastAsia" w:cs="Times New Roman"/>
                      <w:color w:val="auto"/>
                      <w:sz w:val="21"/>
                      <w:szCs w:val="21"/>
                      <w:u w:val="single" w:color="auto"/>
                      <w:lang w:val="en-US" w:eastAsia="zh-CN"/>
                    </w:rPr>
                  </w:pPr>
                  <w:r>
                    <w:rPr>
                      <w:rFonts w:hint="eastAsia" w:cs="Times New Roman"/>
                      <w:color w:val="auto"/>
                      <w:sz w:val="21"/>
                      <w:szCs w:val="21"/>
                      <w:u w:val="single" w:color="auto"/>
                      <w:lang w:val="en-US" w:eastAsia="zh-CN"/>
                    </w:rPr>
                    <w:t>1200</w:t>
                  </w:r>
                </w:p>
              </w:tc>
              <w:tc>
                <w:tcPr>
                  <w:tcW w:w="846" w:type="dxa"/>
                  <w:tcBorders>
                    <w:tl2br w:val="nil"/>
                    <w:tr2bl w:val="nil"/>
                  </w:tcBorders>
                  <w:shd w:val="clear" w:color="auto" w:fill="auto"/>
                  <w:vAlign w:val="center"/>
                </w:tcPr>
                <w:p w14:paraId="3064D5D2">
                  <w:pPr>
                    <w:widowControl/>
                    <w:spacing w:line="240" w:lineRule="atLeast"/>
                    <w:jc w:val="center"/>
                    <w:rPr>
                      <w:rFonts w:hint="eastAsia"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DA00</w:t>
                  </w:r>
                  <w:r>
                    <w:rPr>
                      <w:rFonts w:hint="eastAsia" w:ascii="Times New Roman" w:hAnsi="Times New Roman" w:eastAsia="宋体" w:cs="Times New Roman"/>
                      <w:color w:val="auto"/>
                      <w:sz w:val="21"/>
                      <w:szCs w:val="21"/>
                      <w:u w:val="single" w:color="auto"/>
                      <w:lang w:val="en-US" w:eastAsia="zh-CN"/>
                    </w:rPr>
                    <w:t>2</w:t>
                  </w:r>
                </w:p>
              </w:tc>
              <w:tc>
                <w:tcPr>
                  <w:tcW w:w="1136" w:type="dxa"/>
                  <w:tcBorders>
                    <w:tl2br w:val="nil"/>
                    <w:tr2bl w:val="nil"/>
                  </w:tcBorders>
                  <w:shd w:val="clear" w:color="auto" w:fill="auto"/>
                  <w:vAlign w:val="center"/>
                </w:tcPr>
                <w:p w14:paraId="2A6B88A7">
                  <w:pPr>
                    <w:widowControl/>
                    <w:spacing w:line="240" w:lineRule="atLeast"/>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110.53012</w:t>
                  </w:r>
                </w:p>
                <w:p w14:paraId="57C292B0">
                  <w:pPr>
                    <w:widowControl/>
                    <w:spacing w:line="240" w:lineRule="atLeast"/>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27.41645</w:t>
                  </w:r>
                </w:p>
              </w:tc>
            </w:tr>
          </w:tbl>
          <w:p w14:paraId="2372D3B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szCs w:val="24"/>
                <w:u w:val="none" w:color="auto"/>
              </w:rPr>
            </w:pPr>
            <w:r>
              <w:rPr>
                <w:color w:val="auto"/>
                <w:sz w:val="24"/>
              </w:rPr>
              <w:t>④项目大气污染物排放量核算见表4</w:t>
            </w:r>
            <w:r>
              <w:rPr>
                <w:rFonts w:hint="eastAsia"/>
                <w:color w:val="auto"/>
                <w:sz w:val="24"/>
              </w:rPr>
              <w:t>-</w:t>
            </w:r>
            <w:r>
              <w:rPr>
                <w:rFonts w:hint="eastAsia"/>
                <w:color w:val="auto"/>
                <w:sz w:val="24"/>
                <w:lang w:val="en-US" w:eastAsia="zh-CN"/>
              </w:rPr>
              <w:t>9~表4-10</w:t>
            </w:r>
            <w:r>
              <w:rPr>
                <w:color w:val="auto"/>
                <w:sz w:val="24"/>
              </w:rPr>
              <w:t>。</w:t>
            </w:r>
          </w:p>
          <w:p w14:paraId="33AF43EE">
            <w:pPr>
              <w:spacing w:line="240" w:lineRule="auto"/>
              <w:jc w:val="center"/>
              <w:rPr>
                <w:rFonts w:hint="default" w:ascii="Times New Roman" w:hAnsi="Times New Roman" w:eastAsia="宋体" w:cs="Times New Roman"/>
                <w:b/>
                <w:color w:val="auto"/>
                <w:sz w:val="24"/>
                <w:szCs w:val="24"/>
                <w:u w:val="none" w:color="auto"/>
              </w:rPr>
            </w:pPr>
            <w:r>
              <w:rPr>
                <w:rFonts w:hint="default" w:ascii="Times New Roman" w:hAnsi="Times New Roman" w:eastAsia="宋体" w:cs="Times New Roman"/>
                <w:b/>
                <w:color w:val="auto"/>
                <w:sz w:val="24"/>
                <w:szCs w:val="24"/>
                <w:u w:val="none" w:color="auto"/>
              </w:rPr>
              <w:t>表4-</w:t>
            </w:r>
            <w:r>
              <w:rPr>
                <w:rFonts w:hint="eastAsia" w:cs="Times New Roman"/>
                <w:b/>
                <w:color w:val="auto"/>
                <w:sz w:val="24"/>
                <w:szCs w:val="24"/>
                <w:u w:val="none" w:color="auto"/>
                <w:lang w:val="en-US" w:eastAsia="zh-CN"/>
              </w:rPr>
              <w:t>9</w:t>
            </w:r>
            <w:r>
              <w:rPr>
                <w:rFonts w:hint="eastAsia" w:ascii="Times New Roman" w:hAnsi="Times New Roman" w:eastAsia="宋体" w:cs="Times New Roman"/>
                <w:b/>
                <w:color w:val="auto"/>
                <w:sz w:val="24"/>
                <w:szCs w:val="24"/>
                <w:u w:val="none" w:color="auto"/>
                <w:lang w:val="en-US" w:eastAsia="zh-CN"/>
              </w:rPr>
              <w:t xml:space="preserve">  </w:t>
            </w:r>
            <w:r>
              <w:rPr>
                <w:rFonts w:hint="default" w:ascii="Times New Roman" w:hAnsi="Times New Roman" w:eastAsia="宋体" w:cs="Times New Roman"/>
                <w:b/>
                <w:color w:val="auto"/>
                <w:sz w:val="24"/>
                <w:szCs w:val="24"/>
                <w:u w:val="none" w:color="auto"/>
              </w:rPr>
              <w:t xml:space="preserve"> 项目大气污染物有组织排放量核算表</w:t>
            </w:r>
          </w:p>
          <w:tbl>
            <w:tblPr>
              <w:tblStyle w:val="32"/>
              <w:tblW w:w="78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77"/>
              <w:gridCol w:w="1472"/>
              <w:gridCol w:w="1463"/>
              <w:gridCol w:w="1496"/>
              <w:gridCol w:w="1270"/>
              <w:gridCol w:w="1352"/>
            </w:tblGrid>
            <w:tr w14:paraId="20820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 w:type="dxa"/>
                  <w:bottom w:w="0" w:type="dxa"/>
                  <w:right w:w="10" w:type="dxa"/>
                </w:tblCellMar>
              </w:tblPrEx>
              <w:trPr>
                <w:trHeight w:val="397" w:hRule="atLeast"/>
                <w:jc w:val="center"/>
              </w:trPr>
              <w:tc>
                <w:tcPr>
                  <w:tcW w:w="777" w:type="dxa"/>
                  <w:tcBorders>
                    <w:tl2br w:val="nil"/>
                    <w:tr2bl w:val="nil"/>
                  </w:tcBorders>
                  <w:shd w:val="clear" w:color="auto" w:fill="auto"/>
                  <w:vAlign w:val="center"/>
                </w:tcPr>
                <w:p w14:paraId="60B502AF">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序号</w:t>
                  </w:r>
                </w:p>
              </w:tc>
              <w:tc>
                <w:tcPr>
                  <w:tcW w:w="1472" w:type="dxa"/>
                  <w:tcBorders>
                    <w:tl2br w:val="nil"/>
                    <w:tr2bl w:val="nil"/>
                  </w:tcBorders>
                  <w:shd w:val="clear" w:color="auto" w:fill="auto"/>
                  <w:vAlign w:val="center"/>
                </w:tcPr>
                <w:p w14:paraId="1F4526EB">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排放口编号</w:t>
                  </w:r>
                </w:p>
              </w:tc>
              <w:tc>
                <w:tcPr>
                  <w:tcW w:w="1463" w:type="dxa"/>
                  <w:tcBorders>
                    <w:tl2br w:val="nil"/>
                    <w:tr2bl w:val="nil"/>
                  </w:tcBorders>
                  <w:shd w:val="clear" w:color="auto" w:fill="auto"/>
                  <w:vAlign w:val="center"/>
                </w:tcPr>
                <w:p w14:paraId="56420579">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污染物</w:t>
                  </w:r>
                </w:p>
              </w:tc>
              <w:tc>
                <w:tcPr>
                  <w:tcW w:w="1496" w:type="dxa"/>
                  <w:tcBorders>
                    <w:tl2br w:val="nil"/>
                    <w:tr2bl w:val="nil"/>
                  </w:tcBorders>
                  <w:shd w:val="clear" w:color="auto" w:fill="auto"/>
                  <w:vAlign w:val="center"/>
                </w:tcPr>
                <w:p w14:paraId="19A712A3">
                  <w:pPr>
                    <w:pStyle w:val="94"/>
                    <w:spacing w:line="240" w:lineRule="atLeast"/>
                    <w:jc w:val="center"/>
                    <w:rPr>
                      <w:rFonts w:hint="eastAsia"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核算排放浓度/</w:t>
                  </w:r>
                  <w:r>
                    <w:rPr>
                      <w:rFonts w:hint="eastAsia" w:ascii="Times New Roman" w:hAnsi="Times New Roman" w:cs="Times New Roman"/>
                      <w:color w:val="auto"/>
                      <w:sz w:val="21"/>
                      <w:szCs w:val="21"/>
                      <w:u w:val="none" w:color="auto"/>
                      <w:lang w:val="en-US" w:eastAsia="zh-CN" w:bidi="en-US"/>
                    </w:rPr>
                    <w:t>（</w:t>
                  </w:r>
                  <w:r>
                    <w:rPr>
                      <w:rFonts w:hint="default" w:ascii="Times New Roman" w:hAnsi="Times New Roman" w:cs="Times New Roman"/>
                      <w:color w:val="auto"/>
                      <w:sz w:val="21"/>
                      <w:szCs w:val="21"/>
                      <w:u w:val="none" w:color="auto"/>
                      <w:lang w:val="en-US" w:eastAsia="en-US" w:bidi="en-US"/>
                    </w:rPr>
                    <w:t>mg/m</w:t>
                  </w:r>
                  <w:r>
                    <w:rPr>
                      <w:rFonts w:hint="default" w:ascii="Times New Roman" w:hAnsi="Times New Roman" w:cs="Times New Roman"/>
                      <w:color w:val="auto"/>
                      <w:sz w:val="21"/>
                      <w:szCs w:val="21"/>
                      <w:u w:val="none" w:color="auto"/>
                      <w:vertAlign w:val="superscript"/>
                      <w:lang w:val="en-US" w:eastAsia="en-US" w:bidi="en-US"/>
                    </w:rPr>
                    <w:t>3</w:t>
                  </w:r>
                  <w:r>
                    <w:rPr>
                      <w:rFonts w:hint="eastAsia" w:ascii="Times New Roman" w:hAnsi="Times New Roman" w:cs="Times New Roman"/>
                      <w:color w:val="auto"/>
                      <w:sz w:val="21"/>
                      <w:szCs w:val="21"/>
                      <w:u w:val="none" w:color="auto"/>
                      <w:lang w:val="en-US" w:eastAsia="zh-CN" w:bidi="en-US"/>
                    </w:rPr>
                    <w:t>）</w:t>
                  </w:r>
                </w:p>
              </w:tc>
              <w:tc>
                <w:tcPr>
                  <w:tcW w:w="1270" w:type="dxa"/>
                  <w:tcBorders>
                    <w:tl2br w:val="nil"/>
                    <w:tr2bl w:val="nil"/>
                  </w:tcBorders>
                  <w:shd w:val="clear" w:color="auto" w:fill="auto"/>
                  <w:vAlign w:val="center"/>
                </w:tcPr>
                <w:p w14:paraId="190D702A">
                  <w:pPr>
                    <w:pStyle w:val="94"/>
                    <w:spacing w:line="240" w:lineRule="atLeast"/>
                    <w:jc w:val="center"/>
                    <w:rPr>
                      <w:rFonts w:hint="eastAsia"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核算排放速率/</w:t>
                  </w:r>
                  <w:r>
                    <w:rPr>
                      <w:rFonts w:hint="eastAsia" w:ascii="Times New Roman" w:hAnsi="Times New Roman" w:cs="Times New Roman"/>
                      <w:color w:val="auto"/>
                      <w:sz w:val="21"/>
                      <w:szCs w:val="21"/>
                      <w:u w:val="none" w:color="auto"/>
                      <w:lang w:val="en-US" w:eastAsia="zh-CN" w:bidi="en-US"/>
                    </w:rPr>
                    <w:t>（</w:t>
                  </w:r>
                  <w:r>
                    <w:rPr>
                      <w:rFonts w:hint="default" w:ascii="Times New Roman" w:hAnsi="Times New Roman" w:cs="Times New Roman"/>
                      <w:color w:val="auto"/>
                      <w:sz w:val="21"/>
                      <w:szCs w:val="21"/>
                      <w:u w:val="none" w:color="auto"/>
                      <w:lang w:val="en-US" w:eastAsia="en-US" w:bidi="en-US"/>
                    </w:rPr>
                    <w:t>kg/h</w:t>
                  </w:r>
                  <w:r>
                    <w:rPr>
                      <w:rFonts w:hint="eastAsia" w:ascii="Times New Roman" w:hAnsi="Times New Roman" w:cs="Times New Roman"/>
                      <w:color w:val="auto"/>
                      <w:sz w:val="21"/>
                      <w:szCs w:val="21"/>
                      <w:u w:val="none" w:color="auto"/>
                      <w:lang w:val="en-US" w:eastAsia="zh-CN" w:bidi="en-US"/>
                    </w:rPr>
                    <w:t>）</w:t>
                  </w:r>
                </w:p>
              </w:tc>
              <w:tc>
                <w:tcPr>
                  <w:tcW w:w="1352" w:type="dxa"/>
                  <w:tcBorders>
                    <w:tl2br w:val="nil"/>
                    <w:tr2bl w:val="nil"/>
                  </w:tcBorders>
                  <w:shd w:val="clear" w:color="auto" w:fill="auto"/>
                  <w:vAlign w:val="center"/>
                </w:tcPr>
                <w:p w14:paraId="2455F8C3">
                  <w:pPr>
                    <w:pStyle w:val="94"/>
                    <w:spacing w:line="240" w:lineRule="atLeast"/>
                    <w:jc w:val="center"/>
                    <w:rPr>
                      <w:rFonts w:hint="eastAsia"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核算年排放量/</w:t>
                  </w:r>
                  <w:r>
                    <w:rPr>
                      <w:rFonts w:hint="eastAsia" w:ascii="Times New Roman" w:hAnsi="Times New Roman" w:cs="Times New Roman"/>
                      <w:color w:val="auto"/>
                      <w:sz w:val="21"/>
                      <w:szCs w:val="21"/>
                      <w:u w:val="none" w:color="auto"/>
                      <w:lang w:val="en-US" w:eastAsia="zh-CN" w:bidi="en-US"/>
                    </w:rPr>
                    <w:t>（</w:t>
                  </w:r>
                  <w:r>
                    <w:rPr>
                      <w:rFonts w:hint="default" w:ascii="Times New Roman" w:hAnsi="Times New Roman" w:cs="Times New Roman"/>
                      <w:color w:val="auto"/>
                      <w:sz w:val="21"/>
                      <w:szCs w:val="21"/>
                      <w:u w:val="none" w:color="auto"/>
                      <w:lang w:val="en-US" w:eastAsia="en-US" w:bidi="en-US"/>
                    </w:rPr>
                    <w:t>t/a</w:t>
                  </w:r>
                  <w:r>
                    <w:rPr>
                      <w:rFonts w:hint="eastAsia" w:ascii="Times New Roman" w:hAnsi="Times New Roman" w:cs="Times New Roman"/>
                      <w:color w:val="auto"/>
                      <w:sz w:val="21"/>
                      <w:szCs w:val="21"/>
                      <w:u w:val="none" w:color="auto"/>
                      <w:lang w:val="en-US" w:eastAsia="zh-CN" w:bidi="en-US"/>
                    </w:rPr>
                    <w:t>）</w:t>
                  </w:r>
                </w:p>
              </w:tc>
            </w:tr>
            <w:tr w14:paraId="0FCFC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30" w:type="dxa"/>
                  <w:gridSpan w:val="6"/>
                  <w:tcBorders>
                    <w:tl2br w:val="nil"/>
                    <w:tr2bl w:val="nil"/>
                  </w:tcBorders>
                  <w:shd w:val="clear" w:color="auto" w:fill="auto"/>
                  <w:vAlign w:val="center"/>
                </w:tcPr>
                <w:p w14:paraId="29E1D78E">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主要</w:t>
                  </w:r>
                  <w:r>
                    <w:rPr>
                      <w:rFonts w:hint="default" w:ascii="Times New Roman" w:hAnsi="Times New Roman" w:cs="Times New Roman"/>
                      <w:color w:val="auto"/>
                      <w:sz w:val="21"/>
                      <w:szCs w:val="21"/>
                      <w:u w:val="none" w:color="auto"/>
                      <w:lang w:val="en-US" w:eastAsia="zh-CN"/>
                    </w:rPr>
                    <w:t>排</w:t>
                  </w:r>
                  <w:r>
                    <w:rPr>
                      <w:rFonts w:hint="default" w:ascii="Times New Roman" w:hAnsi="Times New Roman" w:cs="Times New Roman"/>
                      <w:color w:val="auto"/>
                      <w:sz w:val="21"/>
                      <w:szCs w:val="21"/>
                      <w:u w:val="none" w:color="auto"/>
                    </w:rPr>
                    <w:t>放口</w:t>
                  </w:r>
                </w:p>
              </w:tc>
            </w:tr>
            <w:tr w14:paraId="42F52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77" w:type="dxa"/>
                  <w:tcBorders>
                    <w:tl2br w:val="nil"/>
                    <w:tr2bl w:val="nil"/>
                  </w:tcBorders>
                  <w:shd w:val="clear" w:color="auto" w:fill="auto"/>
                  <w:vAlign w:val="center"/>
                </w:tcPr>
                <w:p w14:paraId="7E6D3F84">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472" w:type="dxa"/>
                  <w:tcBorders>
                    <w:tl2br w:val="nil"/>
                    <w:tr2bl w:val="nil"/>
                  </w:tcBorders>
                  <w:shd w:val="clear" w:color="auto" w:fill="auto"/>
                  <w:vAlign w:val="center"/>
                </w:tcPr>
                <w:p w14:paraId="57FBD638">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463" w:type="dxa"/>
                  <w:tcBorders>
                    <w:tl2br w:val="nil"/>
                    <w:tr2bl w:val="nil"/>
                  </w:tcBorders>
                  <w:shd w:val="clear" w:color="auto" w:fill="auto"/>
                  <w:vAlign w:val="center"/>
                </w:tcPr>
                <w:p w14:paraId="6AEA01C5">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496" w:type="dxa"/>
                  <w:tcBorders>
                    <w:tl2br w:val="nil"/>
                    <w:tr2bl w:val="nil"/>
                  </w:tcBorders>
                  <w:shd w:val="clear" w:color="auto" w:fill="auto"/>
                  <w:vAlign w:val="center"/>
                </w:tcPr>
                <w:p w14:paraId="01DF8154">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270" w:type="dxa"/>
                  <w:tcBorders>
                    <w:tl2br w:val="nil"/>
                    <w:tr2bl w:val="nil"/>
                  </w:tcBorders>
                  <w:shd w:val="clear" w:color="auto" w:fill="auto"/>
                  <w:vAlign w:val="center"/>
                </w:tcPr>
                <w:p w14:paraId="40B5F78A">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352" w:type="dxa"/>
                  <w:tcBorders>
                    <w:tl2br w:val="nil"/>
                    <w:tr2bl w:val="nil"/>
                  </w:tcBorders>
                  <w:shd w:val="clear" w:color="auto" w:fill="auto"/>
                  <w:vAlign w:val="center"/>
                </w:tcPr>
                <w:p w14:paraId="2194EB44">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r>
            <w:tr w14:paraId="6BF7E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 w:type="dxa"/>
                  <w:bottom w:w="0" w:type="dxa"/>
                  <w:right w:w="10" w:type="dxa"/>
                </w:tblCellMar>
              </w:tblPrEx>
              <w:trPr>
                <w:trHeight w:val="397" w:hRule="atLeast"/>
                <w:jc w:val="center"/>
              </w:trPr>
              <w:tc>
                <w:tcPr>
                  <w:tcW w:w="2249" w:type="dxa"/>
                  <w:gridSpan w:val="2"/>
                  <w:tcBorders>
                    <w:tl2br w:val="nil"/>
                    <w:tr2bl w:val="nil"/>
                  </w:tcBorders>
                  <w:shd w:val="clear" w:color="auto" w:fill="auto"/>
                  <w:vAlign w:val="center"/>
                </w:tcPr>
                <w:p w14:paraId="52FD4EDE">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主要排放口合计</w:t>
                  </w:r>
                </w:p>
              </w:tc>
              <w:tc>
                <w:tcPr>
                  <w:tcW w:w="1463" w:type="dxa"/>
                  <w:tcBorders>
                    <w:tl2br w:val="nil"/>
                    <w:tr2bl w:val="nil"/>
                  </w:tcBorders>
                  <w:shd w:val="clear" w:color="auto" w:fill="auto"/>
                  <w:vAlign w:val="center"/>
                </w:tcPr>
                <w:p w14:paraId="51EFDDF4">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496" w:type="dxa"/>
                  <w:tcBorders>
                    <w:tl2br w:val="nil"/>
                    <w:tr2bl w:val="nil"/>
                  </w:tcBorders>
                  <w:shd w:val="clear" w:color="auto" w:fill="auto"/>
                  <w:vAlign w:val="center"/>
                </w:tcPr>
                <w:p w14:paraId="5E8F1310">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270" w:type="dxa"/>
                  <w:tcBorders>
                    <w:tl2br w:val="nil"/>
                    <w:tr2bl w:val="nil"/>
                  </w:tcBorders>
                  <w:shd w:val="clear" w:color="auto" w:fill="auto"/>
                  <w:vAlign w:val="center"/>
                </w:tcPr>
                <w:p w14:paraId="7A0CD5C9">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352" w:type="dxa"/>
                  <w:tcBorders>
                    <w:tl2br w:val="nil"/>
                    <w:tr2bl w:val="nil"/>
                  </w:tcBorders>
                  <w:shd w:val="clear" w:color="auto" w:fill="auto"/>
                  <w:vAlign w:val="center"/>
                </w:tcPr>
                <w:p w14:paraId="0017ECCF">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r>
            <w:tr w14:paraId="1036F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830" w:type="dxa"/>
                  <w:gridSpan w:val="6"/>
                  <w:tcBorders>
                    <w:tl2br w:val="nil"/>
                    <w:tr2bl w:val="nil"/>
                  </w:tcBorders>
                  <w:shd w:val="clear" w:color="auto" w:fill="auto"/>
                  <w:vAlign w:val="center"/>
                </w:tcPr>
                <w:p w14:paraId="71AD4F9A">
                  <w:pPr>
                    <w:pStyle w:val="94"/>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一般</w:t>
                  </w:r>
                  <w:r>
                    <w:rPr>
                      <w:rFonts w:hint="default" w:ascii="Times New Roman" w:hAnsi="Times New Roman" w:cs="Times New Roman"/>
                      <w:color w:val="auto"/>
                      <w:sz w:val="21"/>
                      <w:szCs w:val="21"/>
                      <w:u w:val="none" w:color="auto"/>
                      <w:lang w:val="en-US" w:eastAsia="zh-CN"/>
                    </w:rPr>
                    <w:t>排</w:t>
                  </w:r>
                  <w:r>
                    <w:rPr>
                      <w:rFonts w:hint="default" w:ascii="Times New Roman" w:hAnsi="Times New Roman" w:cs="Times New Roman"/>
                      <w:color w:val="auto"/>
                      <w:sz w:val="21"/>
                      <w:szCs w:val="21"/>
                      <w:u w:val="none" w:color="auto"/>
                    </w:rPr>
                    <w:t>放口</w:t>
                  </w:r>
                </w:p>
              </w:tc>
            </w:tr>
            <w:tr w14:paraId="51B9F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77" w:type="dxa"/>
                  <w:vMerge w:val="restart"/>
                  <w:tcBorders>
                    <w:tl2br w:val="nil"/>
                    <w:tr2bl w:val="nil"/>
                  </w:tcBorders>
                  <w:shd w:val="clear" w:color="auto" w:fill="auto"/>
                  <w:vAlign w:val="center"/>
                </w:tcPr>
                <w:p w14:paraId="2D3E0D80">
                  <w:pPr>
                    <w:pStyle w:val="94"/>
                    <w:spacing w:line="240" w:lineRule="atLeast"/>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c>
                <w:tcPr>
                  <w:tcW w:w="1472" w:type="dxa"/>
                  <w:vMerge w:val="restart"/>
                  <w:tcBorders>
                    <w:tl2br w:val="nil"/>
                    <w:tr2bl w:val="nil"/>
                  </w:tcBorders>
                  <w:shd w:val="clear" w:color="auto" w:fill="auto"/>
                  <w:vAlign w:val="center"/>
                </w:tcPr>
                <w:p w14:paraId="2A57AE82">
                  <w:pPr>
                    <w:pStyle w:val="94"/>
                    <w:spacing w:line="240" w:lineRule="atLeast"/>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DA001</w:t>
                  </w:r>
                </w:p>
              </w:tc>
              <w:tc>
                <w:tcPr>
                  <w:tcW w:w="1463" w:type="dxa"/>
                  <w:tcBorders>
                    <w:tl2br w:val="nil"/>
                    <w:tr2bl w:val="nil"/>
                  </w:tcBorders>
                  <w:shd w:val="clear" w:color="auto" w:fill="auto"/>
                  <w:vAlign w:val="center"/>
                </w:tcPr>
                <w:p w14:paraId="02A30B06">
                  <w:pPr>
                    <w:autoSpaceDE w:val="0"/>
                    <w:autoSpaceDN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1496" w:type="dxa"/>
                  <w:tcBorders>
                    <w:tl2br w:val="nil"/>
                    <w:tr2bl w:val="nil"/>
                  </w:tcBorders>
                  <w:shd w:val="clear" w:color="auto" w:fill="auto"/>
                  <w:vAlign w:val="center"/>
                </w:tcPr>
                <w:p w14:paraId="3330A11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272.43</w:t>
                  </w:r>
                  <w:r>
                    <w:rPr>
                      <w:rFonts w:hint="eastAsia" w:ascii="Times New Roman" w:hAnsi="Times New Roman" w:eastAsia="宋体" w:cs="Times New Roman"/>
                      <w:i w:val="0"/>
                      <w:iCs w:val="0"/>
                      <w:color w:val="auto"/>
                      <w:kern w:val="0"/>
                      <w:sz w:val="21"/>
                      <w:szCs w:val="21"/>
                      <w:u w:val="none"/>
                      <w:lang w:val="en-US" w:eastAsia="zh-CN" w:bidi="ar"/>
                    </w:rPr>
                    <w:t>6</w:t>
                  </w:r>
                </w:p>
              </w:tc>
              <w:tc>
                <w:tcPr>
                  <w:tcW w:w="1270" w:type="dxa"/>
                  <w:tcBorders>
                    <w:tl2br w:val="nil"/>
                    <w:tr2bl w:val="nil"/>
                  </w:tcBorders>
                  <w:shd w:val="clear" w:color="auto" w:fill="auto"/>
                  <w:vAlign w:val="center"/>
                </w:tcPr>
                <w:p w14:paraId="483F70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0.535</w:t>
                  </w:r>
                </w:p>
              </w:tc>
              <w:tc>
                <w:tcPr>
                  <w:tcW w:w="1352" w:type="dxa"/>
                  <w:tcBorders>
                    <w:tl2br w:val="nil"/>
                    <w:tr2bl w:val="nil"/>
                  </w:tcBorders>
                  <w:shd w:val="clear" w:color="auto" w:fill="auto"/>
                  <w:vAlign w:val="center"/>
                </w:tcPr>
                <w:p w14:paraId="72858A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0.642</w:t>
                  </w:r>
                </w:p>
              </w:tc>
            </w:tr>
            <w:tr w14:paraId="0C13B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77" w:type="dxa"/>
                  <w:vMerge w:val="continue"/>
                  <w:tcBorders>
                    <w:tl2br w:val="nil"/>
                    <w:tr2bl w:val="nil"/>
                  </w:tcBorders>
                  <w:shd w:val="clear" w:color="auto" w:fill="auto"/>
                  <w:vAlign w:val="center"/>
                </w:tcPr>
                <w:p w14:paraId="7347E27D">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72" w:type="dxa"/>
                  <w:vMerge w:val="continue"/>
                  <w:tcBorders>
                    <w:tl2br w:val="nil"/>
                    <w:tr2bl w:val="nil"/>
                  </w:tcBorders>
                  <w:shd w:val="clear" w:color="auto" w:fill="auto"/>
                  <w:vAlign w:val="center"/>
                </w:tcPr>
                <w:p w14:paraId="7B76FF37">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63" w:type="dxa"/>
                  <w:tcBorders>
                    <w:tl2br w:val="nil"/>
                    <w:tr2bl w:val="nil"/>
                  </w:tcBorders>
                  <w:shd w:val="clear" w:color="auto" w:fill="auto"/>
                  <w:vAlign w:val="center"/>
                </w:tcPr>
                <w:p w14:paraId="7928DF27">
                  <w:pPr>
                    <w:autoSpaceDE w:val="0"/>
                    <w:autoSpaceDN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1496" w:type="dxa"/>
                  <w:tcBorders>
                    <w:tl2br w:val="nil"/>
                    <w:tr2bl w:val="nil"/>
                  </w:tcBorders>
                  <w:shd w:val="clear" w:color="auto" w:fill="auto"/>
                  <w:vAlign w:val="center"/>
                </w:tcPr>
                <w:p w14:paraId="65056F2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114.423</w:t>
                  </w:r>
                </w:p>
              </w:tc>
              <w:tc>
                <w:tcPr>
                  <w:tcW w:w="1270" w:type="dxa"/>
                  <w:tcBorders>
                    <w:tl2br w:val="nil"/>
                    <w:tr2bl w:val="nil"/>
                  </w:tcBorders>
                  <w:shd w:val="clear" w:color="auto" w:fill="auto"/>
                  <w:vAlign w:val="center"/>
                </w:tcPr>
                <w:p w14:paraId="416B17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0.22</w:t>
                  </w:r>
                  <w:r>
                    <w:rPr>
                      <w:rFonts w:hint="eastAsia" w:ascii="Times New Roman" w:hAnsi="Times New Roman" w:eastAsia="宋体" w:cs="Times New Roman"/>
                      <w:i w:val="0"/>
                      <w:iCs w:val="0"/>
                      <w:color w:val="auto"/>
                      <w:kern w:val="0"/>
                      <w:sz w:val="21"/>
                      <w:szCs w:val="21"/>
                      <w:u w:val="none"/>
                      <w:lang w:val="en-US" w:eastAsia="zh-CN" w:bidi="ar"/>
                    </w:rPr>
                    <w:t>5</w:t>
                  </w:r>
                </w:p>
              </w:tc>
              <w:tc>
                <w:tcPr>
                  <w:tcW w:w="1352" w:type="dxa"/>
                  <w:tcBorders>
                    <w:tl2br w:val="nil"/>
                    <w:tr2bl w:val="nil"/>
                  </w:tcBorders>
                  <w:shd w:val="clear" w:color="auto" w:fill="auto"/>
                  <w:vAlign w:val="center"/>
                </w:tcPr>
                <w:p w14:paraId="3932FD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w:t>
                  </w:r>
                  <w:r>
                    <w:rPr>
                      <w:rFonts w:hint="eastAsia" w:ascii="Times New Roman" w:hAnsi="Times New Roman" w:eastAsia="宋体" w:cs="Times New Roman"/>
                      <w:i w:val="0"/>
                      <w:iCs w:val="0"/>
                      <w:color w:val="auto"/>
                      <w:kern w:val="0"/>
                      <w:sz w:val="21"/>
                      <w:szCs w:val="21"/>
                      <w:u w:val="none"/>
                      <w:lang w:val="en-US" w:eastAsia="zh-CN" w:bidi="ar"/>
                    </w:rPr>
                    <w:t>70</w:t>
                  </w:r>
                </w:p>
              </w:tc>
            </w:tr>
            <w:tr w14:paraId="7E46E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 w:type="dxa"/>
                  <w:bottom w:w="0" w:type="dxa"/>
                  <w:right w:w="10" w:type="dxa"/>
                </w:tblCellMar>
              </w:tblPrEx>
              <w:trPr>
                <w:trHeight w:val="397" w:hRule="atLeast"/>
                <w:jc w:val="center"/>
              </w:trPr>
              <w:tc>
                <w:tcPr>
                  <w:tcW w:w="777" w:type="dxa"/>
                  <w:vMerge w:val="continue"/>
                  <w:tcBorders>
                    <w:tl2br w:val="nil"/>
                    <w:tr2bl w:val="nil"/>
                  </w:tcBorders>
                  <w:shd w:val="clear" w:color="auto" w:fill="auto"/>
                  <w:vAlign w:val="center"/>
                </w:tcPr>
                <w:p w14:paraId="09AB5670">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72" w:type="dxa"/>
                  <w:vMerge w:val="continue"/>
                  <w:tcBorders>
                    <w:tl2br w:val="nil"/>
                    <w:tr2bl w:val="nil"/>
                  </w:tcBorders>
                  <w:shd w:val="clear" w:color="auto" w:fill="auto"/>
                  <w:vAlign w:val="center"/>
                </w:tcPr>
                <w:p w14:paraId="035E76A2">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63" w:type="dxa"/>
                  <w:tcBorders>
                    <w:tl2br w:val="nil"/>
                    <w:tr2bl w:val="nil"/>
                  </w:tcBorders>
                  <w:shd w:val="clear" w:color="auto" w:fill="auto"/>
                  <w:vAlign w:val="center"/>
                </w:tcPr>
                <w:p w14:paraId="0EE862D9">
                  <w:pPr>
                    <w:autoSpaceDE w:val="0"/>
                    <w:autoSpaceDN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颗粒物</w:t>
                  </w:r>
                </w:p>
              </w:tc>
              <w:tc>
                <w:tcPr>
                  <w:tcW w:w="1496" w:type="dxa"/>
                  <w:tcBorders>
                    <w:tl2br w:val="nil"/>
                    <w:tr2bl w:val="nil"/>
                  </w:tcBorders>
                  <w:shd w:val="clear" w:color="auto" w:fill="auto"/>
                  <w:vAlign w:val="center"/>
                </w:tcPr>
                <w:p w14:paraId="44D68E3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0.801</w:t>
                  </w:r>
                </w:p>
              </w:tc>
              <w:tc>
                <w:tcPr>
                  <w:tcW w:w="1270" w:type="dxa"/>
                  <w:tcBorders>
                    <w:tl2br w:val="nil"/>
                    <w:tr2bl w:val="nil"/>
                  </w:tcBorders>
                  <w:shd w:val="clear" w:color="auto" w:fill="auto"/>
                  <w:vAlign w:val="center"/>
                </w:tcPr>
                <w:p w14:paraId="196525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0.00157</w:t>
                  </w:r>
                </w:p>
              </w:tc>
              <w:tc>
                <w:tcPr>
                  <w:tcW w:w="1352" w:type="dxa"/>
                  <w:tcBorders>
                    <w:tl2br w:val="nil"/>
                    <w:tr2bl w:val="nil"/>
                  </w:tcBorders>
                  <w:shd w:val="clear" w:color="auto" w:fill="auto"/>
                  <w:vAlign w:val="center"/>
                </w:tcPr>
                <w:p w14:paraId="2B36E2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0.0018</w:t>
                  </w:r>
                  <w:r>
                    <w:rPr>
                      <w:rFonts w:hint="eastAsia" w:ascii="Times New Roman" w:hAnsi="Times New Roman" w:eastAsia="宋体" w:cs="Times New Roman"/>
                      <w:i w:val="0"/>
                      <w:iCs w:val="0"/>
                      <w:color w:val="auto"/>
                      <w:kern w:val="0"/>
                      <w:sz w:val="21"/>
                      <w:szCs w:val="21"/>
                      <w:u w:val="none"/>
                      <w:lang w:val="en-US" w:eastAsia="zh-CN" w:bidi="ar"/>
                    </w:rPr>
                    <w:t>9</w:t>
                  </w:r>
                </w:p>
              </w:tc>
            </w:tr>
            <w:tr w14:paraId="33EE5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 w:type="dxa"/>
                  <w:bottom w:w="0" w:type="dxa"/>
                  <w:right w:w="10" w:type="dxa"/>
                </w:tblCellMar>
              </w:tblPrEx>
              <w:trPr>
                <w:trHeight w:val="397" w:hRule="atLeast"/>
                <w:jc w:val="center"/>
              </w:trPr>
              <w:tc>
                <w:tcPr>
                  <w:tcW w:w="777" w:type="dxa"/>
                  <w:vMerge w:val="restart"/>
                  <w:tcBorders>
                    <w:tl2br w:val="nil"/>
                    <w:tr2bl w:val="nil"/>
                  </w:tcBorders>
                  <w:shd w:val="clear" w:color="auto" w:fill="auto"/>
                  <w:vAlign w:val="center"/>
                </w:tcPr>
                <w:p w14:paraId="10D9104B">
                  <w:pPr>
                    <w:pStyle w:val="94"/>
                    <w:spacing w:line="240" w:lineRule="atLeast"/>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1472" w:type="dxa"/>
                  <w:vMerge w:val="restart"/>
                  <w:tcBorders>
                    <w:tl2br w:val="nil"/>
                    <w:tr2bl w:val="nil"/>
                  </w:tcBorders>
                  <w:shd w:val="clear" w:color="auto" w:fill="auto"/>
                  <w:vAlign w:val="center"/>
                </w:tcPr>
                <w:p w14:paraId="42F4EA22">
                  <w:pPr>
                    <w:pStyle w:val="94"/>
                    <w:spacing w:line="240" w:lineRule="atLeast"/>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DA00</w:t>
                  </w:r>
                  <w:r>
                    <w:rPr>
                      <w:rFonts w:hint="eastAsia" w:ascii="Times New Roman" w:hAnsi="Times New Roman" w:cs="Times New Roman"/>
                      <w:color w:val="auto"/>
                      <w:sz w:val="21"/>
                      <w:szCs w:val="21"/>
                      <w:u w:val="none" w:color="auto"/>
                      <w:lang w:val="en-US" w:eastAsia="zh-CN"/>
                    </w:rPr>
                    <w:t>2</w:t>
                  </w:r>
                </w:p>
              </w:tc>
              <w:tc>
                <w:tcPr>
                  <w:tcW w:w="1463" w:type="dxa"/>
                  <w:tcBorders>
                    <w:tl2br w:val="nil"/>
                    <w:tr2bl w:val="nil"/>
                  </w:tcBorders>
                  <w:shd w:val="clear" w:color="auto" w:fill="auto"/>
                  <w:vAlign w:val="center"/>
                </w:tcPr>
                <w:p w14:paraId="2BFD38DC">
                  <w:pPr>
                    <w:autoSpaceDE w:val="0"/>
                    <w:autoSpaceDN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1496" w:type="dxa"/>
                  <w:tcBorders>
                    <w:tl2br w:val="nil"/>
                    <w:tr2bl w:val="nil"/>
                  </w:tcBorders>
                  <w:shd w:val="clear" w:color="auto" w:fill="auto"/>
                  <w:vAlign w:val="center"/>
                </w:tcPr>
                <w:p w14:paraId="31D487F5">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darkRed"/>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27.244</w:t>
                  </w:r>
                </w:p>
              </w:tc>
              <w:tc>
                <w:tcPr>
                  <w:tcW w:w="1270" w:type="dxa"/>
                  <w:tcBorders>
                    <w:tl2br w:val="nil"/>
                    <w:tr2bl w:val="nil"/>
                  </w:tcBorders>
                  <w:shd w:val="clear" w:color="auto" w:fill="auto"/>
                  <w:vAlign w:val="center"/>
                </w:tcPr>
                <w:p w14:paraId="66328BD6">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0.042</w:t>
                  </w:r>
                  <w:r>
                    <w:rPr>
                      <w:rFonts w:hint="eastAsia" w:ascii="Times New Roman" w:hAnsi="Times New Roman" w:eastAsia="宋体" w:cs="Times New Roman"/>
                      <w:i w:val="0"/>
                      <w:iCs w:val="0"/>
                      <w:color w:val="FF0000"/>
                      <w:kern w:val="0"/>
                      <w:sz w:val="21"/>
                      <w:szCs w:val="21"/>
                      <w:u w:val="none"/>
                      <w:lang w:val="en-US" w:eastAsia="zh-CN" w:bidi="ar"/>
                    </w:rPr>
                    <w:t>9</w:t>
                  </w:r>
                </w:p>
              </w:tc>
              <w:tc>
                <w:tcPr>
                  <w:tcW w:w="1352" w:type="dxa"/>
                  <w:tcBorders>
                    <w:tl2br w:val="nil"/>
                    <w:tr2bl w:val="nil"/>
                  </w:tcBorders>
                  <w:shd w:val="clear" w:color="auto" w:fill="auto"/>
                  <w:vAlign w:val="center"/>
                </w:tcPr>
                <w:p w14:paraId="32DF8134">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0.051</w:t>
                  </w:r>
                  <w:r>
                    <w:rPr>
                      <w:rFonts w:hint="eastAsia" w:ascii="Times New Roman" w:hAnsi="Times New Roman" w:eastAsia="宋体" w:cs="Times New Roman"/>
                      <w:i w:val="0"/>
                      <w:iCs w:val="0"/>
                      <w:color w:val="FF0000"/>
                      <w:kern w:val="0"/>
                      <w:sz w:val="21"/>
                      <w:szCs w:val="21"/>
                      <w:u w:val="none"/>
                      <w:lang w:val="en-US" w:eastAsia="zh-CN" w:bidi="ar"/>
                    </w:rPr>
                    <w:t>5</w:t>
                  </w:r>
                </w:p>
              </w:tc>
            </w:tr>
            <w:tr w14:paraId="36B6F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77" w:type="dxa"/>
                  <w:vMerge w:val="continue"/>
                  <w:tcBorders>
                    <w:tl2br w:val="nil"/>
                    <w:tr2bl w:val="nil"/>
                  </w:tcBorders>
                  <w:shd w:val="clear" w:color="auto" w:fill="auto"/>
                  <w:vAlign w:val="center"/>
                </w:tcPr>
                <w:p w14:paraId="6A552EEA">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72" w:type="dxa"/>
                  <w:vMerge w:val="continue"/>
                  <w:tcBorders>
                    <w:tl2br w:val="nil"/>
                    <w:tr2bl w:val="nil"/>
                  </w:tcBorders>
                  <w:shd w:val="clear" w:color="auto" w:fill="auto"/>
                  <w:vAlign w:val="center"/>
                </w:tcPr>
                <w:p w14:paraId="570821E4">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63" w:type="dxa"/>
                  <w:tcBorders>
                    <w:tl2br w:val="nil"/>
                    <w:tr2bl w:val="nil"/>
                  </w:tcBorders>
                  <w:shd w:val="clear" w:color="auto" w:fill="auto"/>
                  <w:vAlign w:val="center"/>
                </w:tcPr>
                <w:p w14:paraId="02BBF98D">
                  <w:pPr>
                    <w:autoSpaceDE w:val="0"/>
                    <w:autoSpaceDN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1496" w:type="dxa"/>
                  <w:tcBorders>
                    <w:tl2br w:val="nil"/>
                    <w:tr2bl w:val="nil"/>
                  </w:tcBorders>
                  <w:shd w:val="clear" w:color="auto" w:fill="auto"/>
                  <w:vAlign w:val="center"/>
                </w:tcPr>
                <w:p w14:paraId="5C76BE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114.423</w:t>
                  </w:r>
                </w:p>
              </w:tc>
              <w:tc>
                <w:tcPr>
                  <w:tcW w:w="1270" w:type="dxa"/>
                  <w:tcBorders>
                    <w:tl2br w:val="nil"/>
                    <w:tr2bl w:val="nil"/>
                  </w:tcBorders>
                  <w:shd w:val="clear" w:color="auto" w:fill="auto"/>
                  <w:vAlign w:val="center"/>
                </w:tcPr>
                <w:p w14:paraId="697D11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0.180</w:t>
                  </w:r>
                </w:p>
              </w:tc>
              <w:tc>
                <w:tcPr>
                  <w:tcW w:w="1352" w:type="dxa"/>
                  <w:tcBorders>
                    <w:tl2br w:val="nil"/>
                    <w:tr2bl w:val="nil"/>
                  </w:tcBorders>
                  <w:shd w:val="clear" w:color="auto" w:fill="auto"/>
                  <w:vAlign w:val="center"/>
                </w:tcPr>
                <w:p w14:paraId="66218A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0.216</w:t>
                  </w:r>
                </w:p>
              </w:tc>
            </w:tr>
            <w:tr w14:paraId="1FF81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77" w:type="dxa"/>
                  <w:vMerge w:val="continue"/>
                  <w:tcBorders>
                    <w:tl2br w:val="nil"/>
                    <w:tr2bl w:val="nil"/>
                  </w:tcBorders>
                  <w:shd w:val="clear" w:color="auto" w:fill="auto"/>
                  <w:vAlign w:val="center"/>
                </w:tcPr>
                <w:p w14:paraId="2E5965E3">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72" w:type="dxa"/>
                  <w:vMerge w:val="continue"/>
                  <w:tcBorders>
                    <w:tl2br w:val="nil"/>
                    <w:tr2bl w:val="nil"/>
                  </w:tcBorders>
                  <w:shd w:val="clear" w:color="auto" w:fill="auto"/>
                  <w:vAlign w:val="center"/>
                </w:tcPr>
                <w:p w14:paraId="60E30907">
                  <w:pPr>
                    <w:pStyle w:val="94"/>
                    <w:spacing w:line="240" w:lineRule="atLeast"/>
                    <w:jc w:val="center"/>
                    <w:rPr>
                      <w:rFonts w:hint="default" w:ascii="Times New Roman" w:hAnsi="Times New Roman" w:cs="Times New Roman"/>
                      <w:color w:val="auto"/>
                      <w:sz w:val="21"/>
                      <w:szCs w:val="21"/>
                      <w:u w:val="none" w:color="auto"/>
                      <w:lang w:val="en-US" w:eastAsia="zh-CN"/>
                    </w:rPr>
                  </w:pPr>
                </w:p>
              </w:tc>
              <w:tc>
                <w:tcPr>
                  <w:tcW w:w="1463" w:type="dxa"/>
                  <w:tcBorders>
                    <w:tl2br w:val="nil"/>
                    <w:tr2bl w:val="nil"/>
                  </w:tcBorders>
                  <w:shd w:val="clear" w:color="auto" w:fill="auto"/>
                  <w:vAlign w:val="center"/>
                </w:tcPr>
                <w:p w14:paraId="5EC900B1">
                  <w:pPr>
                    <w:autoSpaceDE w:val="0"/>
                    <w:autoSpaceDN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颗粒物</w:t>
                  </w:r>
                </w:p>
              </w:tc>
              <w:tc>
                <w:tcPr>
                  <w:tcW w:w="1496" w:type="dxa"/>
                  <w:tcBorders>
                    <w:tl2br w:val="nil"/>
                    <w:tr2bl w:val="nil"/>
                  </w:tcBorders>
                  <w:shd w:val="clear" w:color="auto" w:fill="auto"/>
                  <w:vAlign w:val="center"/>
                </w:tcPr>
                <w:p w14:paraId="32CFD0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0.801</w:t>
                  </w:r>
                </w:p>
              </w:tc>
              <w:tc>
                <w:tcPr>
                  <w:tcW w:w="1270" w:type="dxa"/>
                  <w:tcBorders>
                    <w:tl2br w:val="nil"/>
                    <w:tr2bl w:val="nil"/>
                  </w:tcBorders>
                  <w:shd w:val="clear" w:color="auto" w:fill="auto"/>
                  <w:vAlign w:val="center"/>
                </w:tcPr>
                <w:p w14:paraId="7676F1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0.00126</w:t>
                  </w:r>
                </w:p>
              </w:tc>
              <w:tc>
                <w:tcPr>
                  <w:tcW w:w="1352" w:type="dxa"/>
                  <w:tcBorders>
                    <w:tl2br w:val="nil"/>
                    <w:tr2bl w:val="nil"/>
                  </w:tcBorders>
                  <w:shd w:val="clear" w:color="auto" w:fill="auto"/>
                  <w:vAlign w:val="center"/>
                </w:tcPr>
                <w:p w14:paraId="4E91C1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0.00151</w:t>
                  </w:r>
                </w:p>
              </w:tc>
            </w:tr>
          </w:tbl>
          <w:p w14:paraId="42D6F84F">
            <w:pPr>
              <w:keepNext/>
              <w:keepLines w:val="0"/>
              <w:pageBreakBefore w:val="0"/>
              <w:widowControl w:val="0"/>
              <w:kinsoku/>
              <w:wordWrap/>
              <w:overflowPunct/>
              <w:topLinePunct w:val="0"/>
              <w:autoSpaceDE w:val="0"/>
              <w:autoSpaceDN w:val="0"/>
              <w:bidi w:val="0"/>
              <w:adjustRightInd/>
              <w:snapToGrid/>
              <w:spacing w:before="157" w:beforeLines="50"/>
              <w:jc w:val="center"/>
              <w:textAlignment w:val="auto"/>
              <w:rPr>
                <w:rFonts w:hint="eastAsia" w:ascii="Times New Roman" w:hAnsi="Times New Roman" w:eastAsia="宋体" w:cs="Times New Roman"/>
                <w:b/>
                <w:bCs/>
                <w:color w:val="auto"/>
                <w:sz w:val="24"/>
              </w:rPr>
            </w:pPr>
            <w:r>
              <w:rPr>
                <w:b/>
                <w:bCs/>
                <w:color w:val="auto"/>
                <w:sz w:val="24"/>
              </w:rPr>
              <w:t>表4</w:t>
            </w:r>
            <w:r>
              <w:rPr>
                <w:rFonts w:hint="eastAsia"/>
                <w:b/>
                <w:bCs/>
                <w:color w:val="auto"/>
                <w:sz w:val="24"/>
              </w:rPr>
              <w:t>-</w:t>
            </w:r>
            <w:r>
              <w:rPr>
                <w:rFonts w:hint="eastAsia"/>
                <w:b/>
                <w:bCs/>
                <w:color w:val="auto"/>
                <w:sz w:val="24"/>
                <w:lang w:val="en-US" w:eastAsia="zh-CN"/>
              </w:rPr>
              <w:t>10</w:t>
            </w:r>
            <w:r>
              <w:rPr>
                <w:rFonts w:hint="eastAsia"/>
                <w:b/>
                <w:bCs/>
                <w:color w:val="auto"/>
                <w:sz w:val="24"/>
              </w:rPr>
              <w:t xml:space="preserve">   </w:t>
            </w:r>
            <w:r>
              <w:rPr>
                <w:rFonts w:ascii="Times New Roman" w:hAnsi="Times New Roman" w:eastAsia="宋体" w:cs="Times New Roman"/>
                <w:b/>
                <w:bCs/>
                <w:color w:val="auto"/>
                <w:sz w:val="24"/>
              </w:rPr>
              <w:t>大气污染物年排放量核算表</w:t>
            </w:r>
          </w:p>
          <w:tbl>
            <w:tblPr>
              <w:tblStyle w:val="33"/>
              <w:tblW w:w="7799"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3074"/>
              <w:gridCol w:w="2773"/>
            </w:tblGrid>
            <w:tr w14:paraId="0EC56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2" w:type="dxa"/>
                  <w:tcBorders>
                    <w:tl2br w:val="nil"/>
                    <w:tr2bl w:val="nil"/>
                  </w:tcBorders>
                  <w:noWrap w:val="0"/>
                  <w:vAlign w:val="center"/>
                </w:tcPr>
                <w:p w14:paraId="0414CA32">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序号</w:t>
                  </w:r>
                </w:p>
              </w:tc>
              <w:tc>
                <w:tcPr>
                  <w:tcW w:w="3074" w:type="dxa"/>
                  <w:tcBorders>
                    <w:tl2br w:val="nil"/>
                    <w:tr2bl w:val="nil"/>
                  </w:tcBorders>
                  <w:noWrap w:val="0"/>
                  <w:vAlign w:val="center"/>
                </w:tcPr>
                <w:p w14:paraId="695F9E21">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污染物</w:t>
                  </w:r>
                </w:p>
              </w:tc>
              <w:tc>
                <w:tcPr>
                  <w:tcW w:w="2773" w:type="dxa"/>
                  <w:tcBorders>
                    <w:tl2br w:val="nil"/>
                    <w:tr2bl w:val="nil"/>
                  </w:tcBorders>
                  <w:noWrap w:val="0"/>
                  <w:vAlign w:val="center"/>
                </w:tcPr>
                <w:p w14:paraId="3313869C">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年排放量（t/a）</w:t>
                  </w:r>
                </w:p>
              </w:tc>
            </w:tr>
            <w:tr w14:paraId="11C8B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2" w:type="dxa"/>
                  <w:tcBorders>
                    <w:tl2br w:val="nil"/>
                    <w:tr2bl w:val="nil"/>
                  </w:tcBorders>
                  <w:noWrap w:val="0"/>
                  <w:vAlign w:val="center"/>
                </w:tcPr>
                <w:p w14:paraId="529A305B">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3074" w:type="dxa"/>
                  <w:tcBorders>
                    <w:tl2br w:val="nil"/>
                    <w:tr2bl w:val="nil"/>
                  </w:tcBorders>
                  <w:noWrap w:val="0"/>
                  <w:vAlign w:val="center"/>
                </w:tcPr>
                <w:p w14:paraId="0E6C1B67">
                  <w:pPr>
                    <w:autoSpaceDE w:val="0"/>
                    <w:autoSpaceDN w:val="0"/>
                    <w:jc w:val="center"/>
                    <w:rPr>
                      <w:rFonts w:hint="eastAsia"/>
                      <w:color w:val="auto"/>
                      <w:kern w:val="2"/>
                      <w:sz w:val="21"/>
                      <w:szCs w:val="21"/>
                      <w:lang w:val="en-US" w:eastAsia="zh-CN" w:bidi="ar-SA"/>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2773" w:type="dxa"/>
                  <w:tcBorders>
                    <w:tl2br w:val="nil"/>
                    <w:tr2bl w:val="nil"/>
                  </w:tcBorders>
                  <w:noWrap w:val="0"/>
                  <w:vAlign w:val="center"/>
                </w:tcPr>
                <w:p w14:paraId="14C61FD1">
                  <w:pPr>
                    <w:keepNext w:val="0"/>
                    <w:keepLines w:val="0"/>
                    <w:widowControl/>
                    <w:suppressLineNumbers w:val="0"/>
                    <w:jc w:val="center"/>
                    <w:textAlignment w:val="center"/>
                    <w:rPr>
                      <w:rFonts w:hint="default" w:ascii="Times New Roman" w:hAnsi="Times New Roman" w:eastAsia="宋体" w:cs="Times New Roman"/>
                      <w:color w:val="auto"/>
                      <w:spacing w:val="6"/>
                      <w:sz w:val="21"/>
                      <w:szCs w:val="21"/>
                      <w:lang w:val="en-US"/>
                    </w:rPr>
                  </w:pPr>
                  <w:r>
                    <w:rPr>
                      <w:rFonts w:hint="eastAsia" w:cs="Times New Roman"/>
                      <w:i w:val="0"/>
                      <w:iCs w:val="0"/>
                      <w:color w:val="FF0000"/>
                      <w:kern w:val="0"/>
                      <w:sz w:val="21"/>
                      <w:szCs w:val="21"/>
                      <w:u w:val="none"/>
                      <w:lang w:val="en-US" w:eastAsia="zh-CN" w:bidi="ar"/>
                    </w:rPr>
                    <w:t>0.694</w:t>
                  </w:r>
                </w:p>
              </w:tc>
            </w:tr>
            <w:tr w14:paraId="5B7F0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2" w:type="dxa"/>
                  <w:tcBorders>
                    <w:tl2br w:val="nil"/>
                    <w:tr2bl w:val="nil"/>
                  </w:tcBorders>
                  <w:noWrap w:val="0"/>
                  <w:vAlign w:val="center"/>
                </w:tcPr>
                <w:p w14:paraId="5209AAC2">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074" w:type="dxa"/>
                  <w:tcBorders>
                    <w:tl2br w:val="nil"/>
                    <w:tr2bl w:val="nil"/>
                  </w:tcBorders>
                  <w:noWrap w:val="0"/>
                  <w:vAlign w:val="center"/>
                </w:tcPr>
                <w:p w14:paraId="3800C5FC">
                  <w:pPr>
                    <w:autoSpaceDE w:val="0"/>
                    <w:autoSpaceDN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2773" w:type="dxa"/>
                  <w:tcBorders>
                    <w:tl2br w:val="nil"/>
                    <w:tr2bl w:val="nil"/>
                  </w:tcBorders>
                  <w:noWrap w:val="0"/>
                  <w:vAlign w:val="center"/>
                </w:tcPr>
                <w:p w14:paraId="2F754C37">
                  <w:pPr>
                    <w:keepNext w:val="0"/>
                    <w:keepLines w:val="0"/>
                    <w:widowControl/>
                    <w:suppressLineNumbers w:val="0"/>
                    <w:jc w:val="center"/>
                    <w:textAlignment w:val="center"/>
                    <w:rPr>
                      <w:rFonts w:hint="default" w:ascii="Times New Roman" w:hAnsi="Times New Roman" w:eastAsia="宋体" w:cs="Times New Roman"/>
                      <w:color w:val="auto"/>
                      <w:spacing w:val="6"/>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486</w:t>
                  </w:r>
                </w:p>
              </w:tc>
            </w:tr>
            <w:tr w14:paraId="66EA4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2" w:type="dxa"/>
                  <w:tcBorders>
                    <w:tl2br w:val="nil"/>
                    <w:tr2bl w:val="nil"/>
                  </w:tcBorders>
                  <w:noWrap w:val="0"/>
                  <w:vAlign w:val="center"/>
                </w:tcPr>
                <w:p w14:paraId="7C199AAA">
                  <w:pPr>
                    <w:pStyle w:val="1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3074" w:type="dxa"/>
                  <w:tcBorders>
                    <w:tl2br w:val="nil"/>
                    <w:tr2bl w:val="nil"/>
                  </w:tcBorders>
                  <w:noWrap w:val="0"/>
                  <w:vAlign w:val="center"/>
                </w:tcPr>
                <w:p w14:paraId="3FB3D7DD">
                  <w:pPr>
                    <w:autoSpaceDE w:val="0"/>
                    <w:autoSpaceDN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u w:val="none" w:color="auto"/>
                    </w:rPr>
                    <w:t>颗粒物</w:t>
                  </w:r>
                </w:p>
              </w:tc>
              <w:tc>
                <w:tcPr>
                  <w:tcW w:w="2773" w:type="dxa"/>
                  <w:tcBorders>
                    <w:tl2br w:val="nil"/>
                    <w:tr2bl w:val="nil"/>
                  </w:tcBorders>
                  <w:noWrap w:val="0"/>
                  <w:vAlign w:val="center"/>
                </w:tcPr>
                <w:p w14:paraId="2E694430">
                  <w:pPr>
                    <w:keepNext w:val="0"/>
                    <w:keepLines w:val="0"/>
                    <w:widowControl/>
                    <w:suppressLineNumbers w:val="0"/>
                    <w:jc w:val="center"/>
                    <w:textAlignment w:val="center"/>
                    <w:rPr>
                      <w:rFonts w:hint="default" w:ascii="Times New Roman" w:hAnsi="Times New Roman" w:eastAsia="宋体" w:cs="Times New Roman"/>
                      <w:color w:val="auto"/>
                      <w:spacing w:val="6"/>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0.003</w:t>
                  </w:r>
                  <w:r>
                    <w:rPr>
                      <w:rFonts w:hint="eastAsia" w:cs="Times New Roman"/>
                      <w:i w:val="0"/>
                      <w:iCs w:val="0"/>
                      <w:color w:val="auto"/>
                      <w:kern w:val="0"/>
                      <w:sz w:val="21"/>
                      <w:szCs w:val="21"/>
                      <w:u w:val="none"/>
                      <w:lang w:val="en-US" w:eastAsia="zh-CN" w:bidi="ar"/>
                    </w:rPr>
                    <w:t>4</w:t>
                  </w:r>
                </w:p>
              </w:tc>
            </w:tr>
          </w:tbl>
          <w:p w14:paraId="7B373B47">
            <w:pPr>
              <w:pStyle w:val="82"/>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hint="default" w:ascii="Times New Roman" w:hAnsi="Times New Roman" w:cs="Times New Roman"/>
                <w:color w:val="auto"/>
              </w:rPr>
            </w:pPr>
            <w:r>
              <w:rPr>
                <w:rFonts w:hint="eastAsia" w:cs="Times New Roman"/>
                <w:b/>
                <w:color w:val="auto"/>
                <w:szCs w:val="24"/>
                <w:highlight w:val="none"/>
                <w:lang w:val="en-US" w:eastAsia="zh-CN"/>
              </w:rPr>
              <w:t>（3）</w:t>
            </w:r>
            <w:r>
              <w:rPr>
                <w:rFonts w:hint="default" w:ascii="Times New Roman" w:hAnsi="Times New Roman" w:cs="Times New Roman"/>
                <w:b/>
                <w:color w:val="auto"/>
                <w:szCs w:val="24"/>
                <w:highlight w:val="none"/>
              </w:rPr>
              <w:t>废气治理设施可行性</w:t>
            </w:r>
          </w:p>
          <w:p w14:paraId="2206027C">
            <w:pPr>
              <w:pStyle w:val="8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kern w:val="2"/>
                <w:sz w:val="24"/>
                <w:szCs w:val="24"/>
                <w:u w:val="none"/>
                <w:lang w:val="en-US" w:eastAsia="zh-CN" w:bidi="ar-SA"/>
              </w:rPr>
            </w:pPr>
            <w:r>
              <w:rPr>
                <w:rFonts w:hint="default" w:ascii="Times New Roman" w:hAnsi="Times New Roman" w:eastAsia="宋体" w:cs="Times New Roman"/>
                <w:color w:val="auto"/>
                <w:kern w:val="2"/>
                <w:sz w:val="24"/>
                <w:szCs w:val="24"/>
                <w:u w:val="none"/>
                <w:lang w:eastAsia="zh-CN"/>
              </w:rPr>
              <w:t>项目使用</w:t>
            </w:r>
            <w:r>
              <w:rPr>
                <w:rFonts w:hint="eastAsia" w:cs="Times New Roman"/>
                <w:color w:val="auto"/>
                <w:kern w:val="2"/>
                <w:sz w:val="24"/>
                <w:szCs w:val="24"/>
                <w:u w:val="none"/>
                <w:lang w:val="en-US" w:eastAsia="zh-CN"/>
              </w:rPr>
              <w:t>生物质蒸汽发生器</w:t>
            </w:r>
            <w:r>
              <w:rPr>
                <w:rFonts w:hint="eastAsia" w:cs="Times New Roman"/>
                <w:color w:val="auto"/>
                <w:kern w:val="2"/>
                <w:sz w:val="24"/>
                <w:szCs w:val="24"/>
                <w:u w:val="none" w:color="auto"/>
                <w:lang w:val="en-US" w:eastAsia="zh-CN" w:bidi="ar-SA"/>
              </w:rPr>
              <w:t>、生物质热风炉过程中</w:t>
            </w:r>
            <w:r>
              <w:rPr>
                <w:rFonts w:hint="eastAsia" w:cs="Times New Roman"/>
                <w:color w:val="auto"/>
                <w:kern w:val="2"/>
                <w:sz w:val="24"/>
                <w:szCs w:val="24"/>
                <w:u w:val="none"/>
                <w:lang w:eastAsia="zh-CN"/>
              </w:rPr>
              <w:t>，</w:t>
            </w:r>
            <w:r>
              <w:rPr>
                <w:rFonts w:hint="eastAsia" w:ascii="Times New Roman" w:hAnsi="Times New Roman" w:eastAsia="宋体" w:cs="Times New Roman"/>
                <w:color w:val="auto"/>
                <w:kern w:val="2"/>
                <w:sz w:val="24"/>
                <w:szCs w:val="24"/>
                <w:u w:val="none"/>
                <w:lang w:val="en-US" w:eastAsia="zh-CN" w:bidi="ar-SA"/>
              </w:rPr>
              <w:t>使燃料燃烧充分，从而降低氮氧化物的产生，</w:t>
            </w:r>
            <w:r>
              <w:rPr>
                <w:rFonts w:hint="eastAsia" w:cs="Times New Roman"/>
                <w:color w:val="auto"/>
                <w:kern w:val="2"/>
                <w:sz w:val="24"/>
                <w:szCs w:val="24"/>
                <w:u w:val="none"/>
                <w:lang w:val="en-US" w:eastAsia="zh-CN"/>
              </w:rPr>
              <w:t>生物质蒸汽发生器废气中</w:t>
            </w:r>
            <w:r>
              <w:rPr>
                <w:rFonts w:hint="eastAsia" w:ascii="Times New Roman" w:hAnsi="Times New Roman" w:eastAsia="宋体" w:cs="Times New Roman"/>
                <w:color w:val="auto"/>
                <w:kern w:val="2"/>
                <w:sz w:val="24"/>
                <w:szCs w:val="24"/>
                <w:u w:val="none"/>
                <w:lang w:val="en-US" w:eastAsia="zh-CN" w:bidi="ar-SA"/>
              </w:rPr>
              <w:t>颗粒物</w:t>
            </w:r>
            <w:r>
              <w:rPr>
                <w:rFonts w:hint="default" w:ascii="Times New Roman" w:hAnsi="Times New Roman" w:eastAsia="宋体" w:cs="Times New Roman"/>
                <w:color w:val="auto"/>
                <w:kern w:val="2"/>
                <w:sz w:val="24"/>
                <w:szCs w:val="24"/>
                <w:u w:val="none"/>
                <w:lang w:eastAsia="zh-CN"/>
              </w:rPr>
              <w:t>采用</w:t>
            </w:r>
            <w:r>
              <w:rPr>
                <w:rFonts w:hint="eastAsia" w:ascii="Times New Roman" w:hAnsi="Times New Roman" w:eastAsia="宋体" w:cs="Times New Roman"/>
                <w:color w:val="auto"/>
                <w:kern w:val="2"/>
                <w:sz w:val="24"/>
                <w:szCs w:val="24"/>
                <w:u w:val="none"/>
                <w:lang w:eastAsia="zh-CN"/>
              </w:rPr>
              <w:t>布袋</w:t>
            </w:r>
            <w:r>
              <w:rPr>
                <w:rFonts w:hint="default" w:ascii="Times New Roman" w:hAnsi="Times New Roman" w:eastAsia="宋体" w:cs="Times New Roman"/>
                <w:color w:val="auto"/>
                <w:kern w:val="2"/>
                <w:sz w:val="24"/>
                <w:szCs w:val="24"/>
                <w:u w:val="none"/>
                <w:lang w:eastAsia="zh-CN"/>
              </w:rPr>
              <w:t>除尘</w:t>
            </w:r>
            <w:r>
              <w:rPr>
                <w:rFonts w:hint="eastAsia" w:cs="Times New Roman"/>
                <w:color w:val="auto"/>
                <w:kern w:val="2"/>
                <w:sz w:val="24"/>
                <w:szCs w:val="24"/>
                <w:u w:val="none"/>
                <w:lang w:eastAsia="zh-CN"/>
              </w:rPr>
              <w:t>、</w:t>
            </w:r>
            <w:r>
              <w:rPr>
                <w:rFonts w:hint="eastAsia" w:cs="Times New Roman"/>
                <w:color w:val="auto"/>
                <w:kern w:val="2"/>
                <w:sz w:val="24"/>
                <w:szCs w:val="24"/>
                <w:u w:val="none"/>
                <w:lang w:val="en-US" w:eastAsia="zh-CN"/>
              </w:rPr>
              <w:t>热风炉废</w:t>
            </w:r>
            <w:r>
              <w:rPr>
                <w:rFonts w:hint="eastAsia" w:ascii="Times New Roman" w:hAnsi="Times New Roman" w:eastAsia="宋体" w:cs="Times New Roman"/>
                <w:color w:val="auto"/>
                <w:kern w:val="2"/>
                <w:sz w:val="24"/>
                <w:szCs w:val="24"/>
                <w:u w:val="none"/>
                <w:lang w:val="en-US" w:eastAsia="zh-CN" w:bidi="ar-SA"/>
              </w:rPr>
              <w:t>气</w:t>
            </w:r>
            <w:r>
              <w:rPr>
                <w:rFonts w:hint="eastAsia" w:cs="Times New Roman"/>
                <w:color w:val="auto"/>
                <w:kern w:val="2"/>
                <w:sz w:val="24"/>
                <w:szCs w:val="24"/>
                <w:u w:val="none"/>
                <w:lang w:val="en-US" w:eastAsia="zh-CN" w:bidi="ar-SA"/>
              </w:rPr>
              <w:t>采用</w:t>
            </w:r>
            <w:r>
              <w:rPr>
                <w:rFonts w:hint="eastAsia" w:ascii="Times New Roman" w:hAnsi="Times New Roman" w:eastAsia="宋体" w:cs="Times New Roman"/>
                <w:color w:val="auto"/>
                <w:kern w:val="2"/>
                <w:sz w:val="24"/>
                <w:szCs w:val="24"/>
                <w:u w:val="none"/>
                <w:lang w:val="en-US" w:eastAsia="zh-CN" w:bidi="ar-SA"/>
              </w:rPr>
              <w:t>布袋除尘+</w:t>
            </w:r>
            <w:r>
              <w:rPr>
                <w:rFonts w:hint="eastAsia" w:cs="Times New Roman"/>
                <w:color w:val="auto"/>
                <w:kern w:val="2"/>
                <w:sz w:val="24"/>
                <w:szCs w:val="24"/>
                <w:u w:val="none"/>
                <w:lang w:val="en-US" w:eastAsia="zh-CN" w:bidi="ar-SA"/>
              </w:rPr>
              <w:t>活性炭</w:t>
            </w:r>
            <w:r>
              <w:rPr>
                <w:rFonts w:hint="eastAsia" w:ascii="Times New Roman" w:hAnsi="Times New Roman" w:eastAsia="宋体" w:cs="Times New Roman"/>
                <w:color w:val="auto"/>
                <w:kern w:val="2"/>
                <w:sz w:val="24"/>
                <w:szCs w:val="24"/>
                <w:u w:val="none"/>
                <w:lang w:val="en-US" w:eastAsia="zh-CN" w:bidi="ar-SA"/>
              </w:rPr>
              <w:t>处理</w:t>
            </w:r>
            <w:r>
              <w:rPr>
                <w:rFonts w:hint="eastAsia" w:cs="Times New Roman"/>
                <w:color w:val="auto"/>
                <w:kern w:val="2"/>
                <w:sz w:val="24"/>
                <w:szCs w:val="24"/>
                <w:u w:val="none"/>
                <w:lang w:val="en-US" w:eastAsia="zh-CN" w:bidi="ar-SA"/>
              </w:rPr>
              <w:t>。</w:t>
            </w:r>
            <w:r>
              <w:rPr>
                <w:rFonts w:hint="eastAsia" w:ascii="Times New Roman" w:hAnsi="Times New Roman" w:eastAsia="宋体" w:cs="Times New Roman"/>
                <w:color w:val="FF0000"/>
                <w:sz w:val="24"/>
                <w:lang w:val="en-US" w:eastAsia="zh-CN"/>
              </w:rPr>
              <w:t>本次评价要求</w:t>
            </w:r>
            <w:r>
              <w:rPr>
                <w:rFonts w:hint="eastAsia" w:ascii="Times New Roman" w:hAnsi="Times New Roman" w:eastAsia="宋体" w:cs="Times New Roman"/>
                <w:color w:val="FF0000"/>
                <w:sz w:val="24"/>
                <w:lang w:eastAsia="zh-CN"/>
              </w:rPr>
              <w:t>活性炭的</w:t>
            </w:r>
            <w:r>
              <w:rPr>
                <w:rFonts w:hint="default" w:ascii="Times New Roman" w:hAnsi="Times New Roman" w:eastAsia="宋体" w:cs="Times New Roman"/>
                <w:color w:val="FF0000"/>
                <w:sz w:val="24"/>
              </w:rPr>
              <w:t>碘值不</w:t>
            </w:r>
            <w:r>
              <w:rPr>
                <w:rFonts w:hint="eastAsia" w:ascii="Times New Roman" w:hAnsi="Times New Roman" w:eastAsia="宋体" w:cs="Times New Roman"/>
                <w:color w:val="FF0000"/>
                <w:sz w:val="24"/>
                <w:lang w:val="en-US" w:eastAsia="zh-CN"/>
              </w:rPr>
              <w:t>得</w:t>
            </w:r>
            <w:r>
              <w:rPr>
                <w:rFonts w:hint="default" w:ascii="Times New Roman" w:hAnsi="Times New Roman" w:eastAsia="宋体" w:cs="Times New Roman"/>
                <w:color w:val="FF0000"/>
                <w:sz w:val="24"/>
              </w:rPr>
              <w:t>低于800mg/g</w:t>
            </w:r>
            <w:r>
              <w:rPr>
                <w:rFonts w:hint="eastAsia"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rPr>
              <w:t>比表面积不</w:t>
            </w:r>
            <w:r>
              <w:rPr>
                <w:rFonts w:hint="eastAsia" w:ascii="Times New Roman" w:hAnsi="Times New Roman" w:eastAsia="宋体" w:cs="Times New Roman"/>
                <w:color w:val="FF0000"/>
                <w:sz w:val="24"/>
                <w:lang w:val="en-US" w:eastAsia="zh-CN"/>
              </w:rPr>
              <w:t>得</w:t>
            </w:r>
            <w:r>
              <w:rPr>
                <w:rFonts w:hint="default" w:ascii="Times New Roman" w:hAnsi="Times New Roman" w:eastAsia="宋体" w:cs="Times New Roman"/>
                <w:color w:val="FF0000"/>
                <w:sz w:val="24"/>
              </w:rPr>
              <w:t>低于850m</w:t>
            </w:r>
            <w:r>
              <w:rPr>
                <w:rFonts w:hint="eastAsia" w:ascii="Times New Roman" w:hAnsi="Times New Roman" w:eastAsia="宋体" w:cs="Times New Roman"/>
                <w:color w:val="FF0000"/>
                <w:sz w:val="24"/>
                <w:vertAlign w:val="superscript"/>
                <w:lang w:val="en-US" w:eastAsia="zh-CN"/>
              </w:rPr>
              <w:t>2</w:t>
            </w:r>
            <w:r>
              <w:rPr>
                <w:rFonts w:hint="default" w:ascii="Times New Roman" w:hAnsi="Times New Roman" w:eastAsia="宋体" w:cs="Times New Roman"/>
                <w:color w:val="FF0000"/>
                <w:sz w:val="24"/>
              </w:rPr>
              <w:t>/g‌</w:t>
            </w:r>
            <w:r>
              <w:rPr>
                <w:rFonts w:hint="eastAsia" w:ascii="Times New Roman" w:hAnsi="Times New Roman" w:eastAsia="宋体" w:cs="Times New Roman"/>
                <w:color w:val="FF0000"/>
                <w:sz w:val="24"/>
                <w:lang w:eastAsia="zh-CN"/>
              </w:rPr>
              <w:t>。</w:t>
            </w:r>
          </w:p>
          <w:p w14:paraId="62855F3D">
            <w:pPr>
              <w:pStyle w:val="8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u w:val="none"/>
                <w:lang w:val="en-US" w:eastAsia="zh-CN"/>
              </w:rPr>
            </w:pPr>
            <w:r>
              <w:rPr>
                <w:rFonts w:hint="eastAsia" w:cs="Times New Roman"/>
                <w:color w:val="auto"/>
                <w:kern w:val="2"/>
                <w:sz w:val="24"/>
                <w:szCs w:val="24"/>
                <w:u w:val="none"/>
                <w:lang w:val="en-US" w:eastAsia="zh-CN"/>
              </w:rPr>
              <w:t>参照</w:t>
            </w:r>
            <w:r>
              <w:rPr>
                <w:rFonts w:hint="eastAsia" w:ascii="Times New Roman" w:hAnsi="Times New Roman" w:eastAsia="宋体" w:cs="Times New Roman"/>
                <w:color w:val="auto"/>
                <w:kern w:val="2"/>
                <w:sz w:val="24"/>
                <w:szCs w:val="24"/>
                <w:u w:val="none"/>
                <w:lang w:eastAsia="zh-CN"/>
              </w:rPr>
              <w:t>《排污许可证申请与核发技术规范 锅炉》（HJ953-2018）</w:t>
            </w:r>
            <w:r>
              <w:rPr>
                <w:rFonts w:hint="eastAsia" w:cs="Times New Roman"/>
                <w:color w:val="auto"/>
                <w:kern w:val="2"/>
                <w:sz w:val="24"/>
                <w:szCs w:val="24"/>
                <w:u w:val="none"/>
                <w:lang w:eastAsia="zh-CN"/>
              </w:rPr>
              <w:t>、《排污许可证申请与核发技术规范工业炉窑》（HJ1121-2020），</w:t>
            </w:r>
            <w:r>
              <w:rPr>
                <w:rFonts w:hint="eastAsia" w:cs="Times New Roman"/>
                <w:color w:val="auto"/>
                <w:kern w:val="2"/>
                <w:sz w:val="24"/>
                <w:szCs w:val="24"/>
                <w:u w:val="none"/>
                <w:lang w:val="en-US" w:eastAsia="zh-CN"/>
              </w:rPr>
              <w:t>属于规范</w:t>
            </w:r>
            <w:r>
              <w:rPr>
                <w:rFonts w:hint="eastAsia" w:ascii="Times New Roman" w:hAnsi="Times New Roman" w:eastAsia="宋体" w:cs="Times New Roman"/>
                <w:color w:val="auto"/>
                <w:kern w:val="2"/>
                <w:sz w:val="24"/>
                <w:szCs w:val="24"/>
                <w:u w:val="none"/>
                <w:lang w:eastAsia="zh-CN"/>
              </w:rPr>
              <w:t>中</w:t>
            </w:r>
            <w:r>
              <w:rPr>
                <w:rFonts w:hint="eastAsia" w:cs="Times New Roman"/>
                <w:color w:val="auto"/>
                <w:kern w:val="2"/>
                <w:sz w:val="24"/>
                <w:szCs w:val="24"/>
                <w:u w:val="none"/>
                <w:lang w:eastAsia="zh-CN"/>
              </w:rPr>
              <w:t>的</w:t>
            </w:r>
            <w:r>
              <w:rPr>
                <w:rFonts w:hint="eastAsia" w:ascii="Times New Roman" w:hAnsi="Times New Roman" w:eastAsia="宋体" w:cs="Times New Roman"/>
                <w:color w:val="auto"/>
                <w:kern w:val="2"/>
                <w:sz w:val="24"/>
                <w:szCs w:val="24"/>
                <w:u w:val="none"/>
                <w:lang w:eastAsia="zh-CN"/>
              </w:rPr>
              <w:t>可行技术。</w:t>
            </w:r>
          </w:p>
          <w:p w14:paraId="5583337A">
            <w:pPr>
              <w:pStyle w:val="82"/>
              <w:ind w:left="420" w:leftChars="200" w:firstLine="0" w:firstLineChars="0"/>
              <w:rPr>
                <w:rFonts w:hint="default" w:ascii="Times New Roman" w:hAnsi="Times New Roman" w:cs="Times New Roman"/>
                <w:b/>
                <w:color w:val="auto"/>
                <w:szCs w:val="24"/>
              </w:rPr>
            </w:pPr>
            <w:r>
              <w:rPr>
                <w:rFonts w:hint="eastAsia" w:cs="Times New Roman"/>
                <w:b/>
                <w:color w:val="auto"/>
                <w:szCs w:val="24"/>
                <w:lang w:val="en-US" w:eastAsia="zh-CN"/>
              </w:rPr>
              <w:t>（4）</w:t>
            </w:r>
            <w:r>
              <w:rPr>
                <w:rFonts w:hint="default" w:ascii="Times New Roman" w:hAnsi="Times New Roman" w:cs="Times New Roman"/>
                <w:b/>
                <w:color w:val="auto"/>
                <w:szCs w:val="24"/>
              </w:rPr>
              <w:t>废气环境监测计划</w:t>
            </w:r>
          </w:p>
          <w:p w14:paraId="51E4028D">
            <w:pPr>
              <w:pStyle w:val="82"/>
              <w:rPr>
                <w:rFonts w:hint="default" w:ascii="Times New Roman" w:hAnsi="Times New Roman" w:cs="Times New Roman"/>
                <w:bCs/>
                <w:color w:val="auto"/>
                <w:szCs w:val="24"/>
              </w:rPr>
            </w:pPr>
            <w:r>
              <w:rPr>
                <w:rFonts w:hint="eastAsia" w:cs="Times New Roman"/>
                <w:bCs/>
                <w:color w:val="auto"/>
                <w:szCs w:val="24"/>
                <w:lang w:val="en-US" w:eastAsia="zh-CN"/>
              </w:rPr>
              <w:t>参照</w:t>
            </w:r>
            <w:r>
              <w:rPr>
                <w:rFonts w:hint="default" w:ascii="Times New Roman" w:hAnsi="Times New Roman" w:cs="Times New Roman"/>
                <w:bCs/>
                <w:color w:val="auto"/>
                <w:szCs w:val="24"/>
              </w:rPr>
              <w:t>《排污单位自行监测技术指南</w:t>
            </w:r>
            <w:r>
              <w:rPr>
                <w:rFonts w:hint="default" w:ascii="Times New Roman" w:hAnsi="Times New Roman" w:cs="Times New Roman"/>
                <w:bCs/>
                <w:color w:val="auto"/>
                <w:szCs w:val="24"/>
                <w:lang w:val="en-US" w:eastAsia="zh-CN"/>
              </w:rPr>
              <w:t xml:space="preserve"> </w:t>
            </w:r>
            <w:r>
              <w:rPr>
                <w:rFonts w:hint="default" w:ascii="Times New Roman" w:hAnsi="Times New Roman" w:cs="Times New Roman"/>
                <w:bCs/>
                <w:color w:val="auto"/>
                <w:szCs w:val="24"/>
              </w:rPr>
              <w:t>火力发电及锅炉》（HJ820-2017）</w:t>
            </w:r>
            <w:r>
              <w:rPr>
                <w:rFonts w:hint="eastAsia" w:cs="Times New Roman"/>
                <w:bCs/>
                <w:color w:val="auto"/>
                <w:szCs w:val="24"/>
                <w:lang w:eastAsia="zh-CN"/>
              </w:rPr>
              <w:t>、</w:t>
            </w:r>
            <w:r>
              <w:rPr>
                <w:rFonts w:hint="eastAsia" w:cs="Times New Roman"/>
                <w:bCs/>
                <w:color w:val="auto"/>
                <w:szCs w:val="24"/>
                <w:u w:val="single"/>
                <w:lang w:eastAsia="zh-CN"/>
              </w:rPr>
              <w:t>《</w:t>
            </w:r>
            <w:r>
              <w:rPr>
                <w:rFonts w:hint="eastAsia" w:cs="Times New Roman"/>
                <w:color w:val="auto"/>
                <w:kern w:val="2"/>
                <w:sz w:val="24"/>
                <w:szCs w:val="24"/>
                <w:u w:val="single"/>
                <w:lang w:eastAsia="zh-CN"/>
              </w:rPr>
              <w:t>排污许可证申请与核发技术规范工业炉窑</w:t>
            </w:r>
            <w:r>
              <w:rPr>
                <w:rFonts w:hint="eastAsia" w:cs="Times New Roman"/>
                <w:bCs/>
                <w:color w:val="auto"/>
                <w:szCs w:val="24"/>
                <w:u w:val="single"/>
                <w:lang w:eastAsia="zh-CN"/>
              </w:rPr>
              <w:t>》</w:t>
            </w:r>
            <w:r>
              <w:rPr>
                <w:rFonts w:hint="eastAsia" w:cs="Times New Roman"/>
                <w:color w:val="auto"/>
                <w:kern w:val="2"/>
                <w:sz w:val="24"/>
                <w:szCs w:val="24"/>
                <w:u w:val="single"/>
                <w:lang w:eastAsia="zh-CN"/>
              </w:rPr>
              <w:t>（HJ1121-2020）</w:t>
            </w:r>
            <w:r>
              <w:rPr>
                <w:rFonts w:hint="default" w:ascii="Times New Roman" w:hAnsi="Times New Roman" w:cs="Times New Roman"/>
                <w:bCs/>
                <w:color w:val="auto"/>
                <w:szCs w:val="24"/>
              </w:rPr>
              <w:t>，对本企业开展自行监测计划，监测内容及频次建议如下表所示：</w:t>
            </w:r>
          </w:p>
          <w:p w14:paraId="3050AD16">
            <w:pPr>
              <w:jc w:val="center"/>
              <w:rPr>
                <w:rFonts w:hint="default" w:ascii="Times New Roman" w:hAnsi="Times New Roman" w:cs="Times New Roman"/>
                <w:b/>
                <w:bCs/>
                <w:color w:val="auto"/>
                <w:sz w:val="24"/>
                <w:szCs w:val="24"/>
                <w:highlight w:val="none"/>
                <w:u w:val="single" w:color="auto"/>
              </w:rPr>
            </w:pPr>
            <w:r>
              <w:rPr>
                <w:rFonts w:hint="default" w:ascii="Times New Roman" w:hAnsi="Times New Roman" w:cs="Times New Roman"/>
                <w:b/>
                <w:bCs/>
                <w:color w:val="auto"/>
                <w:sz w:val="24"/>
                <w:szCs w:val="24"/>
                <w:highlight w:val="none"/>
                <w:u w:val="single" w:color="auto"/>
              </w:rPr>
              <w:t>表4-</w:t>
            </w:r>
            <w:r>
              <w:rPr>
                <w:rFonts w:hint="eastAsia" w:cs="Times New Roman"/>
                <w:b/>
                <w:bCs/>
                <w:color w:val="auto"/>
                <w:sz w:val="24"/>
                <w:szCs w:val="24"/>
                <w:highlight w:val="none"/>
                <w:u w:val="single" w:color="auto"/>
                <w:lang w:val="en-US" w:eastAsia="zh-CN"/>
              </w:rPr>
              <w:t>11</w:t>
            </w:r>
            <w:r>
              <w:rPr>
                <w:rFonts w:hint="default" w:ascii="Times New Roman" w:hAnsi="Times New Roman" w:cs="Times New Roman"/>
                <w:b/>
                <w:bCs/>
                <w:color w:val="auto"/>
                <w:sz w:val="24"/>
                <w:szCs w:val="24"/>
                <w:highlight w:val="none"/>
                <w:u w:val="single" w:color="auto"/>
              </w:rPr>
              <w:t xml:space="preserve"> </w:t>
            </w:r>
            <w:r>
              <w:rPr>
                <w:rFonts w:hint="eastAsia" w:ascii="Times New Roman" w:hAnsi="Times New Roman" w:cs="Times New Roman"/>
                <w:b/>
                <w:bCs/>
                <w:color w:val="auto"/>
                <w:sz w:val="24"/>
                <w:szCs w:val="24"/>
                <w:highlight w:val="none"/>
                <w:u w:val="single" w:color="auto"/>
                <w:lang w:val="en-US" w:eastAsia="zh-CN"/>
              </w:rPr>
              <w:t xml:space="preserve">  </w:t>
            </w:r>
            <w:r>
              <w:rPr>
                <w:rFonts w:hint="default" w:ascii="Times New Roman" w:hAnsi="Times New Roman" w:cs="Times New Roman"/>
                <w:b/>
                <w:bCs/>
                <w:color w:val="auto"/>
                <w:sz w:val="24"/>
                <w:szCs w:val="24"/>
                <w:highlight w:val="none"/>
                <w:u w:val="single" w:color="auto"/>
              </w:rPr>
              <w:t>项目</w:t>
            </w:r>
            <w:r>
              <w:rPr>
                <w:rFonts w:hint="default" w:ascii="Times New Roman" w:hAnsi="Times New Roman" w:cs="Times New Roman"/>
                <w:b/>
                <w:bCs/>
                <w:color w:val="auto"/>
                <w:sz w:val="24"/>
                <w:szCs w:val="24"/>
                <w:highlight w:val="none"/>
                <w:u w:val="single" w:color="auto"/>
                <w:lang w:eastAsia="zh-CN"/>
              </w:rPr>
              <w:t>废</w:t>
            </w:r>
            <w:r>
              <w:rPr>
                <w:rFonts w:hint="eastAsia" w:ascii="Times New Roman" w:hAnsi="Times New Roman" w:cs="Times New Roman"/>
                <w:b/>
                <w:bCs/>
                <w:color w:val="auto"/>
                <w:sz w:val="24"/>
                <w:szCs w:val="24"/>
                <w:highlight w:val="none"/>
                <w:u w:val="single" w:color="auto"/>
                <w:lang w:eastAsia="zh-CN"/>
              </w:rPr>
              <w:t>气</w:t>
            </w:r>
            <w:r>
              <w:rPr>
                <w:rFonts w:hint="default" w:ascii="Times New Roman" w:hAnsi="Times New Roman" w:cs="Times New Roman"/>
                <w:b/>
                <w:bCs/>
                <w:color w:val="auto"/>
                <w:sz w:val="24"/>
                <w:szCs w:val="24"/>
                <w:highlight w:val="none"/>
                <w:u w:val="single" w:color="auto"/>
              </w:rPr>
              <w:t>环境监测计划</w:t>
            </w:r>
          </w:p>
          <w:tbl>
            <w:tblPr>
              <w:tblStyle w:val="33"/>
              <w:tblW w:w="77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597"/>
              <w:gridCol w:w="1126"/>
              <w:gridCol w:w="2663"/>
              <w:gridCol w:w="924"/>
            </w:tblGrid>
            <w:tr w14:paraId="0BAD9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tl2br w:val="nil"/>
                    <w:tr2bl w:val="nil"/>
                  </w:tcBorders>
                  <w:vAlign w:val="center"/>
                </w:tcPr>
                <w:p w14:paraId="5D8EDE5F">
                  <w:pPr>
                    <w:pStyle w:val="12"/>
                    <w:spacing w:before="0" w:after="0" w:line="240" w:lineRule="auto"/>
                    <w:ind w:right="0"/>
                    <w:jc w:val="center"/>
                    <w:rPr>
                      <w:rFonts w:hint="default" w:ascii="Times New Roman" w:hAnsi="Times New Roman" w:cs="Times New Roman"/>
                      <w:b/>
                      <w:bCs/>
                      <w:color w:val="auto"/>
                      <w:sz w:val="21"/>
                      <w:szCs w:val="21"/>
                      <w:highlight w:val="none"/>
                      <w:u w:val="single" w:color="auto"/>
                    </w:rPr>
                  </w:pPr>
                  <w:r>
                    <w:rPr>
                      <w:rFonts w:hint="default" w:ascii="Times New Roman" w:hAnsi="Times New Roman" w:cs="Times New Roman"/>
                      <w:b/>
                      <w:bCs/>
                      <w:color w:val="auto"/>
                      <w:sz w:val="21"/>
                      <w:szCs w:val="21"/>
                      <w:highlight w:val="none"/>
                      <w:u w:val="single" w:color="auto"/>
                    </w:rPr>
                    <w:t>监测点位</w:t>
                  </w:r>
                </w:p>
              </w:tc>
              <w:tc>
                <w:tcPr>
                  <w:tcW w:w="1026" w:type="pct"/>
                  <w:tcBorders>
                    <w:tl2br w:val="nil"/>
                    <w:tr2bl w:val="nil"/>
                  </w:tcBorders>
                  <w:vAlign w:val="center"/>
                </w:tcPr>
                <w:p w14:paraId="02E2B6C3">
                  <w:pPr>
                    <w:pStyle w:val="12"/>
                    <w:spacing w:before="0" w:after="0" w:line="240" w:lineRule="auto"/>
                    <w:ind w:right="0"/>
                    <w:jc w:val="center"/>
                    <w:rPr>
                      <w:rFonts w:hint="default" w:ascii="Times New Roman" w:hAnsi="Times New Roman" w:cs="Times New Roman"/>
                      <w:b/>
                      <w:bCs/>
                      <w:color w:val="auto"/>
                      <w:sz w:val="21"/>
                      <w:szCs w:val="21"/>
                      <w:highlight w:val="none"/>
                      <w:u w:val="single" w:color="auto"/>
                    </w:rPr>
                  </w:pPr>
                  <w:r>
                    <w:rPr>
                      <w:rFonts w:hint="default" w:ascii="Times New Roman" w:hAnsi="Times New Roman" w:cs="Times New Roman"/>
                      <w:b/>
                      <w:bCs/>
                      <w:color w:val="auto"/>
                      <w:sz w:val="21"/>
                      <w:szCs w:val="21"/>
                      <w:highlight w:val="none"/>
                      <w:u w:val="single" w:color="auto"/>
                    </w:rPr>
                    <w:t>监测项目</w:t>
                  </w:r>
                </w:p>
              </w:tc>
              <w:tc>
                <w:tcPr>
                  <w:tcW w:w="723" w:type="pct"/>
                  <w:tcBorders>
                    <w:tl2br w:val="nil"/>
                    <w:tr2bl w:val="nil"/>
                  </w:tcBorders>
                  <w:vAlign w:val="center"/>
                </w:tcPr>
                <w:p w14:paraId="0CCF0779">
                  <w:pPr>
                    <w:pStyle w:val="12"/>
                    <w:spacing w:before="0" w:after="0" w:line="240" w:lineRule="auto"/>
                    <w:ind w:right="0"/>
                    <w:jc w:val="center"/>
                    <w:rPr>
                      <w:rFonts w:hint="default" w:ascii="Times New Roman" w:hAnsi="Times New Roman" w:cs="Times New Roman"/>
                      <w:b/>
                      <w:bCs/>
                      <w:color w:val="auto"/>
                      <w:sz w:val="21"/>
                      <w:szCs w:val="21"/>
                      <w:highlight w:val="none"/>
                      <w:u w:val="single" w:color="auto"/>
                    </w:rPr>
                  </w:pPr>
                  <w:r>
                    <w:rPr>
                      <w:rFonts w:hint="default" w:ascii="Times New Roman" w:hAnsi="Times New Roman" w:cs="Times New Roman"/>
                      <w:b/>
                      <w:bCs/>
                      <w:color w:val="auto"/>
                      <w:sz w:val="21"/>
                      <w:szCs w:val="21"/>
                      <w:highlight w:val="none"/>
                      <w:u w:val="single" w:color="auto"/>
                    </w:rPr>
                    <w:t>监测频次</w:t>
                  </w:r>
                </w:p>
              </w:tc>
              <w:tc>
                <w:tcPr>
                  <w:tcW w:w="1711" w:type="pct"/>
                  <w:tcBorders>
                    <w:tl2br w:val="nil"/>
                    <w:tr2bl w:val="nil"/>
                  </w:tcBorders>
                  <w:vAlign w:val="center"/>
                </w:tcPr>
                <w:p w14:paraId="69A57CF8">
                  <w:pPr>
                    <w:pStyle w:val="12"/>
                    <w:spacing w:before="0" w:after="0" w:line="240" w:lineRule="auto"/>
                    <w:ind w:right="0"/>
                    <w:jc w:val="center"/>
                    <w:rPr>
                      <w:rFonts w:hint="default" w:ascii="Times New Roman" w:hAnsi="Times New Roman" w:cs="Times New Roman"/>
                      <w:b/>
                      <w:bCs/>
                      <w:color w:val="auto"/>
                      <w:sz w:val="21"/>
                      <w:szCs w:val="21"/>
                      <w:highlight w:val="none"/>
                      <w:u w:val="single" w:color="auto"/>
                    </w:rPr>
                  </w:pPr>
                  <w:r>
                    <w:rPr>
                      <w:rFonts w:hint="default" w:ascii="Times New Roman" w:hAnsi="Times New Roman" w:cs="Times New Roman"/>
                      <w:b/>
                      <w:bCs/>
                      <w:color w:val="auto"/>
                      <w:sz w:val="21"/>
                      <w:szCs w:val="21"/>
                      <w:highlight w:val="none"/>
                      <w:u w:val="single" w:color="auto"/>
                    </w:rPr>
                    <w:t>执行标准</w:t>
                  </w:r>
                </w:p>
              </w:tc>
              <w:tc>
                <w:tcPr>
                  <w:tcW w:w="593" w:type="pct"/>
                  <w:tcBorders>
                    <w:tl2br w:val="nil"/>
                    <w:tr2bl w:val="nil"/>
                  </w:tcBorders>
                  <w:vAlign w:val="center"/>
                </w:tcPr>
                <w:p w14:paraId="6C464E40">
                  <w:pPr>
                    <w:pStyle w:val="12"/>
                    <w:spacing w:before="0" w:after="0" w:line="240" w:lineRule="auto"/>
                    <w:ind w:right="0"/>
                    <w:jc w:val="center"/>
                    <w:rPr>
                      <w:rFonts w:hint="eastAsia" w:ascii="Times New Roman" w:hAnsi="Times New Roman" w:eastAsia="宋体" w:cs="Times New Roman"/>
                      <w:b/>
                      <w:bCs/>
                      <w:color w:val="auto"/>
                      <w:sz w:val="21"/>
                      <w:szCs w:val="21"/>
                      <w:highlight w:val="none"/>
                      <w:u w:val="single" w:color="auto"/>
                      <w:lang w:val="en-US" w:eastAsia="zh-CN"/>
                    </w:rPr>
                  </w:pPr>
                  <w:r>
                    <w:rPr>
                      <w:rFonts w:hint="eastAsia" w:cs="Times New Roman"/>
                      <w:b/>
                      <w:bCs/>
                      <w:color w:val="auto"/>
                      <w:sz w:val="21"/>
                      <w:szCs w:val="21"/>
                      <w:highlight w:val="none"/>
                      <w:u w:val="single" w:color="auto"/>
                      <w:lang w:val="en-US" w:eastAsia="zh-CN"/>
                    </w:rPr>
                    <w:t>备注</w:t>
                  </w:r>
                </w:p>
              </w:tc>
            </w:tr>
            <w:tr w14:paraId="3418C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tl2br w:val="nil"/>
                    <w:tr2bl w:val="nil"/>
                  </w:tcBorders>
                  <w:vAlign w:val="center"/>
                </w:tcPr>
                <w:p w14:paraId="50314A68">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u w:val="single" w:color="auto"/>
                      <w:lang w:val="en-US" w:eastAsia="zh-CN"/>
                    </w:rPr>
                    <w:t>蒸汽发生器废气（DA0</w:t>
                  </w:r>
                  <w:r>
                    <w:rPr>
                      <w:rFonts w:hint="eastAsia" w:ascii="Times New Roman" w:hAnsi="Times New Roman" w:cs="Times New Roman"/>
                      <w:color w:val="auto"/>
                      <w:sz w:val="21"/>
                      <w:szCs w:val="21"/>
                      <w:u w:val="single" w:color="auto"/>
                      <w:lang w:val="en-US" w:eastAsia="zh-CN"/>
                    </w:rPr>
                    <w:t>01）</w:t>
                  </w:r>
                </w:p>
              </w:tc>
              <w:tc>
                <w:tcPr>
                  <w:tcW w:w="1026" w:type="pct"/>
                  <w:tcBorders>
                    <w:tl2br w:val="nil"/>
                    <w:tr2bl w:val="nil"/>
                  </w:tcBorders>
                  <w:vAlign w:val="center"/>
                </w:tcPr>
                <w:p w14:paraId="55304115">
                  <w:pPr>
                    <w:pStyle w:val="12"/>
                    <w:spacing w:before="0" w:after="0" w:line="240" w:lineRule="auto"/>
                    <w:ind w:right="0"/>
                    <w:jc w:val="center"/>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lang w:eastAsia="zh-CN"/>
                    </w:rPr>
                    <w:t>二氧化硫、氮氧化物、颗粒物</w:t>
                  </w:r>
                </w:p>
              </w:tc>
              <w:tc>
                <w:tcPr>
                  <w:tcW w:w="723" w:type="pct"/>
                  <w:tcBorders>
                    <w:tl2br w:val="nil"/>
                    <w:tr2bl w:val="nil"/>
                  </w:tcBorders>
                  <w:vAlign w:val="center"/>
                </w:tcPr>
                <w:p w14:paraId="20A935C0">
                  <w:pPr>
                    <w:pStyle w:val="12"/>
                    <w:spacing w:before="0" w:after="0" w:line="240" w:lineRule="auto"/>
                    <w:ind w:right="0"/>
                    <w:jc w:val="center"/>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cs="Times New Roman"/>
                      <w:color w:val="auto"/>
                      <w:sz w:val="21"/>
                      <w:szCs w:val="21"/>
                      <w:highlight w:val="none"/>
                      <w:u w:val="single" w:color="auto"/>
                    </w:rPr>
                    <w:t>1次/</w:t>
                  </w:r>
                  <w:r>
                    <w:rPr>
                      <w:rFonts w:hint="default" w:ascii="Times New Roman" w:hAnsi="Times New Roman" w:cs="Times New Roman"/>
                      <w:color w:val="auto"/>
                      <w:sz w:val="21"/>
                      <w:szCs w:val="21"/>
                      <w:highlight w:val="none"/>
                      <w:u w:val="single" w:color="auto"/>
                      <w:lang w:eastAsia="zh-CN"/>
                    </w:rPr>
                    <w:t>月</w:t>
                  </w:r>
                </w:p>
              </w:tc>
              <w:tc>
                <w:tcPr>
                  <w:tcW w:w="1711" w:type="pct"/>
                  <w:tcBorders>
                    <w:tl2br w:val="nil"/>
                    <w:tr2bl w:val="nil"/>
                  </w:tcBorders>
                  <w:vAlign w:val="center"/>
                </w:tcPr>
                <w:p w14:paraId="63F784AB">
                  <w:pPr>
                    <w:pStyle w:val="12"/>
                    <w:spacing w:before="0" w:after="0" w:line="240" w:lineRule="auto"/>
                    <w:ind w:right="0"/>
                    <w:jc w:val="center"/>
                    <w:rPr>
                      <w:rFonts w:hint="default" w:ascii="Times New Roman" w:hAnsi="Times New Roman" w:eastAsia="宋体" w:cs="Times New Roman"/>
                      <w:color w:val="auto"/>
                      <w:sz w:val="21"/>
                      <w:szCs w:val="21"/>
                      <w:highlight w:val="none"/>
                      <w:u w:val="single" w:color="auto"/>
                      <w:lang w:eastAsia="zh-CN"/>
                    </w:rPr>
                  </w:pPr>
                  <w:r>
                    <w:rPr>
                      <w:rFonts w:hint="eastAsia" w:cs="Times New Roman"/>
                      <w:color w:val="auto"/>
                      <w:sz w:val="21"/>
                      <w:szCs w:val="21"/>
                      <w:highlight w:val="none"/>
                      <w:u w:val="single" w:color="auto"/>
                      <w:lang w:eastAsia="zh-CN"/>
                    </w:rPr>
                    <w:t>《</w:t>
                  </w:r>
                  <w:r>
                    <w:rPr>
                      <w:rFonts w:hint="default" w:ascii="Times New Roman" w:hAnsi="Times New Roman" w:cs="Times New Roman"/>
                      <w:color w:val="auto"/>
                      <w:sz w:val="21"/>
                      <w:szCs w:val="21"/>
                      <w:highlight w:val="none"/>
                      <w:u w:val="single" w:color="auto"/>
                    </w:rPr>
                    <w:t>锅炉大气污染物排放标准》（GB13271-2014）中</w:t>
                  </w:r>
                  <w:r>
                    <w:rPr>
                      <w:rFonts w:hint="default" w:ascii="Times New Roman" w:hAnsi="Times New Roman" w:cs="Times New Roman"/>
                      <w:color w:val="auto"/>
                      <w:sz w:val="21"/>
                      <w:szCs w:val="21"/>
                      <w:highlight w:val="none"/>
                      <w:u w:val="single" w:color="auto"/>
                      <w:lang w:eastAsia="zh-CN"/>
                    </w:rPr>
                    <w:t>燃煤标准</w:t>
                  </w:r>
                </w:p>
              </w:tc>
              <w:tc>
                <w:tcPr>
                  <w:tcW w:w="593" w:type="pct"/>
                  <w:vMerge w:val="restart"/>
                  <w:tcBorders>
                    <w:tl2br w:val="nil"/>
                    <w:tr2bl w:val="nil"/>
                  </w:tcBorders>
                  <w:vAlign w:val="center"/>
                </w:tcPr>
                <w:p w14:paraId="18F28449">
                  <w:pPr>
                    <w:pStyle w:val="12"/>
                    <w:spacing w:before="0" w:after="0" w:line="240" w:lineRule="auto"/>
                    <w:ind w:right="0"/>
                    <w:jc w:val="center"/>
                    <w:rPr>
                      <w:rFonts w:hint="default" w:cs="Times New Roman"/>
                      <w:color w:val="auto"/>
                      <w:sz w:val="21"/>
                      <w:szCs w:val="21"/>
                      <w:highlight w:val="none"/>
                      <w:u w:val="single" w:color="auto"/>
                      <w:lang w:val="en-US" w:eastAsia="zh-CN"/>
                    </w:rPr>
                  </w:pPr>
                  <w:r>
                    <w:rPr>
                      <w:rFonts w:hint="eastAsia" w:cs="Times New Roman"/>
                      <w:color w:val="auto"/>
                      <w:sz w:val="21"/>
                      <w:szCs w:val="21"/>
                      <w:u w:val="single" w:color="auto"/>
                      <w:lang w:val="en-US" w:eastAsia="zh-CN"/>
                    </w:rPr>
                    <w:t>仅生产期间进行监测</w:t>
                  </w:r>
                </w:p>
              </w:tc>
            </w:tr>
            <w:tr w14:paraId="4ABC4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tl2br w:val="nil"/>
                    <w:tr2bl w:val="nil"/>
                  </w:tcBorders>
                  <w:vAlign w:val="center"/>
                </w:tcPr>
                <w:p w14:paraId="30D92E70">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eastAsia" w:cs="Times New Roman"/>
                      <w:color w:val="auto"/>
                      <w:sz w:val="21"/>
                      <w:szCs w:val="21"/>
                      <w:highlight w:val="none"/>
                      <w:u w:val="single" w:color="auto"/>
                      <w:lang w:eastAsia="zh-CN"/>
                    </w:rPr>
                  </w:pPr>
                  <w:r>
                    <w:rPr>
                      <w:rFonts w:hint="eastAsia" w:cs="Times New Roman"/>
                      <w:color w:val="auto"/>
                      <w:sz w:val="21"/>
                      <w:szCs w:val="21"/>
                      <w:u w:val="single" w:color="auto"/>
                      <w:lang w:val="en-US" w:eastAsia="zh-CN"/>
                    </w:rPr>
                    <w:t>热风炉废气</w:t>
                  </w:r>
                  <w:r>
                    <w:rPr>
                      <w:rFonts w:hint="eastAsia" w:ascii="Times New Roman" w:hAnsi="Times New Roman" w:eastAsia="宋体" w:cs="Times New Roman"/>
                      <w:color w:val="auto"/>
                      <w:sz w:val="21"/>
                      <w:szCs w:val="21"/>
                      <w:u w:val="single" w:color="auto"/>
                      <w:lang w:val="en-US" w:eastAsia="zh-CN"/>
                    </w:rPr>
                    <w:t>（DA0</w:t>
                  </w:r>
                  <w:r>
                    <w:rPr>
                      <w:rFonts w:hint="eastAsia" w:ascii="Times New Roman" w:hAnsi="Times New Roman" w:cs="Times New Roman"/>
                      <w:color w:val="auto"/>
                      <w:sz w:val="21"/>
                      <w:szCs w:val="21"/>
                      <w:u w:val="single" w:color="auto"/>
                      <w:lang w:val="en-US" w:eastAsia="zh-CN"/>
                    </w:rPr>
                    <w:t>02）</w:t>
                  </w:r>
                </w:p>
              </w:tc>
              <w:tc>
                <w:tcPr>
                  <w:tcW w:w="1026" w:type="pct"/>
                  <w:tcBorders>
                    <w:tl2br w:val="nil"/>
                    <w:tr2bl w:val="nil"/>
                  </w:tcBorders>
                  <w:vAlign w:val="center"/>
                </w:tcPr>
                <w:p w14:paraId="2A1A2BA1">
                  <w:pPr>
                    <w:pStyle w:val="12"/>
                    <w:spacing w:before="0" w:after="0" w:line="240" w:lineRule="auto"/>
                    <w:ind w:right="0"/>
                    <w:jc w:val="center"/>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lang w:eastAsia="zh-CN"/>
                    </w:rPr>
                    <w:t>二氧化硫、氮氧化物、颗粒物</w:t>
                  </w:r>
                </w:p>
              </w:tc>
              <w:tc>
                <w:tcPr>
                  <w:tcW w:w="723" w:type="pct"/>
                  <w:tcBorders>
                    <w:tl2br w:val="nil"/>
                    <w:tr2bl w:val="nil"/>
                  </w:tcBorders>
                  <w:vAlign w:val="center"/>
                </w:tcPr>
                <w:p w14:paraId="07ACD532">
                  <w:pPr>
                    <w:pStyle w:val="12"/>
                    <w:spacing w:before="0" w:after="0" w:line="240" w:lineRule="auto"/>
                    <w:ind w:right="0"/>
                    <w:jc w:val="center"/>
                    <w:rPr>
                      <w:rFonts w:hint="default" w:ascii="Times New Roman" w:hAnsi="Times New Roman" w:cs="Times New Roman"/>
                      <w:color w:val="auto"/>
                      <w:sz w:val="21"/>
                      <w:szCs w:val="21"/>
                      <w:highlight w:val="none"/>
                      <w:u w:val="single" w:color="auto"/>
                    </w:rPr>
                  </w:pPr>
                  <w:r>
                    <w:rPr>
                      <w:rFonts w:hint="default" w:ascii="Times New Roman" w:hAnsi="Times New Roman" w:cs="Times New Roman"/>
                      <w:color w:val="auto"/>
                      <w:sz w:val="21"/>
                      <w:szCs w:val="21"/>
                      <w:highlight w:val="none"/>
                      <w:u w:val="single" w:color="auto"/>
                    </w:rPr>
                    <w:t>1次/年</w:t>
                  </w:r>
                </w:p>
              </w:tc>
              <w:tc>
                <w:tcPr>
                  <w:tcW w:w="1711" w:type="pct"/>
                  <w:tcBorders>
                    <w:tl2br w:val="nil"/>
                    <w:tr2bl w:val="nil"/>
                  </w:tcBorders>
                  <w:vAlign w:val="center"/>
                </w:tcPr>
                <w:p w14:paraId="563DA037">
                  <w:pPr>
                    <w:pStyle w:val="12"/>
                    <w:spacing w:before="0" w:after="0" w:line="240" w:lineRule="auto"/>
                    <w:ind w:right="0"/>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FF0000"/>
                      <w:sz w:val="21"/>
                      <w:szCs w:val="21"/>
                      <w:u w:val="single"/>
                      <w:lang w:val="en-US" w:eastAsia="zh-CN"/>
                    </w:rPr>
                    <w:t>参照执行</w:t>
                  </w:r>
                  <w:r>
                    <w:rPr>
                      <w:rFonts w:ascii="Times New Roman" w:hAnsi="Times New Roman" w:eastAsia="宋体" w:cs="Times New Roman"/>
                      <w:color w:val="FF0000"/>
                      <w:sz w:val="21"/>
                      <w:szCs w:val="21"/>
                      <w:u w:val="single"/>
                    </w:rPr>
                    <w:t>《湖南省工业炉窑大气污染综合治理实施方案》</w:t>
                  </w:r>
                  <w:r>
                    <w:rPr>
                      <w:rFonts w:hint="default" w:ascii="Times New Roman" w:hAnsi="Times New Roman" w:eastAsia="宋体" w:cs="Times New Roman"/>
                      <w:color w:val="FF0000"/>
                      <w:sz w:val="21"/>
                      <w:szCs w:val="21"/>
                      <w:u w:val="single"/>
                      <w:lang w:val="en-US" w:eastAsia="zh-CN"/>
                    </w:rPr>
                    <w:t>中现阶段长沙市、株洲市、湘潭市以及常德市、岳阳市、益阳市等传输通道城市</w:t>
                  </w:r>
                  <w:r>
                    <w:rPr>
                      <w:rFonts w:hint="eastAsia" w:ascii="Times New Roman" w:hAnsi="Times New Roman" w:eastAsia="宋体" w:cs="Times New Roman"/>
                      <w:color w:val="FF0000"/>
                      <w:sz w:val="21"/>
                      <w:szCs w:val="21"/>
                      <w:u w:val="single"/>
                      <w:lang w:val="en-US" w:eastAsia="zh-CN"/>
                    </w:rPr>
                    <w:t>“</w:t>
                  </w:r>
                  <w:r>
                    <w:rPr>
                      <w:rFonts w:hint="default" w:ascii="Times New Roman" w:hAnsi="Times New Roman" w:eastAsia="宋体" w:cs="Times New Roman"/>
                      <w:color w:val="FF0000"/>
                      <w:sz w:val="21"/>
                      <w:szCs w:val="21"/>
                      <w:u w:val="single"/>
                      <w:lang w:val="en-US" w:eastAsia="zh-CN"/>
                    </w:rPr>
                    <w:t>暂未制订行业排放标准的工业炉窑</w:t>
                  </w:r>
                  <w:r>
                    <w:rPr>
                      <w:rFonts w:hint="eastAsia" w:ascii="Times New Roman" w:hAnsi="Times New Roman" w:eastAsia="宋体" w:cs="Times New Roman"/>
                      <w:color w:val="FF0000"/>
                      <w:sz w:val="21"/>
                      <w:szCs w:val="21"/>
                      <w:u w:val="single"/>
                      <w:lang w:val="en-US" w:eastAsia="zh-CN"/>
                    </w:rPr>
                    <w:t>”的排放</w:t>
                  </w:r>
                  <w:r>
                    <w:rPr>
                      <w:rFonts w:hint="default" w:ascii="Times New Roman" w:hAnsi="Times New Roman" w:eastAsia="宋体" w:cs="Times New Roman"/>
                      <w:color w:val="FF0000"/>
                      <w:sz w:val="21"/>
                      <w:szCs w:val="21"/>
                      <w:u w:val="single"/>
                      <w:lang w:val="en-US" w:eastAsia="zh-CN"/>
                    </w:rPr>
                    <w:t>限值</w:t>
                  </w:r>
                </w:p>
              </w:tc>
              <w:tc>
                <w:tcPr>
                  <w:tcW w:w="593" w:type="pct"/>
                  <w:vMerge w:val="continue"/>
                  <w:tcBorders>
                    <w:tl2br w:val="nil"/>
                    <w:tr2bl w:val="nil"/>
                  </w:tcBorders>
                  <w:vAlign w:val="center"/>
                </w:tcPr>
                <w:p w14:paraId="3395D2D0">
                  <w:pPr>
                    <w:pStyle w:val="12"/>
                    <w:spacing w:before="0" w:after="0" w:line="240" w:lineRule="auto"/>
                    <w:ind w:right="0"/>
                    <w:jc w:val="center"/>
                    <w:rPr>
                      <w:rFonts w:ascii="Times New Roman" w:hAnsi="Times New Roman" w:eastAsia="宋体" w:cs="Times New Roman"/>
                      <w:color w:val="auto"/>
                      <w:sz w:val="21"/>
                      <w:szCs w:val="21"/>
                      <w:u w:val="single" w:color="auto"/>
                    </w:rPr>
                  </w:pPr>
                </w:p>
              </w:tc>
            </w:tr>
            <w:tr w14:paraId="0858C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vMerge w:val="restart"/>
                  <w:tcBorders>
                    <w:tl2br w:val="nil"/>
                    <w:tr2bl w:val="nil"/>
                  </w:tcBorders>
                  <w:vAlign w:val="center"/>
                </w:tcPr>
                <w:p w14:paraId="4A159A75">
                  <w:pPr>
                    <w:pStyle w:val="12"/>
                    <w:spacing w:before="0" w:after="0" w:line="240" w:lineRule="auto"/>
                    <w:ind w:right="0"/>
                    <w:jc w:val="center"/>
                    <w:rPr>
                      <w:rFonts w:hint="default"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厂界</w:t>
                  </w:r>
                </w:p>
              </w:tc>
              <w:tc>
                <w:tcPr>
                  <w:tcW w:w="1026" w:type="pct"/>
                  <w:tcBorders>
                    <w:tl2br w:val="nil"/>
                    <w:tr2bl w:val="nil"/>
                  </w:tcBorders>
                  <w:vAlign w:val="center"/>
                </w:tcPr>
                <w:p w14:paraId="5080BBEA">
                  <w:pPr>
                    <w:pStyle w:val="12"/>
                    <w:spacing w:before="0" w:after="0" w:line="240" w:lineRule="auto"/>
                    <w:ind w:right="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颗粒物</w:t>
                  </w:r>
                </w:p>
              </w:tc>
              <w:tc>
                <w:tcPr>
                  <w:tcW w:w="723" w:type="pct"/>
                  <w:tcBorders>
                    <w:tl2br w:val="nil"/>
                    <w:tr2bl w:val="nil"/>
                  </w:tcBorders>
                  <w:vAlign w:val="center"/>
                </w:tcPr>
                <w:p w14:paraId="0EC82F21">
                  <w:pPr>
                    <w:pStyle w:val="12"/>
                    <w:spacing w:before="0" w:after="0" w:line="240" w:lineRule="auto"/>
                    <w:ind w:right="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1次/季</w:t>
                  </w:r>
                </w:p>
              </w:tc>
              <w:tc>
                <w:tcPr>
                  <w:tcW w:w="1711" w:type="pct"/>
                  <w:tcBorders>
                    <w:tl2br w:val="nil"/>
                    <w:tr2bl w:val="nil"/>
                  </w:tcBorders>
                  <w:vAlign w:val="center"/>
                </w:tcPr>
                <w:p w14:paraId="3FD6280E">
                  <w:pPr>
                    <w:pStyle w:val="12"/>
                    <w:spacing w:before="0" w:after="0" w:line="240" w:lineRule="auto"/>
                    <w:ind w:right="0"/>
                    <w:jc w:val="center"/>
                    <w:rPr>
                      <w:rFonts w:hint="eastAsia" w:ascii="Times New Roman" w:hAnsi="Times New Roman" w:eastAsia="宋体" w:cs="Times New Roman"/>
                      <w:color w:val="auto"/>
                      <w:sz w:val="21"/>
                      <w:szCs w:val="21"/>
                      <w:u w:val="single" w:color="auto"/>
                      <w:lang w:eastAsia="zh-CN"/>
                    </w:rPr>
                  </w:pPr>
                  <w:r>
                    <w:rPr>
                      <w:rFonts w:ascii="Times New Roman" w:hAnsi="Times New Roman" w:eastAsia="宋体" w:cs="Times New Roman"/>
                      <w:color w:val="auto"/>
                      <w:sz w:val="21"/>
                      <w:szCs w:val="21"/>
                      <w:u w:val="single" w:color="auto"/>
                    </w:rPr>
                    <w:t>《大气污染物综合排放标准》（GB16297-1996）</w:t>
                  </w:r>
                </w:p>
              </w:tc>
              <w:tc>
                <w:tcPr>
                  <w:tcW w:w="593" w:type="pct"/>
                  <w:vMerge w:val="continue"/>
                  <w:tcBorders>
                    <w:tl2br w:val="nil"/>
                    <w:tr2bl w:val="nil"/>
                  </w:tcBorders>
                  <w:vAlign w:val="center"/>
                </w:tcPr>
                <w:p w14:paraId="40BCFC67">
                  <w:pPr>
                    <w:pStyle w:val="12"/>
                    <w:spacing w:before="0" w:after="0" w:line="240" w:lineRule="auto"/>
                    <w:ind w:right="0"/>
                    <w:jc w:val="center"/>
                    <w:rPr>
                      <w:rFonts w:ascii="Times New Roman" w:hAnsi="Times New Roman" w:eastAsia="宋体" w:cs="Times New Roman"/>
                      <w:color w:val="auto"/>
                      <w:sz w:val="21"/>
                      <w:szCs w:val="21"/>
                      <w:u w:val="single" w:color="auto"/>
                    </w:rPr>
                  </w:pPr>
                </w:p>
              </w:tc>
            </w:tr>
            <w:tr w14:paraId="399BE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vMerge w:val="continue"/>
                  <w:tcBorders>
                    <w:tl2br w:val="nil"/>
                    <w:tr2bl w:val="nil"/>
                  </w:tcBorders>
                  <w:vAlign w:val="center"/>
                </w:tcPr>
                <w:p w14:paraId="1004A37C">
                  <w:pPr>
                    <w:pStyle w:val="12"/>
                    <w:spacing w:before="0" w:after="0" w:line="240" w:lineRule="auto"/>
                    <w:ind w:right="0"/>
                    <w:jc w:val="center"/>
                    <w:rPr>
                      <w:rFonts w:hint="eastAsia" w:cs="Times New Roman"/>
                      <w:color w:val="auto"/>
                      <w:sz w:val="21"/>
                      <w:szCs w:val="21"/>
                      <w:highlight w:val="none"/>
                      <w:u w:val="single" w:color="auto"/>
                      <w:lang w:val="en-US" w:eastAsia="zh-CN"/>
                    </w:rPr>
                  </w:pPr>
                </w:p>
              </w:tc>
              <w:tc>
                <w:tcPr>
                  <w:tcW w:w="1026" w:type="pct"/>
                  <w:tcBorders>
                    <w:tl2br w:val="nil"/>
                    <w:tr2bl w:val="nil"/>
                  </w:tcBorders>
                  <w:vAlign w:val="center"/>
                </w:tcPr>
                <w:p w14:paraId="0DA5EB05">
                  <w:pPr>
                    <w:pStyle w:val="12"/>
                    <w:spacing w:before="0" w:after="0" w:line="240" w:lineRule="auto"/>
                    <w:ind w:right="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rPr>
                    <w:t>臭气浓度</w:t>
                  </w:r>
                </w:p>
              </w:tc>
              <w:tc>
                <w:tcPr>
                  <w:tcW w:w="723" w:type="pct"/>
                  <w:tcBorders>
                    <w:tl2br w:val="nil"/>
                    <w:tr2bl w:val="nil"/>
                  </w:tcBorders>
                  <w:vAlign w:val="center"/>
                </w:tcPr>
                <w:p w14:paraId="61ECD2BB">
                  <w:pPr>
                    <w:pStyle w:val="12"/>
                    <w:spacing w:before="0" w:after="0" w:line="240" w:lineRule="auto"/>
                    <w:ind w:right="0"/>
                    <w:jc w:val="center"/>
                    <w:rPr>
                      <w:rFonts w:hint="eastAsia" w:ascii="Times New Roman" w:hAnsi="Times New Roman" w:eastAsia="宋体" w:cs="Times New Roman"/>
                      <w:color w:val="auto"/>
                      <w:sz w:val="21"/>
                      <w:szCs w:val="21"/>
                      <w:u w:val="single" w:color="auto"/>
                      <w:lang w:val="en-US" w:eastAsia="zh-CN"/>
                    </w:rPr>
                  </w:pPr>
                  <w:r>
                    <w:rPr>
                      <w:rFonts w:ascii="Times New Roman" w:hAnsi="Times New Roman" w:eastAsia="宋体" w:cs="Times New Roman"/>
                      <w:color w:val="auto"/>
                      <w:sz w:val="21"/>
                      <w:szCs w:val="21"/>
                      <w:u w:val="single" w:color="auto"/>
                    </w:rPr>
                    <w:t>1次/</w:t>
                  </w:r>
                  <w:r>
                    <w:rPr>
                      <w:rFonts w:hint="eastAsia" w:ascii="Times New Roman" w:hAnsi="Times New Roman" w:eastAsia="宋体" w:cs="Times New Roman"/>
                      <w:color w:val="auto"/>
                      <w:sz w:val="21"/>
                      <w:szCs w:val="21"/>
                      <w:u w:val="single" w:color="auto"/>
                    </w:rPr>
                    <w:t>年</w:t>
                  </w:r>
                </w:p>
              </w:tc>
              <w:tc>
                <w:tcPr>
                  <w:tcW w:w="1711" w:type="pct"/>
                  <w:tcBorders>
                    <w:tl2br w:val="nil"/>
                    <w:tr2bl w:val="nil"/>
                  </w:tcBorders>
                  <w:vAlign w:val="center"/>
                </w:tcPr>
                <w:p w14:paraId="3AEF8CCB">
                  <w:pPr>
                    <w:pStyle w:val="12"/>
                    <w:spacing w:before="0" w:after="0" w:line="240" w:lineRule="auto"/>
                    <w:ind w:right="0"/>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《恶臭污染物排放标准》</w:t>
                  </w:r>
                  <w:r>
                    <w:rPr>
                      <w:rFonts w:hint="eastAsia" w:ascii="Times New Roman" w:hAnsi="Times New Roman" w:eastAsia="宋体" w:cs="Times New Roman"/>
                      <w:color w:val="auto"/>
                      <w:sz w:val="21"/>
                      <w:szCs w:val="21"/>
                      <w:u w:val="single" w:color="auto"/>
                    </w:rPr>
                    <w:t>（</w:t>
                  </w:r>
                  <w:r>
                    <w:rPr>
                      <w:rFonts w:ascii="Times New Roman" w:hAnsi="Times New Roman" w:eastAsia="宋体" w:cs="Times New Roman"/>
                      <w:color w:val="auto"/>
                      <w:sz w:val="21"/>
                      <w:szCs w:val="21"/>
                      <w:u w:val="single" w:color="auto"/>
                    </w:rPr>
                    <w:t>GB14554-93</w:t>
                  </w:r>
                  <w:r>
                    <w:rPr>
                      <w:rFonts w:hint="eastAsia" w:ascii="Times New Roman" w:hAnsi="Times New Roman" w:eastAsia="宋体" w:cs="Times New Roman"/>
                      <w:color w:val="auto"/>
                      <w:sz w:val="21"/>
                      <w:szCs w:val="21"/>
                      <w:u w:val="single" w:color="auto"/>
                    </w:rPr>
                    <w:t>）</w:t>
                  </w:r>
                  <w:r>
                    <w:rPr>
                      <w:rFonts w:ascii="Times New Roman" w:hAnsi="Times New Roman" w:eastAsia="宋体" w:cs="Times New Roman"/>
                      <w:color w:val="auto"/>
                      <w:sz w:val="21"/>
                      <w:szCs w:val="21"/>
                      <w:u w:val="single" w:color="auto"/>
                    </w:rPr>
                    <w:t>表</w:t>
                  </w:r>
                  <w:r>
                    <w:rPr>
                      <w:rFonts w:hint="eastAsia" w:ascii="Times New Roman" w:hAnsi="Times New Roman" w:eastAsia="宋体" w:cs="Times New Roman"/>
                      <w:color w:val="auto"/>
                      <w:sz w:val="21"/>
                      <w:szCs w:val="21"/>
                      <w:u w:val="single" w:color="auto"/>
                    </w:rPr>
                    <w:t>1</w:t>
                  </w:r>
                  <w:r>
                    <w:rPr>
                      <w:rFonts w:ascii="Times New Roman" w:hAnsi="Times New Roman" w:eastAsia="宋体" w:cs="Times New Roman"/>
                      <w:color w:val="auto"/>
                      <w:sz w:val="21"/>
                      <w:szCs w:val="21"/>
                      <w:u w:val="single" w:color="auto"/>
                    </w:rPr>
                    <w:t>标准限值</w:t>
                  </w:r>
                </w:p>
              </w:tc>
              <w:tc>
                <w:tcPr>
                  <w:tcW w:w="593" w:type="pct"/>
                  <w:vMerge w:val="continue"/>
                  <w:tcBorders>
                    <w:tl2br w:val="nil"/>
                    <w:tr2bl w:val="nil"/>
                  </w:tcBorders>
                  <w:vAlign w:val="center"/>
                </w:tcPr>
                <w:p w14:paraId="53AC55CF">
                  <w:pPr>
                    <w:pStyle w:val="12"/>
                    <w:spacing w:before="0" w:after="0" w:line="240" w:lineRule="auto"/>
                    <w:ind w:right="0"/>
                    <w:jc w:val="center"/>
                    <w:rPr>
                      <w:rFonts w:ascii="Times New Roman" w:hAnsi="Times New Roman" w:eastAsia="宋体" w:cs="Times New Roman"/>
                      <w:color w:val="auto"/>
                      <w:sz w:val="21"/>
                      <w:szCs w:val="21"/>
                      <w:u w:val="single" w:color="auto"/>
                    </w:rPr>
                  </w:pPr>
                </w:p>
              </w:tc>
            </w:tr>
          </w:tbl>
          <w:p w14:paraId="024DA0EE">
            <w:pPr>
              <w:pStyle w:val="31"/>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leftChars="200"/>
              <w:textAlignment w:val="auto"/>
              <w:rPr>
                <w:rFonts w:hint="default" w:ascii="Times New Roman" w:hAnsi="Times New Roman" w:cs="Times New Roman"/>
                <w:b/>
                <w:bCs/>
                <w:color w:val="auto"/>
                <w:kern w:val="44"/>
                <w:szCs w:val="24"/>
                <w:lang w:val="en-US" w:eastAsia="zh-CN"/>
              </w:rPr>
            </w:pPr>
            <w:r>
              <w:rPr>
                <w:rFonts w:hint="eastAsia" w:cs="Times New Roman"/>
                <w:b/>
                <w:bCs/>
                <w:color w:val="auto"/>
                <w:kern w:val="44"/>
                <w:szCs w:val="24"/>
                <w:lang w:val="en-US" w:eastAsia="zh-CN"/>
              </w:rPr>
              <w:t>3</w:t>
            </w:r>
            <w:r>
              <w:rPr>
                <w:rFonts w:hint="default" w:ascii="Times New Roman" w:hAnsi="Times New Roman" w:cs="Times New Roman"/>
                <w:b/>
                <w:bCs/>
                <w:color w:val="auto"/>
                <w:kern w:val="44"/>
                <w:szCs w:val="24"/>
                <w:lang w:val="en-US" w:eastAsia="zh-CN"/>
              </w:rPr>
              <w:t>、噪声污染源分析</w:t>
            </w:r>
          </w:p>
          <w:p w14:paraId="054B980F">
            <w:pPr>
              <w:spacing w:line="360" w:lineRule="auto"/>
              <w:ind w:firstLine="482" w:firstLineChars="200"/>
              <w:rPr>
                <w:b/>
                <w:color w:val="auto"/>
                <w:sz w:val="24"/>
                <w:szCs w:val="22"/>
              </w:rPr>
            </w:pPr>
            <w:r>
              <w:rPr>
                <w:rFonts w:hint="eastAsia"/>
                <w:b/>
                <w:color w:val="auto"/>
                <w:sz w:val="24"/>
                <w:szCs w:val="22"/>
                <w:lang w:eastAsia="zh-CN"/>
              </w:rPr>
              <w:t>（</w:t>
            </w:r>
            <w:r>
              <w:rPr>
                <w:rFonts w:hint="eastAsia"/>
                <w:b/>
                <w:color w:val="auto"/>
                <w:sz w:val="24"/>
                <w:szCs w:val="22"/>
                <w:lang w:val="en-US" w:eastAsia="zh-CN"/>
              </w:rPr>
              <w:t>1</w:t>
            </w:r>
            <w:r>
              <w:rPr>
                <w:rFonts w:hint="eastAsia"/>
                <w:b/>
                <w:color w:val="auto"/>
                <w:sz w:val="24"/>
                <w:szCs w:val="22"/>
                <w:lang w:eastAsia="zh-CN"/>
              </w:rPr>
              <w:t>）</w:t>
            </w:r>
            <w:r>
              <w:rPr>
                <w:b/>
                <w:color w:val="auto"/>
                <w:sz w:val="24"/>
                <w:szCs w:val="22"/>
              </w:rPr>
              <w:t>噪声源强</w:t>
            </w:r>
          </w:p>
          <w:p w14:paraId="0CEB8C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lang w:eastAsia="zh-CN"/>
              </w:rPr>
            </w:pPr>
            <w:r>
              <w:rPr>
                <w:rFonts w:hint="eastAsia" w:ascii="Times New Roman" w:hAnsi="Times New Roman" w:eastAsia="宋体" w:cs="宋体"/>
                <w:color w:val="auto"/>
                <w:sz w:val="24"/>
              </w:rPr>
              <w:t>本项目</w:t>
            </w:r>
            <w:r>
              <w:rPr>
                <w:rFonts w:hint="eastAsia" w:cs="宋体"/>
                <w:color w:val="auto"/>
                <w:sz w:val="24"/>
                <w:lang w:val="en-US" w:eastAsia="zh-CN"/>
              </w:rPr>
              <w:t>运营期</w:t>
            </w:r>
            <w:r>
              <w:rPr>
                <w:rFonts w:hint="eastAsia" w:ascii="Times New Roman" w:hAnsi="Times New Roman" w:eastAsia="宋体" w:cs="宋体"/>
                <w:color w:val="auto"/>
                <w:sz w:val="24"/>
              </w:rPr>
              <w:t>噪声主要</w:t>
            </w:r>
            <w:r>
              <w:rPr>
                <w:rFonts w:hint="eastAsia" w:cs="宋体"/>
                <w:color w:val="auto"/>
                <w:sz w:val="24"/>
                <w:lang w:eastAsia="zh-CN"/>
              </w:rPr>
              <w:t>来自</w:t>
            </w:r>
            <w:r>
              <w:rPr>
                <w:rFonts w:hint="eastAsia" w:cs="宋体"/>
                <w:color w:val="auto"/>
                <w:sz w:val="24"/>
                <w:lang w:val="en-US" w:eastAsia="zh-CN"/>
              </w:rPr>
              <w:t>清洗机、筛分机、</w:t>
            </w:r>
            <w:r>
              <w:rPr>
                <w:rFonts w:hint="eastAsia" w:ascii="Times New Roman" w:hAnsi="Times New Roman" w:eastAsia="宋体" w:cs="宋体"/>
                <w:color w:val="auto"/>
                <w:sz w:val="24"/>
              </w:rPr>
              <w:t>废气治理设施风机等运转设备在运行时产生的噪声，噪声源强约在</w:t>
            </w:r>
            <w:r>
              <w:rPr>
                <w:rFonts w:hint="eastAsia" w:cs="宋体"/>
                <w:color w:val="auto"/>
                <w:sz w:val="24"/>
                <w:lang w:val="en-US" w:eastAsia="zh-CN"/>
              </w:rPr>
              <w:t>7</w:t>
            </w:r>
            <w:r>
              <w:rPr>
                <w:rFonts w:hint="eastAsia" w:ascii="Times New Roman" w:hAnsi="Times New Roman" w:eastAsia="宋体" w:cs="宋体"/>
                <w:color w:val="auto"/>
                <w:sz w:val="24"/>
              </w:rPr>
              <w:t>0</w:t>
            </w:r>
            <w:r>
              <w:rPr>
                <w:rFonts w:hint="eastAsia" w:ascii="Times New Roman" w:hAnsi="Times New Roman" w:eastAsia="宋体" w:cs="宋体"/>
                <w:color w:val="auto"/>
                <w:sz w:val="24"/>
                <w:lang w:val="en-US" w:eastAsia="zh-CN"/>
              </w:rPr>
              <w:t>~</w:t>
            </w:r>
            <w:r>
              <w:rPr>
                <w:rFonts w:hint="eastAsia" w:cs="宋体"/>
                <w:color w:val="auto"/>
                <w:sz w:val="24"/>
                <w:lang w:val="en-US" w:eastAsia="zh-CN"/>
              </w:rPr>
              <w:t>95</w:t>
            </w:r>
            <w:r>
              <w:rPr>
                <w:rFonts w:hint="eastAsia" w:ascii="Times New Roman" w:hAnsi="Times New Roman" w:eastAsia="宋体" w:cs="宋体"/>
                <w:color w:val="auto"/>
                <w:sz w:val="24"/>
              </w:rPr>
              <w:t>dB</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A</w:t>
            </w:r>
            <w:r>
              <w:rPr>
                <w:rFonts w:hint="eastAsia" w:ascii="Times New Roman" w:hAnsi="Times New Roman" w:eastAsia="宋体" w:cs="宋体"/>
                <w:color w:val="auto"/>
                <w:sz w:val="24"/>
                <w:lang w:eastAsia="zh-CN"/>
              </w:rPr>
              <w:t>）。</w:t>
            </w:r>
          </w:p>
          <w:p w14:paraId="7B55AA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rPr>
            </w:pPr>
            <w:r>
              <w:rPr>
                <w:rFonts w:hint="eastAsia" w:ascii="Times New Roman" w:hAnsi="Times New Roman" w:eastAsia="宋体" w:cs="宋体"/>
                <w:color w:val="auto"/>
                <w:sz w:val="24"/>
              </w:rPr>
              <w:t>项目主要噪声设备及排放情况见下表。</w:t>
            </w:r>
          </w:p>
          <w:p w14:paraId="05F7CA98">
            <w:pPr>
              <w:autoSpaceDE w:val="0"/>
              <w:autoSpaceDN w:val="0"/>
              <w:jc w:val="center"/>
              <w:rPr>
                <w:b/>
                <w:bCs/>
                <w:color w:val="auto"/>
                <w:sz w:val="24"/>
              </w:rPr>
            </w:pPr>
            <w:r>
              <w:rPr>
                <w:b/>
                <w:bCs/>
                <w:color w:val="auto"/>
                <w:sz w:val="24"/>
              </w:rPr>
              <w:t>表4</w:t>
            </w:r>
            <w:r>
              <w:rPr>
                <w:rFonts w:hint="eastAsia"/>
                <w:b/>
                <w:bCs/>
                <w:color w:val="auto"/>
                <w:sz w:val="24"/>
              </w:rPr>
              <w:t>-1</w:t>
            </w:r>
            <w:r>
              <w:rPr>
                <w:rFonts w:hint="eastAsia"/>
                <w:b/>
                <w:bCs/>
                <w:color w:val="auto"/>
                <w:sz w:val="24"/>
                <w:lang w:val="en-US" w:eastAsia="zh-CN"/>
              </w:rPr>
              <w:t>2</w:t>
            </w:r>
            <w:r>
              <w:rPr>
                <w:rFonts w:hint="eastAsia"/>
                <w:b/>
                <w:bCs/>
                <w:color w:val="auto"/>
                <w:sz w:val="24"/>
              </w:rPr>
              <w:t xml:space="preserve">   </w:t>
            </w:r>
            <w:bookmarkStart w:id="38" w:name="OLE_LINK139"/>
            <w:r>
              <w:rPr>
                <w:rFonts w:hint="eastAsia"/>
                <w:b/>
                <w:bCs/>
                <w:color w:val="auto"/>
                <w:sz w:val="24"/>
              </w:rPr>
              <w:t>噪声污染源强调查清单（室内声源）</w:t>
            </w:r>
            <w:bookmarkEnd w:id="38"/>
          </w:p>
          <w:tbl>
            <w:tblPr>
              <w:tblStyle w:val="32"/>
              <w:tblW w:w="7839" w:type="dxa"/>
              <w:tblInd w:w="-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2"/>
              <w:gridCol w:w="816"/>
              <w:gridCol w:w="689"/>
              <w:gridCol w:w="997"/>
              <w:gridCol w:w="438"/>
              <w:gridCol w:w="416"/>
              <w:gridCol w:w="389"/>
              <w:gridCol w:w="416"/>
              <w:gridCol w:w="416"/>
              <w:gridCol w:w="404"/>
              <w:gridCol w:w="424"/>
              <w:gridCol w:w="426"/>
              <w:gridCol w:w="416"/>
              <w:gridCol w:w="416"/>
              <w:gridCol w:w="404"/>
              <w:gridCol w:w="460"/>
            </w:tblGrid>
            <w:tr w14:paraId="1052E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99" w:type="pct"/>
                  <w:vMerge w:val="restart"/>
                  <w:shd w:val="clear" w:color="auto" w:fill="auto"/>
                  <w:noWrap w:val="0"/>
                  <w:vAlign w:val="center"/>
                </w:tcPr>
                <w:p w14:paraId="649CF57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序号</w:t>
                  </w:r>
                </w:p>
              </w:tc>
              <w:tc>
                <w:tcPr>
                  <w:tcW w:w="520" w:type="pct"/>
                  <w:vMerge w:val="restart"/>
                  <w:shd w:val="clear" w:color="auto" w:fill="auto"/>
                  <w:noWrap w:val="0"/>
                  <w:vAlign w:val="center"/>
                </w:tcPr>
                <w:p w14:paraId="6E347F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声源名称</w:t>
                  </w:r>
                </w:p>
              </w:tc>
              <w:tc>
                <w:tcPr>
                  <w:tcW w:w="439" w:type="pct"/>
                  <w:shd w:val="clear" w:color="auto" w:fill="auto"/>
                  <w:noWrap w:val="0"/>
                  <w:vAlign w:val="center"/>
                </w:tcPr>
                <w:p w14:paraId="216018A5">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声源源强</w:t>
                  </w:r>
                </w:p>
              </w:tc>
              <w:tc>
                <w:tcPr>
                  <w:tcW w:w="635" w:type="pct"/>
                  <w:vMerge w:val="restart"/>
                  <w:shd w:val="clear" w:color="auto" w:fill="auto"/>
                  <w:noWrap w:val="0"/>
                  <w:vAlign w:val="center"/>
                </w:tcPr>
                <w:p w14:paraId="1154642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声源控制措施</w:t>
                  </w:r>
                </w:p>
              </w:tc>
              <w:tc>
                <w:tcPr>
                  <w:tcW w:w="792" w:type="pct"/>
                  <w:gridSpan w:val="3"/>
                  <w:shd w:val="clear" w:color="auto" w:fill="auto"/>
                  <w:noWrap w:val="0"/>
                  <w:vAlign w:val="center"/>
                </w:tcPr>
                <w:p w14:paraId="0DCAD7A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空间相对位置/m</w:t>
                  </w:r>
                </w:p>
              </w:tc>
              <w:tc>
                <w:tcPr>
                  <w:tcW w:w="1058" w:type="pct"/>
                  <w:gridSpan w:val="4"/>
                  <w:shd w:val="clear" w:color="auto" w:fill="auto"/>
                  <w:noWrap w:val="0"/>
                  <w:vAlign w:val="center"/>
                </w:tcPr>
                <w:p w14:paraId="7B939897">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距室内边界距离/m</w:t>
                  </w:r>
                </w:p>
              </w:tc>
              <w:tc>
                <w:tcPr>
                  <w:tcW w:w="1060" w:type="pct"/>
                  <w:gridSpan w:val="4"/>
                  <w:shd w:val="clear" w:color="auto" w:fill="auto"/>
                  <w:noWrap w:val="0"/>
                  <w:vAlign w:val="center"/>
                </w:tcPr>
                <w:p w14:paraId="1C49D01D">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室内边界声级/dB（A）</w:t>
                  </w:r>
                </w:p>
              </w:tc>
              <w:tc>
                <w:tcPr>
                  <w:tcW w:w="293" w:type="pct"/>
                  <w:vMerge w:val="restart"/>
                  <w:shd w:val="clear" w:color="auto" w:fill="auto"/>
                  <w:noWrap w:val="0"/>
                  <w:vAlign w:val="center"/>
                </w:tcPr>
                <w:p w14:paraId="468636A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运行时段</w:t>
                  </w:r>
                </w:p>
              </w:tc>
            </w:tr>
            <w:tr w14:paraId="588A6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99" w:type="pct"/>
                  <w:vMerge w:val="continue"/>
                  <w:shd w:val="clear" w:color="auto" w:fill="auto"/>
                  <w:noWrap w:val="0"/>
                  <w:tcMar>
                    <w:top w:w="0" w:type="dxa"/>
                    <w:left w:w="0" w:type="dxa"/>
                    <w:bottom w:w="0" w:type="dxa"/>
                    <w:right w:w="0" w:type="dxa"/>
                  </w:tcMar>
                  <w:vAlign w:val="center"/>
                </w:tcPr>
                <w:p w14:paraId="5EC4633D">
                  <w:pPr>
                    <w:jc w:val="center"/>
                    <w:rPr>
                      <w:rFonts w:hint="default" w:ascii="Times New Roman" w:hAnsi="Times New Roman" w:eastAsia="宋体" w:cs="Times New Roman"/>
                      <w:color w:val="auto"/>
                      <w:sz w:val="21"/>
                      <w:szCs w:val="21"/>
                    </w:rPr>
                  </w:pPr>
                </w:p>
              </w:tc>
              <w:tc>
                <w:tcPr>
                  <w:tcW w:w="520" w:type="pct"/>
                  <w:vMerge w:val="continue"/>
                  <w:shd w:val="clear" w:color="auto" w:fill="auto"/>
                  <w:noWrap w:val="0"/>
                  <w:tcMar>
                    <w:top w:w="0" w:type="dxa"/>
                    <w:left w:w="0" w:type="dxa"/>
                    <w:bottom w:w="0" w:type="dxa"/>
                    <w:right w:w="0" w:type="dxa"/>
                  </w:tcMar>
                  <w:vAlign w:val="center"/>
                </w:tcPr>
                <w:p w14:paraId="282B9FB0">
                  <w:pPr>
                    <w:jc w:val="center"/>
                    <w:rPr>
                      <w:rFonts w:hint="default" w:ascii="Times New Roman" w:hAnsi="Times New Roman" w:eastAsia="宋体" w:cs="Times New Roman"/>
                      <w:color w:val="auto"/>
                      <w:sz w:val="21"/>
                      <w:szCs w:val="21"/>
                    </w:rPr>
                  </w:pPr>
                </w:p>
              </w:tc>
              <w:tc>
                <w:tcPr>
                  <w:tcW w:w="439" w:type="pct"/>
                  <w:shd w:val="clear" w:color="auto" w:fill="auto"/>
                  <w:noWrap w:val="0"/>
                  <w:tcMar>
                    <w:top w:w="0" w:type="dxa"/>
                    <w:left w:w="0" w:type="dxa"/>
                    <w:bottom w:w="0" w:type="dxa"/>
                    <w:right w:w="0" w:type="dxa"/>
                  </w:tcMar>
                  <w:vAlign w:val="center"/>
                </w:tcPr>
                <w:p w14:paraId="63633801">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声功率级/dB（A）</w:t>
                  </w:r>
                </w:p>
              </w:tc>
              <w:tc>
                <w:tcPr>
                  <w:tcW w:w="635" w:type="pct"/>
                  <w:vMerge w:val="continue"/>
                  <w:shd w:val="clear" w:color="auto" w:fill="auto"/>
                  <w:noWrap w:val="0"/>
                  <w:tcMar>
                    <w:top w:w="0" w:type="dxa"/>
                    <w:left w:w="0" w:type="dxa"/>
                    <w:bottom w:w="0" w:type="dxa"/>
                    <w:right w:w="0" w:type="dxa"/>
                  </w:tcMar>
                  <w:vAlign w:val="center"/>
                </w:tcPr>
                <w:p w14:paraId="327F18EE">
                  <w:pPr>
                    <w:jc w:val="center"/>
                    <w:rPr>
                      <w:rFonts w:hint="default" w:ascii="Times New Roman" w:hAnsi="Times New Roman" w:eastAsia="宋体" w:cs="Times New Roman"/>
                      <w:color w:val="auto"/>
                      <w:sz w:val="21"/>
                      <w:szCs w:val="21"/>
                    </w:rPr>
                  </w:pPr>
                </w:p>
              </w:tc>
              <w:tc>
                <w:tcPr>
                  <w:tcW w:w="279" w:type="pct"/>
                  <w:shd w:val="clear" w:color="auto" w:fill="auto"/>
                  <w:noWrap w:val="0"/>
                  <w:tcMar>
                    <w:top w:w="0" w:type="dxa"/>
                    <w:left w:w="0" w:type="dxa"/>
                    <w:bottom w:w="0" w:type="dxa"/>
                    <w:right w:w="0" w:type="dxa"/>
                  </w:tcMar>
                  <w:vAlign w:val="center"/>
                </w:tcPr>
                <w:p w14:paraId="65B86C5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265" w:type="pct"/>
                  <w:shd w:val="clear" w:color="auto" w:fill="auto"/>
                  <w:noWrap w:val="0"/>
                  <w:tcMar>
                    <w:top w:w="0" w:type="dxa"/>
                    <w:left w:w="0" w:type="dxa"/>
                    <w:bottom w:w="0" w:type="dxa"/>
                    <w:right w:w="0" w:type="dxa"/>
                  </w:tcMar>
                  <w:vAlign w:val="center"/>
                </w:tcPr>
                <w:p w14:paraId="0B024A5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248" w:type="pct"/>
                  <w:shd w:val="clear" w:color="auto" w:fill="auto"/>
                  <w:noWrap w:val="0"/>
                  <w:tcMar>
                    <w:top w:w="0" w:type="dxa"/>
                    <w:left w:w="0" w:type="dxa"/>
                    <w:bottom w:w="0" w:type="dxa"/>
                    <w:right w:w="0" w:type="dxa"/>
                  </w:tcMar>
                  <w:vAlign w:val="center"/>
                </w:tcPr>
                <w:p w14:paraId="0F751D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265" w:type="pct"/>
                  <w:shd w:val="clear" w:color="auto" w:fill="auto"/>
                  <w:noWrap w:val="0"/>
                  <w:tcMar>
                    <w:top w:w="0" w:type="dxa"/>
                    <w:left w:w="0" w:type="dxa"/>
                    <w:bottom w:w="0" w:type="dxa"/>
                    <w:right w:w="0" w:type="dxa"/>
                  </w:tcMar>
                  <w:vAlign w:val="center"/>
                </w:tcPr>
                <w:p w14:paraId="58366E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265" w:type="pct"/>
                  <w:shd w:val="clear" w:color="auto" w:fill="auto"/>
                  <w:noWrap w:val="0"/>
                  <w:tcMar>
                    <w:top w:w="0" w:type="dxa"/>
                    <w:left w:w="0" w:type="dxa"/>
                    <w:bottom w:w="0" w:type="dxa"/>
                    <w:right w:w="0" w:type="dxa"/>
                  </w:tcMar>
                  <w:vAlign w:val="center"/>
                </w:tcPr>
                <w:p w14:paraId="0C31979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257" w:type="pct"/>
                  <w:shd w:val="clear" w:color="auto" w:fill="auto"/>
                  <w:noWrap w:val="0"/>
                  <w:tcMar>
                    <w:top w:w="0" w:type="dxa"/>
                    <w:left w:w="0" w:type="dxa"/>
                    <w:bottom w:w="0" w:type="dxa"/>
                    <w:right w:w="0" w:type="dxa"/>
                  </w:tcMar>
                  <w:vAlign w:val="center"/>
                </w:tcPr>
                <w:p w14:paraId="5FCE62E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270" w:type="pct"/>
                  <w:shd w:val="clear" w:color="auto" w:fill="auto"/>
                  <w:noWrap w:val="0"/>
                  <w:tcMar>
                    <w:top w:w="0" w:type="dxa"/>
                    <w:left w:w="0" w:type="dxa"/>
                    <w:bottom w:w="0" w:type="dxa"/>
                    <w:right w:w="0" w:type="dxa"/>
                  </w:tcMar>
                  <w:vAlign w:val="center"/>
                </w:tcPr>
                <w:p w14:paraId="608DBA4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271" w:type="pct"/>
                  <w:shd w:val="clear" w:color="auto" w:fill="auto"/>
                  <w:noWrap w:val="0"/>
                  <w:tcMar>
                    <w:top w:w="0" w:type="dxa"/>
                    <w:left w:w="0" w:type="dxa"/>
                    <w:bottom w:w="0" w:type="dxa"/>
                    <w:right w:w="0" w:type="dxa"/>
                  </w:tcMar>
                  <w:vAlign w:val="center"/>
                </w:tcPr>
                <w:p w14:paraId="2E1449A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265" w:type="pct"/>
                  <w:shd w:val="clear" w:color="auto" w:fill="auto"/>
                  <w:noWrap w:val="0"/>
                  <w:tcMar>
                    <w:top w:w="0" w:type="dxa"/>
                    <w:left w:w="0" w:type="dxa"/>
                    <w:bottom w:w="0" w:type="dxa"/>
                    <w:right w:w="0" w:type="dxa"/>
                  </w:tcMar>
                  <w:vAlign w:val="center"/>
                </w:tcPr>
                <w:p w14:paraId="2AFA5AA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265" w:type="pct"/>
                  <w:shd w:val="clear" w:color="auto" w:fill="auto"/>
                  <w:noWrap w:val="0"/>
                  <w:tcMar>
                    <w:top w:w="0" w:type="dxa"/>
                    <w:left w:w="0" w:type="dxa"/>
                    <w:bottom w:w="0" w:type="dxa"/>
                    <w:right w:w="0" w:type="dxa"/>
                  </w:tcMar>
                  <w:vAlign w:val="center"/>
                </w:tcPr>
                <w:p w14:paraId="09C200F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257" w:type="pct"/>
                  <w:shd w:val="clear" w:color="auto" w:fill="auto"/>
                  <w:noWrap w:val="0"/>
                  <w:tcMar>
                    <w:top w:w="0" w:type="dxa"/>
                    <w:left w:w="0" w:type="dxa"/>
                    <w:bottom w:w="0" w:type="dxa"/>
                    <w:right w:w="0" w:type="dxa"/>
                  </w:tcMar>
                  <w:vAlign w:val="center"/>
                </w:tcPr>
                <w:p w14:paraId="07C74BE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293" w:type="pct"/>
                  <w:vMerge w:val="continue"/>
                  <w:shd w:val="clear" w:color="auto" w:fill="auto"/>
                  <w:noWrap w:val="0"/>
                  <w:tcMar>
                    <w:top w:w="0" w:type="dxa"/>
                    <w:left w:w="0" w:type="dxa"/>
                    <w:bottom w:w="0" w:type="dxa"/>
                    <w:right w:w="0" w:type="dxa"/>
                  </w:tcMar>
                  <w:vAlign w:val="center"/>
                </w:tcPr>
                <w:p w14:paraId="3D239D2C">
                  <w:pPr>
                    <w:jc w:val="center"/>
                    <w:rPr>
                      <w:rFonts w:hint="default" w:ascii="Times New Roman" w:hAnsi="Times New Roman" w:eastAsia="宋体" w:cs="Times New Roman"/>
                      <w:color w:val="auto"/>
                      <w:sz w:val="21"/>
                      <w:szCs w:val="21"/>
                    </w:rPr>
                  </w:pPr>
                </w:p>
              </w:tc>
            </w:tr>
            <w:tr w14:paraId="397D4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 w:type="pct"/>
                  <w:shd w:val="clear" w:color="auto" w:fill="auto"/>
                  <w:noWrap w:val="0"/>
                  <w:tcMar>
                    <w:top w:w="0" w:type="dxa"/>
                    <w:left w:w="0" w:type="dxa"/>
                    <w:bottom w:w="0" w:type="dxa"/>
                    <w:right w:w="0" w:type="dxa"/>
                  </w:tcMar>
                  <w:vAlign w:val="center"/>
                </w:tcPr>
                <w:p w14:paraId="1B473C1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520" w:type="pct"/>
                  <w:shd w:val="clear" w:color="auto" w:fill="auto"/>
                  <w:noWrap w:val="0"/>
                  <w:tcMar>
                    <w:top w:w="0" w:type="dxa"/>
                    <w:left w:w="0" w:type="dxa"/>
                    <w:bottom w:w="0" w:type="dxa"/>
                    <w:right w:w="0" w:type="dxa"/>
                  </w:tcMar>
                  <w:vAlign w:val="center"/>
                </w:tcPr>
                <w:p w14:paraId="500C41C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筛选机1</w:t>
                  </w:r>
                </w:p>
              </w:tc>
              <w:tc>
                <w:tcPr>
                  <w:tcW w:w="439" w:type="pct"/>
                  <w:shd w:val="clear" w:color="auto" w:fill="auto"/>
                  <w:noWrap w:val="0"/>
                  <w:tcMar>
                    <w:top w:w="0" w:type="dxa"/>
                    <w:left w:w="0" w:type="dxa"/>
                    <w:bottom w:w="0" w:type="dxa"/>
                    <w:right w:w="0" w:type="dxa"/>
                  </w:tcMar>
                  <w:vAlign w:val="center"/>
                </w:tcPr>
                <w:p w14:paraId="7DE4D78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635" w:type="pct"/>
                  <w:shd w:val="clear" w:color="auto" w:fill="auto"/>
                  <w:noWrap w:val="0"/>
                  <w:tcMar>
                    <w:top w:w="0" w:type="dxa"/>
                    <w:left w:w="0" w:type="dxa"/>
                    <w:bottom w:w="0" w:type="dxa"/>
                    <w:right w:w="0" w:type="dxa"/>
                  </w:tcMar>
                  <w:vAlign w:val="center"/>
                </w:tcPr>
                <w:p w14:paraId="2B0A6AC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基础减震、隔声降噪</w:t>
                  </w:r>
                </w:p>
              </w:tc>
              <w:tc>
                <w:tcPr>
                  <w:tcW w:w="279" w:type="pct"/>
                  <w:shd w:val="clear" w:color="auto" w:fill="auto"/>
                  <w:noWrap w:val="0"/>
                  <w:tcMar>
                    <w:top w:w="0" w:type="dxa"/>
                    <w:left w:w="0" w:type="dxa"/>
                    <w:bottom w:w="0" w:type="dxa"/>
                    <w:right w:w="0" w:type="dxa"/>
                  </w:tcMar>
                  <w:vAlign w:val="center"/>
                </w:tcPr>
                <w:p w14:paraId="763286A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4.9</w:t>
                  </w:r>
                </w:p>
              </w:tc>
              <w:tc>
                <w:tcPr>
                  <w:tcW w:w="265" w:type="pct"/>
                  <w:shd w:val="clear" w:color="auto" w:fill="auto"/>
                  <w:noWrap w:val="0"/>
                  <w:tcMar>
                    <w:top w:w="0" w:type="dxa"/>
                    <w:left w:w="0" w:type="dxa"/>
                    <w:bottom w:w="0" w:type="dxa"/>
                    <w:right w:w="0" w:type="dxa"/>
                  </w:tcMar>
                  <w:vAlign w:val="center"/>
                </w:tcPr>
                <w:p w14:paraId="0D851A1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248" w:type="pct"/>
                  <w:shd w:val="clear" w:color="auto" w:fill="auto"/>
                  <w:noWrap w:val="0"/>
                  <w:tcMar>
                    <w:top w:w="0" w:type="dxa"/>
                    <w:left w:w="0" w:type="dxa"/>
                    <w:bottom w:w="0" w:type="dxa"/>
                    <w:right w:w="0" w:type="dxa"/>
                  </w:tcMar>
                  <w:vAlign w:val="center"/>
                </w:tcPr>
                <w:p w14:paraId="2799FF3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5" w:type="pct"/>
                  <w:shd w:val="clear" w:color="auto" w:fill="auto"/>
                  <w:noWrap w:val="0"/>
                  <w:tcMar>
                    <w:top w:w="0" w:type="dxa"/>
                    <w:left w:w="0" w:type="dxa"/>
                    <w:bottom w:w="0" w:type="dxa"/>
                    <w:right w:w="0" w:type="dxa"/>
                  </w:tcMar>
                  <w:vAlign w:val="center"/>
                </w:tcPr>
                <w:p w14:paraId="3D9F50B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25.1</w:t>
                  </w:r>
                </w:p>
              </w:tc>
              <w:tc>
                <w:tcPr>
                  <w:tcW w:w="265" w:type="pct"/>
                  <w:shd w:val="clear" w:color="auto" w:fill="auto"/>
                  <w:noWrap w:val="0"/>
                  <w:tcMar>
                    <w:top w:w="0" w:type="dxa"/>
                    <w:left w:w="0" w:type="dxa"/>
                    <w:bottom w:w="0" w:type="dxa"/>
                    <w:right w:w="0" w:type="dxa"/>
                  </w:tcMar>
                  <w:vAlign w:val="center"/>
                </w:tcPr>
                <w:p w14:paraId="34F874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17.7</w:t>
                  </w:r>
                </w:p>
              </w:tc>
              <w:tc>
                <w:tcPr>
                  <w:tcW w:w="257" w:type="pct"/>
                  <w:shd w:val="clear" w:color="auto" w:fill="auto"/>
                  <w:noWrap w:val="0"/>
                  <w:tcMar>
                    <w:top w:w="0" w:type="dxa"/>
                    <w:left w:w="0" w:type="dxa"/>
                    <w:bottom w:w="0" w:type="dxa"/>
                    <w:right w:w="0" w:type="dxa"/>
                  </w:tcMar>
                  <w:vAlign w:val="center"/>
                </w:tcPr>
                <w:p w14:paraId="584602B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26.5</w:t>
                  </w:r>
                </w:p>
              </w:tc>
              <w:tc>
                <w:tcPr>
                  <w:tcW w:w="270" w:type="pct"/>
                  <w:shd w:val="clear" w:color="auto" w:fill="auto"/>
                  <w:noWrap w:val="0"/>
                  <w:tcMar>
                    <w:top w:w="0" w:type="dxa"/>
                    <w:left w:w="0" w:type="dxa"/>
                    <w:bottom w:w="0" w:type="dxa"/>
                    <w:right w:w="0" w:type="dxa"/>
                  </w:tcMar>
                  <w:vAlign w:val="center"/>
                </w:tcPr>
                <w:p w14:paraId="333DDC9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271" w:type="pct"/>
                  <w:shd w:val="clear" w:color="auto" w:fill="auto"/>
                  <w:noWrap w:val="0"/>
                  <w:tcMar>
                    <w:top w:w="0" w:type="dxa"/>
                    <w:left w:w="0" w:type="dxa"/>
                    <w:bottom w:w="0" w:type="dxa"/>
                    <w:right w:w="0" w:type="dxa"/>
                  </w:tcMar>
                  <w:vAlign w:val="center"/>
                </w:tcPr>
                <w:p w14:paraId="236AC82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24CBCC0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374DC37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57" w:type="pct"/>
                  <w:shd w:val="clear" w:color="auto" w:fill="auto"/>
                  <w:noWrap w:val="0"/>
                  <w:tcMar>
                    <w:top w:w="0" w:type="dxa"/>
                    <w:left w:w="0" w:type="dxa"/>
                    <w:bottom w:w="0" w:type="dxa"/>
                    <w:right w:w="0" w:type="dxa"/>
                  </w:tcMar>
                  <w:vAlign w:val="center"/>
                </w:tcPr>
                <w:p w14:paraId="70C4C6A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71.3</w:t>
                  </w:r>
                </w:p>
              </w:tc>
              <w:tc>
                <w:tcPr>
                  <w:tcW w:w="293" w:type="pct"/>
                  <w:shd w:val="clear" w:color="auto" w:fill="auto"/>
                  <w:noWrap w:val="0"/>
                  <w:tcMar>
                    <w:top w:w="0" w:type="dxa"/>
                    <w:left w:w="0" w:type="dxa"/>
                    <w:bottom w:w="0" w:type="dxa"/>
                    <w:right w:w="0" w:type="dxa"/>
                  </w:tcMar>
                  <w:vAlign w:val="center"/>
                </w:tcPr>
                <w:p w14:paraId="79B09D3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14:paraId="5784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 w:type="pct"/>
                  <w:shd w:val="clear" w:color="auto" w:fill="auto"/>
                  <w:noWrap w:val="0"/>
                  <w:tcMar>
                    <w:top w:w="0" w:type="dxa"/>
                    <w:left w:w="0" w:type="dxa"/>
                    <w:bottom w:w="0" w:type="dxa"/>
                    <w:right w:w="0" w:type="dxa"/>
                  </w:tcMar>
                  <w:vAlign w:val="center"/>
                </w:tcPr>
                <w:p w14:paraId="313408E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520" w:type="pct"/>
                  <w:shd w:val="clear" w:color="auto" w:fill="auto"/>
                  <w:noWrap w:val="0"/>
                  <w:tcMar>
                    <w:top w:w="0" w:type="dxa"/>
                    <w:left w:w="0" w:type="dxa"/>
                    <w:bottom w:w="0" w:type="dxa"/>
                    <w:right w:w="0" w:type="dxa"/>
                  </w:tcMar>
                  <w:vAlign w:val="center"/>
                </w:tcPr>
                <w:p w14:paraId="3D0F585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筛选机2</w:t>
                  </w:r>
                </w:p>
              </w:tc>
              <w:tc>
                <w:tcPr>
                  <w:tcW w:w="439" w:type="pct"/>
                  <w:shd w:val="clear" w:color="auto" w:fill="auto"/>
                  <w:noWrap w:val="0"/>
                  <w:tcMar>
                    <w:top w:w="0" w:type="dxa"/>
                    <w:left w:w="0" w:type="dxa"/>
                    <w:bottom w:w="0" w:type="dxa"/>
                    <w:right w:w="0" w:type="dxa"/>
                  </w:tcMar>
                  <w:vAlign w:val="center"/>
                </w:tcPr>
                <w:p w14:paraId="02C360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635" w:type="pct"/>
                  <w:shd w:val="clear" w:color="auto" w:fill="auto"/>
                  <w:noWrap w:val="0"/>
                  <w:tcMar>
                    <w:top w:w="0" w:type="dxa"/>
                    <w:left w:w="0" w:type="dxa"/>
                    <w:bottom w:w="0" w:type="dxa"/>
                    <w:right w:w="0" w:type="dxa"/>
                  </w:tcMar>
                  <w:vAlign w:val="center"/>
                </w:tcPr>
                <w:p w14:paraId="026D28F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基础减震、隔声降噪</w:t>
                  </w:r>
                </w:p>
              </w:tc>
              <w:tc>
                <w:tcPr>
                  <w:tcW w:w="279" w:type="pct"/>
                  <w:shd w:val="clear" w:color="auto" w:fill="auto"/>
                  <w:noWrap w:val="0"/>
                  <w:tcMar>
                    <w:top w:w="0" w:type="dxa"/>
                    <w:left w:w="0" w:type="dxa"/>
                    <w:bottom w:w="0" w:type="dxa"/>
                    <w:right w:w="0" w:type="dxa"/>
                  </w:tcMar>
                  <w:vAlign w:val="center"/>
                </w:tcPr>
                <w:p w14:paraId="2EFD7B7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265" w:type="pct"/>
                  <w:shd w:val="clear" w:color="auto" w:fill="auto"/>
                  <w:noWrap w:val="0"/>
                  <w:tcMar>
                    <w:top w:w="0" w:type="dxa"/>
                    <w:left w:w="0" w:type="dxa"/>
                    <w:bottom w:w="0" w:type="dxa"/>
                    <w:right w:w="0" w:type="dxa"/>
                  </w:tcMar>
                  <w:vAlign w:val="center"/>
                </w:tcPr>
                <w:p w14:paraId="02B4C9C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-10.7</w:t>
                  </w:r>
                </w:p>
              </w:tc>
              <w:tc>
                <w:tcPr>
                  <w:tcW w:w="248" w:type="pct"/>
                  <w:shd w:val="clear" w:color="auto" w:fill="auto"/>
                  <w:noWrap w:val="0"/>
                  <w:tcMar>
                    <w:top w:w="0" w:type="dxa"/>
                    <w:left w:w="0" w:type="dxa"/>
                    <w:bottom w:w="0" w:type="dxa"/>
                    <w:right w:w="0" w:type="dxa"/>
                  </w:tcMar>
                  <w:vAlign w:val="center"/>
                </w:tcPr>
                <w:p w14:paraId="2087464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5" w:type="pct"/>
                  <w:shd w:val="clear" w:color="auto" w:fill="auto"/>
                  <w:noWrap w:val="0"/>
                  <w:tcMar>
                    <w:top w:w="0" w:type="dxa"/>
                    <w:left w:w="0" w:type="dxa"/>
                    <w:bottom w:w="0" w:type="dxa"/>
                    <w:right w:w="0" w:type="dxa"/>
                  </w:tcMar>
                  <w:vAlign w:val="center"/>
                </w:tcPr>
                <w:p w14:paraId="407B134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25.5</w:t>
                  </w:r>
                </w:p>
              </w:tc>
              <w:tc>
                <w:tcPr>
                  <w:tcW w:w="265" w:type="pct"/>
                  <w:shd w:val="clear" w:color="auto" w:fill="auto"/>
                  <w:noWrap w:val="0"/>
                  <w:tcMar>
                    <w:top w:w="0" w:type="dxa"/>
                    <w:left w:w="0" w:type="dxa"/>
                    <w:bottom w:w="0" w:type="dxa"/>
                    <w:right w:w="0" w:type="dxa"/>
                  </w:tcMar>
                  <w:vAlign w:val="center"/>
                </w:tcPr>
                <w:p w14:paraId="1B99A8A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13.9</w:t>
                  </w:r>
                </w:p>
              </w:tc>
              <w:tc>
                <w:tcPr>
                  <w:tcW w:w="257" w:type="pct"/>
                  <w:shd w:val="clear" w:color="auto" w:fill="auto"/>
                  <w:noWrap w:val="0"/>
                  <w:tcMar>
                    <w:top w:w="0" w:type="dxa"/>
                    <w:left w:w="0" w:type="dxa"/>
                    <w:bottom w:w="0" w:type="dxa"/>
                    <w:right w:w="0" w:type="dxa"/>
                  </w:tcMar>
                  <w:vAlign w:val="center"/>
                </w:tcPr>
                <w:p w14:paraId="01DF7BA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26.1</w:t>
                  </w:r>
                </w:p>
              </w:tc>
              <w:tc>
                <w:tcPr>
                  <w:tcW w:w="270" w:type="pct"/>
                  <w:shd w:val="clear" w:color="auto" w:fill="auto"/>
                  <w:noWrap w:val="0"/>
                  <w:tcMar>
                    <w:top w:w="0" w:type="dxa"/>
                    <w:left w:w="0" w:type="dxa"/>
                    <w:bottom w:w="0" w:type="dxa"/>
                    <w:right w:w="0" w:type="dxa"/>
                  </w:tcMar>
                  <w:vAlign w:val="center"/>
                </w:tcPr>
                <w:p w14:paraId="42AA693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w:t>
                  </w:r>
                </w:p>
              </w:tc>
              <w:tc>
                <w:tcPr>
                  <w:tcW w:w="271" w:type="pct"/>
                  <w:shd w:val="clear" w:color="auto" w:fill="auto"/>
                  <w:noWrap w:val="0"/>
                  <w:tcMar>
                    <w:top w:w="0" w:type="dxa"/>
                    <w:left w:w="0" w:type="dxa"/>
                    <w:bottom w:w="0" w:type="dxa"/>
                    <w:right w:w="0" w:type="dxa"/>
                  </w:tcMar>
                  <w:vAlign w:val="center"/>
                </w:tcPr>
                <w:p w14:paraId="496BAE9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1A76167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4632DDB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57" w:type="pct"/>
                  <w:shd w:val="clear" w:color="auto" w:fill="auto"/>
                  <w:noWrap w:val="0"/>
                  <w:tcMar>
                    <w:top w:w="0" w:type="dxa"/>
                    <w:left w:w="0" w:type="dxa"/>
                    <w:bottom w:w="0" w:type="dxa"/>
                    <w:right w:w="0" w:type="dxa"/>
                  </w:tcMar>
                  <w:vAlign w:val="center"/>
                </w:tcPr>
                <w:p w14:paraId="1707F4E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67.7</w:t>
                  </w:r>
                </w:p>
              </w:tc>
              <w:tc>
                <w:tcPr>
                  <w:tcW w:w="293" w:type="pct"/>
                  <w:shd w:val="clear" w:color="auto" w:fill="auto"/>
                  <w:noWrap w:val="0"/>
                  <w:tcMar>
                    <w:top w:w="0" w:type="dxa"/>
                    <w:left w:w="0" w:type="dxa"/>
                    <w:bottom w:w="0" w:type="dxa"/>
                    <w:right w:w="0" w:type="dxa"/>
                  </w:tcMar>
                  <w:vAlign w:val="center"/>
                </w:tcPr>
                <w:p w14:paraId="6247862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14:paraId="384FE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 w:type="pct"/>
                  <w:shd w:val="clear" w:color="auto" w:fill="auto"/>
                  <w:noWrap w:val="0"/>
                  <w:tcMar>
                    <w:top w:w="0" w:type="dxa"/>
                    <w:left w:w="0" w:type="dxa"/>
                    <w:bottom w:w="0" w:type="dxa"/>
                    <w:right w:w="0" w:type="dxa"/>
                  </w:tcMar>
                  <w:vAlign w:val="center"/>
                </w:tcPr>
                <w:p w14:paraId="593CD3F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520" w:type="pct"/>
                  <w:shd w:val="clear" w:color="auto" w:fill="auto"/>
                  <w:noWrap w:val="0"/>
                  <w:tcMar>
                    <w:top w:w="0" w:type="dxa"/>
                    <w:left w:w="0" w:type="dxa"/>
                    <w:bottom w:w="0" w:type="dxa"/>
                    <w:right w:w="0" w:type="dxa"/>
                  </w:tcMar>
                  <w:vAlign w:val="center"/>
                </w:tcPr>
                <w:p w14:paraId="1515A62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清洗机1</w:t>
                  </w:r>
                </w:p>
              </w:tc>
              <w:tc>
                <w:tcPr>
                  <w:tcW w:w="439" w:type="pct"/>
                  <w:shd w:val="clear" w:color="auto" w:fill="auto"/>
                  <w:noWrap w:val="0"/>
                  <w:tcMar>
                    <w:top w:w="0" w:type="dxa"/>
                    <w:left w:w="0" w:type="dxa"/>
                    <w:bottom w:w="0" w:type="dxa"/>
                    <w:right w:w="0" w:type="dxa"/>
                  </w:tcMar>
                  <w:vAlign w:val="center"/>
                </w:tcPr>
                <w:p w14:paraId="06B8862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635" w:type="pct"/>
                  <w:shd w:val="clear" w:color="auto" w:fill="auto"/>
                  <w:noWrap w:val="0"/>
                  <w:tcMar>
                    <w:top w:w="0" w:type="dxa"/>
                    <w:left w:w="0" w:type="dxa"/>
                    <w:bottom w:w="0" w:type="dxa"/>
                    <w:right w:w="0" w:type="dxa"/>
                  </w:tcMar>
                  <w:vAlign w:val="center"/>
                </w:tcPr>
                <w:p w14:paraId="2B3968C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基础减震、隔声降噪</w:t>
                  </w:r>
                </w:p>
              </w:tc>
              <w:tc>
                <w:tcPr>
                  <w:tcW w:w="279" w:type="pct"/>
                  <w:shd w:val="clear" w:color="auto" w:fill="auto"/>
                  <w:noWrap w:val="0"/>
                  <w:tcMar>
                    <w:top w:w="0" w:type="dxa"/>
                    <w:left w:w="0" w:type="dxa"/>
                    <w:bottom w:w="0" w:type="dxa"/>
                    <w:right w:w="0" w:type="dxa"/>
                  </w:tcMar>
                  <w:vAlign w:val="center"/>
                </w:tcPr>
                <w:p w14:paraId="41E9DFB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11.6</w:t>
                  </w:r>
                </w:p>
              </w:tc>
              <w:tc>
                <w:tcPr>
                  <w:tcW w:w="265" w:type="pct"/>
                  <w:shd w:val="clear" w:color="auto" w:fill="auto"/>
                  <w:noWrap w:val="0"/>
                  <w:tcMar>
                    <w:top w:w="0" w:type="dxa"/>
                    <w:left w:w="0" w:type="dxa"/>
                    <w:bottom w:w="0" w:type="dxa"/>
                    <w:right w:w="0" w:type="dxa"/>
                  </w:tcMar>
                  <w:vAlign w:val="center"/>
                </w:tcPr>
                <w:p w14:paraId="29EE129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-4.9</w:t>
                  </w:r>
                </w:p>
              </w:tc>
              <w:tc>
                <w:tcPr>
                  <w:tcW w:w="248" w:type="pct"/>
                  <w:shd w:val="clear" w:color="auto" w:fill="auto"/>
                  <w:noWrap w:val="0"/>
                  <w:tcMar>
                    <w:top w:w="0" w:type="dxa"/>
                    <w:left w:w="0" w:type="dxa"/>
                    <w:bottom w:w="0" w:type="dxa"/>
                    <w:right w:w="0" w:type="dxa"/>
                  </w:tcMar>
                  <w:vAlign w:val="center"/>
                </w:tcPr>
                <w:p w14:paraId="78A6D92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5" w:type="pct"/>
                  <w:shd w:val="clear" w:color="auto" w:fill="auto"/>
                  <w:noWrap w:val="0"/>
                  <w:tcMar>
                    <w:top w:w="0" w:type="dxa"/>
                    <w:left w:w="0" w:type="dxa"/>
                    <w:bottom w:w="0" w:type="dxa"/>
                    <w:right w:w="0" w:type="dxa"/>
                  </w:tcMar>
                  <w:vAlign w:val="center"/>
                </w:tcPr>
                <w:p w14:paraId="1F0C6A0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18.1</w:t>
                  </w:r>
                </w:p>
              </w:tc>
              <w:tc>
                <w:tcPr>
                  <w:tcW w:w="265" w:type="pct"/>
                  <w:shd w:val="clear" w:color="auto" w:fill="auto"/>
                  <w:noWrap w:val="0"/>
                  <w:tcMar>
                    <w:top w:w="0" w:type="dxa"/>
                    <w:left w:w="0" w:type="dxa"/>
                    <w:bottom w:w="0" w:type="dxa"/>
                    <w:right w:w="0" w:type="dxa"/>
                  </w:tcMar>
                  <w:vAlign w:val="center"/>
                </w:tcPr>
                <w:p w14:paraId="67D47DA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17.0</w:t>
                  </w:r>
                </w:p>
              </w:tc>
              <w:tc>
                <w:tcPr>
                  <w:tcW w:w="257" w:type="pct"/>
                  <w:shd w:val="clear" w:color="auto" w:fill="auto"/>
                  <w:noWrap w:val="0"/>
                  <w:tcMar>
                    <w:top w:w="0" w:type="dxa"/>
                    <w:left w:w="0" w:type="dxa"/>
                    <w:bottom w:w="0" w:type="dxa"/>
                    <w:right w:w="0" w:type="dxa"/>
                  </w:tcMar>
                  <w:vAlign w:val="center"/>
                </w:tcPr>
                <w:p w14:paraId="5F935A0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33.5</w:t>
                  </w:r>
                </w:p>
              </w:tc>
              <w:tc>
                <w:tcPr>
                  <w:tcW w:w="270" w:type="pct"/>
                  <w:shd w:val="clear" w:color="auto" w:fill="auto"/>
                  <w:noWrap w:val="0"/>
                  <w:tcMar>
                    <w:top w:w="0" w:type="dxa"/>
                    <w:left w:w="0" w:type="dxa"/>
                    <w:bottom w:w="0" w:type="dxa"/>
                    <w:right w:w="0" w:type="dxa"/>
                  </w:tcMar>
                  <w:vAlign w:val="center"/>
                </w:tcPr>
                <w:p w14:paraId="3E071FD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271" w:type="pct"/>
                  <w:shd w:val="clear" w:color="auto" w:fill="auto"/>
                  <w:noWrap w:val="0"/>
                  <w:tcMar>
                    <w:top w:w="0" w:type="dxa"/>
                    <w:left w:w="0" w:type="dxa"/>
                    <w:bottom w:w="0" w:type="dxa"/>
                    <w:right w:w="0" w:type="dxa"/>
                  </w:tcMar>
                  <w:vAlign w:val="center"/>
                </w:tcPr>
                <w:p w14:paraId="342E0CC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52B6F11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52E0C1C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57" w:type="pct"/>
                  <w:shd w:val="clear" w:color="auto" w:fill="auto"/>
                  <w:noWrap w:val="0"/>
                  <w:tcMar>
                    <w:top w:w="0" w:type="dxa"/>
                    <w:left w:w="0" w:type="dxa"/>
                    <w:bottom w:w="0" w:type="dxa"/>
                    <w:right w:w="0" w:type="dxa"/>
                  </w:tcMar>
                  <w:vAlign w:val="center"/>
                </w:tcPr>
                <w:p w14:paraId="644E4AC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69.4</w:t>
                  </w:r>
                </w:p>
              </w:tc>
              <w:tc>
                <w:tcPr>
                  <w:tcW w:w="293" w:type="pct"/>
                  <w:shd w:val="clear" w:color="auto" w:fill="auto"/>
                  <w:noWrap w:val="0"/>
                  <w:tcMar>
                    <w:top w:w="0" w:type="dxa"/>
                    <w:left w:w="0" w:type="dxa"/>
                    <w:bottom w:w="0" w:type="dxa"/>
                    <w:right w:w="0" w:type="dxa"/>
                  </w:tcMar>
                  <w:vAlign w:val="center"/>
                </w:tcPr>
                <w:p w14:paraId="05477CA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14:paraId="28136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99" w:type="pct"/>
                  <w:shd w:val="clear" w:color="auto" w:fill="auto"/>
                  <w:noWrap w:val="0"/>
                  <w:tcMar>
                    <w:top w:w="0" w:type="dxa"/>
                    <w:left w:w="0" w:type="dxa"/>
                    <w:bottom w:w="0" w:type="dxa"/>
                    <w:right w:w="0" w:type="dxa"/>
                  </w:tcMar>
                  <w:vAlign w:val="center"/>
                </w:tcPr>
                <w:p w14:paraId="61C4A9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520" w:type="pct"/>
                  <w:shd w:val="clear" w:color="auto" w:fill="auto"/>
                  <w:noWrap w:val="0"/>
                  <w:tcMar>
                    <w:top w:w="0" w:type="dxa"/>
                    <w:left w:w="0" w:type="dxa"/>
                    <w:bottom w:w="0" w:type="dxa"/>
                    <w:right w:w="0" w:type="dxa"/>
                  </w:tcMar>
                  <w:vAlign w:val="center"/>
                </w:tcPr>
                <w:p w14:paraId="58D3D35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清洗机2</w:t>
                  </w:r>
                </w:p>
              </w:tc>
              <w:tc>
                <w:tcPr>
                  <w:tcW w:w="439" w:type="pct"/>
                  <w:shd w:val="clear" w:color="auto" w:fill="auto"/>
                  <w:noWrap w:val="0"/>
                  <w:tcMar>
                    <w:top w:w="0" w:type="dxa"/>
                    <w:left w:w="0" w:type="dxa"/>
                    <w:bottom w:w="0" w:type="dxa"/>
                    <w:right w:w="0" w:type="dxa"/>
                  </w:tcMar>
                  <w:vAlign w:val="center"/>
                </w:tcPr>
                <w:p w14:paraId="1F628B2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635" w:type="pct"/>
                  <w:shd w:val="clear" w:color="auto" w:fill="auto"/>
                  <w:noWrap w:val="0"/>
                  <w:tcMar>
                    <w:top w:w="0" w:type="dxa"/>
                    <w:left w:w="0" w:type="dxa"/>
                    <w:bottom w:w="0" w:type="dxa"/>
                    <w:right w:w="0" w:type="dxa"/>
                  </w:tcMar>
                  <w:vAlign w:val="center"/>
                </w:tcPr>
                <w:p w14:paraId="1BC0F12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基础减震、隔声降噪</w:t>
                  </w:r>
                </w:p>
              </w:tc>
              <w:tc>
                <w:tcPr>
                  <w:tcW w:w="279" w:type="pct"/>
                  <w:shd w:val="clear" w:color="auto" w:fill="auto"/>
                  <w:noWrap w:val="0"/>
                  <w:tcMar>
                    <w:top w:w="0" w:type="dxa"/>
                    <w:left w:w="0" w:type="dxa"/>
                    <w:bottom w:w="0" w:type="dxa"/>
                    <w:right w:w="0" w:type="dxa"/>
                  </w:tcMar>
                  <w:vAlign w:val="center"/>
                </w:tcPr>
                <w:p w14:paraId="4B82E43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w:t>
                  </w:r>
                </w:p>
              </w:tc>
              <w:tc>
                <w:tcPr>
                  <w:tcW w:w="265" w:type="pct"/>
                  <w:shd w:val="clear" w:color="auto" w:fill="auto"/>
                  <w:noWrap w:val="0"/>
                  <w:tcMar>
                    <w:top w:w="0" w:type="dxa"/>
                    <w:left w:w="0" w:type="dxa"/>
                    <w:bottom w:w="0" w:type="dxa"/>
                    <w:right w:w="0" w:type="dxa"/>
                  </w:tcMar>
                  <w:vAlign w:val="center"/>
                </w:tcPr>
                <w:p w14:paraId="450908E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-9.1</w:t>
                  </w:r>
                </w:p>
              </w:tc>
              <w:tc>
                <w:tcPr>
                  <w:tcW w:w="248" w:type="pct"/>
                  <w:shd w:val="clear" w:color="auto" w:fill="auto"/>
                  <w:noWrap w:val="0"/>
                  <w:tcMar>
                    <w:top w:w="0" w:type="dxa"/>
                    <w:left w:w="0" w:type="dxa"/>
                    <w:bottom w:w="0" w:type="dxa"/>
                    <w:right w:w="0" w:type="dxa"/>
                  </w:tcMar>
                  <w:vAlign w:val="center"/>
                </w:tcPr>
                <w:p w14:paraId="60DE605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5" w:type="pct"/>
                  <w:shd w:val="clear" w:color="auto" w:fill="auto"/>
                  <w:noWrap w:val="0"/>
                  <w:tcMar>
                    <w:top w:w="0" w:type="dxa"/>
                    <w:left w:w="0" w:type="dxa"/>
                    <w:bottom w:w="0" w:type="dxa"/>
                    <w:right w:w="0" w:type="dxa"/>
                  </w:tcMar>
                  <w:vAlign w:val="center"/>
                </w:tcPr>
                <w:p w14:paraId="7FFF79D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18.5</w:t>
                  </w:r>
                </w:p>
              </w:tc>
              <w:tc>
                <w:tcPr>
                  <w:tcW w:w="265" w:type="pct"/>
                  <w:shd w:val="clear" w:color="auto" w:fill="auto"/>
                  <w:noWrap w:val="0"/>
                  <w:tcMar>
                    <w:top w:w="0" w:type="dxa"/>
                    <w:left w:w="0" w:type="dxa"/>
                    <w:bottom w:w="0" w:type="dxa"/>
                    <w:right w:w="0" w:type="dxa"/>
                  </w:tcMar>
                  <w:vAlign w:val="center"/>
                </w:tcPr>
                <w:p w14:paraId="7FDC9ED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12.6</w:t>
                  </w:r>
                </w:p>
              </w:tc>
              <w:tc>
                <w:tcPr>
                  <w:tcW w:w="257" w:type="pct"/>
                  <w:shd w:val="clear" w:color="auto" w:fill="auto"/>
                  <w:noWrap w:val="0"/>
                  <w:tcMar>
                    <w:top w:w="0" w:type="dxa"/>
                    <w:left w:w="0" w:type="dxa"/>
                    <w:bottom w:w="0" w:type="dxa"/>
                    <w:right w:w="0" w:type="dxa"/>
                  </w:tcMar>
                  <w:vAlign w:val="center"/>
                </w:tcPr>
                <w:p w14:paraId="3FFE2EE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33.1</w:t>
                  </w:r>
                </w:p>
              </w:tc>
              <w:tc>
                <w:tcPr>
                  <w:tcW w:w="270" w:type="pct"/>
                  <w:shd w:val="clear" w:color="auto" w:fill="auto"/>
                  <w:noWrap w:val="0"/>
                  <w:tcMar>
                    <w:top w:w="0" w:type="dxa"/>
                    <w:left w:w="0" w:type="dxa"/>
                    <w:bottom w:w="0" w:type="dxa"/>
                    <w:right w:w="0" w:type="dxa"/>
                  </w:tcMar>
                  <w:vAlign w:val="center"/>
                </w:tcPr>
                <w:p w14:paraId="4CF0317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5.9</w:t>
                  </w:r>
                </w:p>
              </w:tc>
              <w:tc>
                <w:tcPr>
                  <w:tcW w:w="271" w:type="pct"/>
                  <w:shd w:val="clear" w:color="auto" w:fill="auto"/>
                  <w:noWrap w:val="0"/>
                  <w:tcMar>
                    <w:top w:w="0" w:type="dxa"/>
                    <w:left w:w="0" w:type="dxa"/>
                    <w:bottom w:w="0" w:type="dxa"/>
                    <w:right w:w="0" w:type="dxa"/>
                  </w:tcMar>
                  <w:vAlign w:val="center"/>
                </w:tcPr>
                <w:p w14:paraId="02140DB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5519469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65" w:type="pct"/>
                  <w:shd w:val="clear" w:color="auto" w:fill="auto"/>
                  <w:noWrap w:val="0"/>
                  <w:tcMar>
                    <w:top w:w="0" w:type="dxa"/>
                    <w:left w:w="0" w:type="dxa"/>
                    <w:bottom w:w="0" w:type="dxa"/>
                    <w:right w:w="0" w:type="dxa"/>
                  </w:tcMar>
                  <w:vAlign w:val="center"/>
                </w:tcPr>
                <w:p w14:paraId="3CAFA45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67.5</w:t>
                  </w:r>
                </w:p>
              </w:tc>
              <w:tc>
                <w:tcPr>
                  <w:tcW w:w="257" w:type="pct"/>
                  <w:shd w:val="clear" w:color="auto" w:fill="auto"/>
                  <w:noWrap w:val="0"/>
                  <w:tcMar>
                    <w:top w:w="0" w:type="dxa"/>
                    <w:left w:w="0" w:type="dxa"/>
                    <w:bottom w:w="0" w:type="dxa"/>
                    <w:right w:w="0" w:type="dxa"/>
                  </w:tcMar>
                  <w:vAlign w:val="center"/>
                </w:tcPr>
                <w:p w14:paraId="0800E55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67.6</w:t>
                  </w:r>
                </w:p>
              </w:tc>
              <w:tc>
                <w:tcPr>
                  <w:tcW w:w="293" w:type="pct"/>
                  <w:shd w:val="clear" w:color="auto" w:fill="auto"/>
                  <w:noWrap w:val="0"/>
                  <w:tcMar>
                    <w:top w:w="0" w:type="dxa"/>
                    <w:left w:w="0" w:type="dxa"/>
                    <w:bottom w:w="0" w:type="dxa"/>
                    <w:right w:w="0" w:type="dxa"/>
                  </w:tcMar>
                  <w:vAlign w:val="center"/>
                </w:tcPr>
                <w:p w14:paraId="2B91A15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14:paraId="3C694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99" w:type="pct"/>
                  <w:shd w:val="clear" w:color="auto" w:fill="auto"/>
                  <w:noWrap w:val="0"/>
                  <w:tcMar>
                    <w:top w:w="0" w:type="dxa"/>
                    <w:left w:w="0" w:type="dxa"/>
                    <w:bottom w:w="0" w:type="dxa"/>
                    <w:right w:w="0" w:type="dxa"/>
                  </w:tcMar>
                  <w:vAlign w:val="center"/>
                </w:tcPr>
                <w:p w14:paraId="15B5FF84">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w:t>
                  </w:r>
                </w:p>
              </w:tc>
              <w:tc>
                <w:tcPr>
                  <w:tcW w:w="520" w:type="pct"/>
                  <w:shd w:val="clear" w:color="auto" w:fill="auto"/>
                  <w:noWrap w:val="0"/>
                  <w:tcMar>
                    <w:top w:w="0" w:type="dxa"/>
                    <w:left w:w="0" w:type="dxa"/>
                    <w:bottom w:w="0" w:type="dxa"/>
                    <w:right w:w="0" w:type="dxa"/>
                  </w:tcMar>
                  <w:vAlign w:val="center"/>
                </w:tcPr>
                <w:p w14:paraId="3811FCD7">
                  <w:pPr>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环保风机</w:t>
                  </w:r>
                  <w:r>
                    <w:rPr>
                      <w:rFonts w:hint="eastAsia" w:ascii="Times New Roman" w:hAnsi="Times New Roman" w:eastAsia="宋体" w:cs="Times New Roman"/>
                      <w:color w:val="auto"/>
                      <w:sz w:val="21"/>
                      <w:szCs w:val="21"/>
                      <w:lang w:val="en-US" w:eastAsia="zh-CN"/>
                    </w:rPr>
                    <w:t>1</w:t>
                  </w:r>
                </w:p>
              </w:tc>
              <w:tc>
                <w:tcPr>
                  <w:tcW w:w="439" w:type="pct"/>
                  <w:shd w:val="clear" w:color="auto" w:fill="auto"/>
                  <w:noWrap w:val="0"/>
                  <w:tcMar>
                    <w:top w:w="0" w:type="dxa"/>
                    <w:left w:w="0" w:type="dxa"/>
                    <w:bottom w:w="0" w:type="dxa"/>
                    <w:right w:w="0" w:type="dxa"/>
                  </w:tcMar>
                  <w:vAlign w:val="center"/>
                </w:tcPr>
                <w:p w14:paraId="327E7CE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635" w:type="pct"/>
                  <w:shd w:val="clear" w:color="auto" w:fill="auto"/>
                  <w:noWrap w:val="0"/>
                  <w:tcMar>
                    <w:top w:w="0" w:type="dxa"/>
                    <w:left w:w="0" w:type="dxa"/>
                    <w:bottom w:w="0" w:type="dxa"/>
                    <w:right w:w="0" w:type="dxa"/>
                  </w:tcMar>
                  <w:vAlign w:val="center"/>
                </w:tcPr>
                <w:p w14:paraId="6A8657D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隔声罩、吸声装置</w:t>
                  </w:r>
                </w:p>
              </w:tc>
              <w:tc>
                <w:tcPr>
                  <w:tcW w:w="279" w:type="pct"/>
                  <w:shd w:val="clear" w:color="auto" w:fill="auto"/>
                  <w:noWrap w:val="0"/>
                  <w:tcMar>
                    <w:top w:w="0" w:type="dxa"/>
                    <w:left w:w="0" w:type="dxa"/>
                    <w:bottom w:w="0" w:type="dxa"/>
                    <w:right w:w="0" w:type="dxa"/>
                  </w:tcMar>
                  <w:vAlign w:val="center"/>
                </w:tcPr>
                <w:p w14:paraId="187C9D4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w:t>
                  </w:r>
                </w:p>
              </w:tc>
              <w:tc>
                <w:tcPr>
                  <w:tcW w:w="265" w:type="pct"/>
                  <w:shd w:val="clear" w:color="auto" w:fill="auto"/>
                  <w:noWrap w:val="0"/>
                  <w:tcMar>
                    <w:top w:w="0" w:type="dxa"/>
                    <w:left w:w="0" w:type="dxa"/>
                    <w:bottom w:w="0" w:type="dxa"/>
                    <w:right w:w="0" w:type="dxa"/>
                  </w:tcMar>
                  <w:vAlign w:val="center"/>
                </w:tcPr>
                <w:p w14:paraId="19CBBD4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248" w:type="pct"/>
                  <w:shd w:val="clear" w:color="auto" w:fill="auto"/>
                  <w:noWrap w:val="0"/>
                  <w:tcMar>
                    <w:top w:w="0" w:type="dxa"/>
                    <w:left w:w="0" w:type="dxa"/>
                    <w:bottom w:w="0" w:type="dxa"/>
                    <w:right w:w="0" w:type="dxa"/>
                  </w:tcMar>
                  <w:vAlign w:val="center"/>
                </w:tcPr>
                <w:p w14:paraId="5A7B795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5" w:type="pct"/>
                  <w:shd w:val="clear" w:color="auto" w:fill="auto"/>
                  <w:noWrap w:val="0"/>
                  <w:tcMar>
                    <w:top w:w="0" w:type="dxa"/>
                    <w:left w:w="0" w:type="dxa"/>
                    <w:bottom w:w="0" w:type="dxa"/>
                    <w:right w:w="0" w:type="dxa"/>
                  </w:tcMar>
                  <w:vAlign w:val="center"/>
                </w:tcPr>
                <w:p w14:paraId="1A22F5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42.5</w:t>
                  </w:r>
                </w:p>
              </w:tc>
              <w:tc>
                <w:tcPr>
                  <w:tcW w:w="265" w:type="pct"/>
                  <w:shd w:val="clear" w:color="auto" w:fill="auto"/>
                  <w:noWrap w:val="0"/>
                  <w:tcMar>
                    <w:top w:w="0" w:type="dxa"/>
                    <w:left w:w="0" w:type="dxa"/>
                    <w:bottom w:w="0" w:type="dxa"/>
                    <w:right w:w="0" w:type="dxa"/>
                  </w:tcMar>
                  <w:vAlign w:val="center"/>
                </w:tcPr>
                <w:p w14:paraId="101C676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18.6</w:t>
                  </w:r>
                </w:p>
              </w:tc>
              <w:tc>
                <w:tcPr>
                  <w:tcW w:w="257" w:type="pct"/>
                  <w:shd w:val="clear" w:color="auto" w:fill="auto"/>
                  <w:noWrap w:val="0"/>
                  <w:tcMar>
                    <w:top w:w="0" w:type="dxa"/>
                    <w:left w:w="0" w:type="dxa"/>
                    <w:bottom w:w="0" w:type="dxa"/>
                    <w:right w:w="0" w:type="dxa"/>
                  </w:tcMar>
                  <w:vAlign w:val="center"/>
                </w:tcPr>
                <w:p w14:paraId="65F3C33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9.2</w:t>
                  </w:r>
                </w:p>
              </w:tc>
              <w:tc>
                <w:tcPr>
                  <w:tcW w:w="270" w:type="pct"/>
                  <w:shd w:val="clear" w:color="auto" w:fill="auto"/>
                  <w:noWrap w:val="0"/>
                  <w:tcMar>
                    <w:top w:w="0" w:type="dxa"/>
                    <w:left w:w="0" w:type="dxa"/>
                    <w:bottom w:w="0" w:type="dxa"/>
                    <w:right w:w="0" w:type="dxa"/>
                  </w:tcMar>
                  <w:vAlign w:val="center"/>
                </w:tcPr>
                <w:p w14:paraId="4EBDE6A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w:t>
                  </w:r>
                </w:p>
              </w:tc>
              <w:tc>
                <w:tcPr>
                  <w:tcW w:w="271" w:type="pct"/>
                  <w:shd w:val="clear" w:color="auto" w:fill="auto"/>
                  <w:noWrap w:val="0"/>
                  <w:tcMar>
                    <w:top w:w="0" w:type="dxa"/>
                    <w:left w:w="0" w:type="dxa"/>
                    <w:bottom w:w="0" w:type="dxa"/>
                    <w:right w:w="0" w:type="dxa"/>
                  </w:tcMar>
                  <w:vAlign w:val="center"/>
                </w:tcPr>
                <w:p w14:paraId="307E6C2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w:t>
                  </w:r>
                </w:p>
              </w:tc>
              <w:tc>
                <w:tcPr>
                  <w:tcW w:w="265" w:type="pct"/>
                  <w:shd w:val="clear" w:color="auto" w:fill="auto"/>
                  <w:noWrap w:val="0"/>
                  <w:tcMar>
                    <w:top w:w="0" w:type="dxa"/>
                    <w:left w:w="0" w:type="dxa"/>
                    <w:bottom w:w="0" w:type="dxa"/>
                    <w:right w:w="0" w:type="dxa"/>
                  </w:tcMar>
                  <w:vAlign w:val="center"/>
                </w:tcPr>
                <w:p w14:paraId="4F92989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w:t>
                  </w:r>
                </w:p>
              </w:tc>
              <w:tc>
                <w:tcPr>
                  <w:tcW w:w="265" w:type="pct"/>
                  <w:shd w:val="clear" w:color="auto" w:fill="auto"/>
                  <w:noWrap w:val="0"/>
                  <w:tcMar>
                    <w:top w:w="0" w:type="dxa"/>
                    <w:left w:w="0" w:type="dxa"/>
                    <w:bottom w:w="0" w:type="dxa"/>
                    <w:right w:w="0" w:type="dxa"/>
                  </w:tcMar>
                  <w:vAlign w:val="center"/>
                </w:tcPr>
                <w:p w14:paraId="62E9EB1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w:t>
                  </w:r>
                </w:p>
              </w:tc>
              <w:tc>
                <w:tcPr>
                  <w:tcW w:w="257" w:type="pct"/>
                  <w:shd w:val="clear" w:color="auto" w:fill="auto"/>
                  <w:noWrap w:val="0"/>
                  <w:tcMar>
                    <w:top w:w="0" w:type="dxa"/>
                    <w:left w:w="0" w:type="dxa"/>
                    <w:bottom w:w="0" w:type="dxa"/>
                    <w:right w:w="0" w:type="dxa"/>
                  </w:tcMar>
                  <w:vAlign w:val="center"/>
                </w:tcPr>
                <w:p w14:paraId="23F52CC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94.7</w:t>
                  </w:r>
                </w:p>
              </w:tc>
              <w:tc>
                <w:tcPr>
                  <w:tcW w:w="293" w:type="pct"/>
                  <w:shd w:val="clear" w:color="auto" w:fill="auto"/>
                  <w:noWrap w:val="0"/>
                  <w:tcMar>
                    <w:top w:w="0" w:type="dxa"/>
                    <w:left w:w="0" w:type="dxa"/>
                    <w:bottom w:w="0" w:type="dxa"/>
                    <w:right w:w="0" w:type="dxa"/>
                  </w:tcMar>
                  <w:vAlign w:val="center"/>
                </w:tcPr>
                <w:p w14:paraId="0CEF454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14:paraId="66068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 w:type="pct"/>
                  <w:shd w:val="clear" w:color="auto" w:fill="auto"/>
                  <w:noWrap w:val="0"/>
                  <w:tcMar>
                    <w:top w:w="0" w:type="dxa"/>
                    <w:left w:w="0" w:type="dxa"/>
                    <w:bottom w:w="0" w:type="dxa"/>
                    <w:right w:w="0" w:type="dxa"/>
                  </w:tcMar>
                  <w:vAlign w:val="center"/>
                </w:tcPr>
                <w:p w14:paraId="39A59F36">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c>
                <w:tcPr>
                  <w:tcW w:w="520" w:type="pct"/>
                  <w:shd w:val="clear" w:color="auto" w:fill="auto"/>
                  <w:noWrap w:val="0"/>
                  <w:tcMar>
                    <w:top w:w="0" w:type="dxa"/>
                    <w:left w:w="0" w:type="dxa"/>
                    <w:bottom w:w="0" w:type="dxa"/>
                    <w:right w:w="0" w:type="dxa"/>
                  </w:tcMar>
                  <w:vAlign w:val="center"/>
                </w:tcPr>
                <w:p w14:paraId="2C35B34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环保风机2</w:t>
                  </w:r>
                </w:p>
              </w:tc>
              <w:tc>
                <w:tcPr>
                  <w:tcW w:w="439" w:type="pct"/>
                  <w:shd w:val="clear" w:color="auto" w:fill="auto"/>
                  <w:noWrap w:val="0"/>
                  <w:tcMar>
                    <w:top w:w="0" w:type="dxa"/>
                    <w:left w:w="0" w:type="dxa"/>
                    <w:bottom w:w="0" w:type="dxa"/>
                    <w:right w:w="0" w:type="dxa"/>
                  </w:tcMar>
                  <w:vAlign w:val="center"/>
                </w:tcPr>
                <w:p w14:paraId="61F62C0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w:t>
                  </w:r>
                </w:p>
              </w:tc>
              <w:tc>
                <w:tcPr>
                  <w:tcW w:w="635" w:type="pct"/>
                  <w:shd w:val="clear" w:color="auto" w:fill="auto"/>
                  <w:noWrap w:val="0"/>
                  <w:tcMar>
                    <w:top w:w="0" w:type="dxa"/>
                    <w:left w:w="0" w:type="dxa"/>
                    <w:bottom w:w="0" w:type="dxa"/>
                    <w:right w:w="0" w:type="dxa"/>
                  </w:tcMar>
                  <w:vAlign w:val="center"/>
                </w:tcPr>
                <w:p w14:paraId="1A8A2BC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隔声罩、吸声装置</w:t>
                  </w:r>
                </w:p>
              </w:tc>
              <w:tc>
                <w:tcPr>
                  <w:tcW w:w="279" w:type="pct"/>
                  <w:shd w:val="clear" w:color="auto" w:fill="auto"/>
                  <w:noWrap w:val="0"/>
                  <w:tcMar>
                    <w:top w:w="0" w:type="dxa"/>
                    <w:left w:w="0" w:type="dxa"/>
                    <w:bottom w:w="0" w:type="dxa"/>
                    <w:right w:w="0" w:type="dxa"/>
                  </w:tcMar>
                  <w:vAlign w:val="center"/>
                </w:tcPr>
                <w:p w14:paraId="362F733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w:t>
                  </w:r>
                </w:p>
              </w:tc>
              <w:tc>
                <w:tcPr>
                  <w:tcW w:w="265" w:type="pct"/>
                  <w:shd w:val="clear" w:color="auto" w:fill="auto"/>
                  <w:noWrap w:val="0"/>
                  <w:tcMar>
                    <w:top w:w="0" w:type="dxa"/>
                    <w:left w:w="0" w:type="dxa"/>
                    <w:bottom w:w="0" w:type="dxa"/>
                    <w:right w:w="0" w:type="dxa"/>
                  </w:tcMar>
                  <w:vAlign w:val="center"/>
                </w:tcPr>
                <w:p w14:paraId="67D4AAB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-29.6</w:t>
                  </w:r>
                </w:p>
              </w:tc>
              <w:tc>
                <w:tcPr>
                  <w:tcW w:w="248" w:type="pct"/>
                  <w:shd w:val="clear" w:color="auto" w:fill="auto"/>
                  <w:noWrap w:val="0"/>
                  <w:tcMar>
                    <w:top w:w="0" w:type="dxa"/>
                    <w:left w:w="0" w:type="dxa"/>
                    <w:bottom w:w="0" w:type="dxa"/>
                    <w:right w:w="0" w:type="dxa"/>
                  </w:tcMar>
                  <w:vAlign w:val="center"/>
                </w:tcPr>
                <w:p w14:paraId="4A2A552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65" w:type="pct"/>
                  <w:shd w:val="clear" w:color="auto" w:fill="auto"/>
                  <w:noWrap w:val="0"/>
                  <w:tcMar>
                    <w:top w:w="0" w:type="dxa"/>
                    <w:left w:w="0" w:type="dxa"/>
                    <w:bottom w:w="0" w:type="dxa"/>
                    <w:right w:w="0" w:type="dxa"/>
                  </w:tcMar>
                  <w:vAlign w:val="center"/>
                </w:tcPr>
                <w:p w14:paraId="7EFADF6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42.2</w:t>
                  </w:r>
                </w:p>
              </w:tc>
              <w:tc>
                <w:tcPr>
                  <w:tcW w:w="265" w:type="pct"/>
                  <w:shd w:val="clear" w:color="auto" w:fill="auto"/>
                  <w:noWrap w:val="0"/>
                  <w:tcMar>
                    <w:top w:w="0" w:type="dxa"/>
                    <w:left w:w="0" w:type="dxa"/>
                    <w:bottom w:w="0" w:type="dxa"/>
                    <w:right w:w="0" w:type="dxa"/>
                  </w:tcMar>
                  <w:vAlign w:val="center"/>
                </w:tcPr>
                <w:p w14:paraId="5EB5173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257" w:type="pct"/>
                  <w:shd w:val="clear" w:color="auto" w:fill="auto"/>
                  <w:noWrap w:val="0"/>
                  <w:tcMar>
                    <w:top w:w="0" w:type="dxa"/>
                    <w:left w:w="0" w:type="dxa"/>
                    <w:bottom w:w="0" w:type="dxa"/>
                    <w:right w:w="0" w:type="dxa"/>
                  </w:tcMar>
                  <w:vAlign w:val="center"/>
                </w:tcPr>
                <w:p w14:paraId="2F46695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9.2</w:t>
                  </w:r>
                </w:p>
              </w:tc>
              <w:tc>
                <w:tcPr>
                  <w:tcW w:w="270" w:type="pct"/>
                  <w:shd w:val="clear" w:color="auto" w:fill="auto"/>
                  <w:noWrap w:val="0"/>
                  <w:tcMar>
                    <w:top w:w="0" w:type="dxa"/>
                    <w:left w:w="0" w:type="dxa"/>
                    <w:bottom w:w="0" w:type="dxa"/>
                    <w:right w:w="0" w:type="dxa"/>
                  </w:tcMar>
                  <w:vAlign w:val="center"/>
                </w:tcPr>
                <w:p w14:paraId="47E650E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18.4</w:t>
                  </w:r>
                </w:p>
              </w:tc>
              <w:tc>
                <w:tcPr>
                  <w:tcW w:w="271" w:type="pct"/>
                  <w:shd w:val="clear" w:color="auto" w:fill="auto"/>
                  <w:noWrap w:val="0"/>
                  <w:tcMar>
                    <w:top w:w="0" w:type="dxa"/>
                    <w:left w:w="0" w:type="dxa"/>
                    <w:bottom w:w="0" w:type="dxa"/>
                    <w:right w:w="0" w:type="dxa"/>
                  </w:tcMar>
                  <w:vAlign w:val="center"/>
                </w:tcPr>
                <w:p w14:paraId="389E501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w:t>
                  </w:r>
                </w:p>
              </w:tc>
              <w:tc>
                <w:tcPr>
                  <w:tcW w:w="265" w:type="pct"/>
                  <w:shd w:val="clear" w:color="auto" w:fill="auto"/>
                  <w:noWrap w:val="0"/>
                  <w:tcMar>
                    <w:top w:w="0" w:type="dxa"/>
                    <w:left w:w="0" w:type="dxa"/>
                    <w:bottom w:w="0" w:type="dxa"/>
                    <w:right w:w="0" w:type="dxa"/>
                  </w:tcMar>
                  <w:vAlign w:val="center"/>
                </w:tcPr>
                <w:p w14:paraId="1F4E9D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90.7</w:t>
                  </w:r>
                </w:p>
              </w:tc>
              <w:tc>
                <w:tcPr>
                  <w:tcW w:w="265" w:type="pct"/>
                  <w:shd w:val="clear" w:color="auto" w:fill="auto"/>
                  <w:noWrap w:val="0"/>
                  <w:tcMar>
                    <w:top w:w="0" w:type="dxa"/>
                    <w:left w:w="0" w:type="dxa"/>
                    <w:bottom w:w="0" w:type="dxa"/>
                    <w:right w:w="0" w:type="dxa"/>
                  </w:tcMar>
                  <w:vAlign w:val="center"/>
                </w:tcPr>
                <w:p w14:paraId="6903C42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w:t>
                  </w:r>
                </w:p>
              </w:tc>
              <w:tc>
                <w:tcPr>
                  <w:tcW w:w="257" w:type="pct"/>
                  <w:shd w:val="clear" w:color="auto" w:fill="auto"/>
                  <w:noWrap w:val="0"/>
                  <w:tcMar>
                    <w:top w:w="0" w:type="dxa"/>
                    <w:left w:w="0" w:type="dxa"/>
                    <w:bottom w:w="0" w:type="dxa"/>
                    <w:right w:w="0" w:type="dxa"/>
                  </w:tcMar>
                  <w:vAlign w:val="center"/>
                </w:tcPr>
                <w:p w14:paraId="2604E5A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w:t>
                  </w:r>
                </w:p>
              </w:tc>
              <w:tc>
                <w:tcPr>
                  <w:tcW w:w="293" w:type="pct"/>
                  <w:shd w:val="clear" w:color="auto" w:fill="auto"/>
                  <w:noWrap w:val="0"/>
                  <w:tcMar>
                    <w:top w:w="0" w:type="dxa"/>
                    <w:left w:w="0" w:type="dxa"/>
                    <w:bottom w:w="0" w:type="dxa"/>
                    <w:right w:w="0" w:type="dxa"/>
                  </w:tcMar>
                  <w:vAlign w:val="center"/>
                </w:tcPr>
                <w:p w14:paraId="7C8FCC3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bl>
          <w:p w14:paraId="79C1A06B">
            <w:pPr>
              <w:pStyle w:val="130"/>
              <w:snapToGrid w:val="0"/>
              <w:spacing w:before="120" w:beforeLines="50" w:line="240" w:lineRule="auto"/>
              <w:ind w:firstLine="0" w:firstLineChars="0"/>
              <w:jc w:val="center"/>
              <w:rPr>
                <w:rFonts w:hint="eastAsia"/>
                <w:b/>
                <w:bCs/>
                <w:color w:val="auto"/>
                <w:szCs w:val="24"/>
              </w:rPr>
            </w:pPr>
            <w:r>
              <w:rPr>
                <w:rFonts w:hint="eastAsia"/>
                <w:b/>
                <w:bCs/>
                <w:color w:val="auto"/>
                <w:szCs w:val="24"/>
              </w:rPr>
              <w:t>续</w:t>
            </w:r>
            <w:r>
              <w:rPr>
                <w:b/>
                <w:bCs/>
                <w:color w:val="auto"/>
                <w:szCs w:val="24"/>
              </w:rPr>
              <w:t>表4</w:t>
            </w:r>
            <w:r>
              <w:rPr>
                <w:rFonts w:hint="eastAsia"/>
                <w:b/>
                <w:bCs/>
                <w:color w:val="auto"/>
                <w:szCs w:val="24"/>
              </w:rPr>
              <w:t>-1</w:t>
            </w:r>
            <w:r>
              <w:rPr>
                <w:rFonts w:hint="eastAsia"/>
                <w:b/>
                <w:bCs/>
                <w:color w:val="auto"/>
                <w:szCs w:val="24"/>
                <w:lang w:val="en-US" w:eastAsia="zh-CN"/>
              </w:rPr>
              <w:t>2</w:t>
            </w:r>
            <w:r>
              <w:rPr>
                <w:rFonts w:hint="eastAsia"/>
                <w:b/>
                <w:bCs/>
                <w:color w:val="auto"/>
                <w:szCs w:val="24"/>
              </w:rPr>
              <w:t xml:space="preserve">   噪声污染源强调查清单（续表）</w:t>
            </w:r>
          </w:p>
          <w:tbl>
            <w:tblPr>
              <w:tblStyle w:val="32"/>
              <w:tblW w:w="77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2"/>
              <w:gridCol w:w="1760"/>
              <w:gridCol w:w="597"/>
              <w:gridCol w:w="597"/>
              <w:gridCol w:w="597"/>
              <w:gridCol w:w="599"/>
              <w:gridCol w:w="597"/>
              <w:gridCol w:w="597"/>
              <w:gridCol w:w="597"/>
              <w:gridCol w:w="600"/>
              <w:gridCol w:w="845"/>
            </w:tblGrid>
            <w:tr w14:paraId="301B7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vMerge w:val="restart"/>
                  <w:shd w:val="clear" w:color="auto" w:fill="auto"/>
                  <w:noWrap w:val="0"/>
                  <w:vAlign w:val="center"/>
                </w:tcPr>
                <w:p w14:paraId="35C87C3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序号</w:t>
                  </w:r>
                </w:p>
              </w:tc>
              <w:tc>
                <w:tcPr>
                  <w:tcW w:w="1760" w:type="dxa"/>
                  <w:vMerge w:val="restart"/>
                  <w:shd w:val="clear" w:color="auto" w:fill="auto"/>
                  <w:noWrap w:val="0"/>
                  <w:vAlign w:val="center"/>
                </w:tcPr>
                <w:p w14:paraId="5EE9F5D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声源名称</w:t>
                  </w:r>
                </w:p>
              </w:tc>
              <w:tc>
                <w:tcPr>
                  <w:tcW w:w="2390" w:type="dxa"/>
                  <w:gridSpan w:val="4"/>
                  <w:shd w:val="clear" w:color="auto" w:fill="auto"/>
                  <w:noWrap w:val="0"/>
                  <w:vAlign w:val="center"/>
                </w:tcPr>
                <w:p w14:paraId="29C167D9">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建筑物插入损失/dB（A）</w:t>
                  </w:r>
                </w:p>
              </w:tc>
              <w:tc>
                <w:tcPr>
                  <w:tcW w:w="3236" w:type="dxa"/>
                  <w:gridSpan w:val="5"/>
                  <w:shd w:val="clear" w:color="auto" w:fill="auto"/>
                  <w:noWrap w:val="0"/>
                  <w:vAlign w:val="center"/>
                </w:tcPr>
                <w:p w14:paraId="3BB91ED1">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建筑物外噪声声压级/dB（A）</w:t>
                  </w:r>
                </w:p>
              </w:tc>
            </w:tr>
            <w:tr w14:paraId="3EE1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vMerge w:val="continue"/>
                  <w:shd w:val="clear" w:color="auto" w:fill="auto"/>
                  <w:noWrap w:val="0"/>
                  <w:tcMar>
                    <w:top w:w="0" w:type="dxa"/>
                    <w:left w:w="0" w:type="dxa"/>
                    <w:bottom w:w="0" w:type="dxa"/>
                    <w:right w:w="0" w:type="dxa"/>
                  </w:tcMar>
                  <w:vAlign w:val="center"/>
                </w:tcPr>
                <w:p w14:paraId="15EC85BD">
                  <w:pPr>
                    <w:jc w:val="center"/>
                    <w:rPr>
                      <w:rFonts w:hint="default" w:ascii="Times New Roman" w:hAnsi="Times New Roman" w:eastAsia="宋体" w:cs="Times New Roman"/>
                      <w:color w:val="auto"/>
                      <w:sz w:val="21"/>
                      <w:szCs w:val="21"/>
                    </w:rPr>
                  </w:pPr>
                </w:p>
              </w:tc>
              <w:tc>
                <w:tcPr>
                  <w:tcW w:w="1760" w:type="dxa"/>
                  <w:vMerge w:val="continue"/>
                  <w:shd w:val="clear" w:color="auto" w:fill="auto"/>
                  <w:noWrap w:val="0"/>
                  <w:tcMar>
                    <w:top w:w="0" w:type="dxa"/>
                    <w:left w:w="0" w:type="dxa"/>
                    <w:bottom w:w="0" w:type="dxa"/>
                    <w:right w:w="0" w:type="dxa"/>
                  </w:tcMar>
                  <w:vAlign w:val="center"/>
                </w:tcPr>
                <w:p w14:paraId="36428371">
                  <w:pPr>
                    <w:jc w:val="center"/>
                    <w:rPr>
                      <w:rFonts w:hint="default" w:ascii="Times New Roman" w:hAnsi="Times New Roman" w:eastAsia="宋体" w:cs="Times New Roman"/>
                      <w:color w:val="auto"/>
                      <w:sz w:val="21"/>
                      <w:szCs w:val="21"/>
                    </w:rPr>
                  </w:pPr>
                </w:p>
              </w:tc>
              <w:tc>
                <w:tcPr>
                  <w:tcW w:w="597" w:type="dxa"/>
                  <w:shd w:val="clear" w:color="auto" w:fill="auto"/>
                  <w:noWrap w:val="0"/>
                  <w:tcMar>
                    <w:top w:w="0" w:type="dxa"/>
                    <w:left w:w="0" w:type="dxa"/>
                    <w:bottom w:w="0" w:type="dxa"/>
                    <w:right w:w="0" w:type="dxa"/>
                  </w:tcMar>
                  <w:vAlign w:val="center"/>
                </w:tcPr>
                <w:p w14:paraId="5D532C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597" w:type="dxa"/>
                  <w:shd w:val="clear" w:color="auto" w:fill="auto"/>
                  <w:noWrap w:val="0"/>
                  <w:tcMar>
                    <w:top w:w="0" w:type="dxa"/>
                    <w:left w:w="0" w:type="dxa"/>
                    <w:bottom w:w="0" w:type="dxa"/>
                    <w:right w:w="0" w:type="dxa"/>
                  </w:tcMar>
                  <w:vAlign w:val="center"/>
                </w:tcPr>
                <w:p w14:paraId="2A83F1E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597" w:type="dxa"/>
                  <w:shd w:val="clear" w:color="auto" w:fill="auto"/>
                  <w:noWrap w:val="0"/>
                  <w:tcMar>
                    <w:top w:w="0" w:type="dxa"/>
                    <w:left w:w="0" w:type="dxa"/>
                    <w:bottom w:w="0" w:type="dxa"/>
                    <w:right w:w="0" w:type="dxa"/>
                  </w:tcMar>
                  <w:vAlign w:val="center"/>
                </w:tcPr>
                <w:p w14:paraId="500C96B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599" w:type="dxa"/>
                  <w:shd w:val="clear" w:color="auto" w:fill="auto"/>
                  <w:noWrap w:val="0"/>
                  <w:tcMar>
                    <w:top w:w="0" w:type="dxa"/>
                    <w:left w:w="0" w:type="dxa"/>
                    <w:bottom w:w="0" w:type="dxa"/>
                    <w:right w:w="0" w:type="dxa"/>
                  </w:tcMar>
                  <w:vAlign w:val="center"/>
                </w:tcPr>
                <w:p w14:paraId="454617D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597" w:type="dxa"/>
                  <w:shd w:val="clear" w:color="auto" w:fill="auto"/>
                  <w:noWrap w:val="0"/>
                  <w:tcMar>
                    <w:top w:w="0" w:type="dxa"/>
                    <w:left w:w="0" w:type="dxa"/>
                    <w:bottom w:w="0" w:type="dxa"/>
                    <w:right w:w="0" w:type="dxa"/>
                  </w:tcMar>
                  <w:vAlign w:val="center"/>
                </w:tcPr>
                <w:p w14:paraId="6EE3D50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597" w:type="dxa"/>
                  <w:shd w:val="clear" w:color="auto" w:fill="auto"/>
                  <w:noWrap w:val="0"/>
                  <w:tcMar>
                    <w:top w:w="0" w:type="dxa"/>
                    <w:left w:w="0" w:type="dxa"/>
                    <w:bottom w:w="0" w:type="dxa"/>
                    <w:right w:w="0" w:type="dxa"/>
                  </w:tcMar>
                  <w:vAlign w:val="center"/>
                </w:tcPr>
                <w:p w14:paraId="0E632EA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597" w:type="dxa"/>
                  <w:shd w:val="clear" w:color="auto" w:fill="auto"/>
                  <w:noWrap w:val="0"/>
                  <w:tcMar>
                    <w:top w:w="0" w:type="dxa"/>
                    <w:left w:w="0" w:type="dxa"/>
                    <w:bottom w:w="0" w:type="dxa"/>
                    <w:right w:w="0" w:type="dxa"/>
                  </w:tcMar>
                  <w:vAlign w:val="center"/>
                </w:tcPr>
                <w:p w14:paraId="7055D8C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600" w:type="dxa"/>
                  <w:shd w:val="clear" w:color="auto" w:fill="auto"/>
                  <w:noWrap w:val="0"/>
                  <w:tcMar>
                    <w:top w:w="0" w:type="dxa"/>
                    <w:left w:w="0" w:type="dxa"/>
                    <w:bottom w:w="0" w:type="dxa"/>
                    <w:right w:w="0" w:type="dxa"/>
                  </w:tcMar>
                  <w:vAlign w:val="center"/>
                </w:tcPr>
                <w:p w14:paraId="3634974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845" w:type="dxa"/>
                  <w:shd w:val="clear" w:color="auto" w:fill="auto"/>
                  <w:noWrap w:val="0"/>
                  <w:tcMar>
                    <w:top w:w="0" w:type="dxa"/>
                    <w:left w:w="0" w:type="dxa"/>
                    <w:bottom w:w="0" w:type="dxa"/>
                    <w:right w:w="0" w:type="dxa"/>
                  </w:tcMar>
                  <w:vAlign w:val="center"/>
                </w:tcPr>
                <w:p w14:paraId="6F9D3AB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建筑物外距离/m</w:t>
                  </w:r>
                </w:p>
              </w:tc>
            </w:tr>
            <w:tr w14:paraId="057C8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shd w:val="clear" w:color="auto" w:fill="auto"/>
                  <w:noWrap w:val="0"/>
                  <w:tcMar>
                    <w:top w:w="0" w:type="dxa"/>
                    <w:left w:w="0" w:type="dxa"/>
                    <w:bottom w:w="0" w:type="dxa"/>
                    <w:right w:w="0" w:type="dxa"/>
                  </w:tcMar>
                  <w:vAlign w:val="center"/>
                </w:tcPr>
                <w:p w14:paraId="6D655C2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760" w:type="dxa"/>
                  <w:shd w:val="clear" w:color="auto" w:fill="auto"/>
                  <w:noWrap w:val="0"/>
                  <w:tcMar>
                    <w:top w:w="0" w:type="dxa"/>
                    <w:left w:w="0" w:type="dxa"/>
                    <w:bottom w:w="0" w:type="dxa"/>
                    <w:right w:w="0" w:type="dxa"/>
                  </w:tcMar>
                  <w:vAlign w:val="center"/>
                </w:tcPr>
                <w:p w14:paraId="5BAF51A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筛选机1</w:t>
                  </w:r>
                </w:p>
              </w:tc>
              <w:tc>
                <w:tcPr>
                  <w:tcW w:w="597" w:type="dxa"/>
                  <w:shd w:val="clear" w:color="auto" w:fill="auto"/>
                  <w:noWrap w:val="0"/>
                  <w:tcMar>
                    <w:top w:w="0" w:type="dxa"/>
                    <w:left w:w="0" w:type="dxa"/>
                    <w:bottom w:w="0" w:type="dxa"/>
                    <w:right w:w="0" w:type="dxa"/>
                  </w:tcMar>
                  <w:vAlign w:val="center"/>
                </w:tcPr>
                <w:p w14:paraId="7BB3F81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7A777D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42E1722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9" w:type="dxa"/>
                  <w:shd w:val="clear" w:color="auto" w:fill="auto"/>
                  <w:noWrap w:val="0"/>
                  <w:tcMar>
                    <w:top w:w="0" w:type="dxa"/>
                    <w:left w:w="0" w:type="dxa"/>
                    <w:bottom w:w="0" w:type="dxa"/>
                    <w:right w:w="0" w:type="dxa"/>
                  </w:tcMar>
                  <w:vAlign w:val="center"/>
                </w:tcPr>
                <w:p w14:paraId="4E392C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323DC69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5E4AFBD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051863F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600" w:type="dxa"/>
                  <w:shd w:val="clear" w:color="auto" w:fill="auto"/>
                  <w:noWrap w:val="0"/>
                  <w:tcMar>
                    <w:top w:w="0" w:type="dxa"/>
                    <w:left w:w="0" w:type="dxa"/>
                    <w:bottom w:w="0" w:type="dxa"/>
                    <w:right w:w="0" w:type="dxa"/>
                  </w:tcMar>
                  <w:vAlign w:val="center"/>
                </w:tcPr>
                <w:p w14:paraId="68BAD20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45.3</w:t>
                  </w:r>
                </w:p>
              </w:tc>
              <w:tc>
                <w:tcPr>
                  <w:tcW w:w="845" w:type="dxa"/>
                  <w:shd w:val="clear" w:color="auto" w:fill="auto"/>
                  <w:noWrap w:val="0"/>
                  <w:tcMar>
                    <w:top w:w="0" w:type="dxa"/>
                    <w:left w:w="0" w:type="dxa"/>
                    <w:bottom w:w="0" w:type="dxa"/>
                    <w:right w:w="0" w:type="dxa"/>
                  </w:tcMar>
                  <w:vAlign w:val="center"/>
                </w:tcPr>
                <w:p w14:paraId="46B5E3D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0F5B3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shd w:val="clear" w:color="auto" w:fill="auto"/>
                  <w:noWrap w:val="0"/>
                  <w:tcMar>
                    <w:top w:w="0" w:type="dxa"/>
                    <w:left w:w="0" w:type="dxa"/>
                    <w:bottom w:w="0" w:type="dxa"/>
                    <w:right w:w="0" w:type="dxa"/>
                  </w:tcMar>
                  <w:vAlign w:val="center"/>
                </w:tcPr>
                <w:p w14:paraId="71F8F7D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760" w:type="dxa"/>
                  <w:shd w:val="clear" w:color="auto" w:fill="auto"/>
                  <w:noWrap w:val="0"/>
                  <w:tcMar>
                    <w:top w:w="0" w:type="dxa"/>
                    <w:left w:w="0" w:type="dxa"/>
                    <w:bottom w:w="0" w:type="dxa"/>
                    <w:right w:w="0" w:type="dxa"/>
                  </w:tcMar>
                  <w:vAlign w:val="center"/>
                </w:tcPr>
                <w:p w14:paraId="3629225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筛选机2</w:t>
                  </w:r>
                </w:p>
              </w:tc>
              <w:tc>
                <w:tcPr>
                  <w:tcW w:w="597" w:type="dxa"/>
                  <w:shd w:val="clear" w:color="auto" w:fill="auto"/>
                  <w:noWrap w:val="0"/>
                  <w:tcMar>
                    <w:top w:w="0" w:type="dxa"/>
                    <w:left w:w="0" w:type="dxa"/>
                    <w:bottom w:w="0" w:type="dxa"/>
                    <w:right w:w="0" w:type="dxa"/>
                  </w:tcMar>
                  <w:vAlign w:val="center"/>
                </w:tcPr>
                <w:p w14:paraId="0B7F97E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677E0B5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5985EDC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9" w:type="dxa"/>
                  <w:shd w:val="clear" w:color="auto" w:fill="auto"/>
                  <w:noWrap w:val="0"/>
                  <w:tcMar>
                    <w:top w:w="0" w:type="dxa"/>
                    <w:left w:w="0" w:type="dxa"/>
                    <w:bottom w:w="0" w:type="dxa"/>
                    <w:right w:w="0" w:type="dxa"/>
                  </w:tcMar>
                  <w:vAlign w:val="center"/>
                </w:tcPr>
                <w:p w14:paraId="2CE2B5B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1968C21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27B649F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0093824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600" w:type="dxa"/>
                  <w:shd w:val="clear" w:color="auto" w:fill="auto"/>
                  <w:noWrap w:val="0"/>
                  <w:tcMar>
                    <w:top w:w="0" w:type="dxa"/>
                    <w:left w:w="0" w:type="dxa"/>
                    <w:bottom w:w="0" w:type="dxa"/>
                    <w:right w:w="0" w:type="dxa"/>
                  </w:tcMar>
                  <w:vAlign w:val="center"/>
                </w:tcPr>
                <w:p w14:paraId="2CA6585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41.7</w:t>
                  </w:r>
                </w:p>
              </w:tc>
              <w:tc>
                <w:tcPr>
                  <w:tcW w:w="845" w:type="dxa"/>
                  <w:shd w:val="clear" w:color="auto" w:fill="auto"/>
                  <w:noWrap w:val="0"/>
                  <w:tcMar>
                    <w:top w:w="0" w:type="dxa"/>
                    <w:left w:w="0" w:type="dxa"/>
                    <w:bottom w:w="0" w:type="dxa"/>
                    <w:right w:w="0" w:type="dxa"/>
                  </w:tcMar>
                  <w:vAlign w:val="center"/>
                </w:tcPr>
                <w:p w14:paraId="575AD03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33253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shd w:val="clear" w:color="auto" w:fill="auto"/>
                  <w:noWrap w:val="0"/>
                  <w:tcMar>
                    <w:top w:w="0" w:type="dxa"/>
                    <w:left w:w="0" w:type="dxa"/>
                    <w:bottom w:w="0" w:type="dxa"/>
                    <w:right w:w="0" w:type="dxa"/>
                  </w:tcMar>
                  <w:vAlign w:val="center"/>
                </w:tcPr>
                <w:p w14:paraId="61049B5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760" w:type="dxa"/>
                  <w:shd w:val="clear" w:color="auto" w:fill="auto"/>
                  <w:noWrap w:val="0"/>
                  <w:tcMar>
                    <w:top w:w="0" w:type="dxa"/>
                    <w:left w:w="0" w:type="dxa"/>
                    <w:bottom w:w="0" w:type="dxa"/>
                    <w:right w:w="0" w:type="dxa"/>
                  </w:tcMar>
                  <w:vAlign w:val="center"/>
                </w:tcPr>
                <w:p w14:paraId="6E73AC9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清洗机1</w:t>
                  </w:r>
                </w:p>
              </w:tc>
              <w:tc>
                <w:tcPr>
                  <w:tcW w:w="597" w:type="dxa"/>
                  <w:shd w:val="clear" w:color="auto" w:fill="auto"/>
                  <w:noWrap w:val="0"/>
                  <w:tcMar>
                    <w:top w:w="0" w:type="dxa"/>
                    <w:left w:w="0" w:type="dxa"/>
                    <w:bottom w:w="0" w:type="dxa"/>
                    <w:right w:w="0" w:type="dxa"/>
                  </w:tcMar>
                  <w:vAlign w:val="center"/>
                </w:tcPr>
                <w:p w14:paraId="655B9AE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4104F51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05394DD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9" w:type="dxa"/>
                  <w:shd w:val="clear" w:color="auto" w:fill="auto"/>
                  <w:noWrap w:val="0"/>
                  <w:tcMar>
                    <w:top w:w="0" w:type="dxa"/>
                    <w:left w:w="0" w:type="dxa"/>
                    <w:bottom w:w="0" w:type="dxa"/>
                    <w:right w:w="0" w:type="dxa"/>
                  </w:tcMar>
                  <w:vAlign w:val="center"/>
                </w:tcPr>
                <w:p w14:paraId="788B10C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2C339AD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5B9A126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16DC8C3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600" w:type="dxa"/>
                  <w:shd w:val="clear" w:color="auto" w:fill="auto"/>
                  <w:noWrap w:val="0"/>
                  <w:tcMar>
                    <w:top w:w="0" w:type="dxa"/>
                    <w:left w:w="0" w:type="dxa"/>
                    <w:bottom w:w="0" w:type="dxa"/>
                    <w:right w:w="0" w:type="dxa"/>
                  </w:tcMar>
                  <w:vAlign w:val="center"/>
                </w:tcPr>
                <w:p w14:paraId="07D3DD1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43.4</w:t>
                  </w:r>
                </w:p>
              </w:tc>
              <w:tc>
                <w:tcPr>
                  <w:tcW w:w="845" w:type="dxa"/>
                  <w:shd w:val="clear" w:color="auto" w:fill="auto"/>
                  <w:noWrap w:val="0"/>
                  <w:tcMar>
                    <w:top w:w="0" w:type="dxa"/>
                    <w:left w:w="0" w:type="dxa"/>
                    <w:bottom w:w="0" w:type="dxa"/>
                    <w:right w:w="0" w:type="dxa"/>
                  </w:tcMar>
                  <w:vAlign w:val="center"/>
                </w:tcPr>
                <w:p w14:paraId="137E42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206E9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shd w:val="clear" w:color="auto" w:fill="auto"/>
                  <w:noWrap w:val="0"/>
                  <w:tcMar>
                    <w:top w:w="0" w:type="dxa"/>
                    <w:left w:w="0" w:type="dxa"/>
                    <w:bottom w:w="0" w:type="dxa"/>
                    <w:right w:w="0" w:type="dxa"/>
                  </w:tcMar>
                  <w:vAlign w:val="center"/>
                </w:tcPr>
                <w:p w14:paraId="2290109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760" w:type="dxa"/>
                  <w:shd w:val="clear" w:color="auto" w:fill="auto"/>
                  <w:noWrap w:val="0"/>
                  <w:tcMar>
                    <w:top w:w="0" w:type="dxa"/>
                    <w:left w:w="0" w:type="dxa"/>
                    <w:bottom w:w="0" w:type="dxa"/>
                    <w:right w:w="0" w:type="dxa"/>
                  </w:tcMar>
                  <w:vAlign w:val="center"/>
                </w:tcPr>
                <w:p w14:paraId="469D44B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清洗机2</w:t>
                  </w:r>
                </w:p>
              </w:tc>
              <w:tc>
                <w:tcPr>
                  <w:tcW w:w="597" w:type="dxa"/>
                  <w:shd w:val="clear" w:color="auto" w:fill="auto"/>
                  <w:noWrap w:val="0"/>
                  <w:tcMar>
                    <w:top w:w="0" w:type="dxa"/>
                    <w:left w:w="0" w:type="dxa"/>
                    <w:bottom w:w="0" w:type="dxa"/>
                    <w:right w:w="0" w:type="dxa"/>
                  </w:tcMar>
                  <w:vAlign w:val="center"/>
                </w:tcPr>
                <w:p w14:paraId="7C447DA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4FB3CAF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5C4C0C7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9" w:type="dxa"/>
                  <w:shd w:val="clear" w:color="auto" w:fill="auto"/>
                  <w:noWrap w:val="0"/>
                  <w:tcMar>
                    <w:top w:w="0" w:type="dxa"/>
                    <w:left w:w="0" w:type="dxa"/>
                    <w:bottom w:w="0" w:type="dxa"/>
                    <w:right w:w="0" w:type="dxa"/>
                  </w:tcMar>
                  <w:vAlign w:val="center"/>
                </w:tcPr>
                <w:p w14:paraId="22EA635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6316490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7FDBD88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597" w:type="dxa"/>
                  <w:shd w:val="clear" w:color="auto" w:fill="auto"/>
                  <w:noWrap w:val="0"/>
                  <w:tcMar>
                    <w:top w:w="0" w:type="dxa"/>
                    <w:left w:w="0" w:type="dxa"/>
                    <w:bottom w:w="0" w:type="dxa"/>
                    <w:right w:w="0" w:type="dxa"/>
                  </w:tcMar>
                  <w:vAlign w:val="center"/>
                </w:tcPr>
                <w:p w14:paraId="08EA867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41.5</w:t>
                  </w:r>
                </w:p>
              </w:tc>
              <w:tc>
                <w:tcPr>
                  <w:tcW w:w="600" w:type="dxa"/>
                  <w:shd w:val="clear" w:color="auto" w:fill="auto"/>
                  <w:noWrap w:val="0"/>
                  <w:tcMar>
                    <w:top w:w="0" w:type="dxa"/>
                    <w:left w:w="0" w:type="dxa"/>
                    <w:bottom w:w="0" w:type="dxa"/>
                    <w:right w:w="0" w:type="dxa"/>
                  </w:tcMar>
                  <w:vAlign w:val="center"/>
                </w:tcPr>
                <w:p w14:paraId="009E1CE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41.6</w:t>
                  </w:r>
                </w:p>
              </w:tc>
              <w:tc>
                <w:tcPr>
                  <w:tcW w:w="845" w:type="dxa"/>
                  <w:shd w:val="clear" w:color="auto" w:fill="auto"/>
                  <w:noWrap w:val="0"/>
                  <w:tcMar>
                    <w:top w:w="0" w:type="dxa"/>
                    <w:left w:w="0" w:type="dxa"/>
                    <w:bottom w:w="0" w:type="dxa"/>
                    <w:right w:w="0" w:type="dxa"/>
                  </w:tcMar>
                  <w:vAlign w:val="center"/>
                </w:tcPr>
                <w:p w14:paraId="5478141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5E263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shd w:val="clear" w:color="auto" w:fill="auto"/>
                  <w:noWrap w:val="0"/>
                  <w:tcMar>
                    <w:top w:w="0" w:type="dxa"/>
                    <w:left w:w="0" w:type="dxa"/>
                    <w:bottom w:w="0" w:type="dxa"/>
                    <w:right w:w="0" w:type="dxa"/>
                  </w:tcMar>
                  <w:vAlign w:val="center"/>
                </w:tcPr>
                <w:p w14:paraId="7FEF5E4C">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w:t>
                  </w:r>
                </w:p>
              </w:tc>
              <w:tc>
                <w:tcPr>
                  <w:tcW w:w="1760" w:type="dxa"/>
                  <w:shd w:val="clear" w:color="auto" w:fill="auto"/>
                  <w:noWrap w:val="0"/>
                  <w:tcMar>
                    <w:top w:w="0" w:type="dxa"/>
                    <w:left w:w="0" w:type="dxa"/>
                    <w:bottom w:w="0" w:type="dxa"/>
                    <w:right w:w="0" w:type="dxa"/>
                  </w:tcMar>
                  <w:vAlign w:val="center"/>
                </w:tcPr>
                <w:p w14:paraId="33AA4FC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环保风机</w:t>
                  </w:r>
                  <w:r>
                    <w:rPr>
                      <w:rFonts w:hint="eastAsia" w:ascii="Times New Roman" w:hAnsi="Times New Roman" w:eastAsia="宋体" w:cs="Times New Roman"/>
                      <w:color w:val="auto"/>
                      <w:sz w:val="21"/>
                      <w:szCs w:val="21"/>
                      <w:lang w:val="en-US" w:eastAsia="zh-CN"/>
                    </w:rPr>
                    <w:t>1</w:t>
                  </w:r>
                </w:p>
              </w:tc>
              <w:tc>
                <w:tcPr>
                  <w:tcW w:w="597" w:type="dxa"/>
                  <w:shd w:val="clear" w:color="auto" w:fill="auto"/>
                  <w:noWrap w:val="0"/>
                  <w:tcMar>
                    <w:top w:w="0" w:type="dxa"/>
                    <w:left w:w="0" w:type="dxa"/>
                    <w:bottom w:w="0" w:type="dxa"/>
                    <w:right w:w="0" w:type="dxa"/>
                  </w:tcMar>
                  <w:vAlign w:val="center"/>
                </w:tcPr>
                <w:p w14:paraId="66AB71A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6FED2CC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4E36C15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9" w:type="dxa"/>
                  <w:shd w:val="clear" w:color="auto" w:fill="auto"/>
                  <w:noWrap w:val="0"/>
                  <w:tcMar>
                    <w:top w:w="0" w:type="dxa"/>
                    <w:left w:w="0" w:type="dxa"/>
                    <w:bottom w:w="0" w:type="dxa"/>
                    <w:right w:w="0" w:type="dxa"/>
                  </w:tcMar>
                  <w:vAlign w:val="center"/>
                </w:tcPr>
                <w:p w14:paraId="5A930EF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6D3460D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56.5</w:t>
                  </w:r>
                </w:p>
              </w:tc>
              <w:tc>
                <w:tcPr>
                  <w:tcW w:w="597" w:type="dxa"/>
                  <w:shd w:val="clear" w:color="auto" w:fill="auto"/>
                  <w:noWrap w:val="0"/>
                  <w:tcMar>
                    <w:top w:w="0" w:type="dxa"/>
                    <w:left w:w="0" w:type="dxa"/>
                    <w:bottom w:w="0" w:type="dxa"/>
                    <w:right w:w="0" w:type="dxa"/>
                  </w:tcMar>
                  <w:vAlign w:val="center"/>
                </w:tcPr>
                <w:p w14:paraId="729145A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56.5</w:t>
                  </w:r>
                </w:p>
              </w:tc>
              <w:tc>
                <w:tcPr>
                  <w:tcW w:w="597" w:type="dxa"/>
                  <w:shd w:val="clear" w:color="auto" w:fill="auto"/>
                  <w:noWrap w:val="0"/>
                  <w:tcMar>
                    <w:top w:w="0" w:type="dxa"/>
                    <w:left w:w="0" w:type="dxa"/>
                    <w:bottom w:w="0" w:type="dxa"/>
                    <w:right w:w="0" w:type="dxa"/>
                  </w:tcMar>
                  <w:vAlign w:val="center"/>
                </w:tcPr>
                <w:p w14:paraId="5291CD6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56.5</w:t>
                  </w:r>
                </w:p>
              </w:tc>
              <w:tc>
                <w:tcPr>
                  <w:tcW w:w="600" w:type="dxa"/>
                  <w:shd w:val="clear" w:color="auto" w:fill="auto"/>
                  <w:noWrap w:val="0"/>
                  <w:tcMar>
                    <w:top w:w="0" w:type="dxa"/>
                    <w:left w:w="0" w:type="dxa"/>
                    <w:bottom w:w="0" w:type="dxa"/>
                    <w:right w:w="0" w:type="dxa"/>
                  </w:tcMar>
                  <w:vAlign w:val="center"/>
                </w:tcPr>
                <w:p w14:paraId="4A251AB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68.7</w:t>
                  </w:r>
                </w:p>
              </w:tc>
              <w:tc>
                <w:tcPr>
                  <w:tcW w:w="845" w:type="dxa"/>
                  <w:shd w:val="clear" w:color="auto" w:fill="auto"/>
                  <w:noWrap w:val="0"/>
                  <w:tcMar>
                    <w:top w:w="0" w:type="dxa"/>
                    <w:left w:w="0" w:type="dxa"/>
                    <w:bottom w:w="0" w:type="dxa"/>
                    <w:right w:w="0" w:type="dxa"/>
                  </w:tcMar>
                  <w:vAlign w:val="center"/>
                </w:tcPr>
                <w:p w14:paraId="3C3F76D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7064F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392" w:type="dxa"/>
                  <w:shd w:val="clear" w:color="auto" w:fill="auto"/>
                  <w:noWrap w:val="0"/>
                  <w:tcMar>
                    <w:top w:w="0" w:type="dxa"/>
                    <w:left w:w="0" w:type="dxa"/>
                    <w:bottom w:w="0" w:type="dxa"/>
                    <w:right w:w="0" w:type="dxa"/>
                  </w:tcMar>
                  <w:vAlign w:val="center"/>
                </w:tcPr>
                <w:p w14:paraId="0DC48083">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6</w:t>
                  </w:r>
                </w:p>
              </w:tc>
              <w:tc>
                <w:tcPr>
                  <w:tcW w:w="1760" w:type="dxa"/>
                  <w:shd w:val="clear" w:color="auto" w:fill="auto"/>
                  <w:noWrap w:val="0"/>
                  <w:tcMar>
                    <w:top w:w="0" w:type="dxa"/>
                    <w:left w:w="0" w:type="dxa"/>
                    <w:bottom w:w="0" w:type="dxa"/>
                    <w:right w:w="0" w:type="dxa"/>
                  </w:tcMar>
                  <w:vAlign w:val="center"/>
                </w:tcPr>
                <w:p w14:paraId="1899459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环保风机2</w:t>
                  </w:r>
                </w:p>
              </w:tc>
              <w:tc>
                <w:tcPr>
                  <w:tcW w:w="597" w:type="dxa"/>
                  <w:shd w:val="clear" w:color="auto" w:fill="auto"/>
                  <w:noWrap w:val="0"/>
                  <w:tcMar>
                    <w:top w:w="0" w:type="dxa"/>
                    <w:left w:w="0" w:type="dxa"/>
                    <w:bottom w:w="0" w:type="dxa"/>
                    <w:right w:w="0" w:type="dxa"/>
                  </w:tcMar>
                  <w:vAlign w:val="center"/>
                </w:tcPr>
                <w:p w14:paraId="58EFE5A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3DE8EDE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62FB429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9" w:type="dxa"/>
                  <w:shd w:val="clear" w:color="auto" w:fill="auto"/>
                  <w:noWrap w:val="0"/>
                  <w:tcMar>
                    <w:top w:w="0" w:type="dxa"/>
                    <w:left w:w="0" w:type="dxa"/>
                    <w:bottom w:w="0" w:type="dxa"/>
                    <w:right w:w="0" w:type="dxa"/>
                  </w:tcMar>
                  <w:vAlign w:val="center"/>
                </w:tcPr>
                <w:p w14:paraId="5B154AC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597" w:type="dxa"/>
                  <w:shd w:val="clear" w:color="auto" w:fill="auto"/>
                  <w:noWrap w:val="0"/>
                  <w:tcMar>
                    <w:top w:w="0" w:type="dxa"/>
                    <w:left w:w="0" w:type="dxa"/>
                    <w:bottom w:w="0" w:type="dxa"/>
                    <w:right w:w="0" w:type="dxa"/>
                  </w:tcMar>
                  <w:vAlign w:val="center"/>
                </w:tcPr>
                <w:p w14:paraId="01A724F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56.5</w:t>
                  </w:r>
                </w:p>
              </w:tc>
              <w:tc>
                <w:tcPr>
                  <w:tcW w:w="597" w:type="dxa"/>
                  <w:shd w:val="clear" w:color="auto" w:fill="auto"/>
                  <w:noWrap w:val="0"/>
                  <w:tcMar>
                    <w:top w:w="0" w:type="dxa"/>
                    <w:left w:w="0" w:type="dxa"/>
                    <w:bottom w:w="0" w:type="dxa"/>
                    <w:right w:w="0" w:type="dxa"/>
                  </w:tcMar>
                  <w:vAlign w:val="center"/>
                </w:tcPr>
                <w:p w14:paraId="6C94BE6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64.7</w:t>
                  </w:r>
                </w:p>
              </w:tc>
              <w:tc>
                <w:tcPr>
                  <w:tcW w:w="597" w:type="dxa"/>
                  <w:shd w:val="clear" w:color="auto" w:fill="auto"/>
                  <w:noWrap w:val="0"/>
                  <w:tcMar>
                    <w:top w:w="0" w:type="dxa"/>
                    <w:left w:w="0" w:type="dxa"/>
                    <w:bottom w:w="0" w:type="dxa"/>
                    <w:right w:w="0" w:type="dxa"/>
                  </w:tcMar>
                  <w:vAlign w:val="center"/>
                </w:tcPr>
                <w:p w14:paraId="53DB021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56.5</w:t>
                  </w:r>
                </w:p>
              </w:tc>
              <w:tc>
                <w:tcPr>
                  <w:tcW w:w="600" w:type="dxa"/>
                  <w:shd w:val="clear" w:color="auto" w:fill="auto"/>
                  <w:noWrap w:val="0"/>
                  <w:tcMar>
                    <w:top w:w="0" w:type="dxa"/>
                    <w:left w:w="0" w:type="dxa"/>
                    <w:bottom w:w="0" w:type="dxa"/>
                    <w:right w:w="0" w:type="dxa"/>
                  </w:tcMar>
                  <w:vAlign w:val="center"/>
                </w:tcPr>
                <w:p w14:paraId="2BECBA8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56.5</w:t>
                  </w:r>
                </w:p>
              </w:tc>
              <w:tc>
                <w:tcPr>
                  <w:tcW w:w="845" w:type="dxa"/>
                  <w:shd w:val="clear" w:color="auto" w:fill="auto"/>
                  <w:noWrap w:val="0"/>
                  <w:tcMar>
                    <w:top w:w="0" w:type="dxa"/>
                    <w:left w:w="0" w:type="dxa"/>
                    <w:bottom w:w="0" w:type="dxa"/>
                    <w:right w:w="0" w:type="dxa"/>
                  </w:tcMar>
                  <w:vAlign w:val="center"/>
                </w:tcPr>
                <w:p w14:paraId="6D8BF8A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bl>
          <w:p w14:paraId="39690DB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b/>
                <w:color w:val="auto"/>
                <w:sz w:val="24"/>
                <w:szCs w:val="22"/>
              </w:rPr>
            </w:pPr>
            <w:r>
              <w:rPr>
                <w:rFonts w:hint="eastAsia"/>
                <w:b/>
                <w:color w:val="auto"/>
                <w:sz w:val="24"/>
                <w:szCs w:val="22"/>
                <w:lang w:eastAsia="zh-CN"/>
              </w:rPr>
              <w:t>（</w:t>
            </w:r>
            <w:r>
              <w:rPr>
                <w:rFonts w:hint="eastAsia"/>
                <w:b/>
                <w:color w:val="auto"/>
                <w:sz w:val="24"/>
                <w:szCs w:val="22"/>
                <w:lang w:val="en-US" w:eastAsia="zh-CN"/>
              </w:rPr>
              <w:t>2</w:t>
            </w:r>
            <w:r>
              <w:rPr>
                <w:rFonts w:hint="eastAsia"/>
                <w:b/>
                <w:color w:val="auto"/>
                <w:sz w:val="24"/>
                <w:szCs w:val="22"/>
                <w:lang w:eastAsia="zh-CN"/>
              </w:rPr>
              <w:t>）</w:t>
            </w:r>
            <w:r>
              <w:rPr>
                <w:rFonts w:hint="eastAsia"/>
                <w:b/>
                <w:color w:val="auto"/>
                <w:sz w:val="24"/>
                <w:szCs w:val="22"/>
              </w:rPr>
              <w:t>噪声防治措施</w:t>
            </w:r>
          </w:p>
          <w:p w14:paraId="1FD2F9E0">
            <w:pPr>
              <w:spacing w:line="360" w:lineRule="auto"/>
              <w:ind w:firstLine="480" w:firstLineChars="200"/>
              <w:rPr>
                <w:color w:val="auto"/>
                <w:sz w:val="24"/>
                <w:lang w:val="zh-CN"/>
              </w:rPr>
            </w:pPr>
            <w:r>
              <w:rPr>
                <w:color w:val="auto"/>
                <w:sz w:val="24"/>
                <w:lang w:val="zh-CN"/>
              </w:rPr>
              <w:t>为了有效降低生产车间的噪声影响，建议采取减振、隔声、消声等综合治理措施：</w:t>
            </w:r>
          </w:p>
          <w:p w14:paraId="3B636F85">
            <w:pPr>
              <w:spacing w:line="360" w:lineRule="auto"/>
              <w:ind w:firstLine="480" w:firstLineChars="200"/>
              <w:rPr>
                <w:color w:val="auto"/>
                <w:sz w:val="24"/>
                <w:lang w:val="zh-CN"/>
              </w:rPr>
            </w:pPr>
            <w:r>
              <w:rPr>
                <w:color w:val="auto"/>
                <w:sz w:val="24"/>
                <w:lang w:val="zh-CN"/>
              </w:rPr>
              <w:t>①根据本项目噪声源特征，建议在设计和设备采购阶段，优先选用低噪声设备，如低噪的风机，从而从声源上降低设备本身的噪声；将高噪声设备安装于厂房内，通过厂房隔声降噪</w:t>
            </w:r>
            <w:r>
              <w:rPr>
                <w:rFonts w:hint="eastAsia"/>
                <w:color w:val="auto"/>
                <w:sz w:val="24"/>
                <w:lang w:val="zh-CN"/>
              </w:rPr>
              <w:t>；</w:t>
            </w:r>
          </w:p>
          <w:p w14:paraId="6AC2AF3A">
            <w:pPr>
              <w:spacing w:line="360" w:lineRule="auto"/>
              <w:ind w:firstLine="480" w:firstLineChars="200"/>
              <w:rPr>
                <w:rFonts w:ascii="Times New Roman" w:hAnsi="Times New Roman" w:eastAsia="宋体" w:cs="Times New Roman"/>
                <w:color w:val="auto"/>
                <w:sz w:val="24"/>
                <w:lang w:val="zh-CN"/>
              </w:rPr>
            </w:pPr>
            <w:r>
              <w:rPr>
                <w:rFonts w:ascii="Times New Roman" w:hAnsi="Times New Roman" w:eastAsia="宋体" w:cs="Times New Roman"/>
                <w:color w:val="auto"/>
                <w:sz w:val="24"/>
                <w:lang w:val="zh-CN"/>
              </w:rPr>
              <w:t>②</w:t>
            </w:r>
            <w:r>
              <w:rPr>
                <w:color w:val="auto"/>
                <w:sz w:val="24"/>
                <w:lang w:val="zh-CN"/>
              </w:rPr>
              <w:t>加强设备维护，确保设备处于良好运转状态，杜绝因设备不正常运转时产生高噪声现象</w:t>
            </w:r>
            <w:r>
              <w:rPr>
                <w:rFonts w:hint="eastAsia"/>
                <w:color w:val="auto"/>
                <w:sz w:val="24"/>
                <w:lang w:val="zh-CN"/>
              </w:rPr>
              <w:t>；</w:t>
            </w:r>
          </w:p>
          <w:p w14:paraId="626C5A18">
            <w:pPr>
              <w:spacing w:line="360" w:lineRule="auto"/>
              <w:ind w:firstLine="480"/>
              <w:rPr>
                <w:rFonts w:hint="eastAsia"/>
                <w:color w:val="auto"/>
                <w:kern w:val="0"/>
                <w:sz w:val="24"/>
              </w:rPr>
            </w:pPr>
            <w:r>
              <w:rPr>
                <w:color w:val="auto"/>
                <w:sz w:val="24"/>
                <w:lang w:val="zh-CN"/>
              </w:rPr>
              <w:t>③</w:t>
            </w:r>
            <w:r>
              <w:rPr>
                <w:color w:val="auto"/>
                <w:sz w:val="24"/>
              </w:rPr>
              <w:t>环保风机</w:t>
            </w:r>
            <w:r>
              <w:rPr>
                <w:rFonts w:hint="eastAsia"/>
                <w:color w:val="auto"/>
                <w:sz w:val="24"/>
              </w:rPr>
              <w:t>采取软管连接、安装消声装置</w:t>
            </w:r>
            <w:r>
              <w:rPr>
                <w:color w:val="auto"/>
                <w:sz w:val="24"/>
                <w:lang w:val="zh-CN"/>
              </w:rPr>
              <w:t>。</w:t>
            </w:r>
          </w:p>
          <w:p w14:paraId="27EC0638">
            <w:pPr>
              <w:spacing w:line="360" w:lineRule="auto"/>
              <w:ind w:firstLine="482" w:firstLineChars="200"/>
              <w:rPr>
                <w:rFonts w:hint="eastAsia"/>
                <w:b/>
                <w:color w:val="auto"/>
                <w:sz w:val="24"/>
                <w:szCs w:val="22"/>
              </w:rPr>
            </w:pPr>
            <w:r>
              <w:rPr>
                <w:rFonts w:hint="eastAsia"/>
                <w:b/>
                <w:color w:val="auto"/>
                <w:sz w:val="24"/>
                <w:szCs w:val="22"/>
                <w:lang w:eastAsia="zh-CN"/>
              </w:rPr>
              <w:t>（</w:t>
            </w:r>
            <w:r>
              <w:rPr>
                <w:rFonts w:hint="eastAsia"/>
                <w:b/>
                <w:color w:val="auto"/>
                <w:sz w:val="24"/>
                <w:szCs w:val="22"/>
                <w:lang w:val="en-US" w:eastAsia="zh-CN"/>
              </w:rPr>
              <w:t>3</w:t>
            </w:r>
            <w:r>
              <w:rPr>
                <w:rFonts w:hint="eastAsia"/>
                <w:b/>
                <w:color w:val="auto"/>
                <w:sz w:val="24"/>
                <w:szCs w:val="22"/>
                <w:lang w:eastAsia="zh-CN"/>
              </w:rPr>
              <w:t>）</w:t>
            </w:r>
            <w:r>
              <w:rPr>
                <w:rFonts w:hint="eastAsia"/>
                <w:b/>
                <w:color w:val="auto"/>
                <w:sz w:val="24"/>
                <w:szCs w:val="22"/>
              </w:rPr>
              <w:t>厂界和环境保护目标达标情况分析</w:t>
            </w:r>
          </w:p>
          <w:p w14:paraId="5A959268">
            <w:pPr>
              <w:spacing w:line="360" w:lineRule="auto"/>
              <w:ind w:firstLine="480"/>
              <w:rPr>
                <w:rFonts w:hint="eastAsia"/>
                <w:color w:val="auto"/>
                <w:sz w:val="24"/>
                <w:lang w:val="zh-CN"/>
              </w:rPr>
            </w:pPr>
            <w:r>
              <w:rPr>
                <w:rFonts w:hint="eastAsia"/>
                <w:color w:val="auto"/>
                <w:sz w:val="24"/>
                <w:lang w:val="zh-CN"/>
              </w:rPr>
              <w:t>根据项目建设内容及《环境影响评价技术导则</w:t>
            </w:r>
            <w:bookmarkStart w:id="39" w:name="OLE_LINK155"/>
            <w:r>
              <w:rPr>
                <w:rFonts w:hint="eastAsia"/>
                <w:color w:val="auto"/>
                <w:sz w:val="24"/>
                <w:lang w:val="zh-CN"/>
              </w:rPr>
              <w:t>—</w:t>
            </w:r>
            <w:bookmarkEnd w:id="39"/>
            <w:r>
              <w:rPr>
                <w:rFonts w:hint="eastAsia"/>
                <w:color w:val="auto"/>
                <w:sz w:val="24"/>
                <w:lang w:val="zh-CN"/>
              </w:rPr>
              <w:t>声环境》（HJ2.4-2021）要求，项目环评采用模型为《环境影响评价技术导则—声环境》（HJ2.4-2021）附录A（规范性附录）户外声传播的衰减和附录B（规范性附录）中“B.1工业噪声预测计算模型”。通过预测模型计算，项目厂界噪声预测结果与达标分析见</w:t>
            </w:r>
            <w:r>
              <w:rPr>
                <w:rFonts w:hint="eastAsia"/>
                <w:color w:val="auto"/>
                <w:sz w:val="24"/>
                <w:lang w:val="en-US" w:eastAsia="zh-CN"/>
              </w:rPr>
              <w:t>下</w:t>
            </w:r>
            <w:r>
              <w:rPr>
                <w:rFonts w:hint="eastAsia"/>
                <w:color w:val="auto"/>
                <w:sz w:val="24"/>
                <w:lang w:val="zh-CN"/>
              </w:rPr>
              <w:t>表。</w:t>
            </w:r>
          </w:p>
          <w:p w14:paraId="6D6E9D9D">
            <w:pPr>
              <w:widowControl/>
              <w:autoSpaceDE w:val="0"/>
              <w:jc w:val="center"/>
              <w:rPr>
                <w:rFonts w:hint="eastAsia"/>
                <w:b/>
                <w:bCs/>
                <w:color w:val="auto"/>
                <w:kern w:val="0"/>
                <w:sz w:val="24"/>
              </w:rPr>
            </w:pPr>
            <w:r>
              <w:rPr>
                <w:b/>
                <w:color w:val="auto"/>
                <w:sz w:val="24"/>
              </w:rPr>
              <w:t>表4</w:t>
            </w:r>
            <w:r>
              <w:rPr>
                <w:rFonts w:hint="eastAsia"/>
                <w:b/>
                <w:color w:val="auto"/>
                <w:sz w:val="24"/>
              </w:rPr>
              <w:t>-1</w:t>
            </w:r>
            <w:r>
              <w:rPr>
                <w:rFonts w:hint="eastAsia"/>
                <w:b/>
                <w:color w:val="auto"/>
                <w:sz w:val="24"/>
                <w:lang w:val="en-US" w:eastAsia="zh-CN"/>
              </w:rPr>
              <w:t>3</w:t>
            </w:r>
            <w:r>
              <w:rPr>
                <w:rFonts w:hint="eastAsia"/>
                <w:b/>
                <w:color w:val="auto"/>
                <w:sz w:val="24"/>
              </w:rPr>
              <w:t xml:space="preserve">   </w:t>
            </w:r>
            <w:r>
              <w:rPr>
                <w:b/>
                <w:color w:val="auto"/>
                <w:sz w:val="24"/>
              </w:rPr>
              <w:t>项目厂界噪声影响预测结果dB（A）</w:t>
            </w:r>
          </w:p>
          <w:tbl>
            <w:tblPr>
              <w:tblStyle w:val="32"/>
              <w:tblW w:w="78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9"/>
              <w:gridCol w:w="744"/>
              <w:gridCol w:w="744"/>
              <w:gridCol w:w="1093"/>
              <w:gridCol w:w="909"/>
              <w:gridCol w:w="1190"/>
              <w:gridCol w:w="1204"/>
              <w:gridCol w:w="927"/>
            </w:tblGrid>
            <w:tr w14:paraId="0EB10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restart"/>
                  <w:shd w:val="clear" w:color="auto" w:fill="auto"/>
                  <w:noWrap w:val="0"/>
                  <w:vAlign w:val="center"/>
                </w:tcPr>
                <w:p w14:paraId="0A576B9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预测方位</w:t>
                  </w:r>
                </w:p>
              </w:tc>
              <w:tc>
                <w:tcPr>
                  <w:tcW w:w="2581" w:type="dxa"/>
                  <w:gridSpan w:val="3"/>
                  <w:shd w:val="clear" w:color="auto" w:fill="auto"/>
                  <w:noWrap w:val="0"/>
                  <w:vAlign w:val="center"/>
                </w:tcPr>
                <w:p w14:paraId="6F7746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最大值点空间相对位置/m</w:t>
                  </w:r>
                </w:p>
              </w:tc>
              <w:tc>
                <w:tcPr>
                  <w:tcW w:w="909" w:type="dxa"/>
                  <w:vMerge w:val="restart"/>
                  <w:shd w:val="clear" w:color="auto" w:fill="auto"/>
                  <w:noWrap w:val="0"/>
                  <w:vAlign w:val="center"/>
                </w:tcPr>
                <w:p w14:paraId="47E3F04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时段</w:t>
                  </w:r>
                </w:p>
              </w:tc>
              <w:tc>
                <w:tcPr>
                  <w:tcW w:w="1190" w:type="dxa"/>
                  <w:vMerge w:val="restart"/>
                  <w:shd w:val="clear" w:color="auto" w:fill="auto"/>
                  <w:noWrap w:val="0"/>
                  <w:vAlign w:val="center"/>
                </w:tcPr>
                <w:p w14:paraId="23EE28F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贡献值（dB（A））</w:t>
                  </w:r>
                </w:p>
              </w:tc>
              <w:tc>
                <w:tcPr>
                  <w:tcW w:w="1204" w:type="dxa"/>
                  <w:vMerge w:val="restart"/>
                  <w:shd w:val="clear" w:color="auto" w:fill="auto"/>
                  <w:noWrap w:val="0"/>
                  <w:vAlign w:val="center"/>
                </w:tcPr>
                <w:p w14:paraId="17E4E2B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标准限值（dB（A））</w:t>
                  </w:r>
                </w:p>
              </w:tc>
              <w:tc>
                <w:tcPr>
                  <w:tcW w:w="927" w:type="dxa"/>
                  <w:vMerge w:val="restart"/>
                  <w:shd w:val="clear" w:color="auto" w:fill="auto"/>
                  <w:noWrap w:val="0"/>
                  <w:vAlign w:val="center"/>
                </w:tcPr>
                <w:p w14:paraId="710C61A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达标情况</w:t>
                  </w:r>
                </w:p>
              </w:tc>
            </w:tr>
            <w:tr w14:paraId="1F9AB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continue"/>
                  <w:shd w:val="clear" w:color="auto" w:fill="auto"/>
                  <w:noWrap w:val="0"/>
                  <w:vAlign w:val="center"/>
                </w:tcPr>
                <w:p w14:paraId="1FDD67E9">
                  <w:pPr>
                    <w:jc w:val="center"/>
                    <w:rPr>
                      <w:rFonts w:hint="default" w:ascii="Times New Roman" w:hAnsi="Times New Roman" w:eastAsia="宋体" w:cs="Times New Roman"/>
                      <w:color w:val="auto"/>
                      <w:sz w:val="21"/>
                      <w:szCs w:val="21"/>
                    </w:rPr>
                  </w:pPr>
                </w:p>
              </w:tc>
              <w:tc>
                <w:tcPr>
                  <w:tcW w:w="744" w:type="dxa"/>
                  <w:shd w:val="clear" w:color="auto" w:fill="auto"/>
                  <w:noWrap w:val="0"/>
                  <w:vAlign w:val="center"/>
                </w:tcPr>
                <w:p w14:paraId="066B474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744" w:type="dxa"/>
                  <w:shd w:val="clear" w:color="auto" w:fill="auto"/>
                  <w:noWrap w:val="0"/>
                  <w:vAlign w:val="center"/>
                </w:tcPr>
                <w:p w14:paraId="43A54D4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1093" w:type="dxa"/>
                  <w:shd w:val="clear" w:color="auto" w:fill="auto"/>
                  <w:noWrap w:val="0"/>
                  <w:vAlign w:val="center"/>
                </w:tcPr>
                <w:p w14:paraId="50FEFC2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909" w:type="dxa"/>
                  <w:vMerge w:val="continue"/>
                  <w:shd w:val="clear" w:color="auto" w:fill="auto"/>
                  <w:noWrap w:val="0"/>
                  <w:vAlign w:val="center"/>
                </w:tcPr>
                <w:p w14:paraId="2F997101">
                  <w:pPr>
                    <w:jc w:val="center"/>
                    <w:rPr>
                      <w:rFonts w:hint="default" w:ascii="Times New Roman" w:hAnsi="Times New Roman" w:eastAsia="宋体" w:cs="Times New Roman"/>
                      <w:color w:val="auto"/>
                      <w:sz w:val="21"/>
                      <w:szCs w:val="21"/>
                    </w:rPr>
                  </w:pPr>
                </w:p>
              </w:tc>
              <w:tc>
                <w:tcPr>
                  <w:tcW w:w="1190" w:type="dxa"/>
                  <w:vMerge w:val="continue"/>
                  <w:shd w:val="clear" w:color="auto" w:fill="auto"/>
                  <w:noWrap w:val="0"/>
                  <w:vAlign w:val="center"/>
                </w:tcPr>
                <w:p w14:paraId="7014B07F">
                  <w:pPr>
                    <w:jc w:val="center"/>
                    <w:rPr>
                      <w:rFonts w:hint="default" w:ascii="Times New Roman" w:hAnsi="Times New Roman" w:eastAsia="宋体" w:cs="Times New Roman"/>
                      <w:color w:val="auto"/>
                      <w:sz w:val="21"/>
                      <w:szCs w:val="21"/>
                    </w:rPr>
                  </w:pPr>
                </w:p>
              </w:tc>
              <w:tc>
                <w:tcPr>
                  <w:tcW w:w="1204" w:type="dxa"/>
                  <w:vMerge w:val="continue"/>
                  <w:shd w:val="clear" w:color="auto" w:fill="auto"/>
                  <w:noWrap w:val="0"/>
                  <w:vAlign w:val="center"/>
                </w:tcPr>
                <w:p w14:paraId="255A6256">
                  <w:pPr>
                    <w:jc w:val="center"/>
                    <w:rPr>
                      <w:rFonts w:hint="default" w:ascii="Times New Roman" w:hAnsi="Times New Roman" w:eastAsia="宋体" w:cs="Times New Roman"/>
                      <w:color w:val="auto"/>
                      <w:sz w:val="21"/>
                      <w:szCs w:val="21"/>
                    </w:rPr>
                  </w:pPr>
                </w:p>
              </w:tc>
              <w:tc>
                <w:tcPr>
                  <w:tcW w:w="927" w:type="dxa"/>
                  <w:vMerge w:val="continue"/>
                  <w:shd w:val="clear" w:color="auto" w:fill="auto"/>
                  <w:noWrap w:val="0"/>
                  <w:vAlign w:val="center"/>
                </w:tcPr>
                <w:p w14:paraId="2A89E0DC">
                  <w:pPr>
                    <w:jc w:val="center"/>
                    <w:rPr>
                      <w:rFonts w:hint="default" w:ascii="Times New Roman" w:hAnsi="Times New Roman" w:eastAsia="宋体" w:cs="Times New Roman"/>
                      <w:color w:val="auto"/>
                      <w:sz w:val="21"/>
                      <w:szCs w:val="21"/>
                    </w:rPr>
                  </w:pPr>
                </w:p>
              </w:tc>
            </w:tr>
            <w:tr w14:paraId="3B47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restart"/>
                  <w:shd w:val="clear" w:color="auto" w:fill="auto"/>
                  <w:noWrap w:val="0"/>
                  <w:vAlign w:val="center"/>
                </w:tcPr>
                <w:p w14:paraId="3E739C0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744" w:type="dxa"/>
                  <w:shd w:val="clear" w:color="auto" w:fill="auto"/>
                  <w:noWrap w:val="0"/>
                  <w:vAlign w:val="center"/>
                </w:tcPr>
                <w:p w14:paraId="2395A46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35.4</w:t>
                  </w:r>
                </w:p>
              </w:tc>
              <w:tc>
                <w:tcPr>
                  <w:tcW w:w="744" w:type="dxa"/>
                  <w:shd w:val="clear" w:color="auto" w:fill="auto"/>
                  <w:noWrap w:val="0"/>
                  <w:vAlign w:val="center"/>
                </w:tcPr>
                <w:p w14:paraId="3E8F660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16.5</w:t>
                  </w:r>
                </w:p>
              </w:tc>
              <w:tc>
                <w:tcPr>
                  <w:tcW w:w="1093" w:type="dxa"/>
                  <w:shd w:val="clear" w:color="auto" w:fill="auto"/>
                  <w:noWrap w:val="0"/>
                  <w:vAlign w:val="center"/>
                </w:tcPr>
                <w:p w14:paraId="39F51C0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6F4FC8A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190" w:type="dxa"/>
                  <w:shd w:val="clear" w:color="auto" w:fill="auto"/>
                  <w:noWrap w:val="0"/>
                  <w:vAlign w:val="center"/>
                </w:tcPr>
                <w:p w14:paraId="4DC0923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36.4</w:t>
                  </w:r>
                </w:p>
              </w:tc>
              <w:tc>
                <w:tcPr>
                  <w:tcW w:w="1204" w:type="dxa"/>
                  <w:shd w:val="clear" w:color="auto" w:fill="auto"/>
                  <w:noWrap w:val="0"/>
                  <w:vAlign w:val="center"/>
                </w:tcPr>
                <w:p w14:paraId="710F5E70">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60</w:t>
                  </w:r>
                </w:p>
              </w:tc>
              <w:tc>
                <w:tcPr>
                  <w:tcW w:w="927" w:type="dxa"/>
                  <w:shd w:val="clear" w:color="auto" w:fill="auto"/>
                  <w:noWrap w:val="0"/>
                  <w:vAlign w:val="center"/>
                </w:tcPr>
                <w:p w14:paraId="10BB5827">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28FE2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continue"/>
                  <w:shd w:val="clear" w:color="auto" w:fill="auto"/>
                  <w:noWrap w:val="0"/>
                  <w:vAlign w:val="center"/>
                </w:tcPr>
                <w:p w14:paraId="6759F3C6">
                  <w:pPr>
                    <w:jc w:val="center"/>
                    <w:rPr>
                      <w:rFonts w:hint="default" w:ascii="Times New Roman" w:hAnsi="Times New Roman" w:eastAsia="宋体" w:cs="Times New Roman"/>
                      <w:color w:val="auto"/>
                      <w:sz w:val="21"/>
                      <w:szCs w:val="21"/>
                    </w:rPr>
                  </w:pPr>
                </w:p>
              </w:tc>
              <w:tc>
                <w:tcPr>
                  <w:tcW w:w="744" w:type="dxa"/>
                  <w:shd w:val="clear" w:color="auto" w:fill="auto"/>
                  <w:noWrap w:val="0"/>
                  <w:vAlign w:val="center"/>
                </w:tcPr>
                <w:p w14:paraId="0C25782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35.4</w:t>
                  </w:r>
                </w:p>
              </w:tc>
              <w:tc>
                <w:tcPr>
                  <w:tcW w:w="744" w:type="dxa"/>
                  <w:shd w:val="clear" w:color="auto" w:fill="auto"/>
                  <w:noWrap w:val="0"/>
                  <w:vAlign w:val="center"/>
                </w:tcPr>
                <w:p w14:paraId="7799593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16.5</w:t>
                  </w:r>
                </w:p>
              </w:tc>
              <w:tc>
                <w:tcPr>
                  <w:tcW w:w="1093" w:type="dxa"/>
                  <w:shd w:val="clear" w:color="auto" w:fill="auto"/>
                  <w:noWrap w:val="0"/>
                  <w:vAlign w:val="center"/>
                </w:tcPr>
                <w:p w14:paraId="0F6D428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6FAB00E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1190" w:type="dxa"/>
                  <w:shd w:val="clear" w:color="auto" w:fill="auto"/>
                  <w:noWrap w:val="0"/>
                  <w:vAlign w:val="center"/>
                </w:tcPr>
                <w:p w14:paraId="48B4DCB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36.4</w:t>
                  </w:r>
                </w:p>
              </w:tc>
              <w:tc>
                <w:tcPr>
                  <w:tcW w:w="1204" w:type="dxa"/>
                  <w:shd w:val="clear" w:color="auto" w:fill="auto"/>
                  <w:noWrap w:val="0"/>
                  <w:vAlign w:val="center"/>
                </w:tcPr>
                <w:p w14:paraId="5F8A66B8">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50</w:t>
                  </w:r>
                </w:p>
              </w:tc>
              <w:tc>
                <w:tcPr>
                  <w:tcW w:w="927" w:type="dxa"/>
                  <w:shd w:val="clear" w:color="auto" w:fill="auto"/>
                  <w:noWrap w:val="0"/>
                  <w:vAlign w:val="center"/>
                </w:tcPr>
                <w:p w14:paraId="7206A3EF">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5F170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restart"/>
                  <w:shd w:val="clear" w:color="auto" w:fill="auto"/>
                  <w:noWrap w:val="0"/>
                  <w:vAlign w:val="center"/>
                </w:tcPr>
                <w:p w14:paraId="5157C49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744" w:type="dxa"/>
                  <w:shd w:val="clear" w:color="auto" w:fill="auto"/>
                  <w:noWrap w:val="0"/>
                  <w:vAlign w:val="center"/>
                </w:tcPr>
                <w:p w14:paraId="3B60E55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c>
                <w:tcPr>
                  <w:tcW w:w="744" w:type="dxa"/>
                  <w:shd w:val="clear" w:color="auto" w:fill="auto"/>
                  <w:noWrap w:val="0"/>
                  <w:vAlign w:val="center"/>
                </w:tcPr>
                <w:p w14:paraId="0E47951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-39.3</w:t>
                  </w:r>
                </w:p>
              </w:tc>
              <w:tc>
                <w:tcPr>
                  <w:tcW w:w="1093" w:type="dxa"/>
                  <w:shd w:val="clear" w:color="auto" w:fill="auto"/>
                  <w:noWrap w:val="0"/>
                  <w:vAlign w:val="center"/>
                </w:tcPr>
                <w:p w14:paraId="7E0C687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5773175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190" w:type="dxa"/>
                  <w:shd w:val="clear" w:color="auto" w:fill="auto"/>
                  <w:noWrap w:val="0"/>
                  <w:vAlign w:val="center"/>
                </w:tcPr>
                <w:p w14:paraId="1A69306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53.4</w:t>
                  </w:r>
                </w:p>
              </w:tc>
              <w:tc>
                <w:tcPr>
                  <w:tcW w:w="1204" w:type="dxa"/>
                  <w:shd w:val="clear" w:color="auto" w:fill="auto"/>
                  <w:noWrap w:val="0"/>
                  <w:vAlign w:val="center"/>
                </w:tcPr>
                <w:p w14:paraId="52D75A54">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927" w:type="dxa"/>
                  <w:shd w:val="clear" w:color="auto" w:fill="auto"/>
                  <w:noWrap w:val="0"/>
                  <w:vAlign w:val="center"/>
                </w:tcPr>
                <w:p w14:paraId="579E33CE">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5B35E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continue"/>
                  <w:shd w:val="clear" w:color="auto" w:fill="auto"/>
                  <w:noWrap w:val="0"/>
                  <w:vAlign w:val="center"/>
                </w:tcPr>
                <w:p w14:paraId="40D52F92">
                  <w:pPr>
                    <w:jc w:val="center"/>
                    <w:rPr>
                      <w:rFonts w:hint="default" w:ascii="Times New Roman" w:hAnsi="Times New Roman" w:eastAsia="宋体" w:cs="Times New Roman"/>
                      <w:color w:val="auto"/>
                      <w:sz w:val="21"/>
                      <w:szCs w:val="21"/>
                    </w:rPr>
                  </w:pPr>
                </w:p>
              </w:tc>
              <w:tc>
                <w:tcPr>
                  <w:tcW w:w="744" w:type="dxa"/>
                  <w:shd w:val="clear" w:color="auto" w:fill="auto"/>
                  <w:noWrap w:val="0"/>
                  <w:vAlign w:val="center"/>
                </w:tcPr>
                <w:p w14:paraId="42F2227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c>
                <w:tcPr>
                  <w:tcW w:w="744" w:type="dxa"/>
                  <w:shd w:val="clear" w:color="auto" w:fill="auto"/>
                  <w:noWrap w:val="0"/>
                  <w:vAlign w:val="center"/>
                </w:tcPr>
                <w:p w14:paraId="7F50360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-39.3</w:t>
                  </w:r>
                </w:p>
              </w:tc>
              <w:tc>
                <w:tcPr>
                  <w:tcW w:w="1093" w:type="dxa"/>
                  <w:shd w:val="clear" w:color="auto" w:fill="auto"/>
                  <w:noWrap w:val="0"/>
                  <w:vAlign w:val="center"/>
                </w:tcPr>
                <w:p w14:paraId="2523625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55F179B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1190" w:type="dxa"/>
                  <w:shd w:val="clear" w:color="auto" w:fill="auto"/>
                  <w:noWrap w:val="0"/>
                  <w:vAlign w:val="center"/>
                </w:tcPr>
                <w:p w14:paraId="6769561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53.4</w:t>
                  </w:r>
                </w:p>
              </w:tc>
              <w:tc>
                <w:tcPr>
                  <w:tcW w:w="1204" w:type="dxa"/>
                  <w:shd w:val="clear" w:color="auto" w:fill="auto"/>
                  <w:noWrap w:val="0"/>
                  <w:vAlign w:val="center"/>
                </w:tcPr>
                <w:p w14:paraId="21082B91">
                  <w:pPr>
                    <w:jc w:val="center"/>
                    <w:rPr>
                      <w:rFonts w:hint="eastAsia" w:ascii="Times New Roman" w:hAnsi="Times New Roman" w:eastAsia="宋体" w:cs="Times New Roman"/>
                      <w:color w:val="auto"/>
                      <w:sz w:val="21"/>
                      <w:szCs w:val="21"/>
                      <w:lang w:eastAsia="zh-CN"/>
                    </w:rPr>
                  </w:pPr>
                  <w:r>
                    <w:rPr>
                      <w:rFonts w:hint="default" w:ascii="Times New Roman" w:hAnsi="Times New Roman" w:eastAsia="Arial" w:cs="Times New Roman"/>
                      <w:color w:val="auto"/>
                      <w:sz w:val="21"/>
                      <w:szCs w:val="21"/>
                    </w:rPr>
                    <w:t>5</w:t>
                  </w:r>
                  <w:r>
                    <w:rPr>
                      <w:rFonts w:hint="eastAsia" w:ascii="Times New Roman" w:hAnsi="Times New Roman" w:eastAsia="宋体" w:cs="Times New Roman"/>
                      <w:color w:val="auto"/>
                      <w:sz w:val="21"/>
                      <w:szCs w:val="21"/>
                      <w:lang w:val="en-US" w:eastAsia="zh-CN"/>
                    </w:rPr>
                    <w:t>5</w:t>
                  </w:r>
                </w:p>
              </w:tc>
              <w:tc>
                <w:tcPr>
                  <w:tcW w:w="927" w:type="dxa"/>
                  <w:shd w:val="clear" w:color="auto" w:fill="auto"/>
                  <w:noWrap w:val="0"/>
                  <w:vAlign w:val="center"/>
                </w:tcPr>
                <w:p w14:paraId="0755B5D6">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06052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restart"/>
                  <w:shd w:val="clear" w:color="auto" w:fill="auto"/>
                  <w:noWrap w:val="0"/>
                  <w:vAlign w:val="center"/>
                </w:tcPr>
                <w:p w14:paraId="13AAF2C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744" w:type="dxa"/>
                  <w:shd w:val="clear" w:color="auto" w:fill="auto"/>
                  <w:noWrap w:val="0"/>
                  <w:vAlign w:val="center"/>
                </w:tcPr>
                <w:p w14:paraId="3255234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-30.7</w:t>
                  </w:r>
                </w:p>
              </w:tc>
              <w:tc>
                <w:tcPr>
                  <w:tcW w:w="744" w:type="dxa"/>
                  <w:shd w:val="clear" w:color="auto" w:fill="auto"/>
                  <w:noWrap w:val="0"/>
                  <w:vAlign w:val="center"/>
                </w:tcPr>
                <w:p w14:paraId="63C148A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1093" w:type="dxa"/>
                  <w:shd w:val="clear" w:color="auto" w:fill="auto"/>
                  <w:noWrap w:val="0"/>
                  <w:vAlign w:val="center"/>
                </w:tcPr>
                <w:p w14:paraId="5580AD3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43C87FF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190" w:type="dxa"/>
                  <w:shd w:val="clear" w:color="auto" w:fill="auto"/>
                  <w:noWrap w:val="0"/>
                  <w:vAlign w:val="center"/>
                </w:tcPr>
                <w:p w14:paraId="2E376F4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46.6</w:t>
                  </w:r>
                </w:p>
              </w:tc>
              <w:tc>
                <w:tcPr>
                  <w:tcW w:w="1204" w:type="dxa"/>
                  <w:shd w:val="clear" w:color="auto" w:fill="auto"/>
                  <w:noWrap w:val="0"/>
                  <w:vAlign w:val="center"/>
                </w:tcPr>
                <w:p w14:paraId="41D6E18C">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60</w:t>
                  </w:r>
                </w:p>
              </w:tc>
              <w:tc>
                <w:tcPr>
                  <w:tcW w:w="927" w:type="dxa"/>
                  <w:shd w:val="clear" w:color="auto" w:fill="auto"/>
                  <w:noWrap w:val="0"/>
                  <w:vAlign w:val="center"/>
                </w:tcPr>
                <w:p w14:paraId="11BD2376">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4E40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continue"/>
                  <w:shd w:val="clear" w:color="auto" w:fill="auto"/>
                  <w:noWrap w:val="0"/>
                  <w:vAlign w:val="center"/>
                </w:tcPr>
                <w:p w14:paraId="07BD4FE4">
                  <w:pPr>
                    <w:jc w:val="center"/>
                    <w:rPr>
                      <w:rFonts w:hint="default" w:ascii="Times New Roman" w:hAnsi="Times New Roman" w:eastAsia="宋体" w:cs="Times New Roman"/>
                      <w:color w:val="auto"/>
                      <w:sz w:val="21"/>
                      <w:szCs w:val="21"/>
                    </w:rPr>
                  </w:pPr>
                </w:p>
              </w:tc>
              <w:tc>
                <w:tcPr>
                  <w:tcW w:w="744" w:type="dxa"/>
                  <w:shd w:val="clear" w:color="auto" w:fill="auto"/>
                  <w:noWrap w:val="0"/>
                  <w:vAlign w:val="center"/>
                </w:tcPr>
                <w:p w14:paraId="3988E4B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-30.7</w:t>
                  </w:r>
                </w:p>
              </w:tc>
              <w:tc>
                <w:tcPr>
                  <w:tcW w:w="744" w:type="dxa"/>
                  <w:shd w:val="clear" w:color="auto" w:fill="auto"/>
                  <w:noWrap w:val="0"/>
                  <w:vAlign w:val="center"/>
                </w:tcPr>
                <w:p w14:paraId="543C9F1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1093" w:type="dxa"/>
                  <w:shd w:val="clear" w:color="auto" w:fill="auto"/>
                  <w:noWrap w:val="0"/>
                  <w:vAlign w:val="center"/>
                </w:tcPr>
                <w:p w14:paraId="15AFE33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57C0627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1190" w:type="dxa"/>
                  <w:shd w:val="clear" w:color="auto" w:fill="auto"/>
                  <w:noWrap w:val="0"/>
                  <w:vAlign w:val="center"/>
                </w:tcPr>
                <w:p w14:paraId="2872A84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46.6</w:t>
                  </w:r>
                </w:p>
              </w:tc>
              <w:tc>
                <w:tcPr>
                  <w:tcW w:w="1204" w:type="dxa"/>
                  <w:shd w:val="clear" w:color="auto" w:fill="auto"/>
                  <w:noWrap w:val="0"/>
                  <w:vAlign w:val="center"/>
                </w:tcPr>
                <w:p w14:paraId="00933149">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50</w:t>
                  </w:r>
                </w:p>
              </w:tc>
              <w:tc>
                <w:tcPr>
                  <w:tcW w:w="927" w:type="dxa"/>
                  <w:shd w:val="clear" w:color="auto" w:fill="auto"/>
                  <w:noWrap w:val="0"/>
                  <w:vAlign w:val="center"/>
                </w:tcPr>
                <w:p w14:paraId="7AF2B339">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37087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restart"/>
                  <w:shd w:val="clear" w:color="auto" w:fill="auto"/>
                  <w:noWrap w:val="0"/>
                  <w:vAlign w:val="center"/>
                </w:tcPr>
                <w:p w14:paraId="4E454A6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744" w:type="dxa"/>
                  <w:shd w:val="clear" w:color="auto" w:fill="auto"/>
                  <w:noWrap w:val="0"/>
                  <w:vAlign w:val="center"/>
                </w:tcPr>
                <w:p w14:paraId="7DEACDA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31.2</w:t>
                  </w:r>
                </w:p>
              </w:tc>
              <w:tc>
                <w:tcPr>
                  <w:tcW w:w="744" w:type="dxa"/>
                  <w:shd w:val="clear" w:color="auto" w:fill="auto"/>
                  <w:noWrap w:val="0"/>
                  <w:vAlign w:val="center"/>
                </w:tcPr>
                <w:p w14:paraId="6C820E5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29.1</w:t>
                  </w:r>
                </w:p>
              </w:tc>
              <w:tc>
                <w:tcPr>
                  <w:tcW w:w="1093" w:type="dxa"/>
                  <w:shd w:val="clear" w:color="auto" w:fill="auto"/>
                  <w:noWrap w:val="0"/>
                  <w:vAlign w:val="center"/>
                </w:tcPr>
                <w:p w14:paraId="681B0B1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72B597F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190" w:type="dxa"/>
                  <w:shd w:val="clear" w:color="auto" w:fill="auto"/>
                  <w:noWrap w:val="0"/>
                  <w:vAlign w:val="center"/>
                </w:tcPr>
                <w:p w14:paraId="4B75EF2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1204" w:type="dxa"/>
                  <w:shd w:val="clear" w:color="auto" w:fill="auto"/>
                  <w:noWrap w:val="0"/>
                  <w:vAlign w:val="center"/>
                </w:tcPr>
                <w:p w14:paraId="50B16406">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60</w:t>
                  </w:r>
                </w:p>
              </w:tc>
              <w:tc>
                <w:tcPr>
                  <w:tcW w:w="927" w:type="dxa"/>
                  <w:shd w:val="clear" w:color="auto" w:fill="auto"/>
                  <w:noWrap w:val="0"/>
                  <w:vAlign w:val="center"/>
                </w:tcPr>
                <w:p w14:paraId="3D361006">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r w14:paraId="3C9ED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019" w:type="dxa"/>
                  <w:vMerge w:val="continue"/>
                  <w:shd w:val="clear" w:color="auto" w:fill="auto"/>
                  <w:noWrap w:val="0"/>
                  <w:vAlign w:val="center"/>
                </w:tcPr>
                <w:p w14:paraId="28FD2B46">
                  <w:pPr>
                    <w:jc w:val="center"/>
                    <w:rPr>
                      <w:rFonts w:hint="default" w:ascii="Times New Roman" w:hAnsi="Times New Roman" w:eastAsia="宋体" w:cs="Times New Roman"/>
                      <w:color w:val="auto"/>
                      <w:sz w:val="21"/>
                      <w:szCs w:val="21"/>
                    </w:rPr>
                  </w:pPr>
                </w:p>
              </w:tc>
              <w:tc>
                <w:tcPr>
                  <w:tcW w:w="744" w:type="dxa"/>
                  <w:shd w:val="clear" w:color="auto" w:fill="auto"/>
                  <w:noWrap w:val="0"/>
                  <w:vAlign w:val="center"/>
                </w:tcPr>
                <w:p w14:paraId="46BF410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31.2</w:t>
                  </w:r>
                </w:p>
              </w:tc>
              <w:tc>
                <w:tcPr>
                  <w:tcW w:w="744" w:type="dxa"/>
                  <w:shd w:val="clear" w:color="auto" w:fill="auto"/>
                  <w:noWrap w:val="0"/>
                  <w:vAlign w:val="center"/>
                </w:tcPr>
                <w:p w14:paraId="262B1EC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29.1</w:t>
                  </w:r>
                </w:p>
              </w:tc>
              <w:tc>
                <w:tcPr>
                  <w:tcW w:w="1093" w:type="dxa"/>
                  <w:shd w:val="clear" w:color="auto" w:fill="auto"/>
                  <w:noWrap w:val="0"/>
                  <w:vAlign w:val="center"/>
                </w:tcPr>
                <w:p w14:paraId="0520874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09" w:type="dxa"/>
                  <w:shd w:val="clear" w:color="auto" w:fill="auto"/>
                  <w:noWrap w:val="0"/>
                  <w:vAlign w:val="center"/>
                </w:tcPr>
                <w:p w14:paraId="4CABEA0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1190" w:type="dxa"/>
                  <w:shd w:val="clear" w:color="auto" w:fill="auto"/>
                  <w:noWrap w:val="0"/>
                  <w:vAlign w:val="center"/>
                </w:tcPr>
                <w:p w14:paraId="2A05950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1204" w:type="dxa"/>
                  <w:shd w:val="clear" w:color="auto" w:fill="auto"/>
                  <w:noWrap w:val="0"/>
                  <w:vAlign w:val="center"/>
                </w:tcPr>
                <w:p w14:paraId="62FD895E">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50</w:t>
                  </w:r>
                </w:p>
              </w:tc>
              <w:tc>
                <w:tcPr>
                  <w:tcW w:w="927" w:type="dxa"/>
                  <w:shd w:val="clear" w:color="auto" w:fill="auto"/>
                  <w:noWrap w:val="0"/>
                  <w:vAlign w:val="center"/>
                </w:tcPr>
                <w:p w14:paraId="3ECFE831">
                  <w:pPr>
                    <w:jc w:val="center"/>
                    <w:rPr>
                      <w:rFonts w:hint="default" w:ascii="Times New Roman" w:hAnsi="Times New Roman" w:eastAsia="宋体" w:cs="Times New Roman"/>
                      <w:color w:val="auto"/>
                      <w:sz w:val="21"/>
                      <w:szCs w:val="21"/>
                    </w:rPr>
                  </w:pPr>
                  <w:r>
                    <w:rPr>
                      <w:rFonts w:hint="default" w:ascii="Times New Roman" w:hAnsi="Times New Roman" w:eastAsia="Arial" w:cs="Times New Roman"/>
                      <w:color w:val="auto"/>
                      <w:sz w:val="21"/>
                      <w:szCs w:val="21"/>
                    </w:rPr>
                    <w:t>达标</w:t>
                  </w:r>
                </w:p>
              </w:tc>
            </w:tr>
          </w:tbl>
          <w:p w14:paraId="3761BFF3">
            <w:pPr>
              <w:pStyle w:val="130"/>
              <w:keepNext w:val="0"/>
              <w:keepLines w:val="0"/>
              <w:pageBreakBefore w:val="0"/>
              <w:widowControl w:val="0"/>
              <w:kinsoku/>
              <w:wordWrap/>
              <w:overflowPunct/>
              <w:topLinePunct w:val="0"/>
              <w:autoSpaceDE/>
              <w:autoSpaceDN/>
              <w:bidi w:val="0"/>
              <w:adjustRightInd/>
              <w:snapToGrid w:val="0"/>
              <w:spacing w:before="63" w:beforeLines="20" w:line="360" w:lineRule="auto"/>
              <w:ind w:firstLine="480" w:firstLineChars="200"/>
              <w:textAlignment w:val="auto"/>
              <w:rPr>
                <w:rFonts w:hint="eastAsia" w:cs="Times New Roman"/>
                <w:bCs/>
                <w:color w:val="auto"/>
                <w:sz w:val="24"/>
                <w:szCs w:val="24"/>
              </w:rPr>
            </w:pPr>
            <w:r>
              <w:rPr>
                <w:rFonts w:hint="eastAsia" w:cs="Times New Roman"/>
                <w:bCs/>
                <w:color w:val="auto"/>
                <w:sz w:val="24"/>
                <w:szCs w:val="24"/>
              </w:rPr>
              <w:t>注：①</w:t>
            </w:r>
            <w:r>
              <w:rPr>
                <w:rFonts w:cs="Times New Roman"/>
                <w:bCs/>
                <w:color w:val="auto"/>
                <w:sz w:val="24"/>
                <w:szCs w:val="24"/>
              </w:rPr>
              <w:t>表中坐标以厂界中心（</w:t>
            </w:r>
            <w:bookmarkStart w:id="40" w:name="PO_8"/>
            <w:r>
              <w:rPr>
                <w:rFonts w:hint="default" w:ascii="Times New Roman" w:hAnsi="Times New Roman" w:cs="Times New Roman" w:eastAsiaTheme="minorEastAsia"/>
                <w:b w:val="0"/>
                <w:bCs/>
                <w:color w:val="auto"/>
                <w:sz w:val="24"/>
                <w:szCs w:val="24"/>
                <w:lang w:val="en-US" w:eastAsia="zh-CN"/>
              </w:rPr>
              <w:t>110.530273</w:t>
            </w:r>
            <w:r>
              <w:rPr>
                <w:rFonts w:hint="eastAsia" w:ascii="Times New Roman" w:hAnsi="Times New Roman" w:cs="Times New Roman" w:eastAsiaTheme="minorEastAsia"/>
                <w:b w:val="0"/>
                <w:bCs/>
                <w:color w:val="auto"/>
                <w:sz w:val="24"/>
                <w:szCs w:val="24"/>
                <w:lang w:val="en-US" w:eastAsia="zh-CN"/>
              </w:rPr>
              <w:t>，</w:t>
            </w:r>
            <w:r>
              <w:rPr>
                <w:rFonts w:hint="default" w:ascii="Times New Roman" w:hAnsi="Times New Roman" w:cs="Times New Roman" w:eastAsiaTheme="minorEastAsia"/>
                <w:b w:val="0"/>
                <w:bCs/>
                <w:color w:val="auto"/>
                <w:sz w:val="24"/>
                <w:szCs w:val="24"/>
                <w:lang w:val="en-US" w:eastAsia="zh-CN"/>
              </w:rPr>
              <w:t>27.416578</w:t>
            </w:r>
            <w:bookmarkEnd w:id="40"/>
            <w:r>
              <w:rPr>
                <w:rFonts w:cs="Times New Roman"/>
                <w:bCs/>
                <w:color w:val="auto"/>
                <w:sz w:val="24"/>
                <w:szCs w:val="24"/>
              </w:rPr>
              <w:t>）为坐标原点，正东向为X轴正方向，正北向为Y轴正方向</w:t>
            </w:r>
            <w:r>
              <w:rPr>
                <w:rFonts w:hint="eastAsia" w:cs="Times New Roman"/>
                <w:bCs/>
                <w:color w:val="auto"/>
                <w:sz w:val="24"/>
                <w:szCs w:val="24"/>
              </w:rPr>
              <w:t>。</w:t>
            </w:r>
          </w:p>
          <w:p w14:paraId="1E8AD911">
            <w:pPr>
              <w:pStyle w:val="130"/>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s="Times New Roman"/>
                <w:color w:val="auto"/>
                <w:kern w:val="0"/>
              </w:rPr>
            </w:pPr>
            <w:r>
              <w:rPr>
                <w:rFonts w:hint="eastAsia" w:cs="Times New Roman"/>
                <w:color w:val="auto"/>
                <w:kern w:val="0"/>
              </w:rPr>
              <w:t>由上表可知，正常工况下，项目</w:t>
            </w:r>
            <w:r>
              <w:rPr>
                <w:rFonts w:hint="eastAsia" w:cs="Times New Roman"/>
                <w:color w:val="auto"/>
                <w:kern w:val="0"/>
                <w:lang w:val="en-US" w:eastAsia="zh-CN"/>
              </w:rPr>
              <w:t>南侧</w:t>
            </w:r>
            <w:r>
              <w:rPr>
                <w:rFonts w:hint="eastAsia" w:cs="Times New Roman"/>
                <w:color w:val="auto"/>
                <w:kern w:val="0"/>
              </w:rPr>
              <w:t>厂界噪声满足</w:t>
            </w:r>
            <w:r>
              <w:rPr>
                <w:rFonts w:cs="Times New Roman"/>
                <w:color w:val="auto"/>
                <w:kern w:val="0"/>
              </w:rPr>
              <w:t>《工业企业厂界环境噪声排放标准》（GB12348-2008）中的</w:t>
            </w:r>
            <w:r>
              <w:rPr>
                <w:rFonts w:hint="eastAsia" w:cs="Times New Roman"/>
                <w:color w:val="auto"/>
                <w:kern w:val="0"/>
                <w:lang w:val="en-US" w:eastAsia="zh-CN"/>
              </w:rPr>
              <w:t>4</w:t>
            </w:r>
            <w:r>
              <w:rPr>
                <w:rFonts w:cs="Times New Roman"/>
                <w:color w:val="auto"/>
                <w:kern w:val="0"/>
              </w:rPr>
              <w:t>类标准</w:t>
            </w:r>
            <w:r>
              <w:rPr>
                <w:rFonts w:hint="eastAsia" w:cs="Times New Roman"/>
                <w:color w:val="auto"/>
                <w:kern w:val="0"/>
                <w:lang w:val="en-US" w:eastAsia="zh-CN"/>
              </w:rPr>
              <w:t>，其余各侧厂界噪声满足其2</w:t>
            </w:r>
            <w:r>
              <w:rPr>
                <w:rFonts w:cs="Times New Roman"/>
                <w:color w:val="auto"/>
                <w:kern w:val="0"/>
              </w:rPr>
              <w:t>类标准</w:t>
            </w:r>
            <w:r>
              <w:rPr>
                <w:rFonts w:hint="eastAsia" w:cs="Times New Roman"/>
                <w:color w:val="auto"/>
                <w:kern w:val="0"/>
              </w:rPr>
              <w:t>。</w:t>
            </w:r>
          </w:p>
          <w:p w14:paraId="7BDE2474">
            <w:pPr>
              <w:widowControl/>
              <w:autoSpaceDE w:val="0"/>
              <w:jc w:val="center"/>
              <w:rPr>
                <w:rFonts w:hint="eastAsia" w:ascii="Times New Roman" w:hAnsi="Times New Roman" w:eastAsia="宋体" w:cs="Times New Roman"/>
                <w:b/>
                <w:color w:val="auto"/>
                <w:sz w:val="24"/>
                <w:lang w:eastAsia="zh-CN"/>
              </w:rPr>
            </w:pPr>
            <w:r>
              <w:rPr>
                <w:rFonts w:hint="eastAsia" w:ascii="Times New Roman" w:hAnsi="Times New Roman" w:eastAsia="宋体" w:cs="Times New Roman"/>
                <w:b/>
                <w:color w:val="auto"/>
                <w:sz w:val="24"/>
                <w:lang w:eastAsia="zh-CN"/>
              </w:rPr>
              <w:t>表</w:t>
            </w:r>
            <w:r>
              <w:rPr>
                <w:rFonts w:hint="eastAsia" w:ascii="Times New Roman" w:hAnsi="Times New Roman" w:eastAsia="宋体" w:cs="Times New Roman"/>
                <w:b/>
                <w:color w:val="auto"/>
                <w:sz w:val="24"/>
                <w:lang w:val="en-US" w:eastAsia="zh-CN"/>
              </w:rPr>
              <w:t>4-1</w:t>
            </w:r>
            <w:r>
              <w:rPr>
                <w:rFonts w:hint="eastAsia" w:cs="Times New Roman"/>
                <w:b/>
                <w:color w:val="auto"/>
                <w:sz w:val="24"/>
                <w:lang w:val="en-US" w:eastAsia="zh-CN"/>
              </w:rPr>
              <w:t>4</w:t>
            </w:r>
            <w:r>
              <w:rPr>
                <w:rFonts w:hint="eastAsia" w:ascii="Times New Roman" w:hAnsi="Times New Roman" w:eastAsia="宋体" w:cs="Times New Roman"/>
                <w:b/>
                <w:color w:val="auto"/>
                <w:sz w:val="24"/>
                <w:lang w:val="en-US" w:eastAsia="zh-CN"/>
              </w:rPr>
              <w:t xml:space="preserve">   </w:t>
            </w:r>
            <w:r>
              <w:rPr>
                <w:rFonts w:hint="eastAsia" w:ascii="Times New Roman" w:hAnsi="Times New Roman" w:eastAsia="宋体" w:cs="Times New Roman"/>
                <w:b/>
                <w:color w:val="auto"/>
                <w:sz w:val="24"/>
                <w:lang w:eastAsia="zh-CN"/>
              </w:rPr>
              <w:t>工业企业声环境保护目标噪声预测结果与达标分析表</w:t>
            </w:r>
          </w:p>
          <w:tbl>
            <w:tblPr>
              <w:tblStyle w:val="32"/>
              <w:tblW w:w="7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0"/>
              <w:gridCol w:w="538"/>
              <w:gridCol w:w="504"/>
              <w:gridCol w:w="476"/>
              <w:gridCol w:w="479"/>
              <w:gridCol w:w="440"/>
              <w:gridCol w:w="411"/>
              <w:gridCol w:w="564"/>
              <w:gridCol w:w="594"/>
              <w:gridCol w:w="579"/>
              <w:gridCol w:w="579"/>
              <w:gridCol w:w="451"/>
              <w:gridCol w:w="480"/>
              <w:gridCol w:w="409"/>
              <w:gridCol w:w="411"/>
            </w:tblGrid>
            <w:tr w14:paraId="2653A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3" w:hRule="atLeast"/>
                <w:jc w:val="center"/>
              </w:trPr>
              <w:tc>
                <w:tcPr>
                  <w:tcW w:w="587" w:type="pct"/>
                  <w:vMerge w:val="restart"/>
                  <w:tcBorders>
                    <w:tl2br w:val="nil"/>
                    <w:tr2bl w:val="nil"/>
                  </w:tcBorders>
                  <w:shd w:val="clear" w:color="auto" w:fill="auto"/>
                  <w:noWrap w:val="0"/>
                  <w:vAlign w:val="center"/>
                </w:tcPr>
                <w:p w14:paraId="064B4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bookmarkStart w:id="41" w:name="PT_8"/>
                  <w:r>
                    <w:rPr>
                      <w:rFonts w:hint="default" w:ascii="Times New Roman" w:hAnsi="Times New Roman" w:eastAsia="宋体" w:cs="Times New Roman"/>
                      <w:b/>
                      <w:color w:val="auto"/>
                      <w:sz w:val="21"/>
                      <w:szCs w:val="21"/>
                    </w:rPr>
                    <w:t>声环境保护目标名称</w:t>
                  </w:r>
                </w:p>
              </w:tc>
              <w:tc>
                <w:tcPr>
                  <w:tcW w:w="664" w:type="pct"/>
                  <w:gridSpan w:val="2"/>
                  <w:tcBorders>
                    <w:tl2br w:val="nil"/>
                    <w:tr2bl w:val="nil"/>
                  </w:tcBorders>
                  <w:shd w:val="clear" w:color="auto" w:fill="auto"/>
                  <w:noWrap w:val="0"/>
                  <w:vAlign w:val="center"/>
                </w:tcPr>
                <w:p w14:paraId="77E7C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噪声背景值/dB</w:t>
                  </w:r>
                  <w:r>
                    <w:rPr>
                      <w:rFonts w:hint="eastAsia" w:cs="Times New Roman"/>
                      <w:b/>
                      <w:color w:val="auto"/>
                      <w:sz w:val="21"/>
                      <w:szCs w:val="21"/>
                      <w:lang w:eastAsia="zh-CN"/>
                    </w:rPr>
                    <w:t>（</w:t>
                  </w:r>
                  <w:r>
                    <w:rPr>
                      <w:rFonts w:hint="default" w:ascii="Times New Roman" w:hAnsi="Times New Roman" w:eastAsia="宋体" w:cs="Times New Roman"/>
                      <w:b/>
                      <w:color w:val="auto"/>
                      <w:sz w:val="21"/>
                      <w:szCs w:val="21"/>
                    </w:rPr>
                    <w:t>A</w:t>
                  </w:r>
                  <w:r>
                    <w:rPr>
                      <w:rFonts w:hint="eastAsia" w:cs="Times New Roman"/>
                      <w:b/>
                      <w:color w:val="auto"/>
                      <w:sz w:val="21"/>
                      <w:szCs w:val="21"/>
                      <w:lang w:eastAsia="zh-CN"/>
                    </w:rPr>
                    <w:t>）</w:t>
                  </w:r>
                </w:p>
              </w:tc>
              <w:tc>
                <w:tcPr>
                  <w:tcW w:w="609" w:type="pct"/>
                  <w:gridSpan w:val="2"/>
                  <w:tcBorders>
                    <w:tl2br w:val="nil"/>
                    <w:tr2bl w:val="nil"/>
                  </w:tcBorders>
                  <w:shd w:val="clear" w:color="auto" w:fill="auto"/>
                  <w:noWrap w:val="0"/>
                  <w:vAlign w:val="center"/>
                </w:tcPr>
                <w:p w14:paraId="03F53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噪声现状值/dB</w:t>
                  </w:r>
                  <w:r>
                    <w:rPr>
                      <w:rFonts w:hint="eastAsia" w:cs="Times New Roman"/>
                      <w:b/>
                      <w:color w:val="auto"/>
                      <w:sz w:val="21"/>
                      <w:szCs w:val="21"/>
                      <w:lang w:eastAsia="zh-CN"/>
                    </w:rPr>
                    <w:t>（</w:t>
                  </w:r>
                  <w:r>
                    <w:rPr>
                      <w:rFonts w:hint="default" w:ascii="Times New Roman" w:hAnsi="Times New Roman" w:eastAsia="宋体" w:cs="Times New Roman"/>
                      <w:b/>
                      <w:color w:val="auto"/>
                      <w:sz w:val="21"/>
                      <w:szCs w:val="21"/>
                    </w:rPr>
                    <w:t>A</w:t>
                  </w:r>
                  <w:r>
                    <w:rPr>
                      <w:rFonts w:hint="eastAsia" w:cs="Times New Roman"/>
                      <w:b/>
                      <w:color w:val="auto"/>
                      <w:sz w:val="21"/>
                      <w:szCs w:val="21"/>
                      <w:lang w:eastAsia="zh-CN"/>
                    </w:rPr>
                    <w:t>）</w:t>
                  </w:r>
                </w:p>
              </w:tc>
              <w:tc>
                <w:tcPr>
                  <w:tcW w:w="543" w:type="pct"/>
                  <w:gridSpan w:val="2"/>
                  <w:tcBorders>
                    <w:tl2br w:val="nil"/>
                    <w:tr2bl w:val="nil"/>
                  </w:tcBorders>
                  <w:shd w:val="clear" w:color="auto" w:fill="auto"/>
                  <w:noWrap w:val="0"/>
                  <w:vAlign w:val="center"/>
                </w:tcPr>
                <w:p w14:paraId="1836F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噪声标准/dB</w:t>
                  </w:r>
                  <w:r>
                    <w:rPr>
                      <w:rFonts w:hint="eastAsia" w:cs="Times New Roman"/>
                      <w:b/>
                      <w:color w:val="auto"/>
                      <w:sz w:val="21"/>
                      <w:szCs w:val="21"/>
                      <w:lang w:eastAsia="zh-CN"/>
                    </w:rPr>
                    <w:t>（</w:t>
                  </w:r>
                  <w:r>
                    <w:rPr>
                      <w:rFonts w:hint="default" w:ascii="Times New Roman" w:hAnsi="Times New Roman" w:eastAsia="宋体" w:cs="Times New Roman"/>
                      <w:b/>
                      <w:color w:val="auto"/>
                      <w:sz w:val="21"/>
                      <w:szCs w:val="21"/>
                    </w:rPr>
                    <w:t>A</w:t>
                  </w:r>
                  <w:r>
                    <w:rPr>
                      <w:rFonts w:hint="eastAsia" w:cs="Times New Roman"/>
                      <w:b/>
                      <w:color w:val="auto"/>
                      <w:sz w:val="21"/>
                      <w:szCs w:val="21"/>
                      <w:lang w:eastAsia="zh-CN"/>
                    </w:rPr>
                    <w:t>）</w:t>
                  </w:r>
                </w:p>
              </w:tc>
              <w:tc>
                <w:tcPr>
                  <w:tcW w:w="738" w:type="pct"/>
                  <w:gridSpan w:val="2"/>
                  <w:tcBorders>
                    <w:tl2br w:val="nil"/>
                    <w:tr2bl w:val="nil"/>
                  </w:tcBorders>
                  <w:shd w:val="clear" w:color="auto" w:fill="auto"/>
                  <w:noWrap w:val="0"/>
                  <w:vAlign w:val="center"/>
                </w:tcPr>
                <w:p w14:paraId="63579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噪声贡献值/dB</w:t>
                  </w:r>
                  <w:r>
                    <w:rPr>
                      <w:rFonts w:hint="eastAsia" w:cs="Times New Roman"/>
                      <w:b/>
                      <w:color w:val="auto"/>
                      <w:sz w:val="21"/>
                      <w:szCs w:val="21"/>
                      <w:lang w:eastAsia="zh-CN"/>
                    </w:rPr>
                    <w:t>（</w:t>
                  </w:r>
                  <w:r>
                    <w:rPr>
                      <w:rFonts w:hint="default" w:ascii="Times New Roman" w:hAnsi="Times New Roman" w:eastAsia="宋体" w:cs="Times New Roman"/>
                      <w:b/>
                      <w:color w:val="auto"/>
                      <w:sz w:val="21"/>
                      <w:szCs w:val="21"/>
                    </w:rPr>
                    <w:t>A</w:t>
                  </w:r>
                  <w:r>
                    <w:rPr>
                      <w:rFonts w:hint="eastAsia" w:cs="Times New Roman"/>
                      <w:b/>
                      <w:color w:val="auto"/>
                      <w:sz w:val="21"/>
                      <w:szCs w:val="21"/>
                      <w:lang w:eastAsia="zh-CN"/>
                    </w:rPr>
                    <w:t>）</w:t>
                  </w:r>
                </w:p>
              </w:tc>
              <w:tc>
                <w:tcPr>
                  <w:tcW w:w="738" w:type="pct"/>
                  <w:gridSpan w:val="2"/>
                  <w:tcBorders>
                    <w:tl2br w:val="nil"/>
                    <w:tr2bl w:val="nil"/>
                  </w:tcBorders>
                  <w:shd w:val="clear" w:color="auto" w:fill="auto"/>
                  <w:noWrap w:val="0"/>
                  <w:vAlign w:val="center"/>
                </w:tcPr>
                <w:p w14:paraId="3DFB8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噪声预测值/dB</w:t>
                  </w:r>
                  <w:r>
                    <w:rPr>
                      <w:rFonts w:hint="eastAsia" w:cs="Times New Roman"/>
                      <w:b/>
                      <w:color w:val="auto"/>
                      <w:sz w:val="21"/>
                      <w:szCs w:val="21"/>
                      <w:lang w:eastAsia="zh-CN"/>
                    </w:rPr>
                    <w:t>（</w:t>
                  </w:r>
                  <w:r>
                    <w:rPr>
                      <w:rFonts w:hint="default" w:ascii="Times New Roman" w:hAnsi="Times New Roman" w:eastAsia="宋体" w:cs="Times New Roman"/>
                      <w:b/>
                      <w:color w:val="auto"/>
                      <w:sz w:val="21"/>
                      <w:szCs w:val="21"/>
                    </w:rPr>
                    <w:t>A</w:t>
                  </w:r>
                  <w:r>
                    <w:rPr>
                      <w:rFonts w:hint="eastAsia" w:cs="Times New Roman"/>
                      <w:b/>
                      <w:color w:val="auto"/>
                      <w:sz w:val="21"/>
                      <w:szCs w:val="21"/>
                      <w:lang w:eastAsia="zh-CN"/>
                    </w:rPr>
                    <w:t>）</w:t>
                  </w:r>
                </w:p>
              </w:tc>
              <w:tc>
                <w:tcPr>
                  <w:tcW w:w="594" w:type="pct"/>
                  <w:gridSpan w:val="2"/>
                  <w:tcBorders>
                    <w:tl2br w:val="nil"/>
                    <w:tr2bl w:val="nil"/>
                  </w:tcBorders>
                  <w:shd w:val="clear" w:color="auto" w:fill="auto"/>
                  <w:noWrap w:val="0"/>
                  <w:vAlign w:val="center"/>
                </w:tcPr>
                <w:p w14:paraId="55CA7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较现状增量/dB</w:t>
                  </w:r>
                  <w:r>
                    <w:rPr>
                      <w:rFonts w:hint="eastAsia" w:cs="Times New Roman"/>
                      <w:b/>
                      <w:color w:val="auto"/>
                      <w:sz w:val="21"/>
                      <w:szCs w:val="21"/>
                      <w:lang w:eastAsia="zh-CN"/>
                    </w:rPr>
                    <w:t>（</w:t>
                  </w:r>
                  <w:r>
                    <w:rPr>
                      <w:rFonts w:hint="default" w:ascii="Times New Roman" w:hAnsi="Times New Roman" w:eastAsia="宋体" w:cs="Times New Roman"/>
                      <w:b/>
                      <w:color w:val="auto"/>
                      <w:sz w:val="21"/>
                      <w:szCs w:val="21"/>
                    </w:rPr>
                    <w:t>A</w:t>
                  </w:r>
                  <w:r>
                    <w:rPr>
                      <w:rFonts w:hint="eastAsia" w:cs="Times New Roman"/>
                      <w:b/>
                      <w:color w:val="auto"/>
                      <w:sz w:val="21"/>
                      <w:szCs w:val="21"/>
                      <w:lang w:eastAsia="zh-CN"/>
                    </w:rPr>
                    <w:t>）</w:t>
                  </w:r>
                </w:p>
              </w:tc>
              <w:tc>
                <w:tcPr>
                  <w:tcW w:w="523" w:type="pct"/>
                  <w:gridSpan w:val="2"/>
                  <w:tcBorders>
                    <w:tl2br w:val="nil"/>
                    <w:tr2bl w:val="nil"/>
                  </w:tcBorders>
                  <w:shd w:val="clear" w:color="auto" w:fill="auto"/>
                  <w:noWrap w:val="0"/>
                  <w:vAlign w:val="center"/>
                </w:tcPr>
                <w:p w14:paraId="71337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超标和达标情况</w:t>
                  </w:r>
                </w:p>
              </w:tc>
            </w:tr>
            <w:tr w14:paraId="12B67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 w:hRule="atLeast"/>
                <w:jc w:val="center"/>
              </w:trPr>
              <w:tc>
                <w:tcPr>
                  <w:tcW w:w="587" w:type="pct"/>
                  <w:vMerge w:val="continue"/>
                  <w:tcBorders>
                    <w:tl2br w:val="nil"/>
                    <w:tr2bl w:val="nil"/>
                  </w:tcBorders>
                  <w:shd w:val="clear" w:color="auto" w:fill="auto"/>
                  <w:noWrap w:val="0"/>
                  <w:vAlign w:val="center"/>
                </w:tcPr>
                <w:p w14:paraId="7F268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343" w:type="pct"/>
                  <w:tcBorders>
                    <w:tl2br w:val="nil"/>
                    <w:tr2bl w:val="nil"/>
                  </w:tcBorders>
                  <w:shd w:val="clear" w:color="auto" w:fill="auto"/>
                  <w:noWrap w:val="0"/>
                  <w:vAlign w:val="center"/>
                </w:tcPr>
                <w:p w14:paraId="43DED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21" w:type="pct"/>
                  <w:tcBorders>
                    <w:tl2br w:val="nil"/>
                    <w:tr2bl w:val="nil"/>
                  </w:tcBorders>
                  <w:shd w:val="clear" w:color="auto" w:fill="auto"/>
                  <w:noWrap w:val="0"/>
                  <w:vAlign w:val="center"/>
                </w:tcPr>
                <w:p w14:paraId="02604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303" w:type="pct"/>
                  <w:tcBorders>
                    <w:tl2br w:val="nil"/>
                    <w:tr2bl w:val="nil"/>
                  </w:tcBorders>
                  <w:shd w:val="clear" w:color="auto" w:fill="auto"/>
                  <w:noWrap w:val="0"/>
                  <w:vAlign w:val="center"/>
                </w:tcPr>
                <w:p w14:paraId="39108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05" w:type="pct"/>
                  <w:tcBorders>
                    <w:tl2br w:val="nil"/>
                    <w:tr2bl w:val="nil"/>
                  </w:tcBorders>
                  <w:shd w:val="clear" w:color="auto" w:fill="auto"/>
                  <w:noWrap w:val="0"/>
                  <w:vAlign w:val="center"/>
                </w:tcPr>
                <w:p w14:paraId="64D33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280" w:type="pct"/>
                  <w:tcBorders>
                    <w:tl2br w:val="nil"/>
                    <w:tr2bl w:val="nil"/>
                  </w:tcBorders>
                  <w:shd w:val="clear" w:color="auto" w:fill="auto"/>
                  <w:noWrap w:val="0"/>
                  <w:vAlign w:val="center"/>
                </w:tcPr>
                <w:p w14:paraId="356BE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262" w:type="pct"/>
                  <w:tcBorders>
                    <w:tl2br w:val="nil"/>
                    <w:tr2bl w:val="nil"/>
                  </w:tcBorders>
                  <w:shd w:val="clear" w:color="auto" w:fill="auto"/>
                  <w:noWrap w:val="0"/>
                  <w:vAlign w:val="center"/>
                </w:tcPr>
                <w:p w14:paraId="1C1DC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359" w:type="pct"/>
                  <w:tcBorders>
                    <w:tl2br w:val="nil"/>
                    <w:tr2bl w:val="nil"/>
                  </w:tcBorders>
                  <w:shd w:val="clear" w:color="auto" w:fill="auto"/>
                  <w:noWrap w:val="0"/>
                  <w:vAlign w:val="center"/>
                </w:tcPr>
                <w:p w14:paraId="625E5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79" w:type="pct"/>
                  <w:tcBorders>
                    <w:tl2br w:val="nil"/>
                    <w:tr2bl w:val="nil"/>
                  </w:tcBorders>
                  <w:shd w:val="clear" w:color="auto" w:fill="auto"/>
                  <w:noWrap w:val="0"/>
                  <w:vAlign w:val="center"/>
                </w:tcPr>
                <w:p w14:paraId="7B232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369" w:type="pct"/>
                  <w:tcBorders>
                    <w:tl2br w:val="nil"/>
                    <w:tr2bl w:val="nil"/>
                  </w:tcBorders>
                  <w:shd w:val="clear" w:color="auto" w:fill="auto"/>
                  <w:noWrap w:val="0"/>
                  <w:vAlign w:val="center"/>
                </w:tcPr>
                <w:p w14:paraId="132B6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69" w:type="pct"/>
                  <w:tcBorders>
                    <w:tl2br w:val="nil"/>
                    <w:tr2bl w:val="nil"/>
                  </w:tcBorders>
                  <w:shd w:val="clear" w:color="auto" w:fill="auto"/>
                  <w:noWrap w:val="0"/>
                  <w:vAlign w:val="center"/>
                </w:tcPr>
                <w:p w14:paraId="7D06B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287" w:type="pct"/>
                  <w:tcBorders>
                    <w:tl2br w:val="nil"/>
                    <w:tr2bl w:val="nil"/>
                  </w:tcBorders>
                  <w:shd w:val="clear" w:color="auto" w:fill="auto"/>
                  <w:noWrap w:val="0"/>
                  <w:vAlign w:val="center"/>
                </w:tcPr>
                <w:p w14:paraId="50292A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06" w:type="pct"/>
                  <w:tcBorders>
                    <w:tl2br w:val="nil"/>
                    <w:tr2bl w:val="nil"/>
                  </w:tcBorders>
                  <w:shd w:val="clear" w:color="auto" w:fill="auto"/>
                  <w:noWrap w:val="0"/>
                  <w:vAlign w:val="center"/>
                </w:tcPr>
                <w:p w14:paraId="711F0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261" w:type="pct"/>
                  <w:tcBorders>
                    <w:tl2br w:val="nil"/>
                    <w:tr2bl w:val="nil"/>
                  </w:tcBorders>
                  <w:shd w:val="clear" w:color="auto" w:fill="auto"/>
                  <w:noWrap w:val="0"/>
                  <w:vAlign w:val="center"/>
                </w:tcPr>
                <w:p w14:paraId="29282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262" w:type="pct"/>
                  <w:tcBorders>
                    <w:tl2br w:val="nil"/>
                    <w:tr2bl w:val="nil"/>
                  </w:tcBorders>
                  <w:shd w:val="clear" w:color="auto" w:fill="auto"/>
                  <w:noWrap w:val="0"/>
                  <w:vAlign w:val="center"/>
                </w:tcPr>
                <w:p w14:paraId="216BE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bookmarkEnd w:id="41"/>
                </w:p>
              </w:tc>
            </w:tr>
            <w:tr w14:paraId="5A2D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87" w:type="pct"/>
                  <w:tcBorders>
                    <w:tl2br w:val="nil"/>
                    <w:tr2bl w:val="nil"/>
                  </w:tcBorders>
                  <w:shd w:val="clear" w:color="auto" w:fill="auto"/>
                  <w:noWrap w:val="0"/>
                  <w:vAlign w:val="center"/>
                </w:tcPr>
                <w:p w14:paraId="27305D32">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项目南侧龙潭院子</w:t>
                  </w:r>
                </w:p>
              </w:tc>
              <w:tc>
                <w:tcPr>
                  <w:tcW w:w="343" w:type="pct"/>
                  <w:tcBorders>
                    <w:tl2br w:val="nil"/>
                    <w:tr2bl w:val="nil"/>
                  </w:tcBorders>
                  <w:shd w:val="clear" w:color="auto" w:fill="auto"/>
                  <w:noWrap w:val="0"/>
                  <w:vAlign w:val="center"/>
                </w:tcPr>
                <w:p w14:paraId="0633280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w:t>
                  </w:r>
                </w:p>
              </w:tc>
              <w:tc>
                <w:tcPr>
                  <w:tcW w:w="321" w:type="pct"/>
                  <w:tcBorders>
                    <w:tl2br w:val="nil"/>
                    <w:tr2bl w:val="nil"/>
                  </w:tcBorders>
                  <w:shd w:val="clear" w:color="auto" w:fill="auto"/>
                  <w:noWrap w:val="0"/>
                  <w:vAlign w:val="center"/>
                </w:tcPr>
                <w:p w14:paraId="01B09F5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44.0</w:t>
                  </w:r>
                </w:p>
              </w:tc>
              <w:tc>
                <w:tcPr>
                  <w:tcW w:w="303" w:type="pct"/>
                  <w:tcBorders>
                    <w:tl2br w:val="nil"/>
                    <w:tr2bl w:val="nil"/>
                  </w:tcBorders>
                  <w:shd w:val="clear" w:color="auto" w:fill="auto"/>
                  <w:noWrap w:val="0"/>
                  <w:vAlign w:val="center"/>
                </w:tcPr>
                <w:p w14:paraId="362035F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w:t>
                  </w:r>
                </w:p>
              </w:tc>
              <w:tc>
                <w:tcPr>
                  <w:tcW w:w="305" w:type="pct"/>
                  <w:tcBorders>
                    <w:tl2br w:val="nil"/>
                    <w:tr2bl w:val="nil"/>
                  </w:tcBorders>
                  <w:shd w:val="clear" w:color="auto" w:fill="auto"/>
                  <w:noWrap w:val="0"/>
                  <w:vAlign w:val="center"/>
                </w:tcPr>
                <w:p w14:paraId="7DB2074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44.0</w:t>
                  </w:r>
                </w:p>
              </w:tc>
              <w:tc>
                <w:tcPr>
                  <w:tcW w:w="280" w:type="pct"/>
                  <w:tcBorders>
                    <w:tl2br w:val="nil"/>
                    <w:tr2bl w:val="nil"/>
                  </w:tcBorders>
                  <w:shd w:val="clear" w:color="auto" w:fill="auto"/>
                  <w:noWrap w:val="0"/>
                  <w:vAlign w:val="center"/>
                </w:tcPr>
                <w:p w14:paraId="321D26EF">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60</w:t>
                  </w:r>
                </w:p>
              </w:tc>
              <w:tc>
                <w:tcPr>
                  <w:tcW w:w="262" w:type="pct"/>
                  <w:tcBorders>
                    <w:tl2br w:val="nil"/>
                    <w:tr2bl w:val="nil"/>
                  </w:tcBorders>
                  <w:shd w:val="clear" w:color="auto" w:fill="auto"/>
                  <w:noWrap w:val="0"/>
                  <w:vAlign w:val="center"/>
                </w:tcPr>
                <w:p w14:paraId="2993B54A">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50</w:t>
                  </w:r>
                </w:p>
              </w:tc>
              <w:tc>
                <w:tcPr>
                  <w:tcW w:w="359" w:type="pct"/>
                  <w:tcBorders>
                    <w:tl2br w:val="nil"/>
                    <w:tr2bl w:val="nil"/>
                  </w:tcBorders>
                  <w:shd w:val="clear" w:color="auto" w:fill="auto"/>
                  <w:noWrap w:val="0"/>
                  <w:vAlign w:val="center"/>
                </w:tcPr>
                <w:p w14:paraId="09118A8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26.5</w:t>
                  </w:r>
                </w:p>
              </w:tc>
              <w:tc>
                <w:tcPr>
                  <w:tcW w:w="379" w:type="pct"/>
                  <w:tcBorders>
                    <w:tl2br w:val="nil"/>
                    <w:tr2bl w:val="nil"/>
                  </w:tcBorders>
                  <w:shd w:val="clear" w:color="auto" w:fill="auto"/>
                  <w:noWrap w:val="0"/>
                  <w:vAlign w:val="center"/>
                </w:tcPr>
                <w:p w14:paraId="65A13C3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26.5</w:t>
                  </w:r>
                </w:p>
              </w:tc>
              <w:tc>
                <w:tcPr>
                  <w:tcW w:w="369" w:type="pct"/>
                  <w:tcBorders>
                    <w:tl2br w:val="nil"/>
                    <w:tr2bl w:val="nil"/>
                  </w:tcBorders>
                  <w:shd w:val="clear" w:color="auto" w:fill="auto"/>
                  <w:noWrap w:val="0"/>
                  <w:vAlign w:val="center"/>
                </w:tcPr>
                <w:p w14:paraId="060A5C4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w:t>
                  </w:r>
                </w:p>
              </w:tc>
              <w:tc>
                <w:tcPr>
                  <w:tcW w:w="369" w:type="pct"/>
                  <w:tcBorders>
                    <w:tl2br w:val="nil"/>
                    <w:tr2bl w:val="nil"/>
                  </w:tcBorders>
                  <w:shd w:val="clear" w:color="auto" w:fill="auto"/>
                  <w:noWrap w:val="0"/>
                  <w:vAlign w:val="center"/>
                </w:tcPr>
                <w:p w14:paraId="7763CD4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44.1</w:t>
                  </w:r>
                </w:p>
              </w:tc>
              <w:tc>
                <w:tcPr>
                  <w:tcW w:w="287" w:type="pct"/>
                  <w:tcBorders>
                    <w:tl2br w:val="nil"/>
                    <w:tr2bl w:val="nil"/>
                  </w:tcBorders>
                  <w:shd w:val="clear" w:color="auto" w:fill="auto"/>
                  <w:noWrap w:val="0"/>
                  <w:vAlign w:val="center"/>
                </w:tcPr>
                <w:p w14:paraId="6229DD6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w:t>
                  </w:r>
                </w:p>
              </w:tc>
              <w:tc>
                <w:tcPr>
                  <w:tcW w:w="306" w:type="pct"/>
                  <w:tcBorders>
                    <w:tl2br w:val="nil"/>
                    <w:tr2bl w:val="nil"/>
                  </w:tcBorders>
                  <w:shd w:val="clear" w:color="auto" w:fill="auto"/>
                  <w:noWrap w:val="0"/>
                  <w:vAlign w:val="center"/>
                </w:tcPr>
                <w:p w14:paraId="6A508F6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c>
                <w:tcPr>
                  <w:tcW w:w="261" w:type="pct"/>
                  <w:tcBorders>
                    <w:tl2br w:val="nil"/>
                    <w:tr2bl w:val="nil"/>
                  </w:tcBorders>
                  <w:shd w:val="clear" w:color="auto" w:fill="auto"/>
                  <w:noWrap w:val="0"/>
                  <w:vAlign w:val="center"/>
                </w:tcPr>
                <w:p w14:paraId="2DE36E9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262" w:type="pct"/>
                  <w:tcBorders>
                    <w:tl2br w:val="nil"/>
                    <w:tr2bl w:val="nil"/>
                  </w:tcBorders>
                  <w:shd w:val="clear" w:color="auto" w:fill="auto"/>
                  <w:noWrap w:val="0"/>
                  <w:vAlign w:val="center"/>
                </w:tcPr>
                <w:p w14:paraId="2ABBDA9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4D4E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87" w:type="pct"/>
                  <w:tcBorders>
                    <w:tl2br w:val="nil"/>
                    <w:tr2bl w:val="nil"/>
                  </w:tcBorders>
                  <w:shd w:val="clear" w:color="auto" w:fill="auto"/>
                  <w:noWrap w:val="0"/>
                  <w:vAlign w:val="center"/>
                </w:tcPr>
                <w:p w14:paraId="0543089D">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项目东北侧居民点</w:t>
                  </w:r>
                </w:p>
              </w:tc>
              <w:tc>
                <w:tcPr>
                  <w:tcW w:w="343" w:type="pct"/>
                  <w:tcBorders>
                    <w:tl2br w:val="nil"/>
                    <w:tr2bl w:val="nil"/>
                  </w:tcBorders>
                  <w:shd w:val="clear" w:color="auto" w:fill="auto"/>
                  <w:noWrap w:val="0"/>
                  <w:vAlign w:val="center"/>
                </w:tcPr>
                <w:p w14:paraId="2A27803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w:t>
                  </w:r>
                </w:p>
              </w:tc>
              <w:tc>
                <w:tcPr>
                  <w:tcW w:w="321" w:type="pct"/>
                  <w:tcBorders>
                    <w:tl2br w:val="nil"/>
                    <w:tr2bl w:val="nil"/>
                  </w:tcBorders>
                  <w:shd w:val="clear" w:color="auto" w:fill="auto"/>
                  <w:noWrap w:val="0"/>
                  <w:vAlign w:val="center"/>
                </w:tcPr>
                <w:p w14:paraId="0CFC123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44.0</w:t>
                  </w:r>
                </w:p>
              </w:tc>
              <w:tc>
                <w:tcPr>
                  <w:tcW w:w="303" w:type="pct"/>
                  <w:tcBorders>
                    <w:tl2br w:val="nil"/>
                    <w:tr2bl w:val="nil"/>
                  </w:tcBorders>
                  <w:shd w:val="clear" w:color="auto" w:fill="auto"/>
                  <w:noWrap w:val="0"/>
                  <w:vAlign w:val="center"/>
                </w:tcPr>
                <w:p w14:paraId="160DFC5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w:t>
                  </w:r>
                </w:p>
              </w:tc>
              <w:tc>
                <w:tcPr>
                  <w:tcW w:w="305" w:type="pct"/>
                  <w:tcBorders>
                    <w:tl2br w:val="nil"/>
                    <w:tr2bl w:val="nil"/>
                  </w:tcBorders>
                  <w:shd w:val="clear" w:color="auto" w:fill="auto"/>
                  <w:noWrap w:val="0"/>
                  <w:vAlign w:val="center"/>
                </w:tcPr>
                <w:p w14:paraId="1998062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44.0</w:t>
                  </w:r>
                </w:p>
              </w:tc>
              <w:tc>
                <w:tcPr>
                  <w:tcW w:w="280" w:type="pct"/>
                  <w:tcBorders>
                    <w:tl2br w:val="nil"/>
                    <w:tr2bl w:val="nil"/>
                  </w:tcBorders>
                  <w:shd w:val="clear" w:color="auto" w:fill="auto"/>
                  <w:noWrap w:val="0"/>
                  <w:vAlign w:val="center"/>
                </w:tcPr>
                <w:p w14:paraId="0D80CB49">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60</w:t>
                  </w:r>
                </w:p>
              </w:tc>
              <w:tc>
                <w:tcPr>
                  <w:tcW w:w="262" w:type="pct"/>
                  <w:tcBorders>
                    <w:tl2br w:val="nil"/>
                    <w:tr2bl w:val="nil"/>
                  </w:tcBorders>
                  <w:shd w:val="clear" w:color="auto" w:fill="auto"/>
                  <w:noWrap w:val="0"/>
                  <w:vAlign w:val="center"/>
                </w:tcPr>
                <w:p w14:paraId="5564CAC7">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50</w:t>
                  </w:r>
                </w:p>
              </w:tc>
              <w:tc>
                <w:tcPr>
                  <w:tcW w:w="359" w:type="pct"/>
                  <w:tcBorders>
                    <w:tl2br w:val="nil"/>
                    <w:tr2bl w:val="nil"/>
                  </w:tcBorders>
                  <w:shd w:val="clear" w:color="auto" w:fill="auto"/>
                  <w:noWrap w:val="0"/>
                  <w:vAlign w:val="center"/>
                </w:tcPr>
                <w:p w14:paraId="7A9FE34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29.5</w:t>
                  </w:r>
                </w:p>
              </w:tc>
              <w:tc>
                <w:tcPr>
                  <w:tcW w:w="379" w:type="pct"/>
                  <w:tcBorders>
                    <w:tl2br w:val="nil"/>
                    <w:tr2bl w:val="nil"/>
                  </w:tcBorders>
                  <w:shd w:val="clear" w:color="auto" w:fill="auto"/>
                  <w:noWrap w:val="0"/>
                  <w:vAlign w:val="center"/>
                </w:tcPr>
                <w:p w14:paraId="070DEDF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29.5</w:t>
                  </w:r>
                </w:p>
              </w:tc>
              <w:tc>
                <w:tcPr>
                  <w:tcW w:w="369" w:type="pct"/>
                  <w:tcBorders>
                    <w:tl2br w:val="nil"/>
                    <w:tr2bl w:val="nil"/>
                  </w:tcBorders>
                  <w:shd w:val="clear" w:color="auto" w:fill="auto"/>
                  <w:noWrap w:val="0"/>
                  <w:vAlign w:val="center"/>
                </w:tcPr>
                <w:p w14:paraId="38F3B64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53.0</w:t>
                  </w:r>
                </w:p>
              </w:tc>
              <w:tc>
                <w:tcPr>
                  <w:tcW w:w="369" w:type="pct"/>
                  <w:tcBorders>
                    <w:tl2br w:val="nil"/>
                    <w:tr2bl w:val="nil"/>
                  </w:tcBorders>
                  <w:shd w:val="clear" w:color="auto" w:fill="auto"/>
                  <w:noWrap w:val="0"/>
                  <w:vAlign w:val="center"/>
                </w:tcPr>
                <w:p w14:paraId="71D4D79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44.2</w:t>
                  </w:r>
                </w:p>
              </w:tc>
              <w:tc>
                <w:tcPr>
                  <w:tcW w:w="287" w:type="pct"/>
                  <w:tcBorders>
                    <w:tl2br w:val="nil"/>
                    <w:tr2bl w:val="nil"/>
                  </w:tcBorders>
                  <w:shd w:val="clear" w:color="auto" w:fill="auto"/>
                  <w:noWrap w:val="0"/>
                  <w:vAlign w:val="center"/>
                </w:tcPr>
                <w:p w14:paraId="26318DB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w:t>
                  </w:r>
                </w:p>
              </w:tc>
              <w:tc>
                <w:tcPr>
                  <w:tcW w:w="306" w:type="pct"/>
                  <w:tcBorders>
                    <w:tl2br w:val="nil"/>
                    <w:tr2bl w:val="nil"/>
                  </w:tcBorders>
                  <w:shd w:val="clear" w:color="auto" w:fill="auto"/>
                  <w:noWrap w:val="0"/>
                  <w:vAlign w:val="center"/>
                </w:tcPr>
                <w:p w14:paraId="5267A60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c>
                <w:tcPr>
                  <w:tcW w:w="261" w:type="pct"/>
                  <w:tcBorders>
                    <w:tl2br w:val="nil"/>
                    <w:tr2bl w:val="nil"/>
                  </w:tcBorders>
                  <w:shd w:val="clear" w:color="auto" w:fill="auto"/>
                  <w:noWrap w:val="0"/>
                  <w:vAlign w:val="center"/>
                </w:tcPr>
                <w:p w14:paraId="7BF7EA1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262" w:type="pct"/>
                  <w:tcBorders>
                    <w:tl2br w:val="nil"/>
                    <w:tr2bl w:val="nil"/>
                  </w:tcBorders>
                  <w:shd w:val="clear" w:color="auto" w:fill="auto"/>
                  <w:noWrap w:val="0"/>
                  <w:vAlign w:val="center"/>
                </w:tcPr>
                <w:p w14:paraId="0E662B1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07BD9E4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b/>
                <w:color w:val="auto"/>
                <w:sz w:val="24"/>
                <w:szCs w:val="22"/>
              </w:rPr>
            </w:pPr>
            <w:r>
              <w:rPr>
                <w:rFonts w:hint="eastAsia" w:cs="Times New Roman"/>
                <w:color w:val="auto"/>
                <w:kern w:val="0"/>
                <w:sz w:val="24"/>
                <w:szCs w:val="24"/>
              </w:rPr>
              <w:t>由上表可知，正常工</w:t>
            </w:r>
            <w:r>
              <w:rPr>
                <w:rFonts w:hint="eastAsia" w:ascii="Times New Roman" w:hAnsi="Times New Roman" w:eastAsia="宋体" w:cs="Times New Roman"/>
                <w:color w:val="auto"/>
                <w:sz w:val="24"/>
              </w:rPr>
              <w:t>况下，项目</w:t>
            </w:r>
            <w:r>
              <w:rPr>
                <w:rFonts w:hint="eastAsia" w:ascii="Times New Roman" w:hAnsi="Times New Roman" w:eastAsia="宋体" w:cs="Times New Roman"/>
                <w:color w:val="auto"/>
                <w:sz w:val="24"/>
                <w:lang w:eastAsia="zh-CN"/>
              </w:rPr>
              <w:t>声环境保护目标</w:t>
            </w:r>
            <w:r>
              <w:rPr>
                <w:rFonts w:hint="eastAsia" w:ascii="Times New Roman" w:hAnsi="Times New Roman" w:eastAsia="宋体" w:cs="Times New Roman"/>
                <w:color w:val="auto"/>
                <w:sz w:val="24"/>
                <w:lang w:val="en-US" w:eastAsia="zh-CN"/>
              </w:rPr>
              <w:t>处</w:t>
            </w:r>
            <w:r>
              <w:rPr>
                <w:rFonts w:hint="eastAsia" w:ascii="Times New Roman" w:hAnsi="Times New Roman" w:eastAsia="宋体" w:cs="Times New Roman"/>
                <w:color w:val="auto"/>
                <w:sz w:val="24"/>
              </w:rPr>
              <w:t>噪声满足《声环境质量标准》（GB3096-2008）中2类标准。</w:t>
            </w:r>
          </w:p>
          <w:p w14:paraId="55A9F4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auto"/>
                <w:sz w:val="24"/>
                <w:szCs w:val="22"/>
              </w:rPr>
            </w:pPr>
            <w:r>
              <w:rPr>
                <w:rFonts w:hint="eastAsia"/>
                <w:b/>
                <w:color w:val="auto"/>
                <w:sz w:val="24"/>
                <w:szCs w:val="22"/>
                <w:lang w:eastAsia="zh-CN"/>
              </w:rPr>
              <w:t>（</w:t>
            </w:r>
            <w:r>
              <w:rPr>
                <w:rFonts w:hint="eastAsia"/>
                <w:b/>
                <w:color w:val="auto"/>
                <w:sz w:val="24"/>
                <w:szCs w:val="22"/>
                <w:lang w:val="en-US" w:eastAsia="zh-CN"/>
              </w:rPr>
              <w:t>4</w:t>
            </w:r>
            <w:r>
              <w:rPr>
                <w:rFonts w:hint="eastAsia"/>
                <w:b/>
                <w:color w:val="auto"/>
                <w:sz w:val="24"/>
                <w:szCs w:val="22"/>
                <w:lang w:eastAsia="zh-CN"/>
              </w:rPr>
              <w:t>）</w:t>
            </w:r>
            <w:r>
              <w:rPr>
                <w:b/>
                <w:color w:val="auto"/>
                <w:sz w:val="24"/>
                <w:szCs w:val="22"/>
              </w:rPr>
              <w:t>噪声监测计划</w:t>
            </w:r>
          </w:p>
          <w:p w14:paraId="3572ED1A">
            <w:pPr>
              <w:spacing w:line="360" w:lineRule="auto"/>
              <w:ind w:firstLine="480" w:firstLineChars="200"/>
              <w:rPr>
                <w:color w:val="auto"/>
                <w:sz w:val="24"/>
                <w:lang w:val="zh-CN"/>
              </w:rPr>
            </w:pPr>
            <w:r>
              <w:rPr>
                <w:color w:val="auto"/>
                <w:sz w:val="24"/>
                <w:lang w:val="zh-CN"/>
              </w:rPr>
              <w:t>项目</w:t>
            </w:r>
            <w:r>
              <w:rPr>
                <w:color w:val="auto"/>
                <w:sz w:val="24"/>
              </w:rPr>
              <w:t>噪声</w:t>
            </w:r>
            <w:r>
              <w:rPr>
                <w:color w:val="auto"/>
                <w:sz w:val="24"/>
                <w:lang w:val="zh-CN"/>
              </w:rPr>
              <w:t>监测计划见表</w:t>
            </w:r>
            <w:r>
              <w:rPr>
                <w:color w:val="auto"/>
                <w:sz w:val="24"/>
              </w:rPr>
              <w:t>4</w:t>
            </w:r>
            <w:r>
              <w:rPr>
                <w:rFonts w:hint="eastAsia"/>
                <w:color w:val="auto"/>
                <w:sz w:val="24"/>
              </w:rPr>
              <w:t>-1</w:t>
            </w:r>
            <w:r>
              <w:rPr>
                <w:rFonts w:hint="eastAsia"/>
                <w:color w:val="auto"/>
                <w:sz w:val="24"/>
                <w:lang w:val="en-US" w:eastAsia="zh-CN"/>
              </w:rPr>
              <w:t>5</w:t>
            </w:r>
            <w:r>
              <w:rPr>
                <w:color w:val="auto"/>
                <w:sz w:val="24"/>
                <w:lang w:val="zh-CN"/>
              </w:rPr>
              <w:t>：</w:t>
            </w:r>
          </w:p>
          <w:p w14:paraId="17018F36">
            <w:pPr>
              <w:keepNext w:val="0"/>
              <w:keepLines w:val="0"/>
              <w:pageBreakBefore w:val="0"/>
              <w:widowControl w:val="0"/>
              <w:kinsoku/>
              <w:wordWrap/>
              <w:overflowPunct/>
              <w:topLinePunct w:val="0"/>
              <w:autoSpaceDE w:val="0"/>
              <w:autoSpaceDN w:val="0"/>
              <w:bidi w:val="0"/>
              <w:adjustRightInd/>
              <w:snapToGrid/>
              <w:jc w:val="center"/>
              <w:textAlignment w:val="auto"/>
              <w:rPr>
                <w:b/>
                <w:bCs/>
                <w:color w:val="auto"/>
                <w:sz w:val="24"/>
                <w:lang w:val="zh-CN"/>
              </w:rPr>
            </w:pPr>
            <w:r>
              <w:rPr>
                <w:b/>
                <w:bCs/>
                <w:color w:val="auto"/>
                <w:sz w:val="24"/>
                <w:lang w:val="zh-CN"/>
              </w:rPr>
              <w:t>表</w:t>
            </w:r>
            <w:r>
              <w:rPr>
                <w:b/>
                <w:bCs/>
                <w:color w:val="auto"/>
                <w:sz w:val="24"/>
              </w:rPr>
              <w:t>4</w:t>
            </w:r>
            <w:r>
              <w:rPr>
                <w:rFonts w:hint="eastAsia"/>
                <w:b/>
                <w:bCs/>
                <w:color w:val="auto"/>
                <w:sz w:val="24"/>
              </w:rPr>
              <w:t>-1</w:t>
            </w:r>
            <w:r>
              <w:rPr>
                <w:rFonts w:hint="eastAsia"/>
                <w:b/>
                <w:bCs/>
                <w:color w:val="auto"/>
                <w:sz w:val="24"/>
                <w:lang w:val="en-US" w:eastAsia="zh-CN"/>
              </w:rPr>
              <w:t>5</w:t>
            </w:r>
            <w:r>
              <w:rPr>
                <w:rFonts w:hint="eastAsia"/>
                <w:b/>
                <w:bCs/>
                <w:color w:val="auto"/>
                <w:sz w:val="24"/>
              </w:rPr>
              <w:t xml:space="preserve">   </w:t>
            </w:r>
            <w:r>
              <w:rPr>
                <w:b/>
                <w:bCs/>
                <w:color w:val="auto"/>
                <w:sz w:val="24"/>
              </w:rPr>
              <w:t>噪声</w:t>
            </w:r>
            <w:r>
              <w:rPr>
                <w:b/>
                <w:bCs/>
                <w:color w:val="auto"/>
                <w:sz w:val="24"/>
                <w:lang w:val="zh-CN"/>
              </w:rPr>
              <w:t>监测计划</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1500"/>
              <w:gridCol w:w="3082"/>
              <w:gridCol w:w="1776"/>
            </w:tblGrid>
            <w:tr w14:paraId="00B0D7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1" w:type="dxa"/>
                  <w:noWrap w:val="0"/>
                  <w:vAlign w:val="center"/>
                </w:tcPr>
                <w:p w14:paraId="498086EA">
                  <w:pPr>
                    <w:jc w:val="center"/>
                    <w:rPr>
                      <w:b/>
                      <w:bCs/>
                      <w:color w:val="auto"/>
                    </w:rPr>
                  </w:pPr>
                  <w:r>
                    <w:rPr>
                      <w:b/>
                      <w:bCs/>
                      <w:color w:val="auto"/>
                    </w:rPr>
                    <w:t>监测项目</w:t>
                  </w:r>
                </w:p>
              </w:tc>
              <w:tc>
                <w:tcPr>
                  <w:tcW w:w="1605" w:type="dxa"/>
                  <w:noWrap w:val="0"/>
                  <w:vAlign w:val="center"/>
                </w:tcPr>
                <w:p w14:paraId="24796559">
                  <w:pPr>
                    <w:jc w:val="center"/>
                    <w:rPr>
                      <w:b/>
                      <w:bCs/>
                      <w:color w:val="auto"/>
                    </w:rPr>
                  </w:pPr>
                  <w:r>
                    <w:rPr>
                      <w:b/>
                      <w:bCs/>
                      <w:color w:val="auto"/>
                    </w:rPr>
                    <w:t>监测因子</w:t>
                  </w:r>
                </w:p>
              </w:tc>
              <w:tc>
                <w:tcPr>
                  <w:tcW w:w="3300" w:type="dxa"/>
                  <w:noWrap w:val="0"/>
                  <w:vAlign w:val="center"/>
                </w:tcPr>
                <w:p w14:paraId="6393183C">
                  <w:pPr>
                    <w:jc w:val="center"/>
                    <w:rPr>
                      <w:b/>
                      <w:bCs/>
                      <w:color w:val="auto"/>
                    </w:rPr>
                  </w:pPr>
                  <w:r>
                    <w:rPr>
                      <w:b/>
                      <w:bCs/>
                      <w:color w:val="auto"/>
                    </w:rPr>
                    <w:t>监测点位</w:t>
                  </w:r>
                </w:p>
              </w:tc>
              <w:tc>
                <w:tcPr>
                  <w:tcW w:w="1901" w:type="dxa"/>
                  <w:noWrap w:val="0"/>
                  <w:vAlign w:val="center"/>
                </w:tcPr>
                <w:p w14:paraId="21C51205">
                  <w:pPr>
                    <w:jc w:val="center"/>
                    <w:rPr>
                      <w:b/>
                      <w:bCs/>
                      <w:color w:val="auto"/>
                    </w:rPr>
                  </w:pPr>
                  <w:r>
                    <w:rPr>
                      <w:b/>
                      <w:bCs/>
                      <w:color w:val="auto"/>
                    </w:rPr>
                    <w:t>监测频率</w:t>
                  </w:r>
                </w:p>
              </w:tc>
            </w:tr>
            <w:tr w14:paraId="766674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1" w:type="dxa"/>
                  <w:noWrap w:val="0"/>
                  <w:vAlign w:val="center"/>
                </w:tcPr>
                <w:p w14:paraId="76D27699">
                  <w:pPr>
                    <w:widowControl/>
                    <w:adjustRightInd w:val="0"/>
                    <w:snapToGrid w:val="0"/>
                    <w:jc w:val="center"/>
                    <w:rPr>
                      <w:color w:val="auto"/>
                      <w:szCs w:val="21"/>
                    </w:rPr>
                  </w:pPr>
                  <w:r>
                    <w:rPr>
                      <w:color w:val="auto"/>
                      <w:szCs w:val="21"/>
                    </w:rPr>
                    <w:t>噪声监测</w:t>
                  </w:r>
                </w:p>
              </w:tc>
              <w:tc>
                <w:tcPr>
                  <w:tcW w:w="1605" w:type="dxa"/>
                  <w:noWrap w:val="0"/>
                  <w:vAlign w:val="center"/>
                </w:tcPr>
                <w:p w14:paraId="502B495C">
                  <w:pPr>
                    <w:widowControl/>
                    <w:adjustRightInd w:val="0"/>
                    <w:snapToGrid w:val="0"/>
                    <w:jc w:val="center"/>
                    <w:rPr>
                      <w:color w:val="auto"/>
                      <w:szCs w:val="21"/>
                    </w:rPr>
                  </w:pPr>
                  <w:r>
                    <w:rPr>
                      <w:rFonts w:hint="eastAsia"/>
                      <w:color w:val="auto"/>
                    </w:rPr>
                    <w:t>Leq（A）</w:t>
                  </w:r>
                </w:p>
              </w:tc>
              <w:tc>
                <w:tcPr>
                  <w:tcW w:w="3300" w:type="dxa"/>
                  <w:noWrap w:val="0"/>
                  <w:vAlign w:val="center"/>
                </w:tcPr>
                <w:p w14:paraId="49B9F3F0">
                  <w:pPr>
                    <w:widowControl/>
                    <w:adjustRightInd w:val="0"/>
                    <w:snapToGrid w:val="0"/>
                    <w:jc w:val="center"/>
                    <w:rPr>
                      <w:color w:val="auto"/>
                      <w:szCs w:val="21"/>
                    </w:rPr>
                  </w:pPr>
                  <w:r>
                    <w:rPr>
                      <w:color w:val="auto"/>
                      <w:szCs w:val="21"/>
                    </w:rPr>
                    <w:t>东、</w:t>
                  </w:r>
                  <w:r>
                    <w:rPr>
                      <w:rFonts w:hint="eastAsia"/>
                      <w:color w:val="auto"/>
                      <w:szCs w:val="21"/>
                    </w:rPr>
                    <w:t>南、西、东厂界</w:t>
                  </w:r>
                  <w:r>
                    <w:rPr>
                      <w:color w:val="auto"/>
                      <w:szCs w:val="21"/>
                    </w:rPr>
                    <w:t>外1m</w:t>
                  </w:r>
                </w:p>
              </w:tc>
              <w:tc>
                <w:tcPr>
                  <w:tcW w:w="1901" w:type="dxa"/>
                  <w:noWrap w:val="0"/>
                  <w:vAlign w:val="center"/>
                </w:tcPr>
                <w:p w14:paraId="03A1492C">
                  <w:pPr>
                    <w:widowControl/>
                    <w:adjustRightInd w:val="0"/>
                    <w:snapToGrid w:val="0"/>
                    <w:jc w:val="center"/>
                    <w:rPr>
                      <w:color w:val="auto"/>
                      <w:szCs w:val="21"/>
                    </w:rPr>
                  </w:pPr>
                  <w:r>
                    <w:rPr>
                      <w:color w:val="auto"/>
                      <w:szCs w:val="21"/>
                    </w:rPr>
                    <w:t>每季度一次</w:t>
                  </w:r>
                </w:p>
              </w:tc>
            </w:tr>
          </w:tbl>
          <w:p w14:paraId="7C24ADCA">
            <w:pPr>
              <w:pStyle w:val="82"/>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ascii="Times New Roman" w:hAnsi="Times New Roman" w:cs="Times New Roman"/>
                <w:b/>
                <w:bCs/>
                <w:color w:val="auto"/>
                <w:szCs w:val="24"/>
              </w:rPr>
            </w:pPr>
            <w:r>
              <w:rPr>
                <w:rFonts w:hint="eastAsia" w:ascii="Times New Roman" w:hAnsi="Times New Roman" w:cs="Times New Roman"/>
                <w:b/>
                <w:bCs/>
                <w:color w:val="auto"/>
                <w:szCs w:val="24"/>
                <w:lang w:val="en-US" w:eastAsia="zh-CN"/>
              </w:rPr>
              <w:t>4</w:t>
            </w:r>
            <w:r>
              <w:rPr>
                <w:rFonts w:hint="eastAsia" w:ascii="Times New Roman" w:hAnsi="Times New Roman" w:cs="Times New Roman"/>
                <w:b/>
                <w:bCs/>
                <w:color w:val="auto"/>
                <w:szCs w:val="24"/>
                <w:lang w:eastAsia="zh-CN"/>
              </w:rPr>
              <w:t>、</w:t>
            </w:r>
            <w:r>
              <w:rPr>
                <w:rFonts w:hint="default" w:ascii="Times New Roman" w:hAnsi="Times New Roman" w:cs="Times New Roman"/>
                <w:b/>
                <w:bCs/>
                <w:color w:val="auto"/>
                <w:szCs w:val="24"/>
              </w:rPr>
              <w:t>固体废物影响分析</w:t>
            </w:r>
          </w:p>
          <w:p w14:paraId="1E4DBAC7">
            <w:pPr>
              <w:pStyle w:val="82"/>
              <w:rPr>
                <w:rFonts w:hint="default" w:ascii="Times New Roman" w:hAnsi="Times New Roman" w:cs="Times New Roman"/>
                <w:color w:val="auto"/>
                <w:szCs w:val="24"/>
              </w:rPr>
            </w:pPr>
            <w:r>
              <w:rPr>
                <w:rFonts w:hint="eastAsia"/>
                <w:b/>
                <w:bCs/>
                <w:color w:val="auto"/>
                <w:lang w:eastAsia="zh-CN"/>
              </w:rPr>
              <w:t>（</w:t>
            </w:r>
            <w:r>
              <w:rPr>
                <w:rFonts w:hint="eastAsia"/>
                <w:b/>
                <w:bCs/>
                <w:color w:val="auto"/>
                <w:lang w:val="en-US" w:eastAsia="zh-CN"/>
              </w:rPr>
              <w:t>1</w:t>
            </w:r>
            <w:r>
              <w:rPr>
                <w:rFonts w:hint="eastAsia"/>
                <w:b/>
                <w:bCs/>
                <w:color w:val="auto"/>
                <w:lang w:eastAsia="zh-CN"/>
              </w:rPr>
              <w:t>）</w:t>
            </w:r>
            <w:r>
              <w:rPr>
                <w:rFonts w:hint="eastAsia"/>
                <w:b/>
                <w:bCs/>
                <w:color w:val="auto"/>
              </w:rPr>
              <w:t>固体废物产生及治理措施</w:t>
            </w:r>
          </w:p>
          <w:p w14:paraId="4FC8419D">
            <w:pPr>
              <w:pStyle w:val="82"/>
              <w:rPr>
                <w:rFonts w:hint="default" w:ascii="Times New Roman" w:hAnsi="Times New Roman" w:cs="Times New Roman"/>
                <w:color w:val="auto"/>
                <w:szCs w:val="24"/>
              </w:rPr>
            </w:pPr>
            <w:r>
              <w:rPr>
                <w:rFonts w:hint="default" w:ascii="Times New Roman" w:hAnsi="Times New Roman" w:cs="Times New Roman"/>
                <w:color w:val="auto"/>
                <w:szCs w:val="24"/>
              </w:rPr>
              <w:t>本项目产生的固废主要为</w:t>
            </w:r>
            <w:r>
              <w:rPr>
                <w:rFonts w:hint="eastAsia" w:ascii="Times New Roman" w:hAnsi="Times New Roman" w:cs="Times New Roman"/>
                <w:color w:val="auto"/>
                <w:szCs w:val="24"/>
                <w:lang w:eastAsia="zh-CN"/>
              </w:rPr>
              <w:t>废包装袋</w:t>
            </w:r>
            <w:r>
              <w:rPr>
                <w:rFonts w:hint="default" w:ascii="Times New Roman" w:hAnsi="Times New Roman" w:cs="Times New Roman"/>
                <w:color w:val="auto"/>
                <w:szCs w:val="24"/>
              </w:rPr>
              <w:t>、</w:t>
            </w:r>
            <w:r>
              <w:rPr>
                <w:rFonts w:hint="eastAsia" w:ascii="Times New Roman" w:hAnsi="Times New Roman" w:cs="Times New Roman"/>
                <w:color w:val="auto"/>
                <w:szCs w:val="24"/>
                <w:lang w:eastAsia="zh-CN"/>
              </w:rPr>
              <w:t>筛选废弃物（主要包括叶子、树枝等）</w:t>
            </w:r>
            <w:r>
              <w:rPr>
                <w:rFonts w:hint="eastAsia" w:cs="Times New Roman"/>
                <w:color w:val="auto"/>
                <w:szCs w:val="24"/>
                <w:lang w:eastAsia="zh-CN"/>
              </w:rPr>
              <w:t>、</w:t>
            </w:r>
            <w:r>
              <w:rPr>
                <w:rFonts w:hint="eastAsia" w:ascii="Times New Roman" w:hAnsi="Times New Roman" w:cs="Times New Roman"/>
                <w:color w:val="auto"/>
                <w:kern w:val="0"/>
                <w:sz w:val="24"/>
                <w:lang w:val="en-US" w:eastAsia="zh-CN"/>
              </w:rPr>
              <w:t>生物质燃烧灰渣、沉淀池沉渣</w:t>
            </w:r>
            <w:r>
              <w:rPr>
                <w:rFonts w:hint="default" w:ascii="Times New Roman" w:hAnsi="Times New Roman" w:cs="Times New Roman"/>
                <w:color w:val="auto"/>
                <w:szCs w:val="24"/>
              </w:rPr>
              <w:t>以及生活垃圾</w:t>
            </w:r>
            <w:r>
              <w:rPr>
                <w:rFonts w:hint="eastAsia" w:cs="Times New Roman"/>
                <w:color w:val="auto"/>
                <w:szCs w:val="24"/>
                <w:lang w:eastAsia="zh-CN"/>
              </w:rPr>
              <w:t>等</w:t>
            </w:r>
            <w:r>
              <w:rPr>
                <w:rFonts w:hint="default" w:ascii="Times New Roman" w:hAnsi="Times New Roman" w:cs="Times New Roman"/>
                <w:color w:val="auto"/>
                <w:szCs w:val="24"/>
              </w:rPr>
              <w:t>。</w:t>
            </w:r>
          </w:p>
          <w:p w14:paraId="1AC0B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1</w:t>
            </w:r>
            <w:r>
              <w:rPr>
                <w:rFonts w:hint="eastAsia" w:ascii="Times New Roman" w:hAnsi="Times New Roman" w:cs="Times New Roman"/>
                <w:b/>
                <w:bCs/>
                <w:color w:val="auto"/>
                <w:sz w:val="24"/>
                <w:lang w:eastAsia="zh-CN"/>
              </w:rPr>
              <w:t>）</w:t>
            </w:r>
            <w:r>
              <w:rPr>
                <w:rFonts w:hint="default" w:ascii="Times New Roman" w:hAnsi="Times New Roman" w:cs="Times New Roman"/>
                <w:b/>
                <w:bCs/>
                <w:color w:val="auto"/>
                <w:sz w:val="24"/>
              </w:rPr>
              <w:t>生活垃圾</w:t>
            </w:r>
          </w:p>
          <w:p w14:paraId="646A2EA4">
            <w:pPr>
              <w:pStyle w:val="82"/>
              <w:rPr>
                <w:rFonts w:hint="default" w:ascii="Times New Roman" w:hAnsi="Times New Roman" w:cs="Times New Roman"/>
                <w:color w:val="auto"/>
                <w:kern w:val="0"/>
                <w:szCs w:val="24"/>
                <w:u w:val="none"/>
              </w:rPr>
            </w:pPr>
            <w:r>
              <w:rPr>
                <w:rFonts w:hint="default" w:ascii="Times New Roman" w:hAnsi="Times New Roman" w:cs="Times New Roman"/>
                <w:color w:val="auto"/>
                <w:kern w:val="0"/>
                <w:szCs w:val="24"/>
                <w:u w:val="none"/>
              </w:rPr>
              <w:t>产生生活垃圾按0.5kg/</w:t>
            </w:r>
            <w:r>
              <w:rPr>
                <w:rFonts w:hint="eastAsia" w:cs="Times New Roman"/>
                <w:color w:val="auto"/>
                <w:kern w:val="0"/>
                <w:szCs w:val="24"/>
                <w:u w:val="none"/>
                <w:lang w:eastAsia="zh-CN"/>
              </w:rPr>
              <w:t>（</w:t>
            </w:r>
            <w:r>
              <w:rPr>
                <w:rFonts w:hint="default" w:ascii="Times New Roman" w:hAnsi="Times New Roman" w:cs="Times New Roman"/>
                <w:color w:val="auto"/>
                <w:kern w:val="0"/>
                <w:szCs w:val="24"/>
                <w:u w:val="none"/>
              </w:rPr>
              <w:t>人·d</w:t>
            </w:r>
            <w:r>
              <w:rPr>
                <w:rFonts w:hint="eastAsia" w:cs="Times New Roman"/>
                <w:color w:val="auto"/>
                <w:kern w:val="0"/>
                <w:szCs w:val="24"/>
                <w:u w:val="none"/>
                <w:lang w:eastAsia="zh-CN"/>
              </w:rPr>
              <w:t>）</w:t>
            </w:r>
            <w:r>
              <w:rPr>
                <w:rFonts w:hint="default" w:ascii="Times New Roman" w:hAnsi="Times New Roman" w:cs="Times New Roman"/>
                <w:color w:val="auto"/>
                <w:kern w:val="0"/>
                <w:szCs w:val="24"/>
                <w:u w:val="none"/>
              </w:rPr>
              <w:t>计，</w:t>
            </w:r>
            <w:r>
              <w:rPr>
                <w:rFonts w:hint="eastAsia" w:ascii="Times New Roman" w:hAnsi="Times New Roman" w:cs="Times New Roman"/>
                <w:color w:val="auto"/>
                <w:kern w:val="0"/>
                <w:szCs w:val="24"/>
                <w:u w:val="none"/>
                <w:lang w:eastAsia="zh-CN"/>
              </w:rPr>
              <w:t>则</w:t>
            </w:r>
            <w:r>
              <w:rPr>
                <w:rFonts w:hint="default" w:ascii="Times New Roman" w:hAnsi="Times New Roman" w:cs="Times New Roman"/>
                <w:color w:val="auto"/>
                <w:kern w:val="0"/>
                <w:szCs w:val="24"/>
                <w:u w:val="none"/>
              </w:rPr>
              <w:t>生活垃圾产生量为</w:t>
            </w:r>
            <w:r>
              <w:rPr>
                <w:rFonts w:hint="eastAsia" w:cs="Times New Roman"/>
                <w:color w:val="auto"/>
                <w:kern w:val="0"/>
                <w:szCs w:val="24"/>
                <w:u w:val="none"/>
                <w:lang w:val="en-US" w:eastAsia="zh-CN"/>
              </w:rPr>
              <w:t>5</w:t>
            </w:r>
            <w:r>
              <w:rPr>
                <w:rFonts w:hint="default" w:ascii="Times New Roman" w:hAnsi="Times New Roman" w:cs="Times New Roman"/>
                <w:color w:val="auto"/>
                <w:kern w:val="0"/>
                <w:szCs w:val="24"/>
                <w:u w:val="none"/>
              </w:rPr>
              <w:t>kg/d</w:t>
            </w:r>
            <w:r>
              <w:rPr>
                <w:rFonts w:hint="eastAsia" w:cs="Times New Roman"/>
                <w:color w:val="auto"/>
                <w:kern w:val="0"/>
                <w:szCs w:val="24"/>
                <w:u w:val="none"/>
                <w:lang w:eastAsia="zh-CN"/>
              </w:rPr>
              <w:t>；</w:t>
            </w:r>
            <w:r>
              <w:rPr>
                <w:rFonts w:hint="default" w:ascii="Times New Roman" w:hAnsi="Times New Roman" w:cs="Times New Roman"/>
                <w:color w:val="auto"/>
                <w:kern w:val="0"/>
                <w:szCs w:val="24"/>
                <w:u w:val="none"/>
              </w:rPr>
              <w:t>每年工作日按照</w:t>
            </w:r>
            <w:r>
              <w:rPr>
                <w:rFonts w:hint="eastAsia" w:cs="Times New Roman"/>
                <w:color w:val="auto"/>
                <w:kern w:val="0"/>
                <w:szCs w:val="24"/>
                <w:u w:val="none"/>
                <w:lang w:val="en-US" w:eastAsia="zh-CN"/>
              </w:rPr>
              <w:t>6</w:t>
            </w:r>
            <w:r>
              <w:rPr>
                <w:rFonts w:hint="eastAsia" w:ascii="Times New Roman" w:hAnsi="Times New Roman" w:cs="Times New Roman"/>
                <w:color w:val="auto"/>
                <w:kern w:val="0"/>
                <w:szCs w:val="24"/>
                <w:u w:val="none"/>
                <w:lang w:val="en-US" w:eastAsia="zh-CN"/>
              </w:rPr>
              <w:t>0</w:t>
            </w:r>
            <w:r>
              <w:rPr>
                <w:rFonts w:hint="default" w:ascii="Times New Roman" w:hAnsi="Times New Roman" w:cs="Times New Roman"/>
                <w:color w:val="auto"/>
                <w:kern w:val="0"/>
                <w:szCs w:val="24"/>
                <w:u w:val="none"/>
              </w:rPr>
              <w:t>天计算，则产生的生活垃圾量为</w:t>
            </w:r>
            <w:r>
              <w:rPr>
                <w:rFonts w:hint="eastAsia" w:cs="Times New Roman"/>
                <w:color w:val="auto"/>
                <w:kern w:val="0"/>
                <w:szCs w:val="24"/>
                <w:u w:val="none"/>
                <w:lang w:val="en-US" w:eastAsia="zh-CN"/>
              </w:rPr>
              <w:t>0.3</w:t>
            </w:r>
            <w:r>
              <w:rPr>
                <w:rFonts w:hint="default" w:ascii="Times New Roman" w:hAnsi="Times New Roman" w:cs="Times New Roman"/>
                <w:color w:val="auto"/>
                <w:kern w:val="0"/>
                <w:szCs w:val="24"/>
                <w:u w:val="none"/>
              </w:rPr>
              <w:t>t/a。</w:t>
            </w:r>
          </w:p>
          <w:p w14:paraId="4CD97BCF">
            <w:pPr>
              <w:pStyle w:val="82"/>
              <w:rPr>
                <w:rFonts w:hint="default" w:ascii="Times New Roman" w:hAnsi="Times New Roman" w:cs="Times New Roman"/>
                <w:color w:val="auto"/>
                <w:kern w:val="0"/>
                <w:szCs w:val="24"/>
              </w:rPr>
            </w:pPr>
            <w:r>
              <w:rPr>
                <w:rFonts w:hint="eastAsia" w:ascii="Times New Roman" w:hAnsi="Times New Roman" w:cs="Times New Roman"/>
                <w:color w:val="auto"/>
                <w:kern w:val="0"/>
                <w:szCs w:val="24"/>
                <w:lang w:eastAsia="zh-CN"/>
              </w:rPr>
              <w:t>厂区内</w:t>
            </w:r>
            <w:r>
              <w:rPr>
                <w:rFonts w:hint="default" w:ascii="Times New Roman" w:hAnsi="Times New Roman" w:cs="Times New Roman"/>
                <w:color w:val="auto"/>
                <w:kern w:val="0"/>
                <w:szCs w:val="24"/>
              </w:rPr>
              <w:t>设置若干生活垃圾收集桶，将生活垃圾收集至垃圾桶内，交由环卫部门进行清运。</w:t>
            </w:r>
            <w:r>
              <w:rPr>
                <w:rFonts w:hint="eastAsia" w:ascii="Times New Roman" w:hAnsi="Times New Roman" w:cs="Times New Roman"/>
                <w:color w:val="auto"/>
                <w:kern w:val="0"/>
                <w:szCs w:val="24"/>
                <w:lang w:eastAsia="zh-CN"/>
              </w:rPr>
              <w:t>日产日清</w:t>
            </w:r>
            <w:r>
              <w:rPr>
                <w:rFonts w:hint="default" w:ascii="Times New Roman" w:hAnsi="Times New Roman" w:cs="Times New Roman"/>
                <w:color w:val="auto"/>
                <w:kern w:val="0"/>
                <w:szCs w:val="24"/>
              </w:rPr>
              <w:t>，避免虫蝇滋生，传播病菌。</w:t>
            </w:r>
          </w:p>
          <w:p w14:paraId="1A3B2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lang w:eastAsia="zh-CN"/>
              </w:rPr>
              <w:t>）</w:t>
            </w:r>
            <w:r>
              <w:rPr>
                <w:rFonts w:hint="eastAsia" w:cs="Times New Roman"/>
                <w:b/>
                <w:bCs/>
                <w:color w:val="auto"/>
                <w:sz w:val="24"/>
                <w:lang w:val="en-US" w:eastAsia="zh-CN"/>
              </w:rPr>
              <w:t>一般固废</w:t>
            </w:r>
          </w:p>
          <w:p w14:paraId="29B86897">
            <w:pPr>
              <w:pStyle w:val="82"/>
              <w:rPr>
                <w:rFonts w:hint="default" w:ascii="Times New Roman" w:hAnsi="Times New Roman" w:eastAsia="宋体" w:cs="Times New Roman"/>
                <w:color w:val="auto"/>
                <w:kern w:val="0"/>
                <w:szCs w:val="24"/>
                <w:lang w:eastAsia="zh-CN"/>
              </w:rPr>
            </w:pPr>
            <w:r>
              <w:rPr>
                <w:rFonts w:hint="eastAsia" w:ascii="Times New Roman" w:hAnsi="Times New Roman" w:eastAsia="宋体" w:cs="Times New Roman"/>
                <w:color w:val="auto"/>
                <w:kern w:val="0"/>
                <w:szCs w:val="24"/>
                <w:lang w:val="en-US" w:eastAsia="zh-CN"/>
              </w:rPr>
              <w:t>①</w:t>
            </w:r>
            <w:r>
              <w:rPr>
                <w:rFonts w:hint="eastAsia" w:ascii="Times New Roman" w:hAnsi="Times New Roman" w:eastAsia="宋体" w:cs="Times New Roman"/>
                <w:color w:val="auto"/>
                <w:kern w:val="0"/>
                <w:szCs w:val="24"/>
                <w:lang w:eastAsia="zh-CN"/>
              </w:rPr>
              <w:t>废包装袋</w:t>
            </w:r>
          </w:p>
          <w:p w14:paraId="7C154D0D">
            <w:pPr>
              <w:pStyle w:val="82"/>
              <w:rPr>
                <w:rFonts w:hint="default" w:ascii="Times New Roman" w:hAnsi="Times New Roman" w:cs="Times New Roman"/>
                <w:color w:val="auto"/>
                <w:kern w:val="0"/>
                <w:szCs w:val="24"/>
              </w:rPr>
            </w:pPr>
            <w:r>
              <w:rPr>
                <w:rFonts w:hint="eastAsia" w:ascii="Times New Roman" w:hAnsi="Times New Roman" w:cs="Times New Roman"/>
                <w:color w:val="auto"/>
                <w:kern w:val="0"/>
                <w:szCs w:val="24"/>
                <w:lang w:eastAsia="zh-CN"/>
              </w:rPr>
              <w:t>外购的</w:t>
            </w:r>
            <w:r>
              <w:rPr>
                <w:rFonts w:hint="default" w:ascii="Times New Roman" w:hAnsi="Times New Roman" w:cs="Times New Roman"/>
                <w:color w:val="auto"/>
                <w:kern w:val="0"/>
                <w:szCs w:val="24"/>
                <w:lang w:val="en-US" w:eastAsia="zh-CN"/>
              </w:rPr>
              <w:t>玉竹</w:t>
            </w:r>
            <w:r>
              <w:rPr>
                <w:rFonts w:hint="eastAsia" w:ascii="Times New Roman" w:hAnsi="Times New Roman" w:cs="Times New Roman"/>
                <w:color w:val="auto"/>
                <w:kern w:val="0"/>
                <w:szCs w:val="24"/>
                <w:lang w:val="en-US" w:eastAsia="zh-CN"/>
              </w:rPr>
              <w:t>、</w:t>
            </w:r>
            <w:r>
              <w:rPr>
                <w:rFonts w:hint="default" w:ascii="Times New Roman" w:hAnsi="Times New Roman" w:cs="Times New Roman"/>
                <w:color w:val="auto"/>
                <w:kern w:val="0"/>
                <w:szCs w:val="24"/>
                <w:lang w:eastAsia="zh-CN"/>
              </w:rPr>
              <w:t>黄精</w:t>
            </w:r>
            <w:r>
              <w:rPr>
                <w:rFonts w:hint="eastAsia" w:ascii="Times New Roman" w:hAnsi="Times New Roman" w:cs="Times New Roman"/>
                <w:color w:val="auto"/>
                <w:kern w:val="0"/>
                <w:szCs w:val="24"/>
                <w:lang w:eastAsia="zh-CN"/>
              </w:rPr>
              <w:t>、</w:t>
            </w:r>
            <w:r>
              <w:rPr>
                <w:rFonts w:hint="default" w:ascii="Times New Roman" w:hAnsi="Times New Roman" w:cs="Times New Roman"/>
                <w:color w:val="auto"/>
                <w:kern w:val="0"/>
                <w:szCs w:val="24"/>
                <w:lang w:eastAsia="zh-CN"/>
              </w:rPr>
              <w:t>白术</w:t>
            </w:r>
            <w:r>
              <w:rPr>
                <w:rFonts w:hint="eastAsia" w:ascii="Times New Roman" w:hAnsi="Times New Roman" w:cs="Times New Roman"/>
                <w:color w:val="auto"/>
                <w:kern w:val="0"/>
                <w:szCs w:val="24"/>
                <w:lang w:eastAsia="zh-CN"/>
              </w:rPr>
              <w:t>、山银花采用袋装，因此会产生废包装袋，年使用包装袋数量约为</w:t>
            </w:r>
            <w:r>
              <w:rPr>
                <w:rFonts w:hint="eastAsia" w:cs="Times New Roman"/>
                <w:color w:val="auto"/>
                <w:kern w:val="0"/>
                <w:szCs w:val="24"/>
                <w:lang w:val="en-US" w:eastAsia="zh-CN"/>
              </w:rPr>
              <w:t>35</w:t>
            </w:r>
            <w:r>
              <w:rPr>
                <w:rFonts w:hint="eastAsia" w:ascii="Times New Roman" w:hAnsi="Times New Roman" w:cs="Times New Roman"/>
                <w:color w:val="auto"/>
                <w:kern w:val="0"/>
                <w:szCs w:val="24"/>
                <w:lang w:val="en-US" w:eastAsia="zh-CN"/>
              </w:rPr>
              <w:t>000个，包装完好的可重新利用于包装山银花，破损袋子外售交给物资回收公司处理，约产生</w:t>
            </w:r>
            <w:r>
              <w:rPr>
                <w:rFonts w:hint="eastAsia" w:cs="Times New Roman"/>
                <w:color w:val="auto"/>
                <w:kern w:val="0"/>
                <w:szCs w:val="24"/>
                <w:lang w:val="en-US" w:eastAsia="zh-CN"/>
              </w:rPr>
              <w:t>2.8</w:t>
            </w:r>
            <w:r>
              <w:rPr>
                <w:rFonts w:hint="eastAsia" w:ascii="Times New Roman" w:hAnsi="Times New Roman" w:cs="Times New Roman"/>
                <w:color w:val="auto"/>
                <w:kern w:val="0"/>
                <w:szCs w:val="24"/>
                <w:lang w:val="en-US" w:eastAsia="zh-CN"/>
              </w:rPr>
              <w:t>t/a</w:t>
            </w:r>
            <w:r>
              <w:rPr>
                <w:rFonts w:hint="default" w:ascii="Times New Roman" w:hAnsi="Times New Roman" w:cs="Times New Roman"/>
                <w:color w:val="auto"/>
                <w:kern w:val="0"/>
                <w:szCs w:val="24"/>
              </w:rPr>
              <w:t>。</w:t>
            </w:r>
          </w:p>
          <w:p w14:paraId="46CADC8B">
            <w:pPr>
              <w:pStyle w:val="82"/>
              <w:rPr>
                <w:rFonts w:hint="default" w:ascii="Times New Roman" w:hAnsi="Times New Roman" w:eastAsia="宋体" w:cs="Times New Roman"/>
                <w:color w:val="auto"/>
                <w:kern w:val="0"/>
                <w:szCs w:val="24"/>
                <w:lang w:eastAsia="zh-CN"/>
              </w:rPr>
            </w:pPr>
            <w:r>
              <w:rPr>
                <w:rFonts w:hint="eastAsia" w:ascii="Times New Roman" w:hAnsi="Times New Roman" w:eastAsia="宋体" w:cs="Times New Roman"/>
                <w:color w:val="auto"/>
                <w:kern w:val="0"/>
                <w:szCs w:val="24"/>
                <w:lang w:val="en-US" w:eastAsia="zh-CN"/>
              </w:rPr>
              <w:t>②</w:t>
            </w:r>
            <w:r>
              <w:rPr>
                <w:rFonts w:hint="eastAsia" w:ascii="Times New Roman" w:hAnsi="Times New Roman" w:eastAsia="宋体" w:cs="Times New Roman"/>
                <w:color w:val="auto"/>
                <w:kern w:val="0"/>
                <w:szCs w:val="24"/>
                <w:lang w:eastAsia="zh-CN"/>
              </w:rPr>
              <w:t>筛选叶子、树枝</w:t>
            </w:r>
          </w:p>
          <w:p w14:paraId="11D7CA21">
            <w:pPr>
              <w:pStyle w:val="82"/>
              <w:rPr>
                <w:rFonts w:hint="eastAsia" w:ascii="Times New Roman" w:hAnsi="Times New Roman" w:cs="Times New Roman"/>
                <w:color w:val="auto"/>
                <w:szCs w:val="24"/>
                <w:lang w:eastAsia="zh-CN"/>
              </w:rPr>
            </w:pPr>
            <w:r>
              <w:rPr>
                <w:rFonts w:hint="default" w:ascii="Times New Roman" w:hAnsi="Times New Roman" w:cs="Times New Roman"/>
                <w:color w:val="auto"/>
                <w:szCs w:val="24"/>
              </w:rPr>
              <w:t>本项目产生的</w:t>
            </w:r>
            <w:r>
              <w:rPr>
                <w:rFonts w:hint="eastAsia" w:ascii="Times New Roman" w:hAnsi="Times New Roman" w:cs="Times New Roman"/>
                <w:color w:val="auto"/>
                <w:szCs w:val="24"/>
                <w:lang w:eastAsia="zh-CN"/>
              </w:rPr>
              <w:t>筛选废弃物主要包括叶子、树枝，</w:t>
            </w:r>
            <w:r>
              <w:rPr>
                <w:rFonts w:hint="eastAsia" w:cs="Times New Roman"/>
                <w:color w:val="auto"/>
                <w:szCs w:val="24"/>
                <w:lang w:val="en-US" w:eastAsia="zh-CN"/>
              </w:rPr>
              <w:t>根据建设单位提供资料，筛选工序产生的叶子、树枝</w:t>
            </w:r>
            <w:r>
              <w:rPr>
                <w:rFonts w:hint="default" w:cs="Times New Roman"/>
                <w:color w:val="auto"/>
                <w:szCs w:val="24"/>
                <w:lang w:val="en-US" w:eastAsia="zh-CN"/>
              </w:rPr>
              <w:t>约为</w:t>
            </w:r>
            <w:r>
              <w:rPr>
                <w:rFonts w:hint="eastAsia" w:cs="Times New Roman"/>
                <w:color w:val="auto"/>
                <w:szCs w:val="24"/>
                <w:lang w:val="en-US" w:eastAsia="zh-CN"/>
              </w:rPr>
              <w:t>原辅材料0.2%，本项目</w:t>
            </w:r>
            <w:r>
              <w:rPr>
                <w:rFonts w:hint="default" w:cs="Times New Roman"/>
                <w:color w:val="auto"/>
                <w:szCs w:val="24"/>
                <w:lang w:val="en-US" w:eastAsia="zh-CN"/>
              </w:rPr>
              <w:t>玉竹</w:t>
            </w:r>
            <w:r>
              <w:rPr>
                <w:rFonts w:hint="eastAsia" w:cs="Times New Roman"/>
                <w:color w:val="auto"/>
                <w:szCs w:val="24"/>
                <w:lang w:val="en-US" w:eastAsia="zh-CN"/>
              </w:rPr>
              <w:t>、</w:t>
            </w:r>
            <w:r>
              <w:rPr>
                <w:rFonts w:hint="default" w:cs="Times New Roman"/>
                <w:color w:val="auto"/>
                <w:szCs w:val="24"/>
                <w:lang w:val="en-US" w:eastAsia="zh-CN"/>
              </w:rPr>
              <w:t>黄精</w:t>
            </w:r>
            <w:r>
              <w:rPr>
                <w:rFonts w:hint="eastAsia" w:cs="Times New Roman"/>
                <w:color w:val="auto"/>
                <w:szCs w:val="24"/>
                <w:lang w:val="en-US" w:eastAsia="zh-CN"/>
              </w:rPr>
              <w:t>、</w:t>
            </w:r>
            <w:r>
              <w:rPr>
                <w:rFonts w:hint="default" w:cs="Times New Roman"/>
                <w:color w:val="auto"/>
                <w:szCs w:val="24"/>
                <w:lang w:val="en-US" w:eastAsia="zh-CN"/>
              </w:rPr>
              <w:t>白术</w:t>
            </w:r>
            <w:r>
              <w:rPr>
                <w:rFonts w:hint="eastAsia" w:cs="Times New Roman"/>
                <w:color w:val="auto"/>
                <w:szCs w:val="24"/>
                <w:lang w:val="en-US" w:eastAsia="zh-CN"/>
              </w:rPr>
              <w:t>、山银花总用量为3500t，则筛选叶子、树枝产生量约为7</w:t>
            </w:r>
            <w:r>
              <w:rPr>
                <w:rFonts w:hint="default" w:cs="Times New Roman"/>
                <w:color w:val="auto"/>
                <w:szCs w:val="24"/>
                <w:lang w:val="en-US" w:eastAsia="zh-CN"/>
              </w:rPr>
              <w:t>t/a。</w:t>
            </w:r>
            <w:r>
              <w:rPr>
                <w:rFonts w:hint="eastAsia" w:ascii="Times New Roman" w:hAnsi="Times New Roman" w:cs="Times New Roman"/>
                <w:color w:val="auto"/>
                <w:szCs w:val="24"/>
                <w:lang w:eastAsia="zh-CN"/>
              </w:rPr>
              <w:t>外售</w:t>
            </w:r>
            <w:r>
              <w:rPr>
                <w:rFonts w:hint="eastAsia" w:cs="Times New Roman"/>
                <w:color w:val="auto"/>
                <w:szCs w:val="24"/>
                <w:lang w:eastAsia="zh-CN"/>
              </w:rPr>
              <w:t>物资</w:t>
            </w:r>
            <w:r>
              <w:rPr>
                <w:rFonts w:hint="eastAsia" w:ascii="Times New Roman" w:hAnsi="Times New Roman" w:cs="Times New Roman"/>
                <w:color w:val="auto"/>
                <w:szCs w:val="24"/>
                <w:lang w:eastAsia="zh-CN"/>
              </w:rPr>
              <w:t>回收公司处理。</w:t>
            </w:r>
          </w:p>
          <w:p w14:paraId="41F4C42C">
            <w:pPr>
              <w:pStyle w:val="82"/>
              <w:rPr>
                <w:rFonts w:hint="eastAsia" w:ascii="Times New Roman" w:hAnsi="Times New Roman" w:eastAsia="宋体" w:cs="Times New Roman"/>
                <w:color w:val="auto"/>
                <w:kern w:val="0"/>
                <w:szCs w:val="24"/>
                <w:lang w:val="en-US" w:eastAsia="zh-CN"/>
              </w:rPr>
            </w:pPr>
            <w:r>
              <w:rPr>
                <w:rFonts w:hint="eastAsia" w:ascii="Times New Roman" w:hAnsi="Times New Roman" w:eastAsia="宋体" w:cs="Times New Roman"/>
                <w:color w:val="auto"/>
                <w:kern w:val="0"/>
                <w:szCs w:val="24"/>
                <w:highlight w:val="none"/>
                <w:lang w:val="en-US" w:eastAsia="zh-CN"/>
              </w:rPr>
              <w:t>③灰渣</w:t>
            </w:r>
          </w:p>
          <w:p w14:paraId="3044F515">
            <w:pPr>
              <w:pStyle w:val="82"/>
              <w:rPr>
                <w:rFonts w:hint="eastAsia"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生物质颗粒燃烧灰渣产生量按照《生物质固体成型燃料技术条件》NY_T1878-2010中所</w:t>
            </w:r>
            <w:r>
              <w:rPr>
                <w:rFonts w:hint="eastAsia" w:cs="Times New Roman"/>
                <w:color w:val="auto"/>
                <w:szCs w:val="24"/>
                <w:lang w:val="en-US" w:eastAsia="zh-CN"/>
              </w:rPr>
              <w:t>规定</w:t>
            </w:r>
            <w:r>
              <w:rPr>
                <w:rFonts w:hint="eastAsia" w:ascii="Times New Roman" w:hAnsi="Times New Roman" w:cs="Times New Roman"/>
                <w:color w:val="auto"/>
                <w:szCs w:val="24"/>
                <w:lang w:val="en-US" w:eastAsia="zh-CN"/>
              </w:rPr>
              <w:t>的12%计算，则年产灰渣</w:t>
            </w:r>
            <w:r>
              <w:rPr>
                <w:rFonts w:hint="eastAsia" w:cs="Times New Roman"/>
                <w:color w:val="auto"/>
                <w:szCs w:val="24"/>
                <w:lang w:val="en-US" w:eastAsia="zh-CN"/>
              </w:rPr>
              <w:t>81.66</w:t>
            </w:r>
            <w:r>
              <w:rPr>
                <w:rFonts w:hint="eastAsia" w:ascii="Times New Roman" w:hAnsi="Times New Roman" w:cs="Times New Roman"/>
                <w:color w:val="auto"/>
                <w:szCs w:val="24"/>
                <w:lang w:val="en-US" w:eastAsia="zh-CN"/>
              </w:rPr>
              <w:t>t，外售给物质回收单位。</w:t>
            </w:r>
          </w:p>
          <w:p w14:paraId="52B52B77">
            <w:pPr>
              <w:pStyle w:val="82"/>
              <w:rPr>
                <w:rFonts w:hint="eastAsia" w:ascii="Times New Roman" w:hAnsi="Times New Roman" w:eastAsia="宋体" w:cs="Times New Roman"/>
                <w:color w:val="auto"/>
                <w:kern w:val="0"/>
                <w:szCs w:val="24"/>
                <w:lang w:val="en-US" w:eastAsia="zh-CN"/>
              </w:rPr>
            </w:pPr>
            <w:r>
              <w:rPr>
                <w:rFonts w:hint="eastAsia" w:ascii="Times New Roman" w:hAnsi="Times New Roman" w:eastAsia="宋体" w:cs="Times New Roman"/>
                <w:color w:val="auto"/>
                <w:kern w:val="0"/>
                <w:szCs w:val="24"/>
                <w:lang w:val="en-US" w:eastAsia="zh-CN"/>
              </w:rPr>
              <w:t>④沉淀池沉渣</w:t>
            </w:r>
          </w:p>
          <w:p w14:paraId="107E20B2">
            <w:pPr>
              <w:pStyle w:val="82"/>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本项目玉竹、</w:t>
            </w:r>
            <w:r>
              <w:rPr>
                <w:rFonts w:hint="eastAsia" w:cs="Times New Roman"/>
                <w:color w:val="auto"/>
                <w:szCs w:val="24"/>
                <w:lang w:val="en-US" w:eastAsia="zh-CN"/>
              </w:rPr>
              <w:t>石菖蒲</w:t>
            </w:r>
            <w:r>
              <w:rPr>
                <w:rFonts w:hint="eastAsia" w:ascii="Times New Roman" w:hAnsi="Times New Roman" w:eastAsia="宋体" w:cs="Times New Roman"/>
                <w:color w:val="auto"/>
                <w:szCs w:val="24"/>
                <w:lang w:val="en-US" w:eastAsia="zh-CN"/>
              </w:rPr>
              <w:t>需进行清洗，根据建设单位提供资料，原辅材料含泥量约占总重量的1%，本项目玉竹、</w:t>
            </w:r>
            <w:r>
              <w:rPr>
                <w:rFonts w:hint="eastAsia" w:cs="Times New Roman"/>
                <w:color w:val="auto"/>
                <w:szCs w:val="24"/>
                <w:lang w:val="en-US" w:eastAsia="zh-CN"/>
              </w:rPr>
              <w:t>石菖蒲</w:t>
            </w:r>
            <w:r>
              <w:rPr>
                <w:rFonts w:hint="eastAsia" w:ascii="Times New Roman" w:hAnsi="Times New Roman" w:eastAsia="宋体" w:cs="Times New Roman"/>
                <w:color w:val="auto"/>
                <w:szCs w:val="24"/>
                <w:lang w:val="en-US" w:eastAsia="zh-CN"/>
              </w:rPr>
              <w:t>用量为</w:t>
            </w:r>
            <w:r>
              <w:rPr>
                <w:rFonts w:hint="eastAsia" w:cs="Times New Roman"/>
                <w:color w:val="auto"/>
                <w:szCs w:val="24"/>
                <w:lang w:val="en-US" w:eastAsia="zh-CN"/>
              </w:rPr>
              <w:t>10</w:t>
            </w:r>
            <w:r>
              <w:rPr>
                <w:rFonts w:hint="eastAsia" w:ascii="Times New Roman" w:hAnsi="Times New Roman" w:eastAsia="宋体" w:cs="Times New Roman"/>
                <w:color w:val="auto"/>
                <w:szCs w:val="24"/>
                <w:lang w:val="en-US" w:eastAsia="zh-CN"/>
              </w:rPr>
              <w:t>00t/a，则含泥总量约为</w:t>
            </w:r>
            <w:r>
              <w:rPr>
                <w:rFonts w:hint="eastAsia" w:cs="Times New Roman"/>
                <w:color w:val="auto"/>
                <w:szCs w:val="24"/>
                <w:lang w:val="en-US" w:eastAsia="zh-CN"/>
              </w:rPr>
              <w:t>10</w:t>
            </w:r>
            <w:r>
              <w:rPr>
                <w:rFonts w:hint="eastAsia" w:ascii="Times New Roman" w:hAnsi="Times New Roman" w:eastAsia="宋体" w:cs="Times New Roman"/>
                <w:color w:val="auto"/>
                <w:szCs w:val="24"/>
                <w:lang w:val="en-US" w:eastAsia="zh-CN"/>
              </w:rPr>
              <w:t>t/a。沉淀池沉渣含水率约为70%，则本项目沉淀池沉渣产生量约为</w:t>
            </w:r>
            <w:r>
              <w:rPr>
                <w:rFonts w:hint="eastAsia" w:cs="Times New Roman"/>
                <w:color w:val="auto"/>
                <w:szCs w:val="24"/>
                <w:lang w:val="en-US" w:eastAsia="zh-CN"/>
              </w:rPr>
              <w:t>3</w:t>
            </w:r>
            <w:r>
              <w:rPr>
                <w:rFonts w:hint="eastAsia" w:ascii="Times New Roman" w:hAnsi="Times New Roman" w:eastAsia="宋体" w:cs="Times New Roman"/>
                <w:color w:val="auto"/>
                <w:szCs w:val="24"/>
                <w:lang w:val="en-US" w:eastAsia="zh-CN"/>
              </w:rPr>
              <w:t>3.33t/a。</w:t>
            </w:r>
          </w:p>
          <w:p w14:paraId="77382245">
            <w:pPr>
              <w:pStyle w:val="82"/>
              <w:rPr>
                <w:rFonts w:hint="eastAsia" w:ascii="Times New Roman" w:hAnsi="Times New Roman" w:eastAsia="宋体" w:cs="Times New Roman"/>
                <w:color w:val="auto"/>
                <w:kern w:val="0"/>
                <w:szCs w:val="24"/>
                <w:u w:val="single"/>
                <w:lang w:val="en-US" w:eastAsia="zh-CN"/>
              </w:rPr>
            </w:pPr>
            <w:r>
              <w:rPr>
                <w:rFonts w:hint="eastAsia" w:ascii="Times New Roman" w:hAnsi="Times New Roman" w:eastAsia="宋体" w:cs="Times New Roman"/>
                <w:color w:val="auto"/>
                <w:kern w:val="0"/>
                <w:szCs w:val="24"/>
                <w:u w:val="single"/>
                <w:lang w:val="en-US" w:eastAsia="zh-CN"/>
              </w:rPr>
              <w:t>⑤废离子交换树脂</w:t>
            </w:r>
          </w:p>
          <w:p w14:paraId="7D4A7D5F">
            <w:pPr>
              <w:pStyle w:val="82"/>
              <w:rPr>
                <w:rFonts w:hint="default" w:ascii="Times New Roman" w:hAnsi="Times New Roman" w:eastAsia="宋体" w:cs="Times New Roman"/>
                <w:color w:val="auto"/>
                <w:szCs w:val="24"/>
                <w:u w:val="single"/>
                <w:lang w:val="en-US" w:eastAsia="zh-CN"/>
              </w:rPr>
            </w:pPr>
            <w:r>
              <w:rPr>
                <w:rFonts w:hint="eastAsia" w:ascii="Times New Roman" w:hAnsi="Times New Roman" w:cs="Times New Roman"/>
                <w:b w:val="0"/>
                <w:bCs w:val="0"/>
                <w:color w:val="auto"/>
                <w:szCs w:val="24"/>
                <w:u w:val="single"/>
                <w:lang w:val="en-US" w:eastAsia="zh-CN"/>
              </w:rPr>
              <w:t>锅炉软化水采用离子交换树脂，会有废离子交换树脂产生，产生量约为</w:t>
            </w:r>
            <w:r>
              <w:rPr>
                <w:rFonts w:hint="eastAsia" w:cs="Times New Roman"/>
                <w:b w:val="0"/>
                <w:bCs w:val="0"/>
                <w:color w:val="auto"/>
                <w:szCs w:val="24"/>
                <w:u w:val="single"/>
                <w:lang w:val="en-US" w:eastAsia="zh-CN"/>
              </w:rPr>
              <w:t>0.4</w:t>
            </w:r>
            <w:r>
              <w:rPr>
                <w:rFonts w:hint="default" w:ascii="Times New Roman" w:hAnsi="Times New Roman" w:cs="Times New Roman"/>
                <w:b w:val="0"/>
                <w:bCs w:val="0"/>
                <w:color w:val="auto"/>
                <w:szCs w:val="24"/>
                <w:u w:val="single"/>
              </w:rPr>
              <w:t>t/a</w:t>
            </w:r>
            <w:r>
              <w:rPr>
                <w:rFonts w:hint="eastAsia" w:ascii="Times New Roman" w:hAnsi="Times New Roman" w:cs="Times New Roman"/>
                <w:b w:val="0"/>
                <w:bCs w:val="0"/>
                <w:color w:val="auto"/>
                <w:szCs w:val="24"/>
                <w:u w:val="single"/>
                <w:lang w:eastAsia="zh-CN"/>
              </w:rPr>
              <w:t>。</w:t>
            </w:r>
          </w:p>
          <w:p w14:paraId="6F9017B1">
            <w:pPr>
              <w:pStyle w:val="82"/>
              <w:numPr>
                <w:ilvl w:val="0"/>
                <w:numId w:val="0"/>
              </w:numPr>
              <w:ind w:leftChars="200"/>
              <w:rPr>
                <w:rFonts w:hint="default" w:ascii="Times New Roman" w:hAnsi="Times New Roman" w:eastAsia="宋体" w:cs="Times New Roman"/>
                <w:b/>
                <w:bCs/>
                <w:color w:val="auto"/>
                <w:szCs w:val="24"/>
                <w:u w:val="single"/>
                <w:lang w:val="en-US" w:eastAsia="zh-CN"/>
              </w:rPr>
            </w:pPr>
            <w:r>
              <w:rPr>
                <w:rFonts w:hint="eastAsia" w:ascii="Times New Roman" w:hAnsi="Times New Roman" w:eastAsia="宋体" w:cs="Times New Roman"/>
                <w:b/>
                <w:bCs/>
                <w:color w:val="auto"/>
                <w:szCs w:val="24"/>
                <w:u w:val="single"/>
                <w:lang w:val="en-US" w:eastAsia="zh-CN"/>
              </w:rPr>
              <w:t>3）危险废物</w:t>
            </w:r>
          </w:p>
          <w:p w14:paraId="61396BB5">
            <w:pPr>
              <w:spacing w:line="360" w:lineRule="auto"/>
              <w:ind w:firstLine="480" w:firstLineChars="200"/>
              <w:rPr>
                <w:color w:val="auto"/>
                <w:sz w:val="24"/>
                <w:u w:val="single"/>
              </w:rPr>
            </w:pPr>
            <w:r>
              <w:rPr>
                <w:rFonts w:hint="eastAsia"/>
                <w:color w:val="auto"/>
                <w:sz w:val="24"/>
                <w:u w:val="single"/>
                <w:lang w:val="en-US" w:eastAsia="zh-CN"/>
              </w:rPr>
              <w:t>①</w:t>
            </w:r>
            <w:r>
              <w:rPr>
                <w:color w:val="auto"/>
                <w:sz w:val="24"/>
                <w:u w:val="single"/>
              </w:rPr>
              <w:t>废润滑油</w:t>
            </w:r>
          </w:p>
          <w:p w14:paraId="4B8BB765">
            <w:pPr>
              <w:pStyle w:val="82"/>
              <w:rPr>
                <w:color w:val="auto"/>
                <w:sz w:val="24"/>
                <w:u w:val="single"/>
              </w:rPr>
            </w:pPr>
            <w:r>
              <w:rPr>
                <w:color w:val="auto"/>
                <w:sz w:val="24"/>
                <w:u w:val="single"/>
              </w:rPr>
              <w:t>设备维修需要使用润滑油，根据建设方提供的资料废润滑油的产生量约为0.01t/a，对照</w:t>
            </w:r>
            <w:r>
              <w:rPr>
                <w:rFonts w:hint="eastAsia"/>
                <w:color w:val="auto"/>
                <w:sz w:val="24"/>
                <w:u w:val="single"/>
              </w:rPr>
              <w:t>《国家危险废物名录》（2025年）</w:t>
            </w:r>
            <w:r>
              <w:rPr>
                <w:color w:val="auto"/>
                <w:sz w:val="24"/>
                <w:u w:val="single"/>
              </w:rPr>
              <w:t>，属于危险废物（类别HW08、代码</w:t>
            </w:r>
            <w:r>
              <w:rPr>
                <w:rFonts w:hint="eastAsia" w:ascii="Times New Roman" w:hAnsi="Times New Roman" w:eastAsia="宋体" w:cs="Times New Roman"/>
                <w:color w:val="auto"/>
                <w:sz w:val="24"/>
                <w:u w:val="single"/>
              </w:rPr>
              <w:t>900-21</w:t>
            </w:r>
            <w:r>
              <w:rPr>
                <w:rFonts w:hint="eastAsia" w:ascii="Times New Roman" w:hAnsi="Times New Roman" w:eastAsia="宋体" w:cs="Times New Roman"/>
                <w:color w:val="auto"/>
                <w:sz w:val="24"/>
                <w:u w:val="single"/>
                <w:lang w:val="en-US" w:eastAsia="zh-CN"/>
              </w:rPr>
              <w:t>7</w:t>
            </w:r>
            <w:r>
              <w:rPr>
                <w:rFonts w:hint="eastAsia" w:ascii="Times New Roman" w:hAnsi="Times New Roman" w:eastAsia="宋体" w:cs="Times New Roman"/>
                <w:color w:val="auto"/>
                <w:sz w:val="24"/>
                <w:u w:val="single"/>
              </w:rPr>
              <w:t>-08</w:t>
            </w:r>
            <w:r>
              <w:rPr>
                <w:rFonts w:ascii="Times New Roman" w:hAnsi="Times New Roman" w:eastAsia="宋体" w:cs="Times New Roman"/>
                <w:color w:val="auto"/>
                <w:sz w:val="24"/>
                <w:u w:val="single"/>
              </w:rPr>
              <w:t>）</w:t>
            </w:r>
            <w:r>
              <w:rPr>
                <w:color w:val="auto"/>
                <w:sz w:val="24"/>
                <w:u w:val="single"/>
              </w:rPr>
              <w:t>。</w:t>
            </w:r>
            <w:r>
              <w:rPr>
                <w:rFonts w:hint="eastAsia" w:ascii="Times New Roman" w:hAnsi="Times New Roman" w:eastAsia="宋体" w:cs="Times New Roman"/>
                <w:color w:val="auto"/>
                <w:sz w:val="24"/>
                <w:u w:val="single"/>
                <w:lang w:val="en-US" w:eastAsia="zh-CN"/>
              </w:rPr>
              <w:t>分类</w:t>
            </w:r>
            <w:r>
              <w:rPr>
                <w:rFonts w:ascii="Times New Roman" w:hAnsi="Times New Roman" w:eastAsia="宋体" w:cs="Times New Roman"/>
                <w:color w:val="auto"/>
                <w:sz w:val="24"/>
                <w:u w:val="single"/>
              </w:rPr>
              <w:t>暂存于危险废物暂存间，定期交</w:t>
            </w:r>
            <w:r>
              <w:rPr>
                <w:rFonts w:hint="eastAsia" w:ascii="Times New Roman" w:hAnsi="Times New Roman" w:eastAsia="宋体" w:cs="Times New Roman"/>
                <w:color w:val="auto"/>
                <w:sz w:val="24"/>
                <w:u w:val="single"/>
                <w:lang w:val="en-US" w:eastAsia="zh-CN"/>
              </w:rPr>
              <w:t>由</w:t>
            </w:r>
            <w:r>
              <w:rPr>
                <w:rFonts w:ascii="Times New Roman" w:hAnsi="Times New Roman" w:eastAsia="宋体" w:cs="Times New Roman"/>
                <w:color w:val="auto"/>
                <w:sz w:val="24"/>
                <w:u w:val="single"/>
              </w:rPr>
              <w:t>有资质单位处置。</w:t>
            </w:r>
          </w:p>
          <w:p w14:paraId="06097EF1">
            <w:pPr>
              <w:spacing w:line="360" w:lineRule="auto"/>
              <w:ind w:firstLine="480" w:firstLineChars="200"/>
              <w:rPr>
                <w:color w:val="auto"/>
                <w:sz w:val="24"/>
                <w:u w:val="single"/>
              </w:rPr>
            </w:pPr>
            <w:r>
              <w:rPr>
                <w:rFonts w:hint="eastAsia"/>
                <w:color w:val="auto"/>
                <w:sz w:val="24"/>
                <w:u w:val="single"/>
                <w:lang w:val="en-US" w:eastAsia="zh-CN"/>
              </w:rPr>
              <w:t>②</w:t>
            </w:r>
            <w:r>
              <w:rPr>
                <w:color w:val="auto"/>
                <w:sz w:val="24"/>
                <w:u w:val="single"/>
              </w:rPr>
              <w:t>含油抹布及手套</w:t>
            </w:r>
          </w:p>
          <w:p w14:paraId="6D2BC35E">
            <w:pPr>
              <w:pStyle w:val="82"/>
              <w:rPr>
                <w:color w:val="auto"/>
                <w:sz w:val="24"/>
                <w:u w:val="single"/>
              </w:rPr>
            </w:pPr>
            <w:r>
              <w:rPr>
                <w:color w:val="auto"/>
                <w:sz w:val="24"/>
                <w:u w:val="single"/>
              </w:rPr>
              <w:t>生产过程机器维护时对机器采用</w:t>
            </w:r>
            <w:r>
              <w:rPr>
                <w:rFonts w:hint="eastAsia"/>
                <w:color w:val="auto"/>
                <w:sz w:val="24"/>
                <w:u w:val="single"/>
              </w:rPr>
              <w:t>抹</w:t>
            </w:r>
            <w:r>
              <w:rPr>
                <w:color w:val="auto"/>
                <w:sz w:val="24"/>
                <w:u w:val="single"/>
              </w:rPr>
              <w:t>布进行清洁，工人将戴手套进行生产，手套上可能会沾有设备上的润滑油等，预计产生量为0.01t/a。根据</w:t>
            </w:r>
            <w:r>
              <w:rPr>
                <w:rFonts w:hint="eastAsia"/>
                <w:color w:val="auto"/>
                <w:sz w:val="24"/>
                <w:u w:val="single"/>
              </w:rPr>
              <w:t>《国家危险废物名录》（2025年）</w:t>
            </w:r>
            <w:r>
              <w:rPr>
                <w:color w:val="auto"/>
                <w:sz w:val="24"/>
                <w:u w:val="single"/>
              </w:rPr>
              <w:t>，含油抹布及手套属于危险废物，废物代码为HW08（</w:t>
            </w:r>
            <w:r>
              <w:rPr>
                <w:rFonts w:hint="eastAsia" w:ascii="Times New Roman" w:hAnsi="Times New Roman" w:eastAsia="宋体" w:cs="Times New Roman"/>
                <w:color w:val="auto"/>
                <w:sz w:val="24"/>
                <w:u w:val="single"/>
              </w:rPr>
              <w:t>900-041-49</w:t>
            </w:r>
            <w:r>
              <w:rPr>
                <w:rFonts w:ascii="Times New Roman" w:hAnsi="Times New Roman" w:eastAsia="宋体" w:cs="Times New Roman"/>
                <w:color w:val="auto"/>
                <w:sz w:val="24"/>
                <w:u w:val="single"/>
              </w:rPr>
              <w:t>）</w:t>
            </w:r>
            <w:r>
              <w:rPr>
                <w:color w:val="auto"/>
                <w:sz w:val="24"/>
                <w:u w:val="single"/>
              </w:rPr>
              <w:t>。</w:t>
            </w:r>
            <w:r>
              <w:rPr>
                <w:rFonts w:hint="eastAsia" w:ascii="Times New Roman" w:hAnsi="Times New Roman" w:eastAsia="宋体" w:cs="Times New Roman"/>
                <w:color w:val="auto"/>
                <w:sz w:val="24"/>
                <w:u w:val="single"/>
                <w:lang w:val="en-US" w:eastAsia="zh-CN"/>
              </w:rPr>
              <w:t>分类</w:t>
            </w:r>
            <w:r>
              <w:rPr>
                <w:rFonts w:ascii="Times New Roman" w:hAnsi="Times New Roman" w:eastAsia="宋体" w:cs="Times New Roman"/>
                <w:color w:val="auto"/>
                <w:sz w:val="24"/>
                <w:u w:val="single"/>
              </w:rPr>
              <w:t>暂存于危险废物暂存间，定期交</w:t>
            </w:r>
            <w:r>
              <w:rPr>
                <w:rFonts w:hint="eastAsia" w:ascii="Times New Roman" w:hAnsi="Times New Roman" w:eastAsia="宋体" w:cs="Times New Roman"/>
                <w:color w:val="auto"/>
                <w:sz w:val="24"/>
                <w:u w:val="single"/>
                <w:lang w:val="en-US" w:eastAsia="zh-CN"/>
              </w:rPr>
              <w:t>由</w:t>
            </w:r>
            <w:r>
              <w:rPr>
                <w:rFonts w:ascii="Times New Roman" w:hAnsi="Times New Roman" w:eastAsia="宋体" w:cs="Times New Roman"/>
                <w:color w:val="auto"/>
                <w:sz w:val="24"/>
                <w:u w:val="single"/>
              </w:rPr>
              <w:t>有资质单位处置。</w:t>
            </w:r>
          </w:p>
          <w:p w14:paraId="73739931">
            <w:pPr>
              <w:pStyle w:val="82"/>
              <w:keepNext w:val="0"/>
              <w:keepLines w:val="0"/>
              <w:pageBreakBefore w:val="0"/>
              <w:widowControl w:val="0"/>
              <w:kinsoku/>
              <w:wordWrap/>
              <w:overflowPunct/>
              <w:topLinePunct w:val="0"/>
              <w:autoSpaceDE/>
              <w:autoSpaceDN/>
              <w:bidi w:val="0"/>
              <w:adjustRightInd/>
              <w:snapToGrid/>
              <w:textAlignment w:val="auto"/>
              <w:rPr>
                <w:rFonts w:hint="eastAsia" w:eastAsia="宋体"/>
                <w:color w:val="FF0000"/>
                <w:sz w:val="24"/>
                <w:u w:val="single"/>
                <w:lang w:val="en-US" w:eastAsia="zh-CN"/>
              </w:rPr>
            </w:pPr>
            <w:r>
              <w:rPr>
                <w:rFonts w:hint="eastAsia"/>
                <w:color w:val="FF0000"/>
                <w:sz w:val="24"/>
                <w:u w:val="single"/>
              </w:rPr>
              <w:t>③</w:t>
            </w:r>
            <w:r>
              <w:rPr>
                <w:rFonts w:hint="eastAsia"/>
                <w:color w:val="FF0000"/>
                <w:sz w:val="24"/>
                <w:u w:val="single"/>
                <w:lang w:val="en-US" w:eastAsia="zh-CN"/>
              </w:rPr>
              <w:t>废活性炭</w:t>
            </w:r>
          </w:p>
          <w:p w14:paraId="3D77D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lang w:eastAsia="zh-CN"/>
              </w:rPr>
            </w:pPr>
            <w:r>
              <w:rPr>
                <w:rFonts w:hint="default" w:ascii="Times New Roman" w:hAnsi="Times New Roman" w:cs="Times New Roman"/>
                <w:color w:val="FF0000"/>
                <w:sz w:val="24"/>
                <w:u w:val="single"/>
                <w:lang w:val="en-US" w:eastAsia="zh-CN"/>
              </w:rPr>
              <w:t>本项目</w:t>
            </w:r>
            <w:r>
              <w:rPr>
                <w:rFonts w:hint="default" w:ascii="Times New Roman" w:hAnsi="Times New Roman" w:eastAsia="宋体" w:cs="Times New Roman"/>
                <w:color w:val="FF0000"/>
                <w:sz w:val="24"/>
                <w:u w:val="single"/>
                <w:lang w:val="en-US" w:eastAsia="zh-CN"/>
              </w:rPr>
              <w:t>使用</w:t>
            </w:r>
            <w:r>
              <w:rPr>
                <w:rFonts w:hint="eastAsia" w:ascii="Times New Roman" w:hAnsi="Times New Roman" w:eastAsia="宋体" w:cs="Times New Roman"/>
                <w:color w:val="FF0000"/>
                <w:sz w:val="24"/>
                <w:u w:val="single"/>
                <w:lang w:val="en-US" w:eastAsia="zh-CN"/>
              </w:rPr>
              <w:t>“</w:t>
            </w:r>
            <w:r>
              <w:rPr>
                <w:rFonts w:hint="default" w:ascii="Times New Roman" w:hAnsi="Times New Roman" w:eastAsia="宋体" w:cs="Times New Roman"/>
                <w:color w:val="FF0000"/>
                <w:sz w:val="24"/>
                <w:u w:val="single"/>
                <w:lang w:val="en-US" w:eastAsia="zh-CN"/>
              </w:rPr>
              <w:t>布袋除尘+活性炭</w:t>
            </w:r>
            <w:r>
              <w:rPr>
                <w:rFonts w:hint="eastAsia" w:ascii="Times New Roman" w:hAnsi="Times New Roman" w:eastAsia="宋体" w:cs="Times New Roman"/>
                <w:color w:val="FF0000"/>
                <w:sz w:val="24"/>
                <w:u w:val="single"/>
                <w:lang w:val="en-US" w:eastAsia="zh-CN"/>
              </w:rPr>
              <w:t>”</w:t>
            </w:r>
            <w:r>
              <w:rPr>
                <w:rFonts w:hint="default" w:ascii="Times New Roman" w:hAnsi="Times New Roman" w:eastAsia="宋体" w:cs="Times New Roman"/>
                <w:color w:val="FF0000"/>
                <w:sz w:val="24"/>
                <w:u w:val="single"/>
                <w:lang w:val="en-US" w:eastAsia="zh-CN"/>
              </w:rPr>
              <w:t>处理热风炉废气将产生废活性炭，活性炭对SO₂的有效吸附量</w:t>
            </w:r>
            <w:r>
              <w:rPr>
                <w:rFonts w:hint="eastAsia" w:ascii="Times New Roman" w:hAnsi="Times New Roman" w:eastAsia="宋体" w:cs="Times New Roman"/>
                <w:color w:val="FF0000"/>
                <w:sz w:val="24"/>
                <w:u w:val="single"/>
                <w:lang w:val="en-US" w:eastAsia="zh-CN"/>
              </w:rPr>
              <w:t>通常为</w:t>
            </w:r>
            <w:r>
              <w:rPr>
                <w:rFonts w:hint="default" w:ascii="Times New Roman" w:hAnsi="Times New Roman" w:eastAsia="宋体" w:cs="Times New Roman"/>
                <w:color w:val="FF0000"/>
                <w:sz w:val="24"/>
                <w:u w:val="single"/>
                <w:lang w:val="en-US" w:eastAsia="zh-CN"/>
              </w:rPr>
              <w:t>0.05~0.0</w:t>
            </w:r>
            <w:r>
              <w:rPr>
                <w:rFonts w:hint="eastAsia" w:ascii="Times New Roman" w:hAnsi="Times New Roman" w:eastAsia="宋体" w:cs="Times New Roman"/>
                <w:color w:val="FF0000"/>
                <w:sz w:val="24"/>
                <w:u w:val="single"/>
                <w:lang w:val="en-US" w:eastAsia="zh-CN"/>
              </w:rPr>
              <w:t>6</w:t>
            </w:r>
            <w:r>
              <w:rPr>
                <w:rFonts w:hint="default" w:ascii="Times New Roman" w:hAnsi="Times New Roman" w:eastAsia="宋体" w:cs="Times New Roman"/>
                <w:color w:val="FF0000"/>
                <w:sz w:val="24"/>
                <w:u w:val="single"/>
                <w:lang w:val="en-US" w:eastAsia="zh-CN"/>
              </w:rPr>
              <w:t>kg/kg</w:t>
            </w:r>
            <w:r>
              <w:rPr>
                <w:rFonts w:hint="eastAsia" w:ascii="Times New Roman" w:hAnsi="Times New Roman" w:eastAsia="宋体" w:cs="Times New Roman"/>
                <w:color w:val="FF0000"/>
                <w:sz w:val="24"/>
                <w:u w:val="single"/>
                <w:lang w:val="en-US" w:eastAsia="zh-CN"/>
              </w:rPr>
              <w:t>，本次环评</w:t>
            </w:r>
            <w:r>
              <w:rPr>
                <w:rFonts w:hint="default" w:ascii="Times New Roman" w:hAnsi="Times New Roman" w:eastAsia="宋体" w:cs="Times New Roman"/>
                <w:color w:val="FF0000"/>
                <w:sz w:val="24"/>
                <w:u w:val="single"/>
                <w:lang w:val="en-US" w:eastAsia="zh-CN"/>
              </w:rPr>
              <w:t>取0.05kgSO₂/kg活性炭</w:t>
            </w:r>
            <w:r>
              <w:rPr>
                <w:rFonts w:hint="eastAsia" w:ascii="Times New Roman" w:hAnsi="Times New Roman" w:eastAsia="宋体" w:cs="Times New Roman"/>
                <w:color w:val="FF0000"/>
                <w:sz w:val="24"/>
                <w:u w:val="single"/>
                <w:lang w:val="en-US" w:eastAsia="zh-CN"/>
              </w:rPr>
              <w:t>。本项目活性炭吸附装置对</w:t>
            </w:r>
            <w:r>
              <w:rPr>
                <w:rFonts w:hint="default" w:ascii="Times New Roman" w:hAnsi="Times New Roman" w:eastAsia="宋体" w:cs="Times New Roman"/>
                <w:color w:val="FF0000"/>
                <w:sz w:val="24"/>
                <w:u w:val="single"/>
                <w:lang w:val="en-US" w:eastAsia="zh-CN"/>
              </w:rPr>
              <w:t>热风炉废气</w:t>
            </w:r>
            <w:r>
              <w:rPr>
                <w:rFonts w:hint="eastAsia" w:ascii="Times New Roman" w:hAnsi="Times New Roman" w:eastAsia="宋体" w:cs="Times New Roman"/>
                <w:color w:val="FF0000"/>
                <w:sz w:val="24"/>
                <w:u w:val="single"/>
                <w:lang w:val="en-US" w:eastAsia="zh-CN"/>
              </w:rPr>
              <w:t>中</w:t>
            </w:r>
            <w:r>
              <w:rPr>
                <w:rFonts w:hint="default" w:ascii="Times New Roman" w:hAnsi="Times New Roman" w:eastAsia="宋体" w:cs="Times New Roman"/>
                <w:color w:val="FF0000"/>
                <w:sz w:val="24"/>
                <w:u w:val="single"/>
                <w:lang w:val="en-US" w:eastAsia="zh-CN"/>
              </w:rPr>
              <w:t>SO₂</w:t>
            </w:r>
            <w:r>
              <w:rPr>
                <w:rFonts w:hint="eastAsia" w:ascii="Times New Roman" w:hAnsi="Times New Roman" w:eastAsia="Times New Roman" w:cs="Times New Roman"/>
                <w:color w:val="FF0000"/>
                <w:sz w:val="24"/>
                <w:szCs w:val="24"/>
                <w:u w:val="single"/>
                <w:lang w:val="en-US" w:eastAsia="zh-CN"/>
              </w:rPr>
              <w:t>处理量约为0.464</w:t>
            </w:r>
            <w:r>
              <w:rPr>
                <w:rFonts w:ascii="Times New Roman" w:hAnsi="Times New Roman" w:eastAsia="宋体" w:cs="Times New Roman"/>
                <w:color w:val="FF0000"/>
                <w:sz w:val="24"/>
                <w:u w:val="single"/>
              </w:rPr>
              <w:t>t/a</w:t>
            </w:r>
            <w:r>
              <w:rPr>
                <w:rFonts w:hint="eastAsia" w:ascii="Times New Roman" w:hAnsi="Times New Roman" w:eastAsia="宋体" w:cs="Times New Roman"/>
                <w:color w:val="FF0000"/>
                <w:sz w:val="24"/>
                <w:u w:val="single"/>
                <w:lang w:eastAsia="zh-CN"/>
              </w:rPr>
              <w:t>，</w:t>
            </w:r>
            <w:r>
              <w:rPr>
                <w:rFonts w:hint="eastAsia" w:ascii="Times New Roman" w:hAnsi="Times New Roman" w:eastAsia="宋体" w:cs="Times New Roman"/>
                <w:color w:val="FF0000"/>
                <w:sz w:val="24"/>
                <w:u w:val="single"/>
                <w:lang w:val="en-US" w:eastAsia="zh-CN"/>
              </w:rPr>
              <w:t>则本项目需使用活性炭用量为9.28t/a。则本项目运营期</w:t>
            </w:r>
            <w:r>
              <w:rPr>
                <w:rFonts w:ascii="Times New Roman" w:hAnsi="Times New Roman" w:eastAsia="宋体" w:cs="Times New Roman"/>
                <w:color w:val="FF0000"/>
                <w:sz w:val="24"/>
                <w:u w:val="single"/>
              </w:rPr>
              <w:t>废活性炭产生量约</w:t>
            </w:r>
            <w:r>
              <w:rPr>
                <w:rFonts w:hint="eastAsia" w:ascii="Times New Roman" w:hAnsi="Times New Roman" w:eastAsia="宋体" w:cs="Times New Roman"/>
                <w:color w:val="FF0000"/>
                <w:sz w:val="24"/>
                <w:u w:val="single"/>
                <w:lang w:val="en-US" w:eastAsia="zh-CN"/>
              </w:rPr>
              <w:t>9.75</w:t>
            </w:r>
            <w:r>
              <w:rPr>
                <w:rFonts w:ascii="Times New Roman" w:hAnsi="Times New Roman" w:eastAsia="宋体" w:cs="Times New Roman"/>
                <w:color w:val="FF0000"/>
                <w:sz w:val="24"/>
                <w:u w:val="single"/>
              </w:rPr>
              <w:t>t/a（含吸附</w:t>
            </w:r>
            <w:r>
              <w:rPr>
                <w:rFonts w:hint="default" w:ascii="Times New Roman" w:hAnsi="Times New Roman" w:eastAsia="宋体" w:cs="Times New Roman"/>
                <w:color w:val="FF0000"/>
                <w:sz w:val="24"/>
                <w:u w:val="single"/>
                <w:lang w:val="en-US" w:eastAsia="zh-CN"/>
              </w:rPr>
              <w:t>SO₂</w:t>
            </w:r>
            <w:r>
              <w:rPr>
                <w:rFonts w:ascii="Times New Roman" w:hAnsi="Times New Roman" w:eastAsia="宋体" w:cs="Times New Roman"/>
                <w:color w:val="FF0000"/>
                <w:sz w:val="24"/>
                <w:u w:val="single"/>
              </w:rPr>
              <w:t>废气量）</w:t>
            </w:r>
            <w:r>
              <w:rPr>
                <w:rFonts w:hint="eastAsia" w:ascii="Times New Roman" w:hAnsi="Times New Roman" w:eastAsia="宋体" w:cs="Times New Roman"/>
                <w:color w:val="FF0000"/>
                <w:sz w:val="24"/>
                <w:u w:val="single"/>
                <w:lang w:eastAsia="zh-CN"/>
              </w:rPr>
              <w:t>。</w:t>
            </w:r>
            <w:r>
              <w:rPr>
                <w:rFonts w:hint="eastAsia" w:ascii="Times New Roman" w:hAnsi="Times New Roman" w:eastAsia="宋体" w:cs="Times New Roman"/>
                <w:color w:val="FF0000"/>
                <w:sz w:val="24"/>
                <w:u w:val="single"/>
                <w:lang w:val="en-US" w:eastAsia="zh-CN"/>
              </w:rPr>
              <w:t>分类</w:t>
            </w:r>
            <w:r>
              <w:rPr>
                <w:rFonts w:ascii="Times New Roman" w:hAnsi="Times New Roman" w:eastAsia="宋体" w:cs="Times New Roman"/>
                <w:color w:val="FF0000"/>
                <w:sz w:val="24"/>
                <w:u w:val="single"/>
              </w:rPr>
              <w:t>暂存于危险废物暂存间，定期交</w:t>
            </w:r>
            <w:r>
              <w:rPr>
                <w:rFonts w:hint="eastAsia" w:ascii="Times New Roman" w:hAnsi="Times New Roman" w:eastAsia="宋体" w:cs="Times New Roman"/>
                <w:color w:val="FF0000"/>
                <w:sz w:val="24"/>
                <w:u w:val="single"/>
                <w:lang w:val="en-US" w:eastAsia="zh-CN"/>
              </w:rPr>
              <w:t>由</w:t>
            </w:r>
            <w:r>
              <w:rPr>
                <w:rFonts w:ascii="Times New Roman" w:hAnsi="Times New Roman" w:eastAsia="宋体" w:cs="Times New Roman"/>
                <w:color w:val="FF0000"/>
                <w:sz w:val="24"/>
                <w:u w:val="single"/>
              </w:rPr>
              <w:t>有资质单位处置。</w:t>
            </w:r>
          </w:p>
          <w:p w14:paraId="51059C1B">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rPr>
              <w:t>表4-1</w:t>
            </w:r>
            <w:r>
              <w:rPr>
                <w:rFonts w:hint="eastAsia" w:cs="Times New Roman"/>
                <w:b/>
                <w:color w:val="auto"/>
                <w:sz w:val="24"/>
                <w:szCs w:val="24"/>
                <w:u w:val="none"/>
                <w:lang w:val="en-US" w:eastAsia="zh-CN"/>
              </w:rPr>
              <w:t>6</w:t>
            </w:r>
            <w:r>
              <w:rPr>
                <w:rFonts w:hint="default" w:ascii="Times New Roman" w:hAnsi="Times New Roman" w:cs="Times New Roman"/>
                <w:b/>
                <w:color w:val="auto"/>
                <w:sz w:val="24"/>
                <w:szCs w:val="24"/>
                <w:u w:val="none"/>
              </w:rPr>
              <w:t xml:space="preserve">   </w:t>
            </w:r>
            <w:r>
              <w:rPr>
                <w:rFonts w:hint="eastAsia" w:ascii="Times New Roman" w:hAnsi="Times New Roman" w:cs="Times New Roman"/>
                <w:b/>
                <w:color w:val="auto"/>
                <w:sz w:val="24"/>
                <w:szCs w:val="24"/>
                <w:u w:val="none"/>
                <w:lang w:val="en-US" w:eastAsia="zh-CN"/>
              </w:rPr>
              <w:t>本项目</w:t>
            </w:r>
            <w:r>
              <w:rPr>
                <w:rFonts w:hint="default" w:ascii="Times New Roman" w:hAnsi="Times New Roman" w:cs="Times New Roman"/>
                <w:b/>
                <w:color w:val="auto"/>
                <w:sz w:val="24"/>
                <w:szCs w:val="24"/>
                <w:u w:val="none"/>
              </w:rPr>
              <w:t>固体废物汇总表</w:t>
            </w:r>
          </w:p>
          <w:tbl>
            <w:tblPr>
              <w:tblStyle w:val="32"/>
              <w:tblW w:w="4997"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694"/>
              <w:gridCol w:w="1464"/>
              <w:gridCol w:w="1229"/>
              <w:gridCol w:w="1065"/>
              <w:gridCol w:w="1338"/>
              <w:gridCol w:w="1918"/>
            </w:tblGrid>
            <w:tr w14:paraId="58AF2058">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vAlign w:val="center"/>
                </w:tcPr>
                <w:p w14:paraId="63231692">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序号</w:t>
                  </w:r>
                </w:p>
              </w:tc>
              <w:tc>
                <w:tcPr>
                  <w:tcW w:w="949" w:type="pct"/>
                  <w:vAlign w:val="center"/>
                </w:tcPr>
                <w:p w14:paraId="2021BEA1">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名称</w:t>
                  </w:r>
                </w:p>
              </w:tc>
              <w:tc>
                <w:tcPr>
                  <w:tcW w:w="797" w:type="pct"/>
                  <w:vAlign w:val="center"/>
                </w:tcPr>
                <w:p w14:paraId="06B102A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产生量（t/a）</w:t>
                  </w:r>
                </w:p>
              </w:tc>
              <w:tc>
                <w:tcPr>
                  <w:tcW w:w="690" w:type="pct"/>
                  <w:vAlign w:val="center"/>
                </w:tcPr>
                <w:p w14:paraId="23E83929">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类型</w:t>
                  </w:r>
                </w:p>
              </w:tc>
              <w:tc>
                <w:tcPr>
                  <w:tcW w:w="867" w:type="pct"/>
                  <w:vAlign w:val="center"/>
                </w:tcPr>
                <w:p w14:paraId="7C6C31D3">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sz w:val="21"/>
                      <w:szCs w:val="21"/>
                      <w:u w:val="none"/>
                      <w:lang w:eastAsia="zh-CN"/>
                    </w:rPr>
                  </w:pPr>
                  <w:r>
                    <w:rPr>
                      <w:rFonts w:hint="eastAsia" w:ascii="Times New Roman" w:hAnsi="Times New Roman" w:cs="Times New Roman"/>
                      <w:snapToGrid w:val="0"/>
                      <w:color w:val="auto"/>
                      <w:sz w:val="21"/>
                      <w:szCs w:val="21"/>
                      <w:u w:val="none"/>
                      <w:lang w:eastAsia="zh-CN"/>
                    </w:rPr>
                    <w:t>固废代码</w:t>
                  </w:r>
                </w:p>
              </w:tc>
              <w:tc>
                <w:tcPr>
                  <w:tcW w:w="1244" w:type="pct"/>
                  <w:vAlign w:val="center"/>
                </w:tcPr>
                <w:p w14:paraId="3580167D">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处置方式</w:t>
                  </w:r>
                </w:p>
              </w:tc>
            </w:tr>
            <w:tr w14:paraId="081B4FB1">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vAlign w:val="center"/>
                </w:tcPr>
                <w:p w14:paraId="020F5E5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1</w:t>
                  </w:r>
                </w:p>
              </w:tc>
              <w:tc>
                <w:tcPr>
                  <w:tcW w:w="949" w:type="pct"/>
                  <w:vAlign w:val="center"/>
                </w:tcPr>
                <w:p w14:paraId="0EEC6F39">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lang w:eastAsia="zh-CN"/>
                    </w:rPr>
                  </w:pPr>
                  <w:r>
                    <w:rPr>
                      <w:rFonts w:hint="default" w:ascii="Times New Roman" w:hAnsi="Times New Roman" w:cs="Times New Roman"/>
                      <w:snapToGrid w:val="0"/>
                      <w:color w:val="auto"/>
                      <w:sz w:val="21"/>
                      <w:szCs w:val="21"/>
                      <w:u w:val="none"/>
                      <w:lang w:eastAsia="zh-CN"/>
                    </w:rPr>
                    <w:t>生活垃圾</w:t>
                  </w:r>
                </w:p>
              </w:tc>
              <w:tc>
                <w:tcPr>
                  <w:tcW w:w="797" w:type="pct"/>
                  <w:vAlign w:val="center"/>
                </w:tcPr>
                <w:p w14:paraId="5EC6CAD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sz w:val="21"/>
                      <w:szCs w:val="21"/>
                      <w:u w:val="none"/>
                      <w:lang w:val="en-US" w:eastAsia="zh-CN"/>
                    </w:rPr>
                  </w:pPr>
                  <w:r>
                    <w:rPr>
                      <w:rFonts w:hint="eastAsia" w:cs="Times New Roman"/>
                      <w:snapToGrid w:val="0"/>
                      <w:color w:val="auto"/>
                      <w:sz w:val="21"/>
                      <w:szCs w:val="21"/>
                      <w:u w:val="none"/>
                      <w:lang w:val="en-US" w:eastAsia="zh-CN"/>
                    </w:rPr>
                    <w:t>0.3</w:t>
                  </w:r>
                </w:p>
              </w:tc>
              <w:tc>
                <w:tcPr>
                  <w:tcW w:w="690" w:type="pct"/>
                  <w:vAlign w:val="center"/>
                </w:tcPr>
                <w:p w14:paraId="42C4449D">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生活垃圾</w:t>
                  </w:r>
                </w:p>
              </w:tc>
              <w:tc>
                <w:tcPr>
                  <w:tcW w:w="867" w:type="pct"/>
                  <w:vAlign w:val="center"/>
                </w:tcPr>
                <w:p w14:paraId="1375494F">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w:t>
                  </w:r>
                </w:p>
              </w:tc>
              <w:tc>
                <w:tcPr>
                  <w:tcW w:w="1244" w:type="pct"/>
                  <w:vAlign w:val="center"/>
                </w:tcPr>
                <w:p w14:paraId="10093C8C">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交由环卫部门处理</w:t>
                  </w:r>
                </w:p>
              </w:tc>
            </w:tr>
            <w:tr w14:paraId="6BA736A9">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vAlign w:val="center"/>
                </w:tcPr>
                <w:p w14:paraId="35818D34">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2</w:t>
                  </w:r>
                </w:p>
              </w:tc>
              <w:tc>
                <w:tcPr>
                  <w:tcW w:w="949" w:type="pct"/>
                  <w:vAlign w:val="center"/>
                </w:tcPr>
                <w:p w14:paraId="06B8A448">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cs="Times New Roman"/>
                      <w:snapToGrid w:val="0"/>
                      <w:color w:val="auto"/>
                      <w:sz w:val="21"/>
                      <w:szCs w:val="21"/>
                      <w:u w:val="none"/>
                      <w:lang w:eastAsia="zh-CN"/>
                    </w:rPr>
                  </w:pPr>
                  <w:r>
                    <w:rPr>
                      <w:rFonts w:hint="eastAsia" w:ascii="Times New Roman" w:hAnsi="Times New Roman" w:cs="Times New Roman"/>
                      <w:snapToGrid w:val="0"/>
                      <w:color w:val="auto"/>
                      <w:sz w:val="21"/>
                      <w:szCs w:val="21"/>
                      <w:u w:val="none"/>
                      <w:lang w:eastAsia="zh-CN"/>
                    </w:rPr>
                    <w:t>废包装袋</w:t>
                  </w:r>
                </w:p>
              </w:tc>
              <w:tc>
                <w:tcPr>
                  <w:tcW w:w="797" w:type="pct"/>
                  <w:vAlign w:val="center"/>
                </w:tcPr>
                <w:p w14:paraId="7AFBE518">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sz w:val="21"/>
                      <w:szCs w:val="21"/>
                      <w:u w:val="none"/>
                      <w:lang w:val="en-US" w:eastAsia="zh-CN"/>
                    </w:rPr>
                  </w:pPr>
                  <w:r>
                    <w:rPr>
                      <w:rFonts w:hint="eastAsia" w:cs="Times New Roman"/>
                      <w:snapToGrid w:val="0"/>
                      <w:color w:val="auto"/>
                      <w:sz w:val="21"/>
                      <w:szCs w:val="21"/>
                      <w:u w:val="none"/>
                      <w:lang w:val="en-US" w:eastAsia="zh-CN"/>
                    </w:rPr>
                    <w:t>2.8</w:t>
                  </w:r>
                </w:p>
              </w:tc>
              <w:tc>
                <w:tcPr>
                  <w:tcW w:w="690" w:type="pct"/>
                  <w:vAlign w:val="center"/>
                </w:tcPr>
                <w:p w14:paraId="3F8A2223">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一般固废</w:t>
                  </w:r>
                </w:p>
              </w:tc>
              <w:tc>
                <w:tcPr>
                  <w:tcW w:w="867" w:type="pct"/>
                  <w:vAlign w:val="center"/>
                </w:tcPr>
                <w:p w14:paraId="0719D18C">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900-003-S17</w:t>
                  </w:r>
                </w:p>
              </w:tc>
              <w:tc>
                <w:tcPr>
                  <w:tcW w:w="1244" w:type="pct"/>
                  <w:vMerge w:val="restart"/>
                  <w:vAlign w:val="center"/>
                </w:tcPr>
                <w:p w14:paraId="1B907F4D">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sz w:val="21"/>
                      <w:szCs w:val="21"/>
                      <w:u w:val="none"/>
                    </w:rPr>
                  </w:pPr>
                  <w:r>
                    <w:rPr>
                      <w:rFonts w:hint="eastAsia" w:ascii="Times New Roman" w:hAnsi="Times New Roman" w:eastAsia="宋体" w:cs="Times New Roman"/>
                      <w:snapToGrid w:val="0"/>
                      <w:color w:val="auto"/>
                      <w:sz w:val="21"/>
                      <w:szCs w:val="21"/>
                      <w:u w:val="none"/>
                      <w:lang w:val="en-US" w:eastAsia="zh-CN"/>
                    </w:rPr>
                    <w:t>外售交给物资回收公司处理</w:t>
                  </w:r>
                </w:p>
              </w:tc>
            </w:tr>
            <w:tr w14:paraId="4C915C3D">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vAlign w:val="center"/>
                </w:tcPr>
                <w:p w14:paraId="41A95224">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3</w:t>
                  </w:r>
                </w:p>
              </w:tc>
              <w:tc>
                <w:tcPr>
                  <w:tcW w:w="949" w:type="pct"/>
                  <w:vAlign w:val="center"/>
                </w:tcPr>
                <w:p w14:paraId="6D6C9686">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cs="Times New Roman"/>
                      <w:snapToGrid w:val="0"/>
                      <w:color w:val="auto"/>
                      <w:sz w:val="21"/>
                      <w:szCs w:val="21"/>
                      <w:u w:val="none"/>
                      <w:lang w:eastAsia="zh-CN"/>
                    </w:rPr>
                  </w:pPr>
                  <w:r>
                    <w:rPr>
                      <w:rFonts w:hint="eastAsia" w:ascii="Times New Roman" w:hAnsi="Times New Roman" w:cs="Times New Roman"/>
                      <w:snapToGrid w:val="0"/>
                      <w:color w:val="auto"/>
                      <w:sz w:val="21"/>
                      <w:szCs w:val="21"/>
                      <w:u w:val="none"/>
                      <w:lang w:eastAsia="zh-CN"/>
                    </w:rPr>
                    <w:t>筛选废弃叶子、树枝</w:t>
                  </w:r>
                </w:p>
              </w:tc>
              <w:tc>
                <w:tcPr>
                  <w:tcW w:w="797" w:type="pct"/>
                  <w:vAlign w:val="center"/>
                </w:tcPr>
                <w:p w14:paraId="3CC5C211">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sz w:val="21"/>
                      <w:szCs w:val="21"/>
                      <w:u w:val="none"/>
                      <w:lang w:val="en-US" w:eastAsia="zh-CN"/>
                    </w:rPr>
                  </w:pPr>
                  <w:r>
                    <w:rPr>
                      <w:rFonts w:hint="eastAsia" w:cs="Times New Roman"/>
                      <w:snapToGrid w:val="0"/>
                      <w:color w:val="auto"/>
                      <w:sz w:val="21"/>
                      <w:szCs w:val="21"/>
                      <w:u w:val="none"/>
                      <w:lang w:val="en-US" w:eastAsia="zh-CN"/>
                    </w:rPr>
                    <w:t>7</w:t>
                  </w:r>
                </w:p>
              </w:tc>
              <w:tc>
                <w:tcPr>
                  <w:tcW w:w="690" w:type="pct"/>
                  <w:vAlign w:val="center"/>
                </w:tcPr>
                <w:p w14:paraId="18713E23">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rPr>
                  </w:pPr>
                  <w:r>
                    <w:rPr>
                      <w:rFonts w:hint="default" w:ascii="Times New Roman" w:hAnsi="Times New Roman" w:cs="Times New Roman"/>
                      <w:snapToGrid w:val="0"/>
                      <w:color w:val="auto"/>
                      <w:sz w:val="21"/>
                      <w:szCs w:val="21"/>
                      <w:u w:val="none"/>
                    </w:rPr>
                    <w:t>一般固废</w:t>
                  </w:r>
                </w:p>
              </w:tc>
              <w:tc>
                <w:tcPr>
                  <w:tcW w:w="867" w:type="pct"/>
                  <w:vAlign w:val="center"/>
                </w:tcPr>
                <w:p w14:paraId="43080B1E">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sz w:val="21"/>
                      <w:szCs w:val="21"/>
                      <w:u w:val="none"/>
                    </w:rPr>
                  </w:pPr>
                  <w:r>
                    <w:rPr>
                      <w:rFonts w:hint="default" w:ascii="Times New Roman" w:hAnsi="Times New Roman" w:eastAsia="宋体" w:cs="Times New Roman"/>
                      <w:snapToGrid w:val="0"/>
                      <w:color w:val="auto"/>
                      <w:sz w:val="21"/>
                      <w:szCs w:val="21"/>
                      <w:u w:val="none"/>
                    </w:rPr>
                    <w:t>900-009-S17</w:t>
                  </w:r>
                </w:p>
              </w:tc>
              <w:tc>
                <w:tcPr>
                  <w:tcW w:w="1244" w:type="pct"/>
                  <w:vMerge w:val="continue"/>
                  <w:vAlign w:val="center"/>
                </w:tcPr>
                <w:p w14:paraId="79B8EC43">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sz w:val="21"/>
                      <w:szCs w:val="21"/>
                      <w:u w:val="none"/>
                    </w:rPr>
                  </w:pPr>
                </w:p>
              </w:tc>
            </w:tr>
            <w:tr w14:paraId="4E5BCF6F">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vAlign w:val="center"/>
                </w:tcPr>
                <w:p w14:paraId="54DC10D8">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sz w:val="21"/>
                      <w:szCs w:val="21"/>
                      <w:u w:val="none"/>
                      <w:lang w:val="en-US" w:eastAsia="zh-CN"/>
                    </w:rPr>
                  </w:pPr>
                  <w:r>
                    <w:rPr>
                      <w:rFonts w:hint="eastAsia" w:ascii="Times New Roman" w:hAnsi="Times New Roman" w:cs="Times New Roman"/>
                      <w:snapToGrid w:val="0"/>
                      <w:color w:val="auto"/>
                      <w:sz w:val="21"/>
                      <w:szCs w:val="21"/>
                      <w:u w:val="none"/>
                      <w:lang w:val="en-US" w:eastAsia="zh-CN"/>
                    </w:rPr>
                    <w:t>4</w:t>
                  </w:r>
                </w:p>
              </w:tc>
              <w:tc>
                <w:tcPr>
                  <w:tcW w:w="949" w:type="pct"/>
                  <w:shd w:val="clear" w:color="auto" w:fill="auto"/>
                  <w:vAlign w:val="center"/>
                </w:tcPr>
                <w:p w14:paraId="23F1BF30">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0"/>
                      <w:sz w:val="21"/>
                      <w:szCs w:val="21"/>
                      <w:u w:val="none"/>
                      <w:lang w:val="en-US" w:eastAsia="zh-CN" w:bidi="ar-SA"/>
                    </w:rPr>
                  </w:pPr>
                  <w:r>
                    <w:rPr>
                      <w:rFonts w:hint="eastAsia" w:ascii="Times New Roman" w:hAnsi="Times New Roman" w:cs="Times New Roman"/>
                      <w:snapToGrid w:val="0"/>
                      <w:color w:val="auto"/>
                      <w:sz w:val="21"/>
                      <w:szCs w:val="21"/>
                      <w:u w:val="none"/>
                      <w:lang w:eastAsia="zh-CN"/>
                    </w:rPr>
                    <w:t>灰渣</w:t>
                  </w:r>
                </w:p>
              </w:tc>
              <w:tc>
                <w:tcPr>
                  <w:tcW w:w="797" w:type="pct"/>
                  <w:shd w:val="clear" w:color="auto" w:fill="auto"/>
                  <w:vAlign w:val="center"/>
                </w:tcPr>
                <w:p w14:paraId="600A0C9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val="en-US" w:eastAsia="zh-CN"/>
                    </w:rPr>
                    <w:t>81.66</w:t>
                  </w:r>
                </w:p>
              </w:tc>
              <w:tc>
                <w:tcPr>
                  <w:tcW w:w="690" w:type="pct"/>
                  <w:shd w:val="clear" w:color="auto" w:fill="auto"/>
                  <w:vAlign w:val="center"/>
                </w:tcPr>
                <w:p w14:paraId="4D093D8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eastAsia="zh-CN"/>
                    </w:rPr>
                    <w:t>一般固废</w:t>
                  </w:r>
                </w:p>
              </w:tc>
              <w:tc>
                <w:tcPr>
                  <w:tcW w:w="867" w:type="pct"/>
                  <w:shd w:val="clear" w:color="auto" w:fill="auto"/>
                  <w:vAlign w:val="center"/>
                </w:tcPr>
                <w:p w14:paraId="3BC165C2">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val="en-US" w:eastAsia="zh-CN"/>
                    </w:rPr>
                    <w:t>900-099-S59</w:t>
                  </w:r>
                </w:p>
              </w:tc>
              <w:tc>
                <w:tcPr>
                  <w:tcW w:w="1244" w:type="pct"/>
                  <w:vMerge w:val="continue"/>
                  <w:shd w:val="clear" w:color="auto" w:fill="auto"/>
                  <w:vAlign w:val="center"/>
                </w:tcPr>
                <w:p w14:paraId="4E4F3647">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0"/>
                      <w:sz w:val="21"/>
                      <w:szCs w:val="21"/>
                      <w:u w:val="none"/>
                      <w:lang w:val="en-US" w:eastAsia="zh-CN" w:bidi="ar-SA"/>
                    </w:rPr>
                  </w:pPr>
                </w:p>
              </w:tc>
            </w:tr>
            <w:tr w14:paraId="79D61FF2">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shd w:val="clear" w:color="auto" w:fill="auto"/>
                  <w:vAlign w:val="center"/>
                </w:tcPr>
                <w:p w14:paraId="70B6A93F">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val="en-US" w:eastAsia="zh-CN"/>
                    </w:rPr>
                    <w:t>5</w:t>
                  </w:r>
                </w:p>
              </w:tc>
              <w:tc>
                <w:tcPr>
                  <w:tcW w:w="949" w:type="pct"/>
                  <w:shd w:val="clear" w:color="auto" w:fill="auto"/>
                  <w:vAlign w:val="center"/>
                </w:tcPr>
                <w:p w14:paraId="4F2CA018">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ascii="Times New Roman" w:hAnsi="Times New Roman" w:cs="Times New Roman"/>
                      <w:snapToGrid w:val="0"/>
                      <w:color w:val="auto"/>
                      <w:sz w:val="21"/>
                      <w:szCs w:val="21"/>
                      <w:u w:val="none"/>
                      <w:lang w:val="en-US" w:eastAsia="zh-CN"/>
                    </w:rPr>
                    <w:t>沉淀池沉渣</w:t>
                  </w:r>
                </w:p>
              </w:tc>
              <w:tc>
                <w:tcPr>
                  <w:tcW w:w="797" w:type="pct"/>
                  <w:shd w:val="clear" w:color="auto" w:fill="auto"/>
                  <w:vAlign w:val="center"/>
                </w:tcPr>
                <w:p w14:paraId="6F30948F">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val="en-US" w:eastAsia="zh-CN"/>
                    </w:rPr>
                    <w:t>33.33</w:t>
                  </w:r>
                </w:p>
              </w:tc>
              <w:tc>
                <w:tcPr>
                  <w:tcW w:w="690" w:type="pct"/>
                  <w:shd w:val="clear" w:color="auto" w:fill="auto"/>
                  <w:vAlign w:val="center"/>
                </w:tcPr>
                <w:p w14:paraId="3840AE8E">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eastAsia="zh-CN"/>
                    </w:rPr>
                    <w:t>一般固废</w:t>
                  </w:r>
                </w:p>
              </w:tc>
              <w:tc>
                <w:tcPr>
                  <w:tcW w:w="867" w:type="pct"/>
                  <w:shd w:val="clear" w:color="auto" w:fill="auto"/>
                  <w:vAlign w:val="center"/>
                </w:tcPr>
                <w:p w14:paraId="73771C8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val="en-US" w:eastAsia="zh-CN"/>
                    </w:rPr>
                    <w:t>900-099-S07</w:t>
                  </w:r>
                </w:p>
              </w:tc>
              <w:tc>
                <w:tcPr>
                  <w:tcW w:w="1244" w:type="pct"/>
                  <w:vMerge w:val="continue"/>
                  <w:shd w:val="clear" w:color="auto" w:fill="auto"/>
                  <w:vAlign w:val="center"/>
                </w:tcPr>
                <w:p w14:paraId="440E67B3">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0"/>
                      <w:sz w:val="21"/>
                      <w:szCs w:val="21"/>
                      <w:u w:val="none"/>
                      <w:lang w:val="en-US" w:eastAsia="zh-CN" w:bidi="ar-SA"/>
                    </w:rPr>
                  </w:pPr>
                </w:p>
              </w:tc>
            </w:tr>
            <w:tr w14:paraId="788183C6">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shd w:val="clear" w:color="auto" w:fill="auto"/>
                  <w:vAlign w:val="center"/>
                </w:tcPr>
                <w:p w14:paraId="04453161">
                  <w:pPr>
                    <w:pStyle w:val="136"/>
                    <w:rPr>
                      <w:rFonts w:hint="eastAsia"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6</w:t>
                  </w:r>
                </w:p>
              </w:tc>
              <w:tc>
                <w:tcPr>
                  <w:tcW w:w="949" w:type="pct"/>
                  <w:shd w:val="clear" w:color="auto" w:fill="auto"/>
                  <w:vAlign w:val="center"/>
                </w:tcPr>
                <w:p w14:paraId="5FFA2BB5">
                  <w:pPr>
                    <w:pStyle w:val="136"/>
                    <w:rPr>
                      <w:rFonts w:hint="eastAsia"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废离子交换树脂</w:t>
                  </w:r>
                </w:p>
              </w:tc>
              <w:tc>
                <w:tcPr>
                  <w:tcW w:w="797" w:type="pct"/>
                  <w:shd w:val="clear" w:color="auto" w:fill="auto"/>
                  <w:vAlign w:val="center"/>
                </w:tcPr>
                <w:p w14:paraId="63B75728">
                  <w:pPr>
                    <w:pStyle w:val="136"/>
                    <w:rPr>
                      <w:rFonts w:hint="default"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0.4</w:t>
                  </w:r>
                </w:p>
              </w:tc>
              <w:tc>
                <w:tcPr>
                  <w:tcW w:w="690" w:type="pct"/>
                  <w:shd w:val="clear" w:color="auto" w:fill="auto"/>
                  <w:vAlign w:val="center"/>
                </w:tcPr>
                <w:p w14:paraId="33120C11">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cs="Times New Roman"/>
                      <w:snapToGrid w:val="0"/>
                      <w:color w:val="auto"/>
                      <w:sz w:val="21"/>
                      <w:szCs w:val="21"/>
                      <w:u w:val="single"/>
                      <w:lang w:eastAsia="zh-CN"/>
                    </w:rPr>
                  </w:pPr>
                  <w:r>
                    <w:rPr>
                      <w:rFonts w:hint="eastAsia" w:cs="Times New Roman"/>
                      <w:snapToGrid w:val="0"/>
                      <w:color w:val="auto"/>
                      <w:sz w:val="21"/>
                      <w:szCs w:val="21"/>
                      <w:u w:val="single"/>
                      <w:lang w:eastAsia="zh-CN"/>
                    </w:rPr>
                    <w:t>一般固废</w:t>
                  </w:r>
                </w:p>
              </w:tc>
              <w:tc>
                <w:tcPr>
                  <w:tcW w:w="867" w:type="pct"/>
                  <w:shd w:val="clear" w:color="auto" w:fill="auto"/>
                  <w:vAlign w:val="center"/>
                </w:tcPr>
                <w:p w14:paraId="0DA47866">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cs="Times New Roman"/>
                      <w:snapToGrid w:val="0"/>
                      <w:color w:val="auto"/>
                      <w:sz w:val="21"/>
                      <w:szCs w:val="21"/>
                      <w:u w:val="single"/>
                      <w:lang w:val="en-US" w:eastAsia="zh-CN"/>
                    </w:rPr>
                  </w:pPr>
                  <w:r>
                    <w:rPr>
                      <w:rFonts w:hint="default" w:ascii="Times New Roman" w:hAnsi="Times New Roman" w:cs="Times New Roman"/>
                      <w:snapToGrid w:val="0"/>
                      <w:color w:val="auto"/>
                      <w:sz w:val="21"/>
                      <w:szCs w:val="21"/>
                      <w:u w:val="single"/>
                    </w:rPr>
                    <w:t>900-009-S59</w:t>
                  </w:r>
                </w:p>
              </w:tc>
              <w:tc>
                <w:tcPr>
                  <w:tcW w:w="1244" w:type="pct"/>
                  <w:vMerge w:val="continue"/>
                  <w:shd w:val="clear" w:color="auto" w:fill="auto"/>
                  <w:vAlign w:val="center"/>
                </w:tcPr>
                <w:p w14:paraId="50F77AA8">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sz w:val="21"/>
                      <w:szCs w:val="21"/>
                      <w:u w:val="none"/>
                      <w:lang w:val="en-US" w:eastAsia="zh-CN"/>
                    </w:rPr>
                  </w:pPr>
                </w:p>
              </w:tc>
            </w:tr>
            <w:tr w14:paraId="07DC5C35">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shd w:val="clear" w:color="auto" w:fill="auto"/>
                  <w:vAlign w:val="center"/>
                </w:tcPr>
                <w:p w14:paraId="7B8064A5">
                  <w:pPr>
                    <w:pStyle w:val="136"/>
                    <w:rPr>
                      <w:rFonts w:hint="default" w:ascii="Times New Roman" w:hAnsi="Times New Roman" w:eastAsia="宋体" w:cs="Times New Roman"/>
                      <w:color w:val="auto"/>
                      <w:kern w:val="2"/>
                      <w:sz w:val="21"/>
                      <w:szCs w:val="21"/>
                      <w:u w:val="single"/>
                      <w:lang w:val="en-US" w:eastAsia="zh-CN" w:bidi="ar-SA"/>
                    </w:rPr>
                  </w:pPr>
                  <w:r>
                    <w:rPr>
                      <w:rFonts w:hint="eastAsia" w:cs="Times New Roman"/>
                      <w:color w:val="auto"/>
                      <w:kern w:val="2"/>
                      <w:sz w:val="21"/>
                      <w:szCs w:val="21"/>
                      <w:u w:val="single"/>
                      <w:lang w:val="en-US" w:eastAsia="zh-CN" w:bidi="ar-SA"/>
                    </w:rPr>
                    <w:t>7</w:t>
                  </w:r>
                </w:p>
              </w:tc>
              <w:tc>
                <w:tcPr>
                  <w:tcW w:w="949" w:type="pct"/>
                  <w:shd w:val="clear" w:color="auto" w:fill="auto"/>
                  <w:vAlign w:val="center"/>
                </w:tcPr>
                <w:p w14:paraId="08976AE8">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废润滑油</w:t>
                  </w:r>
                </w:p>
              </w:tc>
              <w:tc>
                <w:tcPr>
                  <w:tcW w:w="797" w:type="pct"/>
                  <w:shd w:val="clear" w:color="auto" w:fill="auto"/>
                  <w:vAlign w:val="center"/>
                </w:tcPr>
                <w:p w14:paraId="5E274EB2">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0.01</w:t>
                  </w:r>
                </w:p>
              </w:tc>
              <w:tc>
                <w:tcPr>
                  <w:tcW w:w="690" w:type="pct"/>
                  <w:shd w:val="clear" w:color="auto" w:fill="auto"/>
                  <w:vAlign w:val="center"/>
                </w:tcPr>
                <w:p w14:paraId="6991F9F4">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危险废物</w:t>
                  </w:r>
                </w:p>
              </w:tc>
              <w:tc>
                <w:tcPr>
                  <w:tcW w:w="867" w:type="pct"/>
                  <w:shd w:val="clear" w:color="auto" w:fill="auto"/>
                  <w:vAlign w:val="center"/>
                </w:tcPr>
                <w:p w14:paraId="32827942">
                  <w:pPr>
                    <w:pStyle w:val="136"/>
                    <w:rPr>
                      <w:rFonts w:hint="eastAsia"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auto"/>
                      <w:szCs w:val="21"/>
                      <w:u w:val="single"/>
                    </w:rPr>
                    <w:t>900-217-08</w:t>
                  </w:r>
                </w:p>
              </w:tc>
              <w:tc>
                <w:tcPr>
                  <w:tcW w:w="1244" w:type="pct"/>
                  <w:vMerge w:val="restart"/>
                  <w:shd w:val="clear" w:color="auto" w:fill="auto"/>
                  <w:vAlign w:val="center"/>
                </w:tcPr>
                <w:p w14:paraId="0811A4E8">
                  <w:pPr>
                    <w:pStyle w:val="136"/>
                    <w:rPr>
                      <w:rFonts w:hint="default"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FF0000"/>
                      <w:sz w:val="21"/>
                      <w:szCs w:val="21"/>
                      <w:u w:val="single"/>
                      <w:lang w:val="en-US" w:eastAsia="zh-CN"/>
                    </w:rPr>
                    <w:t>分类暂存于危险废物暂存间，定期交由有资质单位处置</w:t>
                  </w:r>
                </w:p>
              </w:tc>
            </w:tr>
            <w:tr w14:paraId="0F61EA37">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shd w:val="clear" w:color="auto" w:fill="auto"/>
                  <w:vAlign w:val="center"/>
                </w:tcPr>
                <w:p w14:paraId="37680919">
                  <w:pPr>
                    <w:pStyle w:val="136"/>
                    <w:rPr>
                      <w:rFonts w:hint="default" w:ascii="Times New Roman" w:hAnsi="Times New Roman" w:eastAsia="宋体" w:cs="Times New Roman"/>
                      <w:color w:val="auto"/>
                      <w:kern w:val="2"/>
                      <w:sz w:val="21"/>
                      <w:szCs w:val="21"/>
                      <w:u w:val="single"/>
                      <w:lang w:val="en-US" w:eastAsia="zh-CN" w:bidi="ar-SA"/>
                    </w:rPr>
                  </w:pPr>
                  <w:r>
                    <w:rPr>
                      <w:rFonts w:hint="eastAsia" w:cs="Times New Roman"/>
                      <w:color w:val="auto"/>
                      <w:kern w:val="2"/>
                      <w:sz w:val="21"/>
                      <w:szCs w:val="21"/>
                      <w:u w:val="single"/>
                      <w:lang w:val="en-US" w:eastAsia="zh-CN" w:bidi="ar-SA"/>
                    </w:rPr>
                    <w:t>8</w:t>
                  </w:r>
                </w:p>
              </w:tc>
              <w:tc>
                <w:tcPr>
                  <w:tcW w:w="949" w:type="pct"/>
                  <w:shd w:val="clear" w:color="auto" w:fill="auto"/>
                  <w:vAlign w:val="center"/>
                </w:tcPr>
                <w:p w14:paraId="215706D0">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含油抹布及手套</w:t>
                  </w:r>
                </w:p>
              </w:tc>
              <w:tc>
                <w:tcPr>
                  <w:tcW w:w="797" w:type="pct"/>
                  <w:shd w:val="clear" w:color="auto" w:fill="auto"/>
                  <w:vAlign w:val="center"/>
                </w:tcPr>
                <w:p w14:paraId="289A74B4">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0.01</w:t>
                  </w:r>
                </w:p>
              </w:tc>
              <w:tc>
                <w:tcPr>
                  <w:tcW w:w="690" w:type="pct"/>
                  <w:shd w:val="clear" w:color="auto" w:fill="auto"/>
                  <w:vAlign w:val="center"/>
                </w:tcPr>
                <w:p w14:paraId="550BC04C">
                  <w:pPr>
                    <w:pStyle w:val="136"/>
                    <w:rPr>
                      <w:rFonts w:hint="eastAsia" w:ascii="Times New Roman" w:hAnsi="Times New Roman" w:eastAsia="宋体" w:cs="Times New Roman"/>
                      <w:color w:val="auto"/>
                      <w:kern w:val="2"/>
                      <w:sz w:val="21"/>
                      <w:szCs w:val="21"/>
                      <w:u w:val="single"/>
                      <w:lang w:val="en-US" w:eastAsia="zh-CN" w:bidi="ar-SA"/>
                    </w:rPr>
                  </w:pPr>
                  <w:r>
                    <w:rPr>
                      <w:rFonts w:hint="default"/>
                      <w:color w:val="auto"/>
                      <w:szCs w:val="21"/>
                      <w:u w:val="single"/>
                    </w:rPr>
                    <w:t>危险废物</w:t>
                  </w:r>
                </w:p>
              </w:tc>
              <w:tc>
                <w:tcPr>
                  <w:tcW w:w="867" w:type="pct"/>
                  <w:shd w:val="clear" w:color="auto" w:fill="auto"/>
                  <w:vAlign w:val="center"/>
                </w:tcPr>
                <w:p w14:paraId="00B86739">
                  <w:pPr>
                    <w:pStyle w:val="136"/>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 w:val="21"/>
                      <w:szCs w:val="21"/>
                      <w:u w:val="single"/>
                    </w:rPr>
                    <w:t>900-041-49</w:t>
                  </w:r>
                </w:p>
              </w:tc>
              <w:tc>
                <w:tcPr>
                  <w:tcW w:w="1244" w:type="pct"/>
                  <w:vMerge w:val="continue"/>
                  <w:shd w:val="clear" w:color="auto" w:fill="auto"/>
                  <w:vAlign w:val="center"/>
                </w:tcPr>
                <w:p w14:paraId="0CD2E57F">
                  <w:pPr>
                    <w:pStyle w:val="136"/>
                    <w:rPr>
                      <w:rFonts w:hint="eastAsia" w:ascii="Times New Roman" w:hAnsi="Times New Roman" w:eastAsia="宋体" w:cs="Times New Roman"/>
                      <w:color w:val="auto"/>
                      <w:kern w:val="2"/>
                      <w:sz w:val="21"/>
                      <w:szCs w:val="21"/>
                      <w:lang w:val="en-US" w:eastAsia="zh-CN" w:bidi="ar-SA"/>
                    </w:rPr>
                  </w:pPr>
                </w:p>
              </w:tc>
            </w:tr>
            <w:tr w14:paraId="04B7A38F">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97" w:hRule="atLeast"/>
              </w:trPr>
              <w:tc>
                <w:tcPr>
                  <w:tcW w:w="450" w:type="pct"/>
                  <w:shd w:val="clear" w:color="auto" w:fill="auto"/>
                  <w:vAlign w:val="center"/>
                </w:tcPr>
                <w:p w14:paraId="12B1C549">
                  <w:pPr>
                    <w:pStyle w:val="136"/>
                    <w:rPr>
                      <w:rFonts w:hint="default" w:ascii="Times New Roman" w:hAnsi="Times New Roman" w:eastAsia="宋体" w:cs="Times New Roman"/>
                      <w:color w:val="FF0000"/>
                      <w:sz w:val="21"/>
                      <w:szCs w:val="21"/>
                      <w:u w:val="single"/>
                      <w:lang w:val="en-US" w:eastAsia="zh-CN"/>
                    </w:rPr>
                  </w:pPr>
                  <w:r>
                    <w:rPr>
                      <w:rFonts w:hint="eastAsia" w:ascii="Times New Roman" w:hAnsi="Times New Roman" w:eastAsia="宋体" w:cs="Times New Roman"/>
                      <w:color w:val="FF0000"/>
                      <w:sz w:val="21"/>
                      <w:szCs w:val="21"/>
                      <w:u w:val="single"/>
                      <w:lang w:val="en-US" w:eastAsia="zh-CN"/>
                    </w:rPr>
                    <w:t>9</w:t>
                  </w:r>
                </w:p>
              </w:tc>
              <w:tc>
                <w:tcPr>
                  <w:tcW w:w="949" w:type="pct"/>
                  <w:shd w:val="clear" w:color="auto" w:fill="auto"/>
                  <w:vAlign w:val="center"/>
                </w:tcPr>
                <w:p w14:paraId="4E8D10A7">
                  <w:pPr>
                    <w:pStyle w:val="136"/>
                    <w:rPr>
                      <w:rFonts w:hint="default" w:ascii="Times New Roman" w:hAnsi="Times New Roman" w:eastAsia="宋体" w:cs="Times New Roman"/>
                      <w:color w:val="FF0000"/>
                      <w:sz w:val="21"/>
                      <w:szCs w:val="21"/>
                      <w:u w:val="single"/>
                      <w:lang w:val="en-US" w:eastAsia="zh-CN"/>
                    </w:rPr>
                  </w:pPr>
                  <w:r>
                    <w:rPr>
                      <w:rFonts w:hint="eastAsia" w:ascii="Times New Roman" w:hAnsi="Times New Roman" w:eastAsia="宋体" w:cs="Times New Roman"/>
                      <w:color w:val="FF0000"/>
                      <w:sz w:val="21"/>
                      <w:szCs w:val="21"/>
                      <w:u w:val="single"/>
                      <w:lang w:val="en-US" w:eastAsia="zh-CN"/>
                    </w:rPr>
                    <w:t>废活性炭</w:t>
                  </w:r>
                </w:p>
              </w:tc>
              <w:tc>
                <w:tcPr>
                  <w:tcW w:w="797" w:type="pct"/>
                  <w:shd w:val="clear" w:color="auto" w:fill="auto"/>
                  <w:vAlign w:val="center"/>
                </w:tcPr>
                <w:p w14:paraId="11CCBB3F">
                  <w:pPr>
                    <w:pStyle w:val="136"/>
                    <w:rPr>
                      <w:rFonts w:hint="default" w:ascii="Times New Roman" w:hAnsi="Times New Roman" w:eastAsia="宋体" w:cs="Times New Roman"/>
                      <w:color w:val="FF0000"/>
                      <w:sz w:val="21"/>
                      <w:szCs w:val="21"/>
                      <w:u w:val="single"/>
                      <w:lang w:val="en-US" w:eastAsia="zh-CN"/>
                    </w:rPr>
                  </w:pPr>
                  <w:r>
                    <w:rPr>
                      <w:rFonts w:hint="eastAsia" w:ascii="Times New Roman" w:hAnsi="Times New Roman" w:eastAsia="宋体" w:cs="Times New Roman"/>
                      <w:color w:val="FF0000"/>
                      <w:sz w:val="21"/>
                      <w:szCs w:val="21"/>
                      <w:u w:val="single"/>
                      <w:lang w:val="en-US" w:eastAsia="zh-CN"/>
                    </w:rPr>
                    <w:t>9.75</w:t>
                  </w:r>
                </w:p>
              </w:tc>
              <w:tc>
                <w:tcPr>
                  <w:tcW w:w="690" w:type="pct"/>
                  <w:shd w:val="clear" w:color="auto" w:fill="auto"/>
                  <w:vAlign w:val="center"/>
                </w:tcPr>
                <w:p w14:paraId="47A30805">
                  <w:pPr>
                    <w:pStyle w:val="136"/>
                    <w:rPr>
                      <w:rFonts w:hint="default" w:ascii="Times New Roman" w:hAnsi="Times New Roman" w:eastAsia="宋体" w:cs="Times New Roman"/>
                      <w:color w:val="FF0000"/>
                      <w:sz w:val="21"/>
                      <w:szCs w:val="21"/>
                      <w:u w:val="single"/>
                      <w:lang w:val="en-US" w:eastAsia="zh-CN"/>
                    </w:rPr>
                  </w:pPr>
                  <w:r>
                    <w:rPr>
                      <w:rFonts w:hint="default" w:ascii="Times New Roman" w:hAnsi="Times New Roman" w:eastAsia="宋体" w:cs="Times New Roman"/>
                      <w:color w:val="FF0000"/>
                      <w:sz w:val="21"/>
                      <w:szCs w:val="21"/>
                      <w:u w:val="single"/>
                      <w:lang w:val="en-US" w:eastAsia="zh-CN"/>
                    </w:rPr>
                    <w:t>危险废物</w:t>
                  </w:r>
                </w:p>
              </w:tc>
              <w:tc>
                <w:tcPr>
                  <w:tcW w:w="867" w:type="pct"/>
                  <w:shd w:val="clear" w:color="auto" w:fill="auto"/>
                  <w:vAlign w:val="center"/>
                </w:tcPr>
                <w:p w14:paraId="5193A035">
                  <w:pPr>
                    <w:pStyle w:val="136"/>
                    <w:rPr>
                      <w:rFonts w:hint="eastAsia" w:ascii="Times New Roman" w:hAnsi="Times New Roman" w:eastAsia="宋体" w:cs="Times New Roman"/>
                      <w:color w:val="FF0000"/>
                      <w:sz w:val="21"/>
                      <w:szCs w:val="21"/>
                      <w:u w:val="single"/>
                      <w:lang w:val="en-US" w:eastAsia="zh-CN"/>
                    </w:rPr>
                  </w:pPr>
                  <w:r>
                    <w:rPr>
                      <w:rFonts w:hint="default" w:ascii="Times New Roman" w:hAnsi="Times New Roman" w:eastAsia="宋体" w:cs="Times New Roman"/>
                      <w:color w:val="FF0000"/>
                      <w:sz w:val="21"/>
                      <w:szCs w:val="21"/>
                      <w:u w:val="single"/>
                      <w:lang w:val="en-US" w:eastAsia="zh-CN"/>
                    </w:rPr>
                    <w:t>900-039-49</w:t>
                  </w:r>
                </w:p>
              </w:tc>
              <w:tc>
                <w:tcPr>
                  <w:tcW w:w="1244" w:type="pct"/>
                  <w:vMerge w:val="continue"/>
                  <w:shd w:val="clear" w:color="auto" w:fill="auto"/>
                  <w:vAlign w:val="center"/>
                </w:tcPr>
                <w:p w14:paraId="672BB725">
                  <w:pPr>
                    <w:pStyle w:val="136"/>
                    <w:rPr>
                      <w:rFonts w:hint="eastAsia" w:ascii="Times New Roman" w:hAnsi="Times New Roman" w:eastAsia="宋体" w:cs="Times New Roman"/>
                      <w:color w:val="auto"/>
                      <w:kern w:val="2"/>
                      <w:sz w:val="21"/>
                      <w:szCs w:val="21"/>
                      <w:lang w:val="en-US" w:eastAsia="zh-CN" w:bidi="ar-SA"/>
                    </w:rPr>
                  </w:pPr>
                </w:p>
              </w:tc>
            </w:tr>
          </w:tbl>
          <w:p w14:paraId="463247F1">
            <w:pPr>
              <w:spacing w:before="120" w:beforeLines="50" w:line="360" w:lineRule="auto"/>
              <w:ind w:firstLine="482" w:firstLineChars="200"/>
              <w:rPr>
                <w:rFonts w:hint="eastAsia"/>
                <w:b/>
                <w:color w:val="auto"/>
                <w:sz w:val="24"/>
                <w:u w:val="single"/>
              </w:rPr>
            </w:pPr>
            <w:r>
              <w:rPr>
                <w:rFonts w:hint="eastAsia"/>
                <w:b/>
                <w:color w:val="auto"/>
                <w:sz w:val="24"/>
                <w:u w:val="single"/>
                <w:lang w:eastAsia="zh-CN"/>
              </w:rPr>
              <w:t>（</w:t>
            </w:r>
            <w:r>
              <w:rPr>
                <w:rFonts w:hint="eastAsia"/>
                <w:b/>
                <w:color w:val="auto"/>
                <w:sz w:val="24"/>
                <w:u w:val="single"/>
                <w:lang w:val="en-US" w:eastAsia="zh-CN"/>
              </w:rPr>
              <w:t>2</w:t>
            </w:r>
            <w:r>
              <w:rPr>
                <w:rFonts w:hint="eastAsia"/>
                <w:b/>
                <w:color w:val="auto"/>
                <w:sz w:val="24"/>
                <w:u w:val="single"/>
                <w:lang w:eastAsia="zh-CN"/>
              </w:rPr>
              <w:t>）</w:t>
            </w:r>
            <w:r>
              <w:rPr>
                <w:rFonts w:hint="eastAsia"/>
                <w:b/>
                <w:color w:val="auto"/>
                <w:sz w:val="24"/>
                <w:u w:val="single"/>
              </w:rPr>
              <w:t>固体废物环境管理要求</w:t>
            </w:r>
          </w:p>
          <w:p w14:paraId="72BE0868">
            <w:pPr>
              <w:spacing w:line="360" w:lineRule="auto"/>
              <w:ind w:firstLine="480" w:firstLineChars="200"/>
              <w:rPr>
                <w:rFonts w:hint="eastAsia"/>
                <w:bCs/>
                <w:color w:val="auto"/>
                <w:sz w:val="24"/>
                <w:u w:val="single"/>
              </w:rPr>
            </w:pPr>
            <w:r>
              <w:rPr>
                <w:rFonts w:hint="eastAsia"/>
                <w:bCs/>
                <w:color w:val="auto"/>
                <w:sz w:val="24"/>
                <w:u w:val="single"/>
              </w:rPr>
              <w:t>1）一般工业固废</w:t>
            </w:r>
          </w:p>
          <w:p w14:paraId="42F37BE5">
            <w:pPr>
              <w:spacing w:line="360" w:lineRule="auto"/>
              <w:ind w:firstLine="480" w:firstLineChars="200"/>
              <w:rPr>
                <w:rFonts w:hint="eastAsia"/>
                <w:bCs/>
                <w:color w:val="auto"/>
                <w:sz w:val="24"/>
                <w:u w:val="single"/>
              </w:rPr>
            </w:pPr>
            <w:r>
              <w:rPr>
                <w:rFonts w:hint="eastAsia"/>
                <w:bCs/>
                <w:color w:val="auto"/>
                <w:sz w:val="24"/>
                <w:u w:val="single"/>
              </w:rPr>
              <w:t>本项目边角料、不合格品于破碎车间内暂存后进行破碎，</w:t>
            </w:r>
            <w:r>
              <w:rPr>
                <w:bCs/>
                <w:color w:val="auto"/>
                <w:sz w:val="24"/>
                <w:u w:val="single"/>
              </w:rPr>
              <w:t>废包装材料</w:t>
            </w:r>
            <w:r>
              <w:rPr>
                <w:rFonts w:hint="eastAsia"/>
                <w:bCs/>
                <w:color w:val="auto"/>
                <w:sz w:val="24"/>
                <w:u w:val="single"/>
              </w:rPr>
              <w:t>、报废模具收集于厂区一般工业固废暂存间内，定期</w:t>
            </w:r>
            <w:r>
              <w:rPr>
                <w:bCs/>
                <w:color w:val="auto"/>
                <w:sz w:val="24"/>
                <w:u w:val="single"/>
                <w:lang w:val="zh-CN"/>
              </w:rPr>
              <w:t>交</w:t>
            </w:r>
            <w:r>
              <w:rPr>
                <w:bCs/>
                <w:color w:val="auto"/>
                <w:sz w:val="24"/>
                <w:u w:val="single"/>
              </w:rPr>
              <w:t>物资回</w:t>
            </w:r>
            <w:r>
              <w:rPr>
                <w:color w:val="auto"/>
                <w:u w:val="single"/>
              </w:rPr>
              <w:t>收部门</w:t>
            </w:r>
            <w:r>
              <w:rPr>
                <w:color w:val="auto"/>
                <w:szCs w:val="21"/>
                <w:u w:val="single"/>
                <w:lang w:val="zh-CN"/>
              </w:rPr>
              <w:t>回收或处置</w:t>
            </w:r>
            <w:r>
              <w:rPr>
                <w:rFonts w:hint="eastAsia"/>
                <w:bCs/>
                <w:color w:val="auto"/>
                <w:sz w:val="24"/>
                <w:u w:val="single"/>
              </w:rPr>
              <w:t>，一般工业固体废物贮存场所设置参考《一般工业固体废物贮存和填埋污染控制标准》（GB18599-2020）中的相关要求，尽可能设置于室内；为防止一般工业固体废物及其渗滤液的流失，地面需做好防渗硬化治理；为加强监督管理，贮存场所应按照《环境保护图形标志—固体废物贮存（处置场》（GB15562.2-1995）及修改单的要求设置环保图形标志。一般工业固废最终应由合法合规单位合理利用、处置。</w:t>
            </w:r>
          </w:p>
          <w:p w14:paraId="747C22E9">
            <w:pPr>
              <w:spacing w:line="360" w:lineRule="auto"/>
              <w:ind w:firstLine="480" w:firstLineChars="200"/>
              <w:rPr>
                <w:rFonts w:hint="eastAsia"/>
                <w:bCs/>
                <w:color w:val="auto"/>
                <w:sz w:val="24"/>
                <w:u w:val="single"/>
              </w:rPr>
            </w:pPr>
            <w:r>
              <w:rPr>
                <w:rFonts w:hint="eastAsia"/>
                <w:bCs/>
                <w:color w:val="auto"/>
                <w:sz w:val="24"/>
                <w:u w:val="single"/>
              </w:rPr>
              <w:t>2）危险废物</w:t>
            </w:r>
          </w:p>
          <w:p w14:paraId="3D1128E5">
            <w:pPr>
              <w:spacing w:line="360" w:lineRule="auto"/>
              <w:ind w:firstLine="480" w:firstLineChars="200"/>
              <w:rPr>
                <w:bCs/>
                <w:color w:val="FF0000"/>
                <w:sz w:val="24"/>
                <w:u w:val="single"/>
              </w:rPr>
            </w:pPr>
            <w:r>
              <w:rPr>
                <w:rFonts w:hint="eastAsia"/>
                <w:bCs/>
                <w:color w:val="FF0000"/>
                <w:sz w:val="24"/>
                <w:u w:val="single"/>
              </w:rPr>
              <w:t>①</w:t>
            </w:r>
            <w:r>
              <w:rPr>
                <w:bCs/>
                <w:color w:val="FF0000"/>
                <w:sz w:val="24"/>
                <w:u w:val="single"/>
              </w:rPr>
              <w:t>固体废物分类收集：根据《中华人民共和国固体废物污染环境防治法》要求，项目固体废物分类收集和处理，危险废物按照其组分及特性进行分类收集、设立台账并安全处理处置。</w:t>
            </w:r>
          </w:p>
          <w:p w14:paraId="6DFE4B2B">
            <w:pPr>
              <w:spacing w:line="360" w:lineRule="auto"/>
              <w:ind w:firstLine="480" w:firstLineChars="200"/>
              <w:rPr>
                <w:bCs/>
                <w:color w:val="FF0000"/>
                <w:sz w:val="24"/>
                <w:u w:val="single"/>
              </w:rPr>
            </w:pPr>
            <w:r>
              <w:rPr>
                <w:rFonts w:hint="eastAsia"/>
                <w:bCs/>
                <w:color w:val="FF0000"/>
                <w:sz w:val="24"/>
                <w:u w:val="single"/>
              </w:rPr>
              <w:t>②</w:t>
            </w:r>
            <w:r>
              <w:rPr>
                <w:bCs/>
                <w:color w:val="FF0000"/>
                <w:sz w:val="24"/>
                <w:u w:val="single"/>
              </w:rPr>
              <w:t>危险废物贮存设施：项目产生的各类危险废物均分类收集，并用相容容器盛装，危险废物不能及时外送时，暂存于车间内危废暂存区内，定期委托资质单位清运进行最终处置。</w:t>
            </w:r>
          </w:p>
          <w:p w14:paraId="7C4C712A">
            <w:pPr>
              <w:spacing w:line="360" w:lineRule="auto"/>
              <w:ind w:firstLine="480" w:firstLineChars="200"/>
              <w:rPr>
                <w:bCs/>
                <w:color w:val="FF0000"/>
                <w:sz w:val="24"/>
                <w:u w:val="single"/>
              </w:rPr>
            </w:pPr>
            <w:r>
              <w:rPr>
                <w:rFonts w:hint="eastAsia"/>
                <w:bCs/>
                <w:color w:val="FF0000"/>
                <w:sz w:val="24"/>
                <w:u w:val="single"/>
              </w:rPr>
              <w:t>③</w:t>
            </w:r>
            <w:r>
              <w:rPr>
                <w:bCs/>
                <w:color w:val="FF0000"/>
                <w:sz w:val="24"/>
                <w:u w:val="single"/>
              </w:rPr>
              <w:t>贮存容器要求：装载容器材质符合强度要求，完好无损，与危险废物相容。</w:t>
            </w:r>
          </w:p>
          <w:p w14:paraId="793F6747">
            <w:pPr>
              <w:spacing w:line="360" w:lineRule="auto"/>
              <w:ind w:firstLine="480" w:firstLineChars="200"/>
              <w:rPr>
                <w:bCs/>
                <w:color w:val="FF0000"/>
                <w:sz w:val="24"/>
                <w:u w:val="single"/>
              </w:rPr>
            </w:pPr>
            <w:r>
              <w:rPr>
                <w:rFonts w:hint="eastAsia"/>
                <w:bCs/>
                <w:color w:val="FF0000"/>
                <w:sz w:val="24"/>
                <w:u w:val="single"/>
              </w:rPr>
              <w:t>④</w:t>
            </w:r>
            <w:r>
              <w:rPr>
                <w:bCs/>
                <w:color w:val="FF0000"/>
                <w:sz w:val="24"/>
                <w:u w:val="single"/>
              </w:rPr>
              <w:t>选址与设计要求：地面与墙角要坚固、防渗的材料建造，建筑材料必须与危废相容；用以存放装载液体、半固态危险废物容器的地方，必须有耐腐蚀的硬化地面，且表面无裂痕。</w:t>
            </w:r>
          </w:p>
          <w:p w14:paraId="0BC3D0E9">
            <w:pPr>
              <w:spacing w:line="360" w:lineRule="auto"/>
              <w:ind w:firstLine="480" w:firstLineChars="200"/>
              <w:rPr>
                <w:bCs/>
                <w:color w:val="FF0000"/>
                <w:sz w:val="24"/>
                <w:u w:val="single"/>
              </w:rPr>
            </w:pPr>
            <w:r>
              <w:rPr>
                <w:rFonts w:hint="eastAsia"/>
                <w:bCs/>
                <w:color w:val="FF0000"/>
                <w:sz w:val="24"/>
                <w:u w:val="single"/>
              </w:rPr>
              <w:t>⑤</w:t>
            </w:r>
            <w:r>
              <w:rPr>
                <w:bCs/>
                <w:color w:val="FF0000"/>
                <w:sz w:val="24"/>
                <w:u w:val="single"/>
              </w:rPr>
              <w:t>运行管理要求：应由专人负责危险废物贮存设施的运行和管理，做好危废产生及贮存记录，并正确粘贴标签，定期对危废贮存设施进行检查。危险废物应实行贮存并建立管理台账，履行危险废物转移联单制度，危险废物存放点应设置专门标志。</w:t>
            </w:r>
          </w:p>
          <w:p w14:paraId="22C766E9">
            <w:pPr>
              <w:spacing w:line="360" w:lineRule="auto"/>
              <w:ind w:firstLine="480" w:firstLineChars="200"/>
              <w:rPr>
                <w:bCs/>
                <w:color w:val="FF0000"/>
                <w:sz w:val="24"/>
                <w:u w:val="single"/>
              </w:rPr>
            </w:pPr>
            <w:r>
              <w:rPr>
                <w:rFonts w:hint="eastAsia"/>
                <w:bCs/>
                <w:color w:val="FF0000"/>
                <w:sz w:val="24"/>
                <w:u w:val="single"/>
              </w:rPr>
              <w:t>⑥</w:t>
            </w:r>
            <w:r>
              <w:rPr>
                <w:bCs/>
                <w:color w:val="FF0000"/>
                <w:sz w:val="24"/>
                <w:u w:val="single"/>
              </w:rPr>
              <w:t>企业应按危险废物的相关管理要求做好危险废物的贮存工作，危废仓库按照《危险废物贮存污染控制标准》</w:t>
            </w:r>
            <w:r>
              <w:rPr>
                <w:rFonts w:hint="eastAsia"/>
                <w:bCs/>
                <w:color w:val="FF0000"/>
                <w:sz w:val="24"/>
                <w:u w:val="single"/>
              </w:rPr>
              <w:t>（</w:t>
            </w:r>
            <w:r>
              <w:rPr>
                <w:bCs/>
                <w:color w:val="FF0000"/>
                <w:sz w:val="24"/>
                <w:u w:val="single"/>
              </w:rPr>
              <w:t>GB1</w:t>
            </w:r>
            <w:r>
              <w:rPr>
                <w:rFonts w:ascii="Times New Roman" w:hAnsi="Times New Roman" w:eastAsia="宋体" w:cs="Times New Roman"/>
                <w:bCs/>
                <w:color w:val="FF0000"/>
                <w:sz w:val="24"/>
                <w:u w:val="single"/>
              </w:rPr>
              <w:t>8597-2023</w:t>
            </w:r>
            <w:r>
              <w:rPr>
                <w:rFonts w:hint="eastAsia" w:ascii="Times New Roman" w:hAnsi="Times New Roman" w:eastAsia="宋体" w:cs="Times New Roman"/>
                <w:bCs/>
                <w:color w:val="FF0000"/>
                <w:sz w:val="24"/>
                <w:u w:val="single"/>
              </w:rPr>
              <w:t>）</w:t>
            </w:r>
            <w:r>
              <w:rPr>
                <w:rFonts w:ascii="Times New Roman" w:hAnsi="Times New Roman" w:eastAsia="宋体" w:cs="Times New Roman"/>
                <w:bCs/>
                <w:color w:val="FF0000"/>
                <w:sz w:val="24"/>
                <w:u w:val="single"/>
              </w:rPr>
              <w:t>、《危险废物收集贮存运输技术规范》</w:t>
            </w:r>
            <w:r>
              <w:rPr>
                <w:rFonts w:hint="eastAsia"/>
                <w:bCs/>
                <w:color w:val="FF0000"/>
                <w:sz w:val="24"/>
                <w:u w:val="single"/>
              </w:rPr>
              <w:t>（</w:t>
            </w:r>
            <w:r>
              <w:rPr>
                <w:bCs/>
                <w:color w:val="FF0000"/>
                <w:sz w:val="24"/>
                <w:u w:val="single"/>
              </w:rPr>
              <w:t>HJ2025-2012</w:t>
            </w:r>
            <w:r>
              <w:rPr>
                <w:rFonts w:hint="eastAsia"/>
                <w:bCs/>
                <w:color w:val="FF0000"/>
                <w:sz w:val="24"/>
                <w:u w:val="single"/>
              </w:rPr>
              <w:t>）</w:t>
            </w:r>
            <w:r>
              <w:rPr>
                <w:bCs/>
                <w:color w:val="FF0000"/>
                <w:sz w:val="24"/>
                <w:u w:val="single"/>
              </w:rPr>
              <w:t>，严格落实各项环保措施，将</w:t>
            </w:r>
            <w:r>
              <w:rPr>
                <w:rFonts w:hint="eastAsia"/>
                <w:bCs/>
                <w:color w:val="FF0000"/>
                <w:sz w:val="24"/>
                <w:u w:val="single"/>
              </w:rPr>
              <w:t>危险废物</w:t>
            </w:r>
            <w:r>
              <w:rPr>
                <w:bCs/>
                <w:color w:val="FF0000"/>
                <w:sz w:val="24"/>
                <w:u w:val="single"/>
              </w:rPr>
              <w:t>委托具有资质的单位安全处理，并执行联单制度。</w:t>
            </w:r>
          </w:p>
          <w:p w14:paraId="098A6FED">
            <w:pPr>
              <w:spacing w:line="360" w:lineRule="auto"/>
              <w:ind w:firstLine="480" w:firstLineChars="200"/>
              <w:rPr>
                <w:rFonts w:hint="eastAsia"/>
                <w:bCs/>
                <w:color w:val="auto"/>
                <w:sz w:val="24"/>
                <w:u w:val="single"/>
              </w:rPr>
            </w:pPr>
            <w:r>
              <w:rPr>
                <w:bCs/>
                <w:color w:val="auto"/>
                <w:sz w:val="24"/>
              </w:rPr>
              <w:t>综上所述，项目固体废物经采取相关的措施处理处置后，可以得到及时、妥善</w:t>
            </w:r>
            <w:r>
              <w:rPr>
                <w:rFonts w:hint="eastAsia"/>
                <w:bCs/>
                <w:color w:val="auto"/>
                <w:sz w:val="24"/>
              </w:rPr>
              <w:t>地</w:t>
            </w:r>
            <w:r>
              <w:rPr>
                <w:bCs/>
                <w:color w:val="auto"/>
                <w:sz w:val="24"/>
              </w:rPr>
              <w:t>处理和处置，对周围环境产生影响较小</w:t>
            </w:r>
            <w:r>
              <w:rPr>
                <w:rFonts w:hint="eastAsia"/>
                <w:bCs/>
                <w:color w:val="auto"/>
                <w:sz w:val="24"/>
              </w:rPr>
              <w:t>。</w:t>
            </w:r>
          </w:p>
          <w:p w14:paraId="3FADBA7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bCs/>
                <w:color w:val="auto"/>
                <w:kern w:val="24"/>
                <w:sz w:val="24"/>
              </w:rPr>
            </w:pPr>
            <w:r>
              <w:rPr>
                <w:rFonts w:hint="eastAsia" w:ascii="Times New Roman" w:hAnsi="Times New Roman" w:cs="Times New Roman"/>
                <w:b/>
                <w:bCs/>
                <w:color w:val="auto"/>
                <w:kern w:val="24"/>
                <w:sz w:val="24"/>
                <w:lang w:val="en-US" w:eastAsia="zh-CN"/>
              </w:rPr>
              <w:t>5</w:t>
            </w:r>
            <w:r>
              <w:rPr>
                <w:rFonts w:hint="default" w:ascii="Times New Roman" w:hAnsi="Times New Roman" w:cs="Times New Roman"/>
                <w:b/>
                <w:bCs/>
                <w:color w:val="auto"/>
                <w:kern w:val="24"/>
                <w:sz w:val="24"/>
              </w:rPr>
              <w:t>、地下水、土壤环境影响分析和保护措施</w:t>
            </w:r>
          </w:p>
          <w:p w14:paraId="3383D28A">
            <w:pPr>
              <w:pStyle w:val="88"/>
              <w:spacing w:line="360" w:lineRule="auto"/>
              <w:ind w:firstLine="480"/>
              <w:rPr>
                <w:rFonts w:hint="eastAsia" w:cs="Times New Roman"/>
                <w:color w:val="auto"/>
                <w:sz w:val="24"/>
                <w:szCs w:val="24"/>
                <w:lang w:eastAsia="zh-CN"/>
              </w:rPr>
            </w:pPr>
            <w:r>
              <w:rPr>
                <w:rFonts w:hint="default" w:ascii="Times New Roman" w:hAnsi="Times New Roman" w:eastAsia="宋体" w:cs="Times New Roman"/>
                <w:color w:val="auto"/>
                <w:sz w:val="24"/>
                <w:szCs w:val="24"/>
              </w:rPr>
              <w:t>结合现场及工艺分析调查，本项目场地地面硬化，</w:t>
            </w:r>
            <w:r>
              <w:rPr>
                <w:rFonts w:hint="eastAsia" w:ascii="Times New Roman" w:hAnsi="Times New Roman" w:eastAsia="宋体" w:cs="Times New Roman"/>
                <w:color w:val="auto"/>
                <w:sz w:val="24"/>
                <w:szCs w:val="24"/>
                <w:lang w:eastAsia="zh-CN"/>
              </w:rPr>
              <w:t>污水水质简单，不</w:t>
            </w:r>
            <w:r>
              <w:rPr>
                <w:rFonts w:hint="default" w:ascii="Times New Roman" w:hAnsi="Times New Roman" w:eastAsia="宋体" w:cs="Times New Roman"/>
                <w:color w:val="auto"/>
                <w:sz w:val="24"/>
                <w:szCs w:val="24"/>
              </w:rPr>
              <w:t>存在地下水、土壤环境污染途径，</w:t>
            </w:r>
            <w:r>
              <w:rPr>
                <w:rFonts w:hint="eastAsia" w:ascii="Times New Roman" w:hAnsi="Times New Roman" w:eastAsia="宋体" w:cs="Times New Roman"/>
                <w:color w:val="auto"/>
                <w:sz w:val="24"/>
                <w:szCs w:val="24"/>
                <w:lang w:val="en-US" w:eastAsia="zh-CN"/>
              </w:rPr>
              <w:t>不会对</w:t>
            </w:r>
            <w:r>
              <w:rPr>
                <w:rFonts w:hint="default" w:ascii="Times New Roman" w:hAnsi="Times New Roman" w:eastAsia="宋体" w:cs="Times New Roman"/>
                <w:color w:val="auto"/>
                <w:sz w:val="24"/>
                <w:szCs w:val="24"/>
              </w:rPr>
              <w:t>地下水、土壤造成影响。</w:t>
            </w:r>
          </w:p>
          <w:p w14:paraId="10592CC0">
            <w:pPr>
              <w:pStyle w:val="112"/>
              <w:widowControl/>
              <w:ind w:firstLine="0" w:firstLineChars="0"/>
              <w:rPr>
                <w:rFonts w:hint="default" w:ascii="Times New Roman" w:hAnsi="Times New Roman" w:cs="Times New Roman"/>
                <w:b/>
                <w:color w:val="auto"/>
                <w:highlight w:val="none"/>
                <w:u w:val="single"/>
              </w:rPr>
            </w:pPr>
            <w:r>
              <w:rPr>
                <w:rFonts w:hint="eastAsia" w:ascii="Times New Roman" w:hAnsi="Times New Roman" w:cs="Times New Roman"/>
                <w:b/>
                <w:color w:val="auto"/>
                <w:highlight w:val="none"/>
                <w:u w:val="single"/>
                <w:lang w:val="en-US" w:eastAsia="zh-CN"/>
              </w:rPr>
              <w:t>6、</w:t>
            </w:r>
            <w:r>
              <w:rPr>
                <w:rFonts w:hint="default" w:ascii="Times New Roman" w:hAnsi="Times New Roman" w:cs="Times New Roman"/>
                <w:b/>
                <w:color w:val="auto"/>
                <w:highlight w:val="none"/>
                <w:u w:val="single"/>
              </w:rPr>
              <w:t>生态环境影响和保护措施</w:t>
            </w:r>
          </w:p>
          <w:p w14:paraId="2F831077">
            <w:pPr>
              <w:pStyle w:val="112"/>
              <w:widowControl/>
              <w:ind w:firstLine="480"/>
              <w:rPr>
                <w:rFonts w:hint="eastAsia" w:ascii="Times New Roman" w:hAnsi="Times New Roman" w:cs="Times New Roman"/>
                <w:bCs/>
                <w:color w:val="auto"/>
                <w:u w:val="single"/>
                <w:lang w:val="en-US" w:eastAsia="zh-CN"/>
              </w:rPr>
            </w:pPr>
            <w:r>
              <w:rPr>
                <w:rFonts w:hint="eastAsia" w:cs="Times New Roman"/>
                <w:color w:val="auto"/>
                <w:u w:val="single"/>
                <w:lang w:val="en-US" w:eastAsia="zh-CN"/>
              </w:rPr>
              <w:t>项目</w:t>
            </w:r>
            <w:r>
              <w:rPr>
                <w:rFonts w:hint="eastAsia" w:cs="Times New Roman"/>
                <w:color w:val="auto"/>
                <w:u w:val="single"/>
                <w:lang w:eastAsia="zh-CN"/>
              </w:rPr>
              <w:t>种植基地位于</w:t>
            </w:r>
            <w:r>
              <w:rPr>
                <w:rFonts w:hint="eastAsia" w:ascii="Times New Roman" w:hAnsi="Times New Roman" w:cs="Times New Roman"/>
                <w:bCs/>
                <w:color w:val="auto"/>
                <w:u w:val="single"/>
                <w:lang w:val="en-US" w:eastAsia="zh-CN"/>
              </w:rPr>
              <w:t>龙潭镇</w:t>
            </w:r>
            <w:r>
              <w:rPr>
                <w:rFonts w:hint="default" w:cs="Times New Roman"/>
                <w:bCs/>
                <w:color w:val="auto"/>
                <w:u w:val="single"/>
                <w:lang w:eastAsia="zh-CN"/>
              </w:rPr>
              <w:t>红岩村</w:t>
            </w:r>
            <w:r>
              <w:rPr>
                <w:rFonts w:hint="eastAsia" w:cs="Times New Roman"/>
                <w:bCs/>
                <w:color w:val="auto"/>
                <w:u w:val="single"/>
                <w:lang w:eastAsia="zh-CN"/>
              </w:rPr>
              <w:t>、</w:t>
            </w:r>
            <w:r>
              <w:rPr>
                <w:rFonts w:hint="default" w:cs="Times New Roman"/>
                <w:bCs/>
                <w:color w:val="auto"/>
                <w:u w:val="single"/>
                <w:lang w:eastAsia="zh-CN"/>
              </w:rPr>
              <w:t>红岭村</w:t>
            </w:r>
            <w:r>
              <w:rPr>
                <w:rFonts w:hint="eastAsia" w:cs="Times New Roman"/>
                <w:bCs/>
                <w:color w:val="auto"/>
                <w:u w:val="single"/>
                <w:lang w:eastAsia="zh-CN"/>
              </w:rPr>
              <w:t>、</w:t>
            </w:r>
            <w:r>
              <w:rPr>
                <w:rFonts w:hint="default" w:cs="Times New Roman"/>
                <w:bCs/>
                <w:color w:val="auto"/>
                <w:u w:val="single"/>
                <w:lang w:eastAsia="zh-CN"/>
              </w:rPr>
              <w:t>梁家洞村</w:t>
            </w:r>
            <w:r>
              <w:rPr>
                <w:rFonts w:hint="eastAsia" w:cs="Times New Roman"/>
                <w:bCs/>
                <w:color w:val="auto"/>
                <w:u w:val="single"/>
                <w:lang w:eastAsia="zh-CN"/>
              </w:rPr>
              <w:t>、</w:t>
            </w:r>
            <w:r>
              <w:rPr>
                <w:rFonts w:hint="default" w:cs="Times New Roman"/>
                <w:bCs/>
                <w:color w:val="auto"/>
                <w:u w:val="single"/>
                <w:lang w:eastAsia="zh-CN"/>
              </w:rPr>
              <w:t>栗山村</w:t>
            </w:r>
            <w:r>
              <w:rPr>
                <w:rFonts w:hint="eastAsia" w:ascii="Times New Roman" w:hAnsi="Times New Roman" w:cs="Times New Roman"/>
                <w:bCs/>
                <w:color w:val="auto"/>
                <w:u w:val="single"/>
                <w:lang w:val="en-US" w:eastAsia="zh-CN"/>
              </w:rPr>
              <w:t>，</w:t>
            </w:r>
            <w:r>
              <w:rPr>
                <w:rFonts w:hint="eastAsia" w:cs="Times New Roman"/>
                <w:bCs/>
                <w:color w:val="auto"/>
                <w:u w:val="single"/>
                <w:lang w:val="en-US" w:eastAsia="zh-CN"/>
              </w:rPr>
              <w:t>流转土地</w:t>
            </w:r>
            <w:r>
              <w:rPr>
                <w:rFonts w:hint="eastAsia" w:ascii="Times New Roman" w:hAnsi="Times New Roman" w:cs="Times New Roman"/>
                <w:bCs/>
                <w:color w:val="auto"/>
                <w:u w:val="single"/>
                <w:lang w:val="en-US" w:eastAsia="zh-CN"/>
              </w:rPr>
              <w:t>属于传统山银花种植地，主要分布于山地现有梯田上、</w:t>
            </w:r>
            <w:r>
              <w:rPr>
                <w:rFonts w:hint="eastAsia" w:cs="Times New Roman"/>
                <w:color w:val="auto"/>
                <w:u w:val="single"/>
                <w:lang w:val="en-US" w:eastAsia="zh-CN"/>
              </w:rPr>
              <w:t>项目</w:t>
            </w:r>
            <w:r>
              <w:rPr>
                <w:rFonts w:hint="eastAsia" w:cs="Times New Roman"/>
                <w:color w:val="auto"/>
                <w:u w:val="single"/>
                <w:lang w:eastAsia="zh-CN"/>
              </w:rPr>
              <w:t>种植基地</w:t>
            </w:r>
            <w:r>
              <w:rPr>
                <w:rFonts w:hint="eastAsia" w:cs="Times New Roman"/>
                <w:color w:val="auto"/>
                <w:u w:val="single"/>
                <w:lang w:val="en-US" w:eastAsia="zh-CN"/>
              </w:rPr>
              <w:t>建设</w:t>
            </w:r>
            <w:r>
              <w:rPr>
                <w:rFonts w:hint="eastAsia" w:ascii="Times New Roman" w:hAnsi="Times New Roman" w:cs="Times New Roman"/>
                <w:bCs/>
                <w:color w:val="auto"/>
                <w:u w:val="single"/>
                <w:lang w:val="en-US" w:eastAsia="zh-CN"/>
              </w:rPr>
              <w:t>不做开垦；种植和采收主要采用人工方式，多年来已形成较为稳定的生态系统。本次种植基地的建设是在低产山银花田中更换高产苗木，以人工种植为主，对原有的生态影响不大，但</w:t>
            </w:r>
            <w:r>
              <w:rPr>
                <w:rFonts w:hint="eastAsia" w:cs="Times New Roman"/>
                <w:bCs/>
                <w:color w:val="auto"/>
                <w:u w:val="single"/>
                <w:lang w:val="en-US" w:eastAsia="zh-CN"/>
              </w:rPr>
              <w:t>本次环评要求项目建设单位</w:t>
            </w:r>
            <w:r>
              <w:rPr>
                <w:rFonts w:hint="eastAsia" w:ascii="Times New Roman" w:hAnsi="Times New Roman" w:cs="Times New Roman"/>
                <w:bCs/>
                <w:color w:val="auto"/>
                <w:u w:val="single"/>
                <w:lang w:val="en-US" w:eastAsia="zh-CN"/>
              </w:rPr>
              <w:t>在施工期间</w:t>
            </w:r>
            <w:r>
              <w:rPr>
                <w:rFonts w:hint="eastAsia" w:cs="Times New Roman"/>
                <w:bCs/>
                <w:color w:val="auto"/>
                <w:u w:val="single"/>
                <w:lang w:val="en-US" w:eastAsia="zh-CN"/>
              </w:rPr>
              <w:t>做好</w:t>
            </w:r>
            <w:r>
              <w:rPr>
                <w:rFonts w:hint="eastAsia" w:ascii="Times New Roman" w:hAnsi="Times New Roman" w:cs="Times New Roman"/>
                <w:bCs/>
                <w:color w:val="auto"/>
                <w:u w:val="single"/>
                <w:lang w:val="en-US" w:eastAsia="zh-CN"/>
              </w:rPr>
              <w:t>水土保持及生态保护工作，缩短疏松地面、坡面、管沟的裸露时间，合理安排施工时间，尽量避开大风和雨天施工，更换苗木时在指定地点工作，防止破坏植被，造成水土流失，更换的苗木，禁止露天焚烧，回收利用做堆肥或外售。</w:t>
            </w:r>
          </w:p>
          <w:p w14:paraId="6E0D2EC1">
            <w:pPr>
              <w:pStyle w:val="88"/>
              <w:spacing w:line="360" w:lineRule="auto"/>
              <w:ind w:firstLine="480"/>
              <w:rPr>
                <w:rFonts w:hint="eastAsia" w:ascii="Times New Roman" w:hAnsi="Times New Roman" w:cs="Times New Roman"/>
                <w:bCs/>
                <w:color w:val="auto"/>
                <w:u w:val="single"/>
                <w:lang w:val="en-US" w:eastAsia="zh-CN"/>
              </w:rPr>
            </w:pPr>
            <w:r>
              <w:rPr>
                <w:rFonts w:hint="default" w:ascii="Times New Roman" w:hAnsi="Times New Roman" w:cs="Times New Roman"/>
                <w:color w:val="auto"/>
                <w:u w:val="single"/>
              </w:rPr>
              <w:t>根据现场踏勘，</w:t>
            </w:r>
            <w:r>
              <w:rPr>
                <w:rFonts w:hint="eastAsia" w:cs="Times New Roman"/>
                <w:color w:val="auto"/>
                <w:u w:val="single"/>
                <w:lang w:eastAsia="zh-CN"/>
              </w:rPr>
              <w:t>初加工基地</w:t>
            </w:r>
            <w:r>
              <w:rPr>
                <w:rFonts w:hint="default" w:ascii="Times New Roman" w:hAnsi="Times New Roman" w:cs="Times New Roman"/>
                <w:color w:val="auto"/>
                <w:u w:val="single"/>
              </w:rPr>
              <w:t>项目区所在地植被稀疏，区域内系统生物多样性程度较低，受人类活动影响，无需保护的珍稀野生动植物存在。本项目在该地建设对当地生态环境现状影响较小。</w:t>
            </w:r>
          </w:p>
          <w:p w14:paraId="6A594A8D">
            <w:pPr>
              <w:pStyle w:val="112"/>
              <w:widowControl/>
              <w:ind w:firstLine="0" w:firstLineChars="0"/>
              <w:rPr>
                <w:rFonts w:hint="default" w:ascii="Times New Roman" w:hAnsi="Times New Roman" w:cs="Times New Roman"/>
                <w:b/>
                <w:color w:val="auto"/>
                <w:highlight w:val="none"/>
                <w:u w:val="none"/>
              </w:rPr>
            </w:pPr>
            <w:r>
              <w:rPr>
                <w:rFonts w:hint="eastAsia" w:cs="Times New Roman"/>
                <w:b/>
                <w:color w:val="auto"/>
                <w:lang w:val="en-US" w:eastAsia="zh-CN"/>
              </w:rPr>
              <w:t>7、</w:t>
            </w:r>
            <w:r>
              <w:rPr>
                <w:rFonts w:hint="default" w:ascii="Times New Roman" w:hAnsi="Times New Roman" w:cs="Times New Roman"/>
                <w:b/>
                <w:color w:val="auto"/>
                <w:highlight w:val="none"/>
                <w:u w:val="none"/>
              </w:rPr>
              <w:t>环境风险</w:t>
            </w:r>
          </w:p>
          <w:p w14:paraId="088CF9B0">
            <w:pPr>
              <w:adjustRightInd w:val="0"/>
              <w:snapToGrid w:val="0"/>
              <w:spacing w:line="360" w:lineRule="auto"/>
              <w:ind w:firstLine="480" w:firstLineChars="200"/>
              <w:rPr>
                <w:rFonts w:hint="eastAsia" w:eastAsia="宋体"/>
                <w:bCs/>
                <w:color w:val="auto"/>
                <w:sz w:val="24"/>
                <w:lang w:eastAsia="zh-CN"/>
              </w:rPr>
            </w:pPr>
            <w:r>
              <w:rPr>
                <w:rFonts w:hint="eastAsia" w:eastAsia="宋体"/>
                <w:bCs/>
                <w:color w:val="auto"/>
                <w:sz w:val="24"/>
                <w:lang w:val="en-US" w:eastAsia="zh-CN"/>
              </w:rPr>
              <w:t>（1）</w:t>
            </w:r>
            <w:r>
              <w:rPr>
                <w:rFonts w:hint="default" w:eastAsia="宋体"/>
                <w:bCs/>
                <w:color w:val="auto"/>
                <w:sz w:val="24"/>
              </w:rPr>
              <w:t>环境风险</w:t>
            </w:r>
            <w:r>
              <w:rPr>
                <w:rFonts w:hint="eastAsia" w:eastAsia="宋体"/>
                <w:bCs/>
                <w:color w:val="auto"/>
                <w:sz w:val="24"/>
                <w:lang w:eastAsia="zh-CN"/>
              </w:rPr>
              <w:t>物质识别</w:t>
            </w:r>
          </w:p>
          <w:p w14:paraId="4CDBB9F0">
            <w:pPr>
              <w:adjustRightInd w:val="0"/>
              <w:snapToGrid w:val="0"/>
              <w:spacing w:line="360" w:lineRule="auto"/>
              <w:ind w:firstLine="480" w:firstLineChars="200"/>
              <w:rPr>
                <w:bCs/>
                <w:color w:val="auto"/>
                <w:sz w:val="24"/>
                <w:u w:val="single"/>
              </w:rPr>
            </w:pPr>
            <w:r>
              <w:rPr>
                <w:bCs/>
                <w:color w:val="auto"/>
                <w:sz w:val="24"/>
                <w:u w:val="single"/>
              </w:rPr>
              <w:t>根据《建设项目环境风险评价技术导则》（HJ/T169-2018）附录B中的风险物质及《危险化学品重大危险源辨识》（GB18218-2018）相关规定，</w:t>
            </w:r>
            <w:r>
              <w:rPr>
                <w:rFonts w:hint="eastAsia"/>
                <w:bCs/>
                <w:color w:val="auto"/>
                <w:sz w:val="24"/>
                <w:u w:val="single"/>
              </w:rPr>
              <w:t>项目涉及的危险物质为：润滑油、危险废物等，</w:t>
            </w:r>
            <w:r>
              <w:rPr>
                <w:bCs/>
                <w:color w:val="auto"/>
                <w:sz w:val="24"/>
                <w:u w:val="single"/>
              </w:rPr>
              <w:t>各危险物质的存在量及与其临界量比值具体见</w:t>
            </w:r>
            <w:r>
              <w:rPr>
                <w:rFonts w:hint="eastAsia"/>
                <w:bCs/>
                <w:color w:val="auto"/>
                <w:sz w:val="24"/>
                <w:u w:val="single"/>
              </w:rPr>
              <w:t>下表</w:t>
            </w:r>
            <w:r>
              <w:rPr>
                <w:bCs/>
                <w:color w:val="auto"/>
                <w:sz w:val="24"/>
                <w:u w:val="single"/>
              </w:rPr>
              <w:t>。</w:t>
            </w:r>
          </w:p>
          <w:p w14:paraId="6B36D0C7">
            <w:pPr>
              <w:autoSpaceDE w:val="0"/>
              <w:autoSpaceDN w:val="0"/>
              <w:jc w:val="center"/>
              <w:rPr>
                <w:b/>
                <w:bCs/>
                <w:color w:val="auto"/>
                <w:sz w:val="24"/>
                <w:u w:val="single"/>
              </w:rPr>
            </w:pPr>
            <w:r>
              <w:rPr>
                <w:b/>
                <w:bCs/>
                <w:color w:val="auto"/>
                <w:sz w:val="24"/>
                <w:u w:val="single"/>
              </w:rPr>
              <w:t>表4</w:t>
            </w:r>
            <w:r>
              <w:rPr>
                <w:rFonts w:hint="eastAsia"/>
                <w:b/>
                <w:bCs/>
                <w:color w:val="auto"/>
                <w:sz w:val="24"/>
                <w:u w:val="single"/>
              </w:rPr>
              <w:t>-1</w:t>
            </w:r>
            <w:r>
              <w:rPr>
                <w:rFonts w:hint="eastAsia"/>
                <w:b/>
                <w:bCs/>
                <w:color w:val="auto"/>
                <w:sz w:val="24"/>
                <w:u w:val="single"/>
                <w:lang w:val="en-US" w:eastAsia="zh-CN"/>
              </w:rPr>
              <w:t>7</w:t>
            </w:r>
            <w:r>
              <w:rPr>
                <w:rFonts w:hint="eastAsia"/>
                <w:b/>
                <w:bCs/>
                <w:color w:val="auto"/>
                <w:sz w:val="24"/>
                <w:u w:val="single"/>
              </w:rPr>
              <w:t xml:space="preserve">   </w:t>
            </w:r>
            <w:r>
              <w:rPr>
                <w:rFonts w:hint="eastAsia"/>
                <w:b/>
                <w:bCs/>
                <w:color w:val="auto"/>
                <w:sz w:val="24"/>
                <w:u w:val="single"/>
                <w:lang w:val="zh-CN"/>
              </w:rPr>
              <w:t>项目危险物质名称及临界量</w:t>
            </w:r>
          </w:p>
          <w:tbl>
            <w:tblPr>
              <w:tblStyle w:val="32"/>
              <w:tblW w:w="7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312"/>
              <w:gridCol w:w="1594"/>
              <w:gridCol w:w="1650"/>
              <w:gridCol w:w="1743"/>
            </w:tblGrid>
            <w:tr w14:paraId="6F0E7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pct"/>
                  <w:noWrap w:val="0"/>
                  <w:vAlign w:val="center"/>
                </w:tcPr>
                <w:p w14:paraId="31E30CBA">
                  <w:pPr>
                    <w:jc w:val="center"/>
                    <w:rPr>
                      <w:color w:val="auto"/>
                      <w:u w:val="single"/>
                    </w:rPr>
                  </w:pPr>
                  <w:r>
                    <w:rPr>
                      <w:color w:val="auto"/>
                      <w:u w:val="single"/>
                    </w:rPr>
                    <w:t>物质名称</w:t>
                  </w:r>
                </w:p>
              </w:tc>
              <w:tc>
                <w:tcPr>
                  <w:tcW w:w="843" w:type="pct"/>
                  <w:noWrap w:val="0"/>
                  <w:vAlign w:val="center"/>
                </w:tcPr>
                <w:p w14:paraId="32125901">
                  <w:pPr>
                    <w:pStyle w:val="137"/>
                    <w:rPr>
                      <w:bCs/>
                      <w:color w:val="auto"/>
                      <w:u w:val="single"/>
                    </w:rPr>
                  </w:pPr>
                  <w:r>
                    <w:rPr>
                      <w:bCs/>
                      <w:color w:val="auto"/>
                      <w:u w:val="single"/>
                    </w:rPr>
                    <w:t>危险类别</w:t>
                  </w:r>
                </w:p>
              </w:tc>
              <w:tc>
                <w:tcPr>
                  <w:tcW w:w="1024" w:type="pct"/>
                  <w:noWrap w:val="0"/>
                  <w:vAlign w:val="center"/>
                </w:tcPr>
                <w:p w14:paraId="36F560BC">
                  <w:pPr>
                    <w:jc w:val="center"/>
                    <w:rPr>
                      <w:color w:val="auto"/>
                      <w:u w:val="single"/>
                    </w:rPr>
                  </w:pPr>
                  <w:r>
                    <w:rPr>
                      <w:color w:val="auto"/>
                      <w:u w:val="single"/>
                    </w:rPr>
                    <w:t>最大存储量</w:t>
                  </w:r>
                </w:p>
              </w:tc>
              <w:tc>
                <w:tcPr>
                  <w:tcW w:w="1060" w:type="pct"/>
                  <w:noWrap w:val="0"/>
                  <w:vAlign w:val="center"/>
                </w:tcPr>
                <w:p w14:paraId="2E26DCDE">
                  <w:pPr>
                    <w:jc w:val="center"/>
                    <w:rPr>
                      <w:color w:val="auto"/>
                      <w:u w:val="single"/>
                    </w:rPr>
                  </w:pPr>
                  <w:r>
                    <w:rPr>
                      <w:color w:val="auto"/>
                      <w:u w:val="single"/>
                    </w:rPr>
                    <w:t>临界量</w:t>
                  </w:r>
                </w:p>
              </w:tc>
              <w:tc>
                <w:tcPr>
                  <w:tcW w:w="1120" w:type="pct"/>
                  <w:noWrap w:val="0"/>
                  <w:vAlign w:val="center"/>
                </w:tcPr>
                <w:p w14:paraId="3626B8F5">
                  <w:pPr>
                    <w:jc w:val="center"/>
                    <w:rPr>
                      <w:color w:val="auto"/>
                      <w:u w:val="single"/>
                    </w:rPr>
                  </w:pPr>
                  <w:r>
                    <w:rPr>
                      <w:color w:val="auto"/>
                      <w:u w:val="single"/>
                    </w:rPr>
                    <w:t>qi/Qi</w:t>
                  </w:r>
                </w:p>
              </w:tc>
            </w:tr>
            <w:tr w14:paraId="3EF35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pct"/>
                  <w:noWrap w:val="0"/>
                  <w:vAlign w:val="center"/>
                </w:tcPr>
                <w:p w14:paraId="7619398F">
                  <w:pPr>
                    <w:jc w:val="center"/>
                    <w:rPr>
                      <w:rFonts w:hint="eastAsia"/>
                      <w:color w:val="auto"/>
                      <w:u w:val="single"/>
                    </w:rPr>
                  </w:pPr>
                  <w:r>
                    <w:rPr>
                      <w:rFonts w:hint="eastAsia"/>
                      <w:color w:val="auto"/>
                      <w:u w:val="single"/>
                    </w:rPr>
                    <w:t>润滑油</w:t>
                  </w:r>
                </w:p>
              </w:tc>
              <w:tc>
                <w:tcPr>
                  <w:tcW w:w="843" w:type="pct"/>
                  <w:noWrap w:val="0"/>
                  <w:vAlign w:val="center"/>
                </w:tcPr>
                <w:p w14:paraId="6C96D625">
                  <w:pPr>
                    <w:pStyle w:val="137"/>
                    <w:rPr>
                      <w:color w:val="auto"/>
                      <w:u w:val="single"/>
                    </w:rPr>
                  </w:pPr>
                  <w:r>
                    <w:rPr>
                      <w:rFonts w:hint="eastAsia"/>
                      <w:color w:val="auto"/>
                      <w:u w:val="single"/>
                    </w:rPr>
                    <w:t>易燃</w:t>
                  </w:r>
                </w:p>
              </w:tc>
              <w:tc>
                <w:tcPr>
                  <w:tcW w:w="1024" w:type="pct"/>
                  <w:noWrap w:val="0"/>
                  <w:vAlign w:val="center"/>
                </w:tcPr>
                <w:p w14:paraId="74C97329">
                  <w:pPr>
                    <w:jc w:val="center"/>
                    <w:rPr>
                      <w:rFonts w:hint="eastAsia" w:eastAsia="宋体"/>
                      <w:color w:val="auto"/>
                      <w:u w:val="single"/>
                      <w:lang w:eastAsia="zh-CN"/>
                    </w:rPr>
                  </w:pPr>
                  <w:r>
                    <w:rPr>
                      <w:rFonts w:hint="eastAsia"/>
                      <w:color w:val="auto"/>
                      <w:u w:val="single"/>
                    </w:rPr>
                    <w:t>0.</w:t>
                  </w:r>
                  <w:r>
                    <w:rPr>
                      <w:rFonts w:hint="eastAsia"/>
                      <w:color w:val="auto"/>
                      <w:u w:val="single"/>
                      <w:lang w:val="en-US" w:eastAsia="zh-CN"/>
                    </w:rPr>
                    <w:t>5</w:t>
                  </w:r>
                </w:p>
              </w:tc>
              <w:tc>
                <w:tcPr>
                  <w:tcW w:w="1060" w:type="pct"/>
                  <w:noWrap w:val="0"/>
                  <w:vAlign w:val="center"/>
                </w:tcPr>
                <w:p w14:paraId="2057DFE4">
                  <w:pPr>
                    <w:jc w:val="center"/>
                    <w:rPr>
                      <w:color w:val="auto"/>
                      <w:u w:val="single"/>
                    </w:rPr>
                  </w:pPr>
                  <w:r>
                    <w:rPr>
                      <w:rFonts w:hint="eastAsia"/>
                      <w:color w:val="auto"/>
                      <w:u w:val="single"/>
                    </w:rPr>
                    <w:t>2500</w:t>
                  </w:r>
                </w:p>
              </w:tc>
              <w:tc>
                <w:tcPr>
                  <w:tcW w:w="1120" w:type="pct"/>
                  <w:noWrap w:val="0"/>
                  <w:vAlign w:val="center"/>
                </w:tcPr>
                <w:p w14:paraId="11E55A8F">
                  <w:pPr>
                    <w:jc w:val="center"/>
                    <w:rPr>
                      <w:rFonts w:hint="eastAsia" w:eastAsia="宋体"/>
                      <w:color w:val="auto"/>
                      <w:u w:val="single"/>
                      <w:lang w:eastAsia="zh-CN"/>
                    </w:rPr>
                  </w:pPr>
                  <w:r>
                    <w:rPr>
                      <w:rFonts w:hint="eastAsia"/>
                      <w:color w:val="auto"/>
                      <w:u w:val="single"/>
                    </w:rPr>
                    <w:t>0.000</w:t>
                  </w:r>
                  <w:r>
                    <w:rPr>
                      <w:rFonts w:hint="eastAsia"/>
                      <w:color w:val="auto"/>
                      <w:u w:val="single"/>
                      <w:lang w:val="en-US" w:eastAsia="zh-CN"/>
                    </w:rPr>
                    <w:t>2</w:t>
                  </w:r>
                </w:p>
              </w:tc>
            </w:tr>
            <w:tr w14:paraId="4B014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pct"/>
                  <w:noWrap w:val="0"/>
                  <w:vAlign w:val="center"/>
                </w:tcPr>
                <w:p w14:paraId="6A433617">
                  <w:pPr>
                    <w:jc w:val="center"/>
                    <w:rPr>
                      <w:color w:val="auto"/>
                      <w:u w:val="single"/>
                    </w:rPr>
                  </w:pPr>
                  <w:r>
                    <w:rPr>
                      <w:rFonts w:hint="eastAsia"/>
                      <w:color w:val="auto"/>
                      <w:u w:val="single"/>
                    </w:rPr>
                    <w:t>危险废物</w:t>
                  </w:r>
                </w:p>
              </w:tc>
              <w:tc>
                <w:tcPr>
                  <w:tcW w:w="843" w:type="pct"/>
                  <w:noWrap w:val="0"/>
                  <w:vAlign w:val="center"/>
                </w:tcPr>
                <w:p w14:paraId="0D9692B9">
                  <w:pPr>
                    <w:pStyle w:val="137"/>
                    <w:rPr>
                      <w:color w:val="auto"/>
                      <w:u w:val="single"/>
                    </w:rPr>
                  </w:pPr>
                  <w:r>
                    <w:rPr>
                      <w:rFonts w:hint="eastAsia"/>
                      <w:color w:val="auto"/>
                      <w:u w:val="single"/>
                    </w:rPr>
                    <w:t>毒性</w:t>
                  </w:r>
                </w:p>
              </w:tc>
              <w:tc>
                <w:tcPr>
                  <w:tcW w:w="1024" w:type="pct"/>
                  <w:noWrap w:val="0"/>
                  <w:vAlign w:val="center"/>
                </w:tcPr>
                <w:p w14:paraId="2D8B0BF7">
                  <w:pPr>
                    <w:jc w:val="center"/>
                    <w:rPr>
                      <w:rFonts w:hint="default" w:eastAsia="宋体"/>
                      <w:color w:val="auto"/>
                      <w:u w:val="single"/>
                      <w:lang w:val="en-US" w:eastAsia="zh-CN"/>
                    </w:rPr>
                  </w:pPr>
                  <w:r>
                    <w:rPr>
                      <w:rFonts w:hint="eastAsia"/>
                      <w:color w:val="auto"/>
                      <w:u w:val="single"/>
                      <w:lang w:val="en-US" w:eastAsia="zh-CN"/>
                    </w:rPr>
                    <w:t>1.0</w:t>
                  </w:r>
                </w:p>
              </w:tc>
              <w:tc>
                <w:tcPr>
                  <w:tcW w:w="1060" w:type="pct"/>
                  <w:noWrap w:val="0"/>
                  <w:vAlign w:val="center"/>
                </w:tcPr>
                <w:p w14:paraId="102C73DC">
                  <w:pPr>
                    <w:jc w:val="center"/>
                    <w:rPr>
                      <w:color w:val="auto"/>
                      <w:u w:val="single"/>
                    </w:rPr>
                  </w:pPr>
                  <w:r>
                    <w:rPr>
                      <w:rFonts w:hint="eastAsia"/>
                      <w:color w:val="auto"/>
                      <w:u w:val="single"/>
                    </w:rPr>
                    <w:t>50</w:t>
                  </w:r>
                </w:p>
              </w:tc>
              <w:tc>
                <w:tcPr>
                  <w:tcW w:w="1120" w:type="pct"/>
                  <w:noWrap w:val="0"/>
                  <w:vAlign w:val="center"/>
                </w:tcPr>
                <w:p w14:paraId="5BC42D83">
                  <w:pPr>
                    <w:jc w:val="center"/>
                    <w:rPr>
                      <w:rFonts w:hint="default" w:eastAsia="宋体"/>
                      <w:color w:val="auto"/>
                      <w:u w:val="single"/>
                      <w:lang w:val="en-US" w:eastAsia="zh-CN"/>
                    </w:rPr>
                  </w:pPr>
                  <w:r>
                    <w:rPr>
                      <w:rFonts w:hint="eastAsia"/>
                      <w:color w:val="auto"/>
                      <w:u w:val="single"/>
                      <w:lang w:val="en-US" w:eastAsia="zh-CN"/>
                    </w:rPr>
                    <w:t>0.02</w:t>
                  </w:r>
                </w:p>
              </w:tc>
            </w:tr>
            <w:tr w14:paraId="1FD23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79" w:type="pct"/>
                  <w:gridSpan w:val="4"/>
                  <w:noWrap w:val="0"/>
                  <w:vAlign w:val="center"/>
                </w:tcPr>
                <w:p w14:paraId="4995F866">
                  <w:pPr>
                    <w:jc w:val="center"/>
                    <w:rPr>
                      <w:color w:val="auto"/>
                      <w:u w:val="single"/>
                    </w:rPr>
                  </w:pPr>
                  <w:r>
                    <w:rPr>
                      <w:rFonts w:hint="eastAsia"/>
                      <w:color w:val="auto"/>
                      <w:u w:val="single"/>
                    </w:rPr>
                    <w:t>总计</w:t>
                  </w:r>
                </w:p>
              </w:tc>
              <w:tc>
                <w:tcPr>
                  <w:tcW w:w="1120" w:type="pct"/>
                  <w:noWrap w:val="0"/>
                  <w:vAlign w:val="center"/>
                </w:tcPr>
                <w:p w14:paraId="3D999908">
                  <w:pPr>
                    <w:jc w:val="center"/>
                    <w:rPr>
                      <w:rFonts w:hint="default" w:eastAsia="宋体"/>
                      <w:color w:val="auto"/>
                      <w:u w:val="single"/>
                      <w:lang w:val="en-US" w:eastAsia="zh-CN"/>
                    </w:rPr>
                  </w:pPr>
                  <w:r>
                    <w:rPr>
                      <w:rFonts w:hint="eastAsia"/>
                      <w:color w:val="auto"/>
                      <w:u w:val="single"/>
                      <w:shd w:val="clear"/>
                      <w:lang w:val="en-US" w:eastAsia="zh-CN"/>
                    </w:rPr>
                    <w:t>0.0202</w:t>
                  </w:r>
                </w:p>
              </w:tc>
            </w:tr>
          </w:tbl>
          <w:p w14:paraId="1E8FC931">
            <w:pPr>
              <w:pStyle w:val="112"/>
              <w:keepNext w:val="0"/>
              <w:keepLines w:val="0"/>
              <w:pageBreakBefore w:val="0"/>
              <w:widowControl/>
              <w:kinsoku/>
              <w:wordWrap/>
              <w:overflowPunct/>
              <w:topLinePunct w:val="0"/>
              <w:autoSpaceDE/>
              <w:autoSpaceDN/>
              <w:bidi w:val="0"/>
              <w:adjustRightInd/>
              <w:snapToGrid/>
              <w:spacing w:before="157" w:beforeLines="50"/>
              <w:ind w:firstLine="480"/>
              <w:textAlignment w:val="auto"/>
              <w:rPr>
                <w:rFonts w:hint="eastAsia" w:cs="Times New Roman"/>
                <w:bCs/>
                <w:color w:val="auto"/>
                <w:u w:val="single"/>
                <w:lang w:eastAsia="zh-CN"/>
              </w:rPr>
            </w:pPr>
            <w:r>
              <w:rPr>
                <w:bCs/>
                <w:color w:val="auto"/>
                <w:sz w:val="24"/>
                <w:u w:val="single"/>
              </w:rPr>
              <w:t>根据以上分析，本项目Q＜1。根据《建设项目环境风险评价技术导则》（HJ169-2018）附录C，当Q＜1时，可直接判断该项目环境风险潜势为I。因此，该项目环境风险潜势为I，只需要进行简单分析。</w:t>
            </w:r>
          </w:p>
          <w:p w14:paraId="4EBFFC46">
            <w:pPr>
              <w:spacing w:line="360" w:lineRule="auto"/>
              <w:ind w:firstLine="480" w:firstLineChars="200"/>
              <w:rPr>
                <w:color w:val="auto"/>
                <w:sz w:val="24"/>
                <w:u w:val="single"/>
              </w:rPr>
            </w:pPr>
            <w:r>
              <w:rPr>
                <w:color w:val="auto"/>
                <w:sz w:val="24"/>
                <w:u w:val="single"/>
              </w:rPr>
              <w:t>（</w:t>
            </w:r>
            <w:r>
              <w:rPr>
                <w:rFonts w:hint="eastAsia"/>
                <w:color w:val="auto"/>
                <w:sz w:val="24"/>
                <w:u w:val="single"/>
              </w:rPr>
              <w:t>2</w:t>
            </w:r>
            <w:r>
              <w:rPr>
                <w:color w:val="auto"/>
                <w:sz w:val="24"/>
                <w:u w:val="single"/>
              </w:rPr>
              <w:t>）环境风险分析</w:t>
            </w:r>
          </w:p>
          <w:p w14:paraId="6A70676B">
            <w:pPr>
              <w:pStyle w:val="112"/>
              <w:widowControl/>
              <w:ind w:firstLine="480"/>
              <w:rPr>
                <w:color w:val="auto"/>
                <w:sz w:val="24"/>
                <w:u w:val="single"/>
              </w:rPr>
            </w:pPr>
            <w:r>
              <w:rPr>
                <w:rFonts w:hint="eastAsia"/>
                <w:color w:val="auto"/>
                <w:sz w:val="24"/>
                <w:u w:val="single"/>
                <w:lang w:val="en-US" w:eastAsia="zh-CN"/>
              </w:rPr>
              <w:t>1）</w:t>
            </w:r>
            <w:r>
              <w:rPr>
                <w:color w:val="auto"/>
                <w:sz w:val="24"/>
                <w:u w:val="single"/>
              </w:rPr>
              <w:t>火灾事故影响分析</w:t>
            </w:r>
          </w:p>
          <w:p w14:paraId="4B335205">
            <w:pPr>
              <w:pStyle w:val="112"/>
              <w:widowControl/>
              <w:ind w:firstLine="480"/>
              <w:rPr>
                <w:color w:val="auto"/>
                <w:sz w:val="24"/>
                <w:u w:val="single"/>
              </w:rPr>
            </w:pPr>
            <w:r>
              <w:rPr>
                <w:color w:val="auto"/>
                <w:sz w:val="24"/>
                <w:u w:val="single"/>
              </w:rPr>
              <w:t>一旦发生火灾事故，有毒有害气体可通过热辐射、烟雾及冲击波等形式扩散至空气中</w:t>
            </w:r>
            <w:r>
              <w:rPr>
                <w:rFonts w:hint="eastAsia"/>
                <w:color w:val="auto"/>
                <w:sz w:val="24"/>
                <w:u w:val="single"/>
              </w:rPr>
              <w:t>；</w:t>
            </w:r>
            <w:r>
              <w:rPr>
                <w:color w:val="auto"/>
                <w:sz w:val="24"/>
                <w:u w:val="single"/>
              </w:rPr>
              <w:t>消防水将进入</w:t>
            </w:r>
            <w:r>
              <w:rPr>
                <w:rFonts w:hint="eastAsia"/>
                <w:color w:val="auto"/>
                <w:sz w:val="24"/>
                <w:u w:val="single"/>
              </w:rPr>
              <w:t>雨水收集系统，如消防水量过大将溢流至厂区外</w:t>
            </w:r>
            <w:r>
              <w:rPr>
                <w:color w:val="auto"/>
                <w:sz w:val="24"/>
                <w:u w:val="single"/>
              </w:rPr>
              <w:t>，会造成财产损失及水环境的污染。</w:t>
            </w:r>
          </w:p>
          <w:p w14:paraId="52AD35D0">
            <w:pPr>
              <w:adjustRightInd w:val="0"/>
              <w:snapToGrid w:val="0"/>
              <w:spacing w:line="360" w:lineRule="auto"/>
              <w:ind w:firstLine="480" w:firstLineChars="200"/>
              <w:rPr>
                <w:bCs/>
                <w:color w:val="auto"/>
                <w:sz w:val="24"/>
                <w:u w:val="single"/>
              </w:rPr>
            </w:pPr>
            <w:r>
              <w:rPr>
                <w:rFonts w:hint="eastAsia"/>
                <w:color w:val="auto"/>
                <w:sz w:val="24"/>
                <w:u w:val="single"/>
                <w:lang w:val="en-US" w:eastAsia="zh-CN"/>
              </w:rPr>
              <w:t>2）</w:t>
            </w:r>
            <w:r>
              <w:rPr>
                <w:bCs/>
                <w:color w:val="auto"/>
                <w:sz w:val="24"/>
                <w:u w:val="single"/>
              </w:rPr>
              <w:t>泄漏事故影响分析</w:t>
            </w:r>
          </w:p>
          <w:p w14:paraId="5F72A452">
            <w:pPr>
              <w:pStyle w:val="112"/>
              <w:widowControl/>
              <w:ind w:firstLine="480"/>
              <w:rPr>
                <w:rFonts w:hint="eastAsia" w:eastAsia="宋体"/>
                <w:color w:val="auto"/>
                <w:sz w:val="24"/>
                <w:u w:val="single"/>
                <w:lang w:val="en-US" w:eastAsia="zh-CN"/>
              </w:rPr>
            </w:pPr>
            <w:r>
              <w:rPr>
                <w:bCs/>
                <w:color w:val="auto"/>
                <w:sz w:val="24"/>
                <w:u w:val="single"/>
              </w:rPr>
              <w:t>本项目若管理操作不当或意外事故，如</w:t>
            </w:r>
            <w:r>
              <w:rPr>
                <w:rFonts w:hint="eastAsia"/>
                <w:bCs/>
                <w:color w:val="auto"/>
                <w:sz w:val="24"/>
                <w:u w:val="single"/>
              </w:rPr>
              <w:t>润滑油</w:t>
            </w:r>
            <w:r>
              <w:rPr>
                <w:bCs/>
                <w:color w:val="auto"/>
                <w:sz w:val="24"/>
                <w:u w:val="single"/>
              </w:rPr>
              <w:t>桶等发生泄漏，原料泄漏从而引起燃烧</w:t>
            </w:r>
            <w:r>
              <w:rPr>
                <w:rFonts w:hint="eastAsia"/>
                <w:bCs/>
                <w:color w:val="auto"/>
                <w:sz w:val="24"/>
                <w:u w:val="single"/>
              </w:rPr>
              <w:t>或污染土壤</w:t>
            </w:r>
            <w:r>
              <w:rPr>
                <w:bCs/>
                <w:color w:val="auto"/>
                <w:sz w:val="24"/>
                <w:u w:val="single"/>
              </w:rPr>
              <w:t>事故风险。这不仅会对周围环境产生较大的污染影响，甚至还要危及人身的生命安全。此外，储存、装卸过程可能造成的原料泄漏，除在大气中挥发而损耗外，其余部分会随着地面冲洗水进入</w:t>
            </w:r>
            <w:r>
              <w:rPr>
                <w:rFonts w:hint="eastAsia"/>
                <w:bCs/>
                <w:color w:val="auto"/>
                <w:sz w:val="24"/>
                <w:u w:val="single"/>
              </w:rPr>
              <w:t>雨水收集沟，如管理不善冲洗水有可能进入</w:t>
            </w:r>
            <w:r>
              <w:rPr>
                <w:rFonts w:hint="eastAsia"/>
                <w:bCs/>
                <w:color w:val="auto"/>
                <w:sz w:val="24"/>
                <w:u w:val="single"/>
                <w:lang w:val="en-US" w:eastAsia="zh-CN"/>
              </w:rPr>
              <w:t>附近地表水</w:t>
            </w:r>
            <w:r>
              <w:rPr>
                <w:bCs/>
                <w:color w:val="auto"/>
                <w:sz w:val="24"/>
                <w:u w:val="single"/>
              </w:rPr>
              <w:t>，从而造成地表水体污染。</w:t>
            </w:r>
          </w:p>
          <w:p w14:paraId="30F21533">
            <w:pPr>
              <w:adjustRightInd w:val="0"/>
              <w:snapToGrid w:val="0"/>
              <w:spacing w:line="360" w:lineRule="auto"/>
              <w:ind w:firstLine="480" w:firstLineChars="200"/>
              <w:rPr>
                <w:bCs/>
                <w:color w:val="auto"/>
                <w:sz w:val="24"/>
                <w:u w:val="single"/>
              </w:rPr>
            </w:pPr>
            <w:r>
              <w:rPr>
                <w:bCs/>
                <w:color w:val="auto"/>
                <w:sz w:val="24"/>
                <w:u w:val="single"/>
              </w:rPr>
              <w:t>（</w:t>
            </w:r>
            <w:r>
              <w:rPr>
                <w:rFonts w:hint="eastAsia"/>
                <w:bCs/>
                <w:color w:val="auto"/>
                <w:sz w:val="24"/>
                <w:u w:val="single"/>
              </w:rPr>
              <w:t>3</w:t>
            </w:r>
            <w:r>
              <w:rPr>
                <w:bCs/>
                <w:color w:val="auto"/>
                <w:sz w:val="24"/>
                <w:u w:val="single"/>
              </w:rPr>
              <w:t>）风险防范措施</w:t>
            </w:r>
          </w:p>
          <w:p w14:paraId="2F7F0BF4">
            <w:pPr>
              <w:adjustRightInd w:val="0"/>
              <w:snapToGrid w:val="0"/>
              <w:spacing w:line="360" w:lineRule="auto"/>
              <w:ind w:firstLine="480" w:firstLineChars="200"/>
              <w:rPr>
                <w:bCs/>
                <w:color w:val="auto"/>
                <w:sz w:val="24"/>
                <w:u w:val="single"/>
              </w:rPr>
            </w:pPr>
            <w:r>
              <w:rPr>
                <w:bCs/>
                <w:color w:val="auto"/>
                <w:sz w:val="24"/>
                <w:u w:val="single"/>
              </w:rPr>
              <w:t>①</w:t>
            </w:r>
            <w:r>
              <w:rPr>
                <w:rFonts w:hint="eastAsia"/>
                <w:bCs/>
                <w:color w:val="auto"/>
                <w:sz w:val="24"/>
                <w:u w:val="single"/>
              </w:rPr>
              <w:t>生产过程中保证</w:t>
            </w:r>
            <w:r>
              <w:rPr>
                <w:rFonts w:hint="eastAsia"/>
                <w:bCs/>
                <w:color w:val="auto"/>
                <w:sz w:val="24"/>
                <w:u w:val="single"/>
                <w:lang w:eastAsia="zh-CN"/>
              </w:rPr>
              <w:t>厂区</w:t>
            </w:r>
            <w:r>
              <w:rPr>
                <w:rFonts w:hint="eastAsia"/>
                <w:bCs/>
                <w:color w:val="auto"/>
                <w:sz w:val="24"/>
                <w:u w:val="single"/>
              </w:rPr>
              <w:t>消防疏散通道的畅通，必须采取良好的通风系统。</w:t>
            </w:r>
          </w:p>
          <w:p w14:paraId="001008BD">
            <w:pPr>
              <w:adjustRightInd w:val="0"/>
              <w:snapToGrid w:val="0"/>
              <w:spacing w:line="360" w:lineRule="auto"/>
              <w:ind w:firstLine="480" w:firstLineChars="200"/>
              <w:rPr>
                <w:bCs/>
                <w:color w:val="auto"/>
                <w:sz w:val="24"/>
                <w:u w:val="single"/>
              </w:rPr>
            </w:pPr>
            <w:r>
              <w:rPr>
                <w:bCs/>
                <w:color w:val="auto"/>
                <w:sz w:val="24"/>
                <w:u w:val="single"/>
              </w:rPr>
              <w:t>②</w:t>
            </w:r>
            <w:r>
              <w:rPr>
                <w:rFonts w:hint="eastAsia"/>
                <w:bCs/>
                <w:color w:val="auto"/>
                <w:sz w:val="24"/>
                <w:u w:val="single"/>
              </w:rPr>
              <w:t>场区</w:t>
            </w:r>
            <w:r>
              <w:rPr>
                <w:bCs/>
                <w:color w:val="auto"/>
                <w:sz w:val="24"/>
                <w:u w:val="single"/>
              </w:rPr>
              <w:t>应按规范配置灭火器材和消防装备。</w:t>
            </w:r>
          </w:p>
          <w:p w14:paraId="3D35B977">
            <w:pPr>
              <w:adjustRightInd w:val="0"/>
              <w:snapToGrid w:val="0"/>
              <w:spacing w:line="360" w:lineRule="auto"/>
              <w:ind w:firstLine="480" w:firstLineChars="200"/>
              <w:rPr>
                <w:bCs/>
                <w:color w:val="auto"/>
                <w:sz w:val="24"/>
                <w:u w:val="single"/>
              </w:rPr>
            </w:pPr>
            <w:r>
              <w:rPr>
                <w:bCs/>
                <w:color w:val="auto"/>
                <w:sz w:val="24"/>
                <w:u w:val="single"/>
              </w:rPr>
              <w:t>③工作人员要熟练掌握操作技术和防火安全管理规定。</w:t>
            </w:r>
          </w:p>
          <w:p w14:paraId="42C87535">
            <w:pPr>
              <w:adjustRightInd w:val="0"/>
              <w:snapToGrid w:val="0"/>
              <w:spacing w:line="360" w:lineRule="auto"/>
              <w:ind w:firstLine="480" w:firstLineChars="200"/>
              <w:rPr>
                <w:bCs/>
                <w:color w:val="auto"/>
                <w:sz w:val="24"/>
                <w:u w:val="single"/>
              </w:rPr>
            </w:pPr>
            <w:r>
              <w:rPr>
                <w:bCs/>
                <w:color w:val="auto"/>
                <w:sz w:val="24"/>
                <w:u w:val="single"/>
              </w:rPr>
              <w:t>④</w:t>
            </w:r>
            <w:r>
              <w:rPr>
                <w:rFonts w:hint="eastAsia"/>
                <w:bCs/>
                <w:color w:val="auto"/>
                <w:sz w:val="24"/>
                <w:u w:val="single"/>
              </w:rPr>
              <w:t>加强消防废水管理，采用移动式抽水泵及时将消防废水抽至</w:t>
            </w:r>
            <w:r>
              <w:rPr>
                <w:rFonts w:hint="eastAsia"/>
                <w:bCs/>
                <w:color w:val="auto"/>
                <w:sz w:val="24"/>
                <w:u w:val="single"/>
                <w:lang w:val="en-US" w:eastAsia="zh-CN"/>
              </w:rPr>
              <w:t>园区</w:t>
            </w:r>
            <w:r>
              <w:rPr>
                <w:rFonts w:hint="eastAsia"/>
                <w:bCs/>
                <w:color w:val="auto"/>
                <w:sz w:val="24"/>
                <w:u w:val="single"/>
              </w:rPr>
              <w:t>沉淀池内处理，杜绝消防废水进入雨水管网。</w:t>
            </w:r>
          </w:p>
          <w:p w14:paraId="58B924EE">
            <w:pPr>
              <w:adjustRightInd w:val="0"/>
              <w:snapToGrid w:val="0"/>
              <w:spacing w:line="360" w:lineRule="auto"/>
              <w:ind w:firstLine="480" w:firstLineChars="200"/>
              <w:rPr>
                <w:bCs/>
                <w:color w:val="auto"/>
                <w:sz w:val="24"/>
                <w:u w:val="single"/>
              </w:rPr>
            </w:pPr>
            <w:r>
              <w:rPr>
                <w:bCs/>
                <w:color w:val="auto"/>
                <w:sz w:val="24"/>
                <w:u w:val="single"/>
              </w:rPr>
              <w:t>2）原辅材料泄漏防范措施</w:t>
            </w:r>
          </w:p>
          <w:p w14:paraId="182595D4">
            <w:pPr>
              <w:adjustRightInd w:val="0"/>
              <w:snapToGrid w:val="0"/>
              <w:spacing w:line="360" w:lineRule="auto"/>
              <w:ind w:firstLine="480" w:firstLineChars="200"/>
              <w:rPr>
                <w:bCs/>
                <w:color w:val="auto"/>
                <w:sz w:val="24"/>
                <w:u w:val="single"/>
              </w:rPr>
            </w:pPr>
            <w:r>
              <w:rPr>
                <w:bCs/>
                <w:color w:val="auto"/>
                <w:sz w:val="24"/>
                <w:u w:val="single"/>
              </w:rPr>
              <w:t>1）火灾风险防范措施</w:t>
            </w:r>
          </w:p>
          <w:p w14:paraId="13B0F684">
            <w:pPr>
              <w:adjustRightInd w:val="0"/>
              <w:snapToGrid w:val="0"/>
              <w:spacing w:line="360" w:lineRule="auto"/>
              <w:ind w:firstLine="480" w:firstLineChars="200"/>
              <w:rPr>
                <w:bCs/>
                <w:color w:val="auto"/>
                <w:sz w:val="24"/>
                <w:u w:val="single"/>
              </w:rPr>
            </w:pPr>
            <w:r>
              <w:rPr>
                <w:bCs/>
                <w:color w:val="auto"/>
                <w:sz w:val="24"/>
                <w:u w:val="single"/>
              </w:rPr>
              <w:t>①应按照相关要求规范对原辅材料的使用、贮存及管理过程，加强对员工的教育培训。</w:t>
            </w:r>
          </w:p>
          <w:p w14:paraId="2E7C831A">
            <w:pPr>
              <w:adjustRightInd w:val="0"/>
              <w:snapToGrid w:val="0"/>
              <w:spacing w:line="360" w:lineRule="auto"/>
              <w:ind w:firstLine="480" w:firstLineChars="200"/>
              <w:rPr>
                <w:bCs/>
                <w:color w:val="auto"/>
                <w:sz w:val="24"/>
                <w:u w:val="single"/>
              </w:rPr>
            </w:pPr>
            <w:r>
              <w:rPr>
                <w:bCs/>
                <w:color w:val="auto"/>
                <w:sz w:val="24"/>
                <w:u w:val="single"/>
              </w:rPr>
              <w:t>②危废暂存区应做好防腐防渗措施。在厂内存储地点必须远离动火点，且保证储存地点通风良好，现场设置明显、醒目的安全标志、禁令、警语和告示牌。</w:t>
            </w:r>
          </w:p>
          <w:p w14:paraId="0BD5A981">
            <w:pPr>
              <w:adjustRightInd w:val="0"/>
              <w:snapToGrid w:val="0"/>
              <w:spacing w:line="360" w:lineRule="auto"/>
              <w:ind w:firstLine="480" w:firstLineChars="200"/>
              <w:rPr>
                <w:bCs/>
                <w:color w:val="auto"/>
                <w:sz w:val="24"/>
                <w:u w:val="single"/>
              </w:rPr>
            </w:pPr>
            <w:r>
              <w:rPr>
                <w:bCs/>
                <w:color w:val="auto"/>
                <w:sz w:val="24"/>
                <w:u w:val="single"/>
              </w:rPr>
              <w:t>③</w:t>
            </w:r>
            <w:r>
              <w:rPr>
                <w:rFonts w:hint="eastAsia"/>
                <w:bCs/>
                <w:color w:val="auto"/>
                <w:sz w:val="24"/>
                <w:u w:val="single"/>
              </w:rPr>
              <w:t>危险废物</w:t>
            </w:r>
            <w:r>
              <w:rPr>
                <w:bCs/>
                <w:color w:val="auto"/>
                <w:sz w:val="24"/>
                <w:u w:val="single"/>
              </w:rPr>
              <w:t>等发生小量泄漏时，应采取措施修补容器，或转移破损桶内的物料、用沙土吸附。</w:t>
            </w:r>
          </w:p>
          <w:p w14:paraId="7CD1F587">
            <w:pPr>
              <w:adjustRightInd w:val="0"/>
              <w:snapToGrid w:val="0"/>
              <w:spacing w:line="360" w:lineRule="auto"/>
              <w:ind w:firstLine="480" w:firstLineChars="200"/>
              <w:rPr>
                <w:bCs/>
                <w:color w:val="auto"/>
                <w:sz w:val="24"/>
                <w:u w:val="single"/>
              </w:rPr>
            </w:pPr>
            <w:r>
              <w:rPr>
                <w:bCs/>
                <w:color w:val="auto"/>
                <w:sz w:val="24"/>
                <w:u w:val="single"/>
              </w:rPr>
              <w:t>④制定巡查制度，对有泄漏现象和迹象的部位及时采取处理措施。</w:t>
            </w:r>
          </w:p>
          <w:p w14:paraId="54362023">
            <w:pPr>
              <w:adjustRightInd w:val="0"/>
              <w:snapToGrid w:val="0"/>
              <w:spacing w:line="360" w:lineRule="auto"/>
              <w:ind w:firstLine="480" w:firstLineChars="200"/>
              <w:rPr>
                <w:bCs/>
                <w:color w:val="auto"/>
                <w:sz w:val="24"/>
                <w:u w:val="single"/>
              </w:rPr>
            </w:pPr>
            <w:r>
              <w:rPr>
                <w:bCs/>
                <w:color w:val="auto"/>
                <w:sz w:val="24"/>
                <w:u w:val="single"/>
              </w:rPr>
              <w:t>（</w:t>
            </w:r>
            <w:r>
              <w:rPr>
                <w:rFonts w:hint="eastAsia"/>
                <w:bCs/>
                <w:color w:val="auto"/>
                <w:sz w:val="24"/>
                <w:u w:val="single"/>
              </w:rPr>
              <w:t>4</w:t>
            </w:r>
            <w:r>
              <w:rPr>
                <w:bCs/>
                <w:color w:val="auto"/>
                <w:sz w:val="24"/>
                <w:u w:val="single"/>
              </w:rPr>
              <w:t>）环境风险应急管理</w:t>
            </w:r>
          </w:p>
          <w:p w14:paraId="2EE38132">
            <w:pPr>
              <w:adjustRightInd w:val="0"/>
              <w:snapToGrid w:val="0"/>
              <w:spacing w:line="360" w:lineRule="auto"/>
              <w:ind w:firstLine="480" w:firstLineChars="200"/>
              <w:rPr>
                <w:bCs/>
                <w:color w:val="auto"/>
                <w:sz w:val="24"/>
                <w:u w:val="single"/>
              </w:rPr>
            </w:pPr>
            <w:r>
              <w:rPr>
                <w:bCs/>
                <w:color w:val="auto"/>
                <w:sz w:val="24"/>
                <w:u w:val="single"/>
              </w:rPr>
              <w:t>①</w:t>
            </w:r>
            <w:r>
              <w:rPr>
                <w:rFonts w:hint="eastAsia"/>
                <w:bCs/>
                <w:color w:val="auto"/>
                <w:sz w:val="24"/>
                <w:u w:val="single"/>
                <w:lang w:eastAsia="zh-CN"/>
              </w:rPr>
              <w:t>制订</w:t>
            </w:r>
            <w:r>
              <w:rPr>
                <w:bCs/>
                <w:color w:val="auto"/>
                <w:sz w:val="24"/>
                <w:u w:val="single"/>
              </w:rPr>
              <w:t>设备检修计划，定期对设备设施进行检修；</w:t>
            </w:r>
          </w:p>
          <w:p w14:paraId="07799BF2">
            <w:pPr>
              <w:adjustRightInd w:val="0"/>
              <w:snapToGrid w:val="0"/>
              <w:spacing w:line="360" w:lineRule="auto"/>
              <w:ind w:firstLine="480" w:firstLineChars="200"/>
              <w:rPr>
                <w:bCs/>
                <w:color w:val="auto"/>
                <w:sz w:val="24"/>
                <w:u w:val="single"/>
              </w:rPr>
            </w:pPr>
            <w:r>
              <w:rPr>
                <w:bCs/>
                <w:color w:val="auto"/>
                <w:sz w:val="24"/>
                <w:u w:val="single"/>
              </w:rPr>
              <w:t>②建立定时巡检制度，发现问题及时处理；配备专人负责对</w:t>
            </w:r>
            <w:r>
              <w:rPr>
                <w:rFonts w:hint="eastAsia"/>
                <w:bCs/>
                <w:color w:val="auto"/>
                <w:sz w:val="24"/>
                <w:u w:val="single"/>
              </w:rPr>
              <w:t>场区</w:t>
            </w:r>
            <w:r>
              <w:rPr>
                <w:bCs/>
                <w:color w:val="auto"/>
                <w:sz w:val="24"/>
                <w:u w:val="single"/>
              </w:rPr>
              <w:t>及周围进行巡视；</w:t>
            </w:r>
          </w:p>
          <w:p w14:paraId="0D7300EC">
            <w:pPr>
              <w:adjustRightInd w:val="0"/>
              <w:snapToGrid w:val="0"/>
              <w:spacing w:line="360" w:lineRule="auto"/>
              <w:ind w:firstLine="480" w:firstLineChars="200"/>
              <w:rPr>
                <w:bCs/>
                <w:color w:val="auto"/>
                <w:sz w:val="24"/>
              </w:rPr>
            </w:pPr>
            <w:r>
              <w:rPr>
                <w:bCs/>
                <w:color w:val="auto"/>
                <w:sz w:val="24"/>
                <w:u w:val="single"/>
              </w:rPr>
              <w:t>③明确岗位责任，定期培训职工，提高安全生产和管理能力。</w:t>
            </w:r>
          </w:p>
          <w:p w14:paraId="0000C39B">
            <w:pPr>
              <w:adjustRightInd w:val="0"/>
              <w:snapToGrid w:val="0"/>
              <w:spacing w:line="360" w:lineRule="auto"/>
              <w:ind w:firstLine="480" w:firstLineChars="200"/>
              <w:rPr>
                <w:rFonts w:eastAsia="宋体"/>
                <w:bCs/>
                <w:color w:val="auto"/>
                <w:sz w:val="24"/>
              </w:rPr>
            </w:pPr>
            <w:r>
              <w:rPr>
                <w:rFonts w:eastAsia="宋体"/>
                <w:bCs/>
                <w:color w:val="auto"/>
                <w:sz w:val="24"/>
              </w:rPr>
              <w:t>（</w:t>
            </w:r>
            <w:r>
              <w:rPr>
                <w:rFonts w:hint="eastAsia" w:eastAsia="宋体"/>
                <w:bCs/>
                <w:color w:val="auto"/>
                <w:sz w:val="24"/>
              </w:rPr>
              <w:t>5</w:t>
            </w:r>
            <w:r>
              <w:rPr>
                <w:rFonts w:eastAsia="宋体"/>
                <w:bCs/>
                <w:color w:val="auto"/>
                <w:sz w:val="24"/>
              </w:rPr>
              <w:t>）分析结论</w:t>
            </w:r>
          </w:p>
          <w:p w14:paraId="47543B0F">
            <w:pPr>
              <w:adjustRightInd w:val="0"/>
              <w:snapToGrid w:val="0"/>
              <w:spacing w:line="360" w:lineRule="auto"/>
              <w:ind w:firstLine="480" w:firstLineChars="200"/>
              <w:rPr>
                <w:rFonts w:eastAsia="宋体"/>
                <w:bCs/>
                <w:color w:val="auto"/>
                <w:sz w:val="24"/>
              </w:rPr>
            </w:pPr>
            <w:r>
              <w:rPr>
                <w:rFonts w:eastAsia="宋体"/>
                <w:bCs/>
                <w:color w:val="auto"/>
                <w:sz w:val="24"/>
              </w:rPr>
              <w:t>拟建项目不涉及环境风险物质，无重大环境风险，不会对项目区环境产生较大影响。</w:t>
            </w:r>
          </w:p>
          <w:p w14:paraId="2435EF1F">
            <w:pPr>
              <w:pStyle w:val="112"/>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4"/>
                <w:szCs w:val="24"/>
                <w:u w:val="none"/>
              </w:rPr>
              <w:t>表4-</w:t>
            </w:r>
            <w:r>
              <w:rPr>
                <w:rFonts w:hint="eastAsia" w:cs="Times New Roman"/>
                <w:b/>
                <w:bCs/>
                <w:color w:val="auto"/>
                <w:sz w:val="24"/>
                <w:szCs w:val="24"/>
                <w:u w:val="none"/>
                <w:lang w:val="en-US" w:eastAsia="zh-CN"/>
              </w:rPr>
              <w:t>18</w:t>
            </w:r>
            <w:r>
              <w:rPr>
                <w:rFonts w:hint="default" w:ascii="Times New Roman" w:hAnsi="Times New Roman" w:cs="Times New Roman"/>
                <w:b/>
                <w:bCs/>
                <w:color w:val="auto"/>
                <w:sz w:val="24"/>
                <w:szCs w:val="24"/>
                <w:u w:val="none"/>
              </w:rPr>
              <w:t xml:space="preserve"> </w:t>
            </w:r>
            <w:r>
              <w:rPr>
                <w:rFonts w:hint="eastAsia" w:cs="Times New Roman"/>
                <w:b/>
                <w:bCs/>
                <w:color w:val="auto"/>
                <w:sz w:val="24"/>
                <w:szCs w:val="24"/>
                <w:u w:val="none"/>
                <w:lang w:val="en-US" w:eastAsia="zh-CN"/>
              </w:rPr>
              <w:t xml:space="preserve">  </w:t>
            </w:r>
            <w:r>
              <w:rPr>
                <w:rFonts w:hint="default" w:ascii="Times New Roman" w:hAnsi="Times New Roman" w:cs="Times New Roman"/>
                <w:b/>
                <w:bCs/>
                <w:color w:val="auto"/>
                <w:sz w:val="24"/>
                <w:szCs w:val="24"/>
                <w:u w:val="none"/>
              </w:rPr>
              <w:t>建设项目环境风险分析内容表</w:t>
            </w:r>
          </w:p>
          <w:tbl>
            <w:tblPr>
              <w:tblStyle w:val="33"/>
              <w:tblW w:w="7763"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5780"/>
            </w:tblGrid>
            <w:tr w14:paraId="63CB4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6C93C460">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b w:val="0"/>
                      <w:bCs w:val="0"/>
                      <w:color w:val="auto"/>
                      <w:sz w:val="21"/>
                      <w:szCs w:val="21"/>
                      <w:u w:val="none"/>
                      <w:vertAlign w:val="baseline"/>
                      <w:lang w:eastAsia="zh-CN"/>
                    </w:rPr>
                    <w:t>建设项目名称</w:t>
                  </w:r>
                </w:p>
              </w:tc>
              <w:tc>
                <w:tcPr>
                  <w:tcW w:w="5780" w:type="dxa"/>
                  <w:tcBorders>
                    <w:tl2br w:val="nil"/>
                    <w:tr2bl w:val="nil"/>
                  </w:tcBorders>
                  <w:vAlign w:val="center"/>
                </w:tcPr>
                <w:p w14:paraId="77974002">
                  <w:pPr>
                    <w:pStyle w:val="1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z w:val="21"/>
                      <w:szCs w:val="21"/>
                      <w:u w:val="none"/>
                      <w:vertAlign w:val="baseline"/>
                      <w:lang w:eastAsia="zh-CN"/>
                    </w:rPr>
                  </w:pPr>
                  <w:r>
                    <w:rPr>
                      <w:rFonts w:hint="eastAsia" w:cs="Times New Roman" w:eastAsiaTheme="minorEastAsia"/>
                      <w:color w:val="auto"/>
                      <w:sz w:val="21"/>
                      <w:szCs w:val="21"/>
                      <w:u w:val="none"/>
                      <w:lang w:eastAsia="zh-CN"/>
                    </w:rPr>
                    <w:t>湖南正生山银花示范种植基地及加工集散交易中心建设项目</w:t>
                  </w:r>
                </w:p>
              </w:tc>
            </w:tr>
            <w:tr w14:paraId="50CDC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285E6D92">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rPr>
                    <w:t>建设地点</w:t>
                  </w:r>
                </w:p>
              </w:tc>
              <w:tc>
                <w:tcPr>
                  <w:tcW w:w="5780" w:type="dxa"/>
                  <w:tcBorders>
                    <w:tl2br w:val="nil"/>
                    <w:tr2bl w:val="nil"/>
                  </w:tcBorders>
                  <w:vAlign w:val="center"/>
                </w:tcPr>
                <w:p w14:paraId="76C751C2">
                  <w:pPr>
                    <w:pStyle w:val="1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bCs/>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rPr>
                    <w:t>怀化市溆浦县</w:t>
                  </w:r>
                  <w:r>
                    <w:rPr>
                      <w:rFonts w:hint="eastAsia" w:cs="Times New Roman" w:eastAsiaTheme="minorEastAsia"/>
                      <w:color w:val="auto"/>
                      <w:sz w:val="21"/>
                      <w:szCs w:val="21"/>
                      <w:u w:val="none"/>
                      <w:lang w:eastAsia="zh-CN"/>
                    </w:rPr>
                    <w:t>龙潭镇岩板村和营盘村交界处、紧邻S312省道</w:t>
                  </w:r>
                </w:p>
              </w:tc>
            </w:tr>
            <w:tr w14:paraId="081E6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26099604">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b w:val="0"/>
                      <w:bCs w:val="0"/>
                      <w:color w:val="auto"/>
                      <w:sz w:val="21"/>
                      <w:szCs w:val="21"/>
                      <w:u w:val="none"/>
                    </w:rPr>
                    <w:t>地理坐标</w:t>
                  </w:r>
                </w:p>
              </w:tc>
              <w:tc>
                <w:tcPr>
                  <w:tcW w:w="5780" w:type="dxa"/>
                  <w:tcBorders>
                    <w:tl2br w:val="nil"/>
                    <w:tr2bl w:val="nil"/>
                  </w:tcBorders>
                  <w:vAlign w:val="center"/>
                </w:tcPr>
                <w:p w14:paraId="591ACA5D">
                  <w:pPr>
                    <w:pStyle w:val="1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z w:val="21"/>
                      <w:szCs w:val="21"/>
                      <w:u w:val="none"/>
                      <w:lang w:eastAsia="zh-CN"/>
                    </w:rPr>
                    <w:t>东经：</w:t>
                  </w:r>
                  <w:r>
                    <w:rPr>
                      <w:rFonts w:hint="default" w:ascii="Times New Roman" w:hAnsi="Times New Roman" w:cs="Times New Roman" w:eastAsiaTheme="minorEastAsia"/>
                      <w:color w:val="auto"/>
                      <w:sz w:val="21"/>
                      <w:szCs w:val="21"/>
                      <w:u w:val="none"/>
                    </w:rPr>
                    <w:t>110°31′</w:t>
                  </w:r>
                  <w:r>
                    <w:rPr>
                      <w:rFonts w:hint="eastAsia" w:cs="Times New Roman" w:eastAsiaTheme="minorEastAsia"/>
                      <w:color w:val="auto"/>
                      <w:sz w:val="21"/>
                      <w:szCs w:val="21"/>
                      <w:u w:val="none"/>
                      <w:lang w:val="en-US" w:eastAsia="zh-CN"/>
                    </w:rPr>
                    <w:t>48.98036</w:t>
                  </w:r>
                  <w:r>
                    <w:rPr>
                      <w:rFonts w:hint="default" w:ascii="Times New Roman" w:hAnsi="Times New Roman" w:cs="Times New Roman" w:eastAsiaTheme="minorEastAsia"/>
                      <w:color w:val="auto"/>
                      <w:sz w:val="21"/>
                      <w:szCs w:val="21"/>
                      <w:u w:val="none"/>
                    </w:rPr>
                    <w:t>″，</w:t>
                  </w:r>
                  <w:r>
                    <w:rPr>
                      <w:rFonts w:hint="default" w:ascii="Times New Roman" w:hAnsi="Times New Roman" w:cs="Times New Roman" w:eastAsiaTheme="minorEastAsia"/>
                      <w:color w:val="auto"/>
                      <w:sz w:val="21"/>
                      <w:szCs w:val="21"/>
                      <w:u w:val="none"/>
                      <w:lang w:eastAsia="zh-CN"/>
                    </w:rPr>
                    <w:t>北纬</w:t>
                  </w:r>
                  <w:r>
                    <w:rPr>
                      <w:rFonts w:hint="default" w:ascii="Times New Roman" w:hAnsi="Times New Roman" w:cs="Times New Roman" w:eastAsiaTheme="minorEastAsia"/>
                      <w:color w:val="auto"/>
                      <w:sz w:val="21"/>
                      <w:szCs w:val="21"/>
                      <w:u w:val="none"/>
                    </w:rPr>
                    <w:t>27°24′</w:t>
                  </w:r>
                  <w:r>
                    <w:rPr>
                      <w:rFonts w:hint="eastAsia" w:cs="Times New Roman" w:eastAsiaTheme="minorEastAsia"/>
                      <w:color w:val="auto"/>
                      <w:sz w:val="21"/>
                      <w:szCs w:val="21"/>
                      <w:u w:val="none"/>
                      <w:lang w:val="en-US" w:eastAsia="zh-CN"/>
                    </w:rPr>
                    <w:t>59.9381</w:t>
                  </w:r>
                  <w:r>
                    <w:rPr>
                      <w:rFonts w:hint="default" w:ascii="Times New Roman" w:hAnsi="Times New Roman" w:cs="Times New Roman" w:eastAsiaTheme="minorEastAsia"/>
                      <w:color w:val="auto"/>
                      <w:sz w:val="21"/>
                      <w:szCs w:val="21"/>
                      <w:u w:val="none"/>
                    </w:rPr>
                    <w:t>″</w:t>
                  </w:r>
                </w:p>
              </w:tc>
            </w:tr>
            <w:tr w14:paraId="6FAED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5F5E4C38">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b w:val="0"/>
                      <w:bCs w:val="0"/>
                      <w:color w:val="auto"/>
                      <w:sz w:val="21"/>
                      <w:szCs w:val="21"/>
                      <w:u w:val="none"/>
                    </w:rPr>
                    <w:t>主要危险物质分布</w:t>
                  </w:r>
                </w:p>
              </w:tc>
              <w:tc>
                <w:tcPr>
                  <w:tcW w:w="5780" w:type="dxa"/>
                  <w:tcBorders>
                    <w:tl2br w:val="nil"/>
                    <w:tr2bl w:val="nil"/>
                  </w:tcBorders>
                  <w:vAlign w:val="center"/>
                </w:tcPr>
                <w:p w14:paraId="728E2672">
                  <w:pPr>
                    <w:pStyle w:val="1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z w:val="21"/>
                      <w:szCs w:val="21"/>
                      <w:u w:val="none"/>
                      <w:lang w:eastAsia="zh-CN"/>
                    </w:rPr>
                    <w:t>无</w:t>
                  </w:r>
                </w:p>
              </w:tc>
            </w:tr>
            <w:tr w14:paraId="71F54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7B692354">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b w:val="0"/>
                      <w:bCs w:val="0"/>
                      <w:color w:val="auto"/>
                      <w:sz w:val="21"/>
                      <w:szCs w:val="21"/>
                      <w:u w:val="none"/>
                    </w:rPr>
                    <w:t>环境影响途径及危害后果</w:t>
                  </w:r>
                  <w:r>
                    <w:rPr>
                      <w:rFonts w:hint="default" w:ascii="Times New Roman" w:hAnsi="Times New Roman" w:cs="Times New Roman" w:eastAsiaTheme="minorEastAsia"/>
                      <w:b w:val="0"/>
                      <w:bCs w:val="0"/>
                      <w:color w:val="auto"/>
                      <w:sz w:val="21"/>
                      <w:szCs w:val="21"/>
                      <w:u w:val="none"/>
                      <w:lang w:eastAsia="zh-CN"/>
                    </w:rPr>
                    <w:t>（</w:t>
                  </w:r>
                  <w:r>
                    <w:rPr>
                      <w:rFonts w:hint="default" w:ascii="Times New Roman" w:hAnsi="Times New Roman" w:cs="Times New Roman" w:eastAsiaTheme="minorEastAsia"/>
                      <w:b w:val="0"/>
                      <w:bCs w:val="0"/>
                      <w:color w:val="auto"/>
                      <w:sz w:val="21"/>
                      <w:szCs w:val="21"/>
                      <w:u w:val="none"/>
                    </w:rPr>
                    <w:t>大气、地表水、地下水等</w:t>
                  </w:r>
                  <w:r>
                    <w:rPr>
                      <w:rFonts w:hint="default" w:ascii="Times New Roman" w:hAnsi="Times New Roman" w:cs="Times New Roman" w:eastAsiaTheme="minorEastAsia"/>
                      <w:b w:val="0"/>
                      <w:bCs w:val="0"/>
                      <w:color w:val="auto"/>
                      <w:sz w:val="21"/>
                      <w:szCs w:val="21"/>
                      <w:u w:val="none"/>
                      <w:lang w:eastAsia="zh-CN"/>
                    </w:rPr>
                    <w:t>）</w:t>
                  </w:r>
                </w:p>
              </w:tc>
              <w:tc>
                <w:tcPr>
                  <w:tcW w:w="5780" w:type="dxa"/>
                  <w:tcBorders>
                    <w:tl2br w:val="nil"/>
                    <w:tr2bl w:val="nil"/>
                  </w:tcBorders>
                  <w:vAlign w:val="top"/>
                </w:tcPr>
                <w:p w14:paraId="664EF3CD">
                  <w:pPr>
                    <w:pStyle w:val="11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eastAsiaTheme="minorEastAsia"/>
                      <w:color w:val="auto"/>
                      <w:sz w:val="21"/>
                      <w:szCs w:val="21"/>
                      <w:u w:val="none"/>
                      <w:lang w:eastAsia="zh-CN"/>
                    </w:rPr>
                  </w:pPr>
                  <w:r>
                    <w:rPr>
                      <w:rFonts w:ascii="Times New Roman" w:hAnsi="Times New Roman"/>
                      <w:color w:val="auto"/>
                      <w:sz w:val="21"/>
                      <w:szCs w:val="21"/>
                    </w:rPr>
                    <w:t>①</w:t>
                  </w:r>
                  <w:r>
                    <w:rPr>
                      <w:rFonts w:hint="eastAsia" w:ascii="Times New Roman" w:hAnsi="Times New Roman"/>
                      <w:color w:val="auto"/>
                      <w:sz w:val="21"/>
                      <w:szCs w:val="21"/>
                      <w:lang w:val="en-US" w:eastAsia="zh-CN"/>
                    </w:rPr>
                    <w:t>润滑油</w:t>
                  </w:r>
                  <w:r>
                    <w:rPr>
                      <w:rFonts w:ascii="Times New Roman" w:hAnsi="Times New Roman"/>
                      <w:color w:val="auto"/>
                      <w:sz w:val="21"/>
                      <w:szCs w:val="21"/>
                    </w:rPr>
                    <w:t>在储存、装卸过</w:t>
                  </w:r>
                  <w:r>
                    <w:rPr>
                      <w:rFonts w:hint="eastAsia" w:ascii="Times New Roman" w:hAnsi="Times New Roman"/>
                      <w:color w:val="auto"/>
                      <w:sz w:val="21"/>
                      <w:szCs w:val="21"/>
                    </w:rPr>
                    <w:t>程中</w:t>
                  </w:r>
                  <w:r>
                    <w:rPr>
                      <w:rFonts w:ascii="Times New Roman" w:hAnsi="Times New Roman"/>
                      <w:color w:val="auto"/>
                      <w:sz w:val="21"/>
                      <w:szCs w:val="21"/>
                    </w:rPr>
                    <w:t>造成泄漏风险事故；</w:t>
                  </w:r>
                </w:p>
                <w:p w14:paraId="2B64D1E3">
                  <w:pPr>
                    <w:pStyle w:val="11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eastAsiaTheme="minorEastAsia"/>
                      <w:b/>
                      <w:bCs/>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lang w:val="en-US" w:eastAsia="zh-CN"/>
                    </w:rPr>
                    <w:t>②</w:t>
                  </w:r>
                  <w:r>
                    <w:rPr>
                      <w:rFonts w:hint="default" w:ascii="Times New Roman" w:hAnsi="Times New Roman" w:cs="Times New Roman" w:eastAsiaTheme="minorEastAsia"/>
                      <w:color w:val="auto"/>
                      <w:sz w:val="21"/>
                      <w:szCs w:val="21"/>
                      <w:u w:val="none"/>
                      <w:lang w:eastAsia="zh-CN"/>
                    </w:rPr>
                    <w:t>发生火灾产生的消防废水流到外环境会污染周边土壤及地表水</w:t>
                  </w:r>
                </w:p>
              </w:tc>
            </w:tr>
            <w:tr w14:paraId="5E742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164A177D">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rPr>
                    <w:t>风险防范措施要求</w:t>
                  </w:r>
                </w:p>
              </w:tc>
              <w:tc>
                <w:tcPr>
                  <w:tcW w:w="5780" w:type="dxa"/>
                  <w:tcBorders>
                    <w:tl2br w:val="nil"/>
                    <w:tr2bl w:val="nil"/>
                  </w:tcBorders>
                  <w:vAlign w:val="top"/>
                </w:tcPr>
                <w:p w14:paraId="0CCCE5AC">
                  <w:pPr>
                    <w:spacing w:line="240" w:lineRule="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b w:val="0"/>
                      <w:bCs w:val="0"/>
                      <w:color w:val="auto"/>
                      <w:sz w:val="21"/>
                      <w:szCs w:val="21"/>
                      <w:u w:val="none"/>
                      <w:vertAlign w:val="baseline"/>
                      <w:lang w:eastAsia="zh-CN"/>
                    </w:rPr>
                    <w:t>①注意用火安全，进入原料堆场等场所时禁止使用明火</w:t>
                  </w:r>
                  <w:r>
                    <w:rPr>
                      <w:rFonts w:hint="default" w:ascii="Times New Roman" w:hAnsi="Times New Roman" w:cs="Times New Roman" w:eastAsiaTheme="minorEastAsia"/>
                      <w:color w:val="auto"/>
                      <w:sz w:val="21"/>
                      <w:szCs w:val="21"/>
                      <w:u w:val="none"/>
                    </w:rPr>
                    <w:t>。</w:t>
                  </w:r>
                </w:p>
                <w:p w14:paraId="180F45B9">
                  <w:pPr>
                    <w:spacing w:line="240" w:lineRule="auto"/>
                    <w:rPr>
                      <w:rFonts w:hint="default" w:ascii="Times New Roman" w:hAnsi="Times New Roman" w:cs="Times New Roman" w:eastAsiaTheme="minorEastAsia"/>
                      <w:b/>
                      <w:bCs/>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lang w:val="en-US" w:eastAsia="zh-CN"/>
                    </w:rPr>
                    <w:t>②定期检查电路，及时更换老旧电器设备及电路</w:t>
                  </w:r>
                  <w:r>
                    <w:rPr>
                      <w:rFonts w:hint="default" w:ascii="Times New Roman" w:hAnsi="Times New Roman" w:cs="Times New Roman" w:eastAsiaTheme="minorEastAsia"/>
                      <w:color w:val="auto"/>
                      <w:sz w:val="21"/>
                      <w:szCs w:val="21"/>
                      <w:u w:val="none"/>
                    </w:rPr>
                    <w:t>。</w:t>
                  </w:r>
                </w:p>
              </w:tc>
            </w:tr>
            <w:tr w14:paraId="7C790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3" w:type="dxa"/>
                  <w:tcBorders>
                    <w:tl2br w:val="nil"/>
                    <w:tr2bl w:val="nil"/>
                  </w:tcBorders>
                  <w:vAlign w:val="center"/>
                </w:tcPr>
                <w:p w14:paraId="5A36C7C5">
                  <w:pPr>
                    <w:pStyle w:val="1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rPr>
                    <w:t>填表说明</w:t>
                  </w:r>
                  <w:r>
                    <w:rPr>
                      <w:rFonts w:hint="default" w:ascii="Times New Roman" w:hAnsi="Times New Roman" w:cs="Times New Roman" w:eastAsiaTheme="minorEastAsia"/>
                      <w:color w:val="auto"/>
                      <w:sz w:val="21"/>
                      <w:szCs w:val="21"/>
                      <w:u w:val="none"/>
                      <w:lang w:eastAsia="zh-CN"/>
                    </w:rPr>
                    <w:t>（</w:t>
                  </w:r>
                  <w:r>
                    <w:rPr>
                      <w:rFonts w:hint="default" w:ascii="Times New Roman" w:hAnsi="Times New Roman" w:cs="Times New Roman" w:eastAsiaTheme="minorEastAsia"/>
                      <w:color w:val="auto"/>
                      <w:sz w:val="21"/>
                      <w:szCs w:val="21"/>
                      <w:u w:val="none"/>
                    </w:rPr>
                    <w:t>列出本项目相关信息及评价说明</w:t>
                  </w:r>
                  <w:r>
                    <w:rPr>
                      <w:rFonts w:hint="default" w:ascii="Times New Roman" w:hAnsi="Times New Roman" w:cs="Times New Roman" w:eastAsiaTheme="minorEastAsia"/>
                      <w:color w:val="auto"/>
                      <w:sz w:val="21"/>
                      <w:szCs w:val="21"/>
                      <w:u w:val="none"/>
                      <w:lang w:eastAsia="zh-CN"/>
                    </w:rPr>
                    <w:t>）</w:t>
                  </w:r>
                </w:p>
              </w:tc>
              <w:tc>
                <w:tcPr>
                  <w:tcW w:w="5780" w:type="dxa"/>
                  <w:tcBorders>
                    <w:tl2br w:val="nil"/>
                    <w:tr2bl w:val="nil"/>
                  </w:tcBorders>
                  <w:vAlign w:val="top"/>
                </w:tcPr>
                <w:p w14:paraId="0D4DCEB7">
                  <w:pPr>
                    <w:pStyle w:val="11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eastAsiaTheme="minorEastAsia"/>
                      <w:b/>
                      <w:bCs/>
                      <w:color w:val="auto"/>
                      <w:sz w:val="21"/>
                      <w:szCs w:val="21"/>
                      <w:u w:val="none"/>
                      <w:vertAlign w:val="baseline"/>
                      <w:lang w:eastAsia="zh-CN"/>
                    </w:rPr>
                  </w:pPr>
                  <w:r>
                    <w:rPr>
                      <w:rFonts w:hint="default" w:ascii="Times New Roman" w:hAnsi="Times New Roman" w:cs="Times New Roman" w:eastAsiaTheme="minorEastAsia"/>
                      <w:color w:val="auto"/>
                      <w:sz w:val="21"/>
                      <w:szCs w:val="21"/>
                      <w:u w:val="none"/>
                    </w:rPr>
                    <w:t>通过采取相应的风险防范措施，项目的环境风险可控。一旦发生事故，采取合理的事故应急处理措施，将事故影响降到最低限度。</w:t>
                  </w:r>
                </w:p>
              </w:tc>
            </w:tr>
          </w:tbl>
          <w:p w14:paraId="615709E7">
            <w:pPr>
              <w:pStyle w:val="112"/>
              <w:keepNext w:val="0"/>
              <w:keepLines w:val="0"/>
              <w:pageBreakBefore w:val="0"/>
              <w:widowControl/>
              <w:kinsoku/>
              <w:wordWrap/>
              <w:overflowPunct/>
              <w:topLinePunct w:val="0"/>
              <w:autoSpaceDE/>
              <w:autoSpaceDN/>
              <w:bidi w:val="0"/>
              <w:adjustRightInd/>
              <w:snapToGrid/>
              <w:spacing w:before="157" w:beforeLines="50"/>
              <w:ind w:firstLine="0" w:firstLineChars="0"/>
              <w:textAlignment w:val="auto"/>
              <w:rPr>
                <w:rFonts w:hint="default" w:ascii="Times New Roman" w:hAnsi="Times New Roman" w:cs="Times New Roman"/>
                <w:b/>
                <w:bCs/>
                <w:color w:val="auto"/>
                <w:kern w:val="44"/>
                <w:highlight w:val="yellow"/>
              </w:rPr>
            </w:pPr>
            <w:r>
              <w:rPr>
                <w:rFonts w:hint="eastAsia" w:cs="Times New Roman"/>
                <w:b/>
                <w:bCs w:val="0"/>
                <w:color w:val="auto"/>
                <w:lang w:val="en-US" w:eastAsia="zh-CN"/>
              </w:rPr>
              <w:t>7</w:t>
            </w:r>
            <w:r>
              <w:rPr>
                <w:rFonts w:hint="default" w:ascii="Times New Roman" w:hAnsi="Times New Roman" w:cs="Times New Roman"/>
                <w:b/>
                <w:color w:val="auto"/>
              </w:rPr>
              <w:t>、环保投资估算一览表</w:t>
            </w:r>
          </w:p>
          <w:p w14:paraId="5AC18406">
            <w:pPr>
              <w:pStyle w:val="47"/>
              <w:adjustRightInd/>
              <w:spacing w:line="360" w:lineRule="auto"/>
              <w:ind w:firstLine="480" w:firstLineChars="200"/>
              <w:rPr>
                <w:rFonts w:hint="default" w:ascii="Times New Roman" w:hAnsi="Times New Roman" w:cs="Times New Roman"/>
                <w:color w:val="auto"/>
                <w:kern w:val="44"/>
                <w:u w:val="none"/>
              </w:rPr>
            </w:pPr>
            <w:r>
              <w:rPr>
                <w:rFonts w:hint="eastAsia" w:ascii="Times New Roman" w:hAnsi="Times New Roman" w:cs="Times New Roman"/>
                <w:color w:val="auto"/>
                <w:kern w:val="44"/>
                <w:u w:val="none"/>
                <w:lang w:val="en-US" w:eastAsia="zh-CN"/>
              </w:rPr>
              <w:t>项目</w:t>
            </w:r>
            <w:r>
              <w:rPr>
                <w:rFonts w:hint="default" w:ascii="Times New Roman" w:hAnsi="Times New Roman" w:cs="Times New Roman"/>
                <w:color w:val="auto"/>
                <w:kern w:val="44"/>
                <w:u w:val="none"/>
              </w:rPr>
              <w:t>总投资为</w:t>
            </w:r>
            <w:r>
              <w:rPr>
                <w:rFonts w:hint="eastAsia" w:ascii="Times New Roman" w:hAnsi="Times New Roman" w:cs="Times New Roman"/>
                <w:color w:val="auto"/>
                <w:kern w:val="44"/>
                <w:u w:val="none"/>
                <w:lang w:val="en-US" w:eastAsia="zh-CN"/>
              </w:rPr>
              <w:t>5000万元</w:t>
            </w:r>
            <w:r>
              <w:rPr>
                <w:rFonts w:hint="default" w:ascii="Times New Roman" w:hAnsi="Times New Roman" w:cs="Times New Roman"/>
                <w:color w:val="auto"/>
                <w:kern w:val="44"/>
                <w:u w:val="none"/>
              </w:rPr>
              <w:t>，</w:t>
            </w:r>
            <w:r>
              <w:rPr>
                <w:rFonts w:hint="default" w:ascii="Times New Roman" w:hAnsi="Times New Roman" w:cs="Times New Roman"/>
                <w:color w:val="auto"/>
                <w:kern w:val="44"/>
                <w:u w:val="none"/>
                <w:lang w:eastAsia="zh-CN"/>
              </w:rPr>
              <w:t>环保投资</w:t>
            </w:r>
            <w:r>
              <w:rPr>
                <w:rFonts w:hint="eastAsia" w:ascii="Times New Roman" w:hAnsi="Times New Roman" w:cs="Times New Roman"/>
                <w:color w:val="auto"/>
                <w:kern w:val="44"/>
                <w:u w:val="none"/>
                <w:lang w:val="en-US" w:eastAsia="zh-CN"/>
              </w:rPr>
              <w:t>100</w:t>
            </w:r>
            <w:r>
              <w:rPr>
                <w:rFonts w:hint="default" w:ascii="Times New Roman" w:hAnsi="Times New Roman" w:cs="Times New Roman"/>
                <w:color w:val="auto"/>
                <w:kern w:val="44"/>
                <w:u w:val="none"/>
                <w:lang w:val="en-US" w:eastAsia="zh-CN"/>
              </w:rPr>
              <w:t>万元，</w:t>
            </w:r>
            <w:r>
              <w:rPr>
                <w:rFonts w:hint="default" w:ascii="Times New Roman" w:hAnsi="Times New Roman" w:cs="Times New Roman"/>
                <w:color w:val="auto"/>
                <w:kern w:val="44"/>
                <w:u w:val="none"/>
              </w:rPr>
              <w:t>占总投资的</w:t>
            </w:r>
            <w:r>
              <w:rPr>
                <w:rFonts w:hint="eastAsia" w:ascii="Times New Roman" w:hAnsi="Times New Roman" w:cs="Times New Roman"/>
                <w:color w:val="auto"/>
                <w:kern w:val="44"/>
                <w:u w:val="none"/>
                <w:lang w:val="en-US" w:eastAsia="zh-CN"/>
              </w:rPr>
              <w:t>2</w:t>
            </w:r>
            <w:r>
              <w:rPr>
                <w:rFonts w:hint="default" w:ascii="Times New Roman" w:hAnsi="Times New Roman" w:cs="Times New Roman"/>
                <w:color w:val="auto"/>
                <w:kern w:val="44"/>
                <w:u w:val="none"/>
              </w:rPr>
              <w:t>%，</w:t>
            </w:r>
            <w:r>
              <w:rPr>
                <w:rFonts w:hint="default" w:ascii="Times New Roman" w:hAnsi="Times New Roman" w:cs="Times New Roman"/>
                <w:color w:val="auto"/>
                <w:kern w:val="44"/>
                <w:u w:val="none"/>
                <w:lang w:val="en-US"/>
              </w:rPr>
              <w:t>详见下表</w:t>
            </w:r>
            <w:r>
              <w:rPr>
                <w:rFonts w:hint="default" w:ascii="Times New Roman" w:hAnsi="Times New Roman" w:cs="Times New Roman"/>
                <w:color w:val="auto"/>
                <w:kern w:val="44"/>
                <w:u w:val="none"/>
              </w:rPr>
              <w:t>。</w:t>
            </w:r>
          </w:p>
          <w:p w14:paraId="2365F8F4">
            <w:pPr>
              <w:snapToGrid w:val="0"/>
              <w:ind w:firstLine="482" w:firstLineChars="200"/>
              <w:jc w:val="right"/>
              <w:rPr>
                <w:rFonts w:hint="default" w:ascii="Times New Roman" w:hAnsi="Times New Roman" w:eastAsia="宋体" w:cs="Times New Roman"/>
                <w:b/>
                <w:bCs/>
                <w:color w:val="auto"/>
                <w:sz w:val="24"/>
                <w:szCs w:val="24"/>
                <w:u w:val="none"/>
                <w:lang w:val="en-US" w:eastAsia="zh-CN"/>
              </w:rPr>
            </w:pPr>
            <w:r>
              <w:rPr>
                <w:rFonts w:hint="default" w:ascii="Times New Roman" w:hAnsi="Times New Roman" w:cs="Times New Roman"/>
                <w:b/>
                <w:bCs/>
                <w:color w:val="auto"/>
                <w:sz w:val="24"/>
                <w:szCs w:val="24"/>
                <w:u w:val="none"/>
              </w:rPr>
              <w:t>表4-</w:t>
            </w:r>
            <w:r>
              <w:rPr>
                <w:rFonts w:hint="eastAsia" w:ascii="Times New Roman" w:hAnsi="Times New Roman" w:cs="Times New Roman"/>
                <w:b/>
                <w:bCs/>
                <w:color w:val="auto"/>
                <w:sz w:val="24"/>
                <w:szCs w:val="24"/>
                <w:u w:val="none"/>
                <w:lang w:val="en-US" w:eastAsia="zh-CN"/>
              </w:rPr>
              <w:t>1</w:t>
            </w:r>
            <w:r>
              <w:rPr>
                <w:rFonts w:hint="eastAsia" w:cs="Times New Roman"/>
                <w:b/>
                <w:bCs/>
                <w:color w:val="auto"/>
                <w:sz w:val="24"/>
                <w:szCs w:val="24"/>
                <w:u w:val="none"/>
                <w:lang w:val="en-US" w:eastAsia="zh-CN"/>
              </w:rPr>
              <w:t>9</w:t>
            </w:r>
            <w:r>
              <w:rPr>
                <w:rFonts w:hint="default" w:ascii="Times New Roman" w:hAnsi="Times New Roman" w:cs="Times New Roman"/>
                <w:b/>
                <w:bCs/>
                <w:color w:val="auto"/>
                <w:sz w:val="24"/>
                <w:szCs w:val="24"/>
                <w:u w:val="none"/>
              </w:rPr>
              <w:t xml:space="preserve">  </w:t>
            </w:r>
            <w:r>
              <w:rPr>
                <w:rFonts w:hint="eastAsia" w:cs="Times New Roman"/>
                <w:b/>
                <w:bCs/>
                <w:color w:val="auto"/>
                <w:sz w:val="24"/>
                <w:szCs w:val="24"/>
                <w:u w:val="none"/>
                <w:lang w:val="en-US" w:eastAsia="zh-CN"/>
              </w:rPr>
              <w:t xml:space="preserve"> </w:t>
            </w:r>
            <w:r>
              <w:rPr>
                <w:rFonts w:hint="default" w:ascii="Times New Roman" w:hAnsi="Times New Roman" w:cs="Times New Roman"/>
                <w:b/>
                <w:bCs/>
                <w:color w:val="auto"/>
                <w:sz w:val="24"/>
                <w:szCs w:val="24"/>
                <w:u w:val="none"/>
              </w:rPr>
              <w:t>项目环保投资</w:t>
            </w:r>
            <w:r>
              <w:rPr>
                <w:rFonts w:hint="eastAsia" w:ascii="Times New Roman" w:hAnsi="Times New Roman" w:cs="Times New Roman"/>
                <w:b/>
                <w:bCs/>
                <w:color w:val="auto"/>
                <w:sz w:val="24"/>
                <w:szCs w:val="24"/>
                <w:u w:val="none"/>
                <w:lang w:eastAsia="zh-CN"/>
              </w:rPr>
              <w:t>及竣工验收</w:t>
            </w:r>
            <w:r>
              <w:rPr>
                <w:rFonts w:hint="default" w:ascii="Times New Roman" w:hAnsi="Times New Roman" w:cs="Times New Roman"/>
                <w:b/>
                <w:bCs/>
                <w:color w:val="auto"/>
                <w:sz w:val="24"/>
                <w:szCs w:val="24"/>
                <w:u w:val="none"/>
              </w:rPr>
              <w:t>一览表</w:t>
            </w:r>
            <w:r>
              <w:rPr>
                <w:rFonts w:hint="eastAsia" w:cs="Times New Roman"/>
                <w:b/>
                <w:bCs/>
                <w:color w:val="auto"/>
                <w:sz w:val="24"/>
                <w:szCs w:val="24"/>
                <w:u w:val="none"/>
                <w:lang w:val="en-US" w:eastAsia="zh-CN"/>
              </w:rPr>
              <w:t xml:space="preserve">      单位：万元</w:t>
            </w:r>
          </w:p>
          <w:tbl>
            <w:tblPr>
              <w:tblStyle w:val="32"/>
              <w:tblW w:w="77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51"/>
              <w:gridCol w:w="5742"/>
              <w:gridCol w:w="871"/>
            </w:tblGrid>
            <w:tr w14:paraId="19687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tcBorders>
                    <w:tl2br w:val="nil"/>
                    <w:tr2bl w:val="nil"/>
                  </w:tcBorders>
                  <w:vAlign w:val="center"/>
                </w:tcPr>
                <w:p w14:paraId="30CD5B45">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b/>
                      <w:color w:val="auto"/>
                      <w:kern w:val="2"/>
                      <w:sz w:val="21"/>
                      <w:szCs w:val="21"/>
                      <w:u w:val="none"/>
                    </w:rPr>
                  </w:pPr>
                  <w:r>
                    <w:rPr>
                      <w:rFonts w:hint="default" w:ascii="Times New Roman" w:hAnsi="Times New Roman" w:cs="Times New Roman" w:eastAsiaTheme="minorEastAsia"/>
                      <w:b/>
                      <w:color w:val="auto"/>
                      <w:kern w:val="2"/>
                      <w:sz w:val="21"/>
                      <w:szCs w:val="21"/>
                      <w:u w:val="none"/>
                    </w:rPr>
                    <w:t>环保项目</w:t>
                  </w:r>
                </w:p>
              </w:tc>
              <w:tc>
                <w:tcPr>
                  <w:tcW w:w="3697" w:type="pct"/>
                  <w:tcBorders>
                    <w:tl2br w:val="nil"/>
                    <w:tr2bl w:val="nil"/>
                  </w:tcBorders>
                  <w:vAlign w:val="center"/>
                </w:tcPr>
                <w:p w14:paraId="36FF9AF4">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b/>
                      <w:color w:val="auto"/>
                      <w:kern w:val="2"/>
                      <w:sz w:val="21"/>
                      <w:szCs w:val="21"/>
                      <w:u w:val="none"/>
                    </w:rPr>
                  </w:pPr>
                  <w:r>
                    <w:rPr>
                      <w:rFonts w:hint="default" w:ascii="Times New Roman" w:hAnsi="Times New Roman" w:cs="Times New Roman" w:eastAsiaTheme="minorEastAsia"/>
                      <w:b/>
                      <w:color w:val="auto"/>
                      <w:kern w:val="2"/>
                      <w:sz w:val="21"/>
                      <w:szCs w:val="21"/>
                      <w:u w:val="none"/>
                    </w:rPr>
                    <w:t>环保措施</w:t>
                  </w:r>
                </w:p>
              </w:tc>
              <w:tc>
                <w:tcPr>
                  <w:tcW w:w="560" w:type="pct"/>
                  <w:tcBorders>
                    <w:tl2br w:val="nil"/>
                    <w:tr2bl w:val="nil"/>
                  </w:tcBorders>
                  <w:vAlign w:val="center"/>
                </w:tcPr>
                <w:p w14:paraId="1D3201DD">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b/>
                      <w:color w:val="auto"/>
                      <w:kern w:val="2"/>
                      <w:sz w:val="21"/>
                      <w:szCs w:val="21"/>
                      <w:u w:val="none"/>
                    </w:rPr>
                  </w:pPr>
                  <w:r>
                    <w:rPr>
                      <w:rFonts w:hint="default" w:ascii="Times New Roman" w:hAnsi="Times New Roman" w:cs="Times New Roman" w:eastAsiaTheme="minorEastAsia"/>
                      <w:b/>
                      <w:color w:val="auto"/>
                      <w:kern w:val="2"/>
                      <w:sz w:val="21"/>
                      <w:szCs w:val="21"/>
                      <w:u w:val="none"/>
                    </w:rPr>
                    <w:t>金额</w:t>
                  </w:r>
                </w:p>
              </w:tc>
            </w:tr>
            <w:tr w14:paraId="46FC4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tcBorders>
                    <w:tl2br w:val="nil"/>
                    <w:tr2bl w:val="nil"/>
                  </w:tcBorders>
                  <w:vAlign w:val="center"/>
                </w:tcPr>
                <w:p w14:paraId="2712D68D">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lang w:eastAsia="zh-CN"/>
                    </w:rPr>
                  </w:pPr>
                  <w:r>
                    <w:rPr>
                      <w:rFonts w:hint="default" w:ascii="Times New Roman" w:hAnsi="Times New Roman" w:cs="Times New Roman" w:eastAsiaTheme="minorEastAsia"/>
                      <w:color w:val="auto"/>
                      <w:kern w:val="2"/>
                      <w:sz w:val="21"/>
                      <w:szCs w:val="21"/>
                      <w:u w:val="none"/>
                      <w:lang w:eastAsia="zh-CN"/>
                    </w:rPr>
                    <w:t>大气污染防治</w:t>
                  </w:r>
                </w:p>
              </w:tc>
              <w:tc>
                <w:tcPr>
                  <w:tcW w:w="3697" w:type="pct"/>
                  <w:tcBorders>
                    <w:tl2br w:val="nil"/>
                    <w:tr2bl w:val="nil"/>
                  </w:tcBorders>
                  <w:vAlign w:val="center"/>
                </w:tcPr>
                <w:p w14:paraId="2C7D0433">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sz w:val="21"/>
                      <w:szCs w:val="21"/>
                      <w:u w:val="single" w:color="auto"/>
                      <w:lang w:val="en-US"/>
                    </w:rPr>
                  </w:pPr>
                  <w:r>
                    <w:rPr>
                      <w:rFonts w:hint="eastAsia" w:ascii="Times New Roman" w:cs="Times New Roman" w:eastAsiaTheme="minorEastAsia"/>
                      <w:color w:val="auto"/>
                      <w:sz w:val="21"/>
                      <w:szCs w:val="21"/>
                      <w:highlight w:val="none"/>
                      <w:u w:val="single" w:color="auto"/>
                      <w:lang w:val="en-US" w:eastAsia="zh-CN"/>
                    </w:rPr>
                    <w:t>蒸汽发生器</w:t>
                  </w:r>
                  <w:r>
                    <w:rPr>
                      <w:rFonts w:hint="default" w:ascii="Times New Roman" w:hAnsi="Times New Roman" w:cs="Times New Roman" w:eastAsiaTheme="minorEastAsia"/>
                      <w:color w:val="auto"/>
                      <w:sz w:val="21"/>
                      <w:szCs w:val="21"/>
                      <w:highlight w:val="none"/>
                      <w:u w:val="single" w:color="auto"/>
                      <w:lang w:eastAsia="zh-CN"/>
                    </w:rPr>
                    <w:t>采用低氮燃烧、</w:t>
                  </w:r>
                  <w:r>
                    <w:rPr>
                      <w:rFonts w:hint="default" w:ascii="Times New Roman" w:hAnsi="Times New Roman" w:cs="Times New Roman" w:eastAsiaTheme="minorEastAsia"/>
                      <w:color w:val="auto"/>
                      <w:sz w:val="21"/>
                      <w:szCs w:val="21"/>
                      <w:u w:val="single" w:color="auto"/>
                      <w:lang w:eastAsia="zh-CN"/>
                    </w:rPr>
                    <w:t>布袋</w:t>
                  </w:r>
                  <w:r>
                    <w:rPr>
                      <w:rFonts w:hint="default" w:ascii="Times New Roman" w:hAnsi="Times New Roman" w:cs="Times New Roman" w:eastAsiaTheme="minorEastAsia"/>
                      <w:color w:val="auto"/>
                      <w:sz w:val="21"/>
                      <w:szCs w:val="21"/>
                      <w:u w:val="single" w:color="auto"/>
                      <w:lang w:val="en-US" w:eastAsia="zh-CN"/>
                    </w:rPr>
                    <w:t>除尘装置</w:t>
                  </w:r>
                  <w:r>
                    <w:rPr>
                      <w:rFonts w:hint="default" w:ascii="Times New Roman" w:hAnsi="Times New Roman" w:cs="Times New Roman" w:eastAsiaTheme="minorEastAsia"/>
                      <w:color w:val="auto"/>
                      <w:sz w:val="21"/>
                      <w:szCs w:val="21"/>
                      <w:u w:val="single" w:color="auto"/>
                      <w:lang w:eastAsia="zh-CN"/>
                    </w:rPr>
                    <w:t>处理后</w:t>
                  </w:r>
                  <w:r>
                    <w:rPr>
                      <w:rFonts w:hint="default" w:ascii="Times New Roman" w:hAnsi="Times New Roman" w:cs="Times New Roman" w:eastAsiaTheme="minorEastAsia"/>
                      <w:color w:val="auto"/>
                      <w:sz w:val="21"/>
                      <w:szCs w:val="21"/>
                      <w:u w:val="single" w:color="auto"/>
                      <w:lang w:val="en-US" w:eastAsia="zh-CN"/>
                    </w:rPr>
                    <w:t>通过15m高排气筒</w:t>
                  </w:r>
                  <w:r>
                    <w:rPr>
                      <w:rFonts w:hint="eastAsia" w:ascii="Times New Roman" w:cs="Times New Roman" w:eastAsiaTheme="minorEastAsia"/>
                      <w:color w:val="auto"/>
                      <w:sz w:val="21"/>
                      <w:szCs w:val="21"/>
                      <w:u w:val="single" w:color="auto"/>
                      <w:lang w:val="en-US" w:eastAsia="zh-CN"/>
                    </w:rPr>
                    <w:t>（DA001）</w:t>
                  </w:r>
                  <w:r>
                    <w:rPr>
                      <w:rFonts w:hint="default" w:ascii="Times New Roman" w:hAnsi="Times New Roman" w:cs="Times New Roman" w:eastAsiaTheme="minorEastAsia"/>
                      <w:color w:val="auto"/>
                      <w:sz w:val="21"/>
                      <w:szCs w:val="21"/>
                      <w:u w:val="single" w:color="auto"/>
                      <w:lang w:val="en-US" w:eastAsia="zh-CN"/>
                    </w:rPr>
                    <w:t>排放</w:t>
                  </w:r>
                  <w:r>
                    <w:rPr>
                      <w:rFonts w:hint="eastAsia" w:ascii="Times New Roman" w:cs="Times New Roman" w:eastAsiaTheme="minorEastAsia"/>
                      <w:color w:val="auto"/>
                      <w:sz w:val="21"/>
                      <w:szCs w:val="21"/>
                      <w:u w:val="single" w:color="auto"/>
                      <w:lang w:val="en-US" w:eastAsia="zh-CN"/>
                    </w:rPr>
                    <w:t>；热风炉废气经</w:t>
                  </w:r>
                  <w:r>
                    <w:rPr>
                      <w:rFonts w:hint="eastAsia" w:ascii="Times New Roman" w:cs="Times New Roman"/>
                      <w:color w:val="auto"/>
                      <w:sz w:val="21"/>
                      <w:szCs w:val="21"/>
                      <w:u w:val="single" w:color="auto"/>
                      <w:lang w:val="en-US" w:eastAsia="zh-CN"/>
                    </w:rPr>
                    <w:t>“</w:t>
                  </w:r>
                  <w:r>
                    <w:rPr>
                      <w:rFonts w:hint="eastAsia" w:ascii="Times New Roman" w:hAnsi="Times New Roman" w:eastAsia="宋体" w:cs="Times New Roman"/>
                      <w:color w:val="auto"/>
                      <w:sz w:val="21"/>
                      <w:szCs w:val="21"/>
                      <w:u w:val="single" w:color="auto"/>
                      <w:lang w:val="en-US" w:eastAsia="zh-CN"/>
                    </w:rPr>
                    <w:t>布袋除尘+</w:t>
                  </w:r>
                  <w:r>
                    <w:rPr>
                      <w:rFonts w:hint="eastAsia" w:ascii="Times New Roman" w:cs="Times New Roman"/>
                      <w:color w:val="auto"/>
                      <w:sz w:val="21"/>
                      <w:szCs w:val="21"/>
                      <w:u w:val="single" w:color="auto"/>
                      <w:lang w:val="en-US" w:eastAsia="zh-CN"/>
                    </w:rPr>
                    <w:t>活性炭”</w:t>
                  </w:r>
                  <w:r>
                    <w:rPr>
                      <w:rFonts w:hint="default" w:ascii="Times New Roman" w:hAnsi="Times New Roman" w:cs="Times New Roman" w:eastAsiaTheme="minorEastAsia"/>
                      <w:color w:val="auto"/>
                      <w:sz w:val="21"/>
                      <w:szCs w:val="21"/>
                      <w:u w:val="single" w:color="auto"/>
                      <w:lang w:eastAsia="zh-CN"/>
                    </w:rPr>
                    <w:t>处理后</w:t>
                  </w:r>
                  <w:r>
                    <w:rPr>
                      <w:rFonts w:hint="default" w:ascii="Times New Roman" w:hAnsi="Times New Roman" w:cs="Times New Roman" w:eastAsiaTheme="minorEastAsia"/>
                      <w:color w:val="auto"/>
                      <w:sz w:val="21"/>
                      <w:szCs w:val="21"/>
                      <w:u w:val="single" w:color="auto"/>
                      <w:lang w:val="en-US" w:eastAsia="zh-CN"/>
                    </w:rPr>
                    <w:t>通过15m高排气筒</w:t>
                  </w:r>
                  <w:r>
                    <w:rPr>
                      <w:rFonts w:hint="eastAsia" w:ascii="Times New Roman" w:cs="Times New Roman" w:eastAsiaTheme="minorEastAsia"/>
                      <w:color w:val="auto"/>
                      <w:sz w:val="21"/>
                      <w:szCs w:val="21"/>
                      <w:u w:val="single" w:color="auto"/>
                      <w:lang w:val="en-US" w:eastAsia="zh-CN"/>
                    </w:rPr>
                    <w:t>（DA002）</w:t>
                  </w:r>
                  <w:r>
                    <w:rPr>
                      <w:rFonts w:hint="default" w:ascii="Times New Roman" w:hAnsi="Times New Roman" w:cs="Times New Roman" w:eastAsiaTheme="minorEastAsia"/>
                      <w:color w:val="auto"/>
                      <w:sz w:val="21"/>
                      <w:szCs w:val="21"/>
                      <w:u w:val="single" w:color="auto"/>
                      <w:lang w:val="en-US" w:eastAsia="zh-CN"/>
                    </w:rPr>
                    <w:t>排放</w:t>
                  </w:r>
                </w:p>
              </w:tc>
              <w:tc>
                <w:tcPr>
                  <w:tcW w:w="560" w:type="pct"/>
                  <w:tcBorders>
                    <w:tl2br w:val="nil"/>
                    <w:tr2bl w:val="nil"/>
                  </w:tcBorders>
                  <w:vAlign w:val="center"/>
                </w:tcPr>
                <w:p w14:paraId="671E324B">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kern w:val="0"/>
                      <w:sz w:val="21"/>
                      <w:szCs w:val="21"/>
                      <w:u w:val="single" w:color="auto"/>
                      <w:lang w:val="en-US" w:eastAsia="zh-CN"/>
                    </w:rPr>
                  </w:pPr>
                  <w:r>
                    <w:rPr>
                      <w:rFonts w:hint="eastAsia" w:cs="Times New Roman" w:eastAsiaTheme="minorEastAsia"/>
                      <w:color w:val="auto"/>
                      <w:kern w:val="0"/>
                      <w:sz w:val="21"/>
                      <w:szCs w:val="21"/>
                      <w:u w:val="single" w:color="auto"/>
                      <w:lang w:val="en-US" w:eastAsia="zh-CN"/>
                    </w:rPr>
                    <w:t>10</w:t>
                  </w:r>
                </w:p>
              </w:tc>
            </w:tr>
            <w:tr w14:paraId="6FA3E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vMerge w:val="restart"/>
                  <w:tcBorders>
                    <w:tl2br w:val="nil"/>
                    <w:tr2bl w:val="nil"/>
                  </w:tcBorders>
                  <w:vAlign w:val="center"/>
                </w:tcPr>
                <w:p w14:paraId="7425CEA3">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r>
                    <w:rPr>
                      <w:rFonts w:hint="default" w:ascii="Times New Roman" w:hAnsi="Times New Roman" w:cs="Times New Roman" w:eastAsiaTheme="minorEastAsia"/>
                      <w:color w:val="auto"/>
                      <w:kern w:val="2"/>
                      <w:sz w:val="21"/>
                      <w:szCs w:val="21"/>
                      <w:u w:val="none"/>
                    </w:rPr>
                    <w:t>水污染防治</w:t>
                  </w:r>
                </w:p>
              </w:tc>
              <w:tc>
                <w:tcPr>
                  <w:tcW w:w="3697" w:type="pct"/>
                  <w:tcBorders>
                    <w:tl2br w:val="nil"/>
                    <w:tr2bl w:val="nil"/>
                  </w:tcBorders>
                  <w:vAlign w:val="center"/>
                </w:tcPr>
                <w:p w14:paraId="0511FC7E">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lang w:val="en-US"/>
                    </w:rPr>
                  </w:pPr>
                  <w:r>
                    <w:rPr>
                      <w:rFonts w:hint="default" w:ascii="Times New Roman" w:hAnsi="Times New Roman" w:cs="Times New Roman" w:eastAsiaTheme="minorEastAsia"/>
                      <w:color w:val="auto"/>
                      <w:kern w:val="2"/>
                      <w:sz w:val="21"/>
                      <w:szCs w:val="21"/>
                      <w:u w:val="none"/>
                      <w:lang w:val="en-US" w:eastAsia="zh-CN"/>
                    </w:rPr>
                    <w:t>生活污水经</w:t>
                  </w:r>
                  <w:r>
                    <w:rPr>
                      <w:rFonts w:hint="default" w:ascii="Times New Roman" w:hAnsi="Times New Roman" w:cs="Times New Roman" w:eastAsiaTheme="minorEastAsia"/>
                      <w:color w:val="auto"/>
                      <w:kern w:val="2"/>
                      <w:sz w:val="21"/>
                      <w:szCs w:val="21"/>
                      <w:u w:val="none"/>
                      <w:lang w:eastAsia="zh-CN"/>
                    </w:rPr>
                    <w:t>化粪池</w:t>
                  </w:r>
                  <w:r>
                    <w:rPr>
                      <w:rFonts w:hint="default" w:ascii="Times New Roman" w:hAnsi="Times New Roman" w:cs="Times New Roman" w:eastAsiaTheme="minorEastAsia"/>
                      <w:color w:val="auto"/>
                      <w:kern w:val="2"/>
                      <w:sz w:val="21"/>
                      <w:szCs w:val="21"/>
                      <w:u w:val="none"/>
                      <w:lang w:val="en-US" w:eastAsia="zh-CN"/>
                    </w:rPr>
                    <w:t>后排放至市政污水管网</w:t>
                  </w:r>
                </w:p>
              </w:tc>
              <w:tc>
                <w:tcPr>
                  <w:tcW w:w="560" w:type="pct"/>
                  <w:tcBorders>
                    <w:tl2br w:val="nil"/>
                    <w:tr2bl w:val="nil"/>
                  </w:tcBorders>
                  <w:vAlign w:val="center"/>
                </w:tcPr>
                <w:p w14:paraId="36022408">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kern w:val="0"/>
                      <w:sz w:val="21"/>
                      <w:szCs w:val="21"/>
                      <w:u w:val="none"/>
                      <w:lang w:val="en-US" w:eastAsia="zh-CN"/>
                    </w:rPr>
                    <w:t>1</w:t>
                  </w:r>
                </w:p>
              </w:tc>
            </w:tr>
            <w:tr w14:paraId="266C2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vMerge w:val="continue"/>
                  <w:tcBorders>
                    <w:tl2br w:val="nil"/>
                    <w:tr2bl w:val="nil"/>
                  </w:tcBorders>
                  <w:vAlign w:val="center"/>
                </w:tcPr>
                <w:p w14:paraId="028F01D4">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p>
              </w:tc>
              <w:tc>
                <w:tcPr>
                  <w:tcW w:w="3697" w:type="pct"/>
                  <w:tcBorders>
                    <w:tl2br w:val="nil"/>
                    <w:tr2bl w:val="nil"/>
                  </w:tcBorders>
                  <w:vAlign w:val="center"/>
                </w:tcPr>
                <w:p w14:paraId="37ACEC2B">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single"/>
                      <w:lang w:val="en-US" w:eastAsia="zh-CN"/>
                    </w:rPr>
                  </w:pPr>
                  <w:r>
                    <w:rPr>
                      <w:rFonts w:hint="default" w:ascii="Times New Roman" w:hAnsi="Times New Roman" w:cs="Times New Roman" w:eastAsiaTheme="minorEastAsia"/>
                      <w:color w:val="auto"/>
                      <w:kern w:val="2"/>
                      <w:sz w:val="21"/>
                      <w:szCs w:val="21"/>
                      <w:u w:val="single"/>
                      <w:lang w:val="en-US" w:eastAsia="zh-CN"/>
                    </w:rPr>
                    <w:t>原辅材料清洗废水</w:t>
                  </w:r>
                  <w:r>
                    <w:rPr>
                      <w:rFonts w:hint="eastAsia" w:ascii="Times New Roman" w:cs="Times New Roman" w:eastAsiaTheme="minorEastAsia"/>
                      <w:color w:val="auto"/>
                      <w:kern w:val="2"/>
                      <w:sz w:val="21"/>
                      <w:szCs w:val="21"/>
                      <w:u w:val="single"/>
                      <w:lang w:val="en-US" w:eastAsia="zh-CN"/>
                    </w:rPr>
                    <w:t>、</w:t>
                  </w:r>
                  <w:r>
                    <w:rPr>
                      <w:rFonts w:hint="default" w:ascii="Times New Roman" w:hAnsi="Times New Roman" w:cs="Times New Roman"/>
                      <w:color w:val="auto"/>
                      <w:sz w:val="21"/>
                      <w:szCs w:val="21"/>
                      <w:u w:val="single"/>
                      <w:lang w:val="en-US" w:eastAsia="zh-CN"/>
                    </w:rPr>
                    <w:t>地面清洗废水</w:t>
                  </w:r>
                  <w:r>
                    <w:rPr>
                      <w:rFonts w:hint="eastAsia" w:ascii="Times New Roman" w:cs="Times New Roman"/>
                      <w:color w:val="auto"/>
                      <w:sz w:val="21"/>
                      <w:szCs w:val="21"/>
                      <w:u w:val="single"/>
                      <w:lang w:val="en-US" w:eastAsia="zh-CN"/>
                    </w:rPr>
                    <w:t>、制软水尾水</w:t>
                  </w:r>
                  <w:r>
                    <w:rPr>
                      <w:rFonts w:hint="default" w:ascii="Times New Roman" w:hAnsi="Times New Roman" w:cs="Times New Roman" w:eastAsiaTheme="minorEastAsia"/>
                      <w:color w:val="auto"/>
                      <w:kern w:val="2"/>
                      <w:sz w:val="21"/>
                      <w:szCs w:val="21"/>
                      <w:u w:val="single"/>
                      <w:lang w:val="en-US" w:eastAsia="zh-CN"/>
                    </w:rPr>
                    <w:t>经三级沉淀池处理后排放至市政污水管网</w:t>
                  </w:r>
                </w:p>
              </w:tc>
              <w:tc>
                <w:tcPr>
                  <w:tcW w:w="560" w:type="pct"/>
                  <w:tcBorders>
                    <w:tl2br w:val="nil"/>
                    <w:tr2bl w:val="nil"/>
                  </w:tcBorders>
                  <w:vAlign w:val="center"/>
                </w:tcPr>
                <w:p w14:paraId="163842FA">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kern w:val="0"/>
                      <w:sz w:val="21"/>
                      <w:szCs w:val="21"/>
                      <w:u w:val="single"/>
                      <w:lang w:val="en-US" w:eastAsia="zh-CN"/>
                    </w:rPr>
                  </w:pPr>
                  <w:r>
                    <w:rPr>
                      <w:rFonts w:hint="eastAsia" w:cs="Times New Roman" w:eastAsiaTheme="minorEastAsia"/>
                      <w:color w:val="auto"/>
                      <w:kern w:val="0"/>
                      <w:sz w:val="21"/>
                      <w:szCs w:val="21"/>
                      <w:u w:val="single"/>
                      <w:lang w:val="en-US" w:eastAsia="zh-CN"/>
                    </w:rPr>
                    <w:t>4</w:t>
                  </w:r>
                </w:p>
              </w:tc>
            </w:tr>
            <w:tr w14:paraId="76F19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vMerge w:val="restart"/>
                  <w:tcBorders>
                    <w:tl2br w:val="nil"/>
                    <w:tr2bl w:val="nil"/>
                  </w:tcBorders>
                  <w:vAlign w:val="center"/>
                </w:tcPr>
                <w:p w14:paraId="41984588">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r>
                    <w:rPr>
                      <w:rFonts w:hint="default" w:ascii="Times New Roman" w:hAnsi="Times New Roman" w:cs="Times New Roman" w:eastAsiaTheme="minorEastAsia"/>
                      <w:color w:val="auto"/>
                      <w:kern w:val="2"/>
                      <w:sz w:val="21"/>
                      <w:szCs w:val="21"/>
                      <w:u w:val="none"/>
                    </w:rPr>
                    <w:t>噪声防治</w:t>
                  </w:r>
                </w:p>
              </w:tc>
              <w:tc>
                <w:tcPr>
                  <w:tcW w:w="3697" w:type="pct"/>
                  <w:tcBorders>
                    <w:tl2br w:val="nil"/>
                    <w:tr2bl w:val="nil"/>
                  </w:tcBorders>
                  <w:vAlign w:val="center"/>
                </w:tcPr>
                <w:p w14:paraId="21D83AC9">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r>
                    <w:rPr>
                      <w:rFonts w:hint="default" w:ascii="Times New Roman" w:hAnsi="Times New Roman" w:cs="Times New Roman" w:eastAsiaTheme="minorEastAsia"/>
                      <w:color w:val="auto"/>
                      <w:kern w:val="2"/>
                      <w:sz w:val="21"/>
                      <w:szCs w:val="21"/>
                      <w:u w:val="none"/>
                    </w:rPr>
                    <w:t>加强设备维护、减振措施、功能间密闭隔离、设备柔性连接等。</w:t>
                  </w:r>
                </w:p>
              </w:tc>
              <w:tc>
                <w:tcPr>
                  <w:tcW w:w="560" w:type="pct"/>
                  <w:vMerge w:val="restart"/>
                  <w:tcBorders>
                    <w:tl2br w:val="nil"/>
                    <w:tr2bl w:val="nil"/>
                  </w:tcBorders>
                  <w:vAlign w:val="center"/>
                </w:tcPr>
                <w:p w14:paraId="66488202">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sz w:val="21"/>
                      <w:szCs w:val="21"/>
                      <w:u w:val="none"/>
                      <w:lang w:eastAsia="zh-CN"/>
                    </w:rPr>
                  </w:pPr>
                  <w:r>
                    <w:rPr>
                      <w:rFonts w:hint="eastAsia" w:cs="Times New Roman" w:eastAsiaTheme="minorEastAsia"/>
                      <w:color w:val="auto"/>
                      <w:kern w:val="0"/>
                      <w:sz w:val="21"/>
                      <w:szCs w:val="21"/>
                      <w:u w:val="none"/>
                      <w:lang w:val="en-US" w:eastAsia="zh-CN"/>
                    </w:rPr>
                    <w:t>1</w:t>
                  </w:r>
                </w:p>
              </w:tc>
            </w:tr>
            <w:tr w14:paraId="0F9CB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vMerge w:val="continue"/>
                  <w:tcBorders>
                    <w:tl2br w:val="nil"/>
                    <w:tr2bl w:val="nil"/>
                  </w:tcBorders>
                  <w:vAlign w:val="center"/>
                </w:tcPr>
                <w:p w14:paraId="79902FFA">
                  <w:pPr>
                    <w:keepNext w:val="0"/>
                    <w:keepLines w:val="0"/>
                    <w:pageBreakBefore w:val="0"/>
                    <w:widowControl/>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rPr>
                  </w:pPr>
                </w:p>
              </w:tc>
              <w:tc>
                <w:tcPr>
                  <w:tcW w:w="3697" w:type="pct"/>
                  <w:tcBorders>
                    <w:tl2br w:val="nil"/>
                    <w:tr2bl w:val="nil"/>
                  </w:tcBorders>
                  <w:vAlign w:val="center"/>
                </w:tcPr>
                <w:p w14:paraId="126C3DE0">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r>
                    <w:rPr>
                      <w:rFonts w:hint="default" w:ascii="Times New Roman" w:hAnsi="Times New Roman" w:cs="Times New Roman" w:eastAsiaTheme="minorEastAsia"/>
                      <w:color w:val="auto"/>
                      <w:kern w:val="2"/>
                      <w:sz w:val="21"/>
                      <w:szCs w:val="21"/>
                      <w:u w:val="none"/>
                    </w:rPr>
                    <w:t>加强管理，禁止鸣笛，禁止喧哗等</w:t>
                  </w:r>
                </w:p>
              </w:tc>
              <w:tc>
                <w:tcPr>
                  <w:tcW w:w="560" w:type="pct"/>
                  <w:vMerge w:val="continue"/>
                  <w:tcBorders>
                    <w:tl2br w:val="nil"/>
                    <w:tr2bl w:val="nil"/>
                  </w:tcBorders>
                  <w:vAlign w:val="center"/>
                </w:tcPr>
                <w:p w14:paraId="75E6AD17">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p>
              </w:tc>
            </w:tr>
            <w:tr w14:paraId="4BDDC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tcBorders>
                    <w:tl2br w:val="nil"/>
                    <w:tr2bl w:val="nil"/>
                  </w:tcBorders>
                  <w:vAlign w:val="center"/>
                </w:tcPr>
                <w:p w14:paraId="032083F1">
                  <w:pPr>
                    <w:keepNext w:val="0"/>
                    <w:keepLines w:val="0"/>
                    <w:pageBreakBefore w:val="0"/>
                    <w:widowControl/>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固体废物</w:t>
                  </w:r>
                </w:p>
              </w:tc>
              <w:tc>
                <w:tcPr>
                  <w:tcW w:w="3697" w:type="pct"/>
                  <w:tcBorders>
                    <w:tl2br w:val="nil"/>
                    <w:tr2bl w:val="nil"/>
                  </w:tcBorders>
                  <w:vAlign w:val="center"/>
                </w:tcPr>
                <w:p w14:paraId="4911D34F">
                  <w:pPr>
                    <w:keepNext w:val="0"/>
                    <w:keepLines w:val="0"/>
                    <w:pageBreakBefore w:val="0"/>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lang w:val="en-US"/>
                    </w:rPr>
                  </w:pPr>
                  <w:r>
                    <w:rPr>
                      <w:rFonts w:hint="eastAsia" w:cs="Times New Roman"/>
                      <w:color w:val="auto"/>
                      <w:sz w:val="21"/>
                      <w:szCs w:val="21"/>
                      <w:u w:val="none"/>
                      <w:lang w:val="en-US" w:eastAsia="zh-CN"/>
                    </w:rPr>
                    <w:t>生活垃圾设置分类垃圾桶，一般工业固废设置暂存区</w:t>
                  </w:r>
                  <w:r>
                    <w:rPr>
                      <w:rFonts w:hint="eastAsia" w:cs="Times New Roman"/>
                      <w:color w:val="FF0000"/>
                      <w:sz w:val="21"/>
                      <w:szCs w:val="21"/>
                      <w:u w:val="none"/>
                      <w:lang w:val="en-US" w:eastAsia="zh-CN"/>
                    </w:rPr>
                    <w:t>、危险废物暂存及委托有资质单位处置</w:t>
                  </w:r>
                </w:p>
              </w:tc>
              <w:tc>
                <w:tcPr>
                  <w:tcW w:w="560" w:type="pct"/>
                  <w:tcBorders>
                    <w:tl2br w:val="nil"/>
                    <w:tr2bl w:val="nil"/>
                  </w:tcBorders>
                  <w:vAlign w:val="center"/>
                </w:tcPr>
                <w:p w14:paraId="5A181EDB">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eastAsia" w:cs="Times New Roman" w:eastAsiaTheme="minorEastAsia"/>
                      <w:color w:val="auto"/>
                      <w:kern w:val="0"/>
                      <w:sz w:val="21"/>
                      <w:szCs w:val="21"/>
                      <w:u w:val="none"/>
                      <w:lang w:val="en-US" w:eastAsia="zh-CN"/>
                    </w:rPr>
                    <w:t>2</w:t>
                  </w:r>
                </w:p>
              </w:tc>
            </w:tr>
            <w:tr w14:paraId="761E8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tcBorders>
                    <w:tl2br w:val="nil"/>
                    <w:tr2bl w:val="nil"/>
                  </w:tcBorders>
                  <w:shd w:val="clear" w:color="auto" w:fill="auto"/>
                  <w:vAlign w:val="center"/>
                </w:tcPr>
                <w:p w14:paraId="18C6E9AA">
                  <w:pPr>
                    <w:keepNext w:val="0"/>
                    <w:keepLines w:val="0"/>
                    <w:pageBreakBefore w:val="0"/>
                    <w:widowControl/>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eastAsiaTheme="minorEastAsia"/>
                      <w:color w:val="auto"/>
                      <w:sz w:val="21"/>
                      <w:szCs w:val="21"/>
                      <w:u w:val="none"/>
                      <w:lang w:val="en-US" w:eastAsia="zh-CN"/>
                    </w:rPr>
                    <w:t>种植基地生态保护等</w:t>
                  </w:r>
                </w:p>
              </w:tc>
              <w:tc>
                <w:tcPr>
                  <w:tcW w:w="3697" w:type="pct"/>
                  <w:tcBorders>
                    <w:tl2br w:val="nil"/>
                    <w:tr2bl w:val="nil"/>
                  </w:tcBorders>
                  <w:shd w:val="clear" w:color="auto" w:fill="auto"/>
                  <w:vAlign w:val="center"/>
                </w:tcPr>
                <w:p w14:paraId="303CEDB2">
                  <w:pPr>
                    <w:keepNext w:val="0"/>
                    <w:keepLines w:val="0"/>
                    <w:pageBreakBefore w:val="0"/>
                    <w:widowControl/>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eastAsiaTheme="minorEastAsia"/>
                      <w:color w:val="auto"/>
                      <w:sz w:val="21"/>
                      <w:szCs w:val="21"/>
                      <w:u w:val="none"/>
                      <w:lang w:val="en-US" w:eastAsia="zh-CN"/>
                    </w:rPr>
                    <w:t>表土保存，补种制备，水保措施等</w:t>
                  </w:r>
                </w:p>
              </w:tc>
              <w:tc>
                <w:tcPr>
                  <w:tcW w:w="560" w:type="pct"/>
                  <w:tcBorders>
                    <w:tl2br w:val="nil"/>
                    <w:tr2bl w:val="nil"/>
                  </w:tcBorders>
                  <w:shd w:val="clear" w:color="auto" w:fill="auto"/>
                  <w:vAlign w:val="center"/>
                </w:tcPr>
                <w:p w14:paraId="2D0C287C">
                  <w:pPr>
                    <w:keepNext w:val="0"/>
                    <w:keepLines w:val="0"/>
                    <w:pageBreakBefore w:val="0"/>
                    <w:widowControl/>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eastAsiaTheme="minorEastAsia"/>
                      <w:color w:val="auto"/>
                      <w:sz w:val="21"/>
                      <w:szCs w:val="21"/>
                      <w:u w:val="none"/>
                      <w:lang w:val="en-US" w:eastAsia="zh-CN"/>
                    </w:rPr>
                    <w:t>80</w:t>
                  </w:r>
                </w:p>
              </w:tc>
            </w:tr>
            <w:tr w14:paraId="49D6B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1" w:type="pct"/>
                  <w:tcBorders>
                    <w:tl2br w:val="nil"/>
                    <w:tr2bl w:val="nil"/>
                  </w:tcBorders>
                  <w:vAlign w:val="center"/>
                </w:tcPr>
                <w:p w14:paraId="4DEECEF1">
                  <w:pPr>
                    <w:keepNext w:val="0"/>
                    <w:keepLines w:val="0"/>
                    <w:pageBreakBefore w:val="0"/>
                    <w:widowControl/>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环境风险防范</w:t>
                  </w:r>
                </w:p>
              </w:tc>
              <w:tc>
                <w:tcPr>
                  <w:tcW w:w="3697" w:type="pct"/>
                  <w:tcBorders>
                    <w:tl2br w:val="nil"/>
                    <w:tr2bl w:val="nil"/>
                  </w:tcBorders>
                  <w:vAlign w:val="center"/>
                </w:tcPr>
                <w:p w14:paraId="19A1818F">
                  <w:pPr>
                    <w:keepNext w:val="0"/>
                    <w:keepLines w:val="0"/>
                    <w:pageBreakBefore w:val="0"/>
                    <w:kinsoku/>
                    <w:wordWrap/>
                    <w:overflowPunct/>
                    <w:topLinePunct w:val="0"/>
                    <w:autoSpaceDE/>
                    <w:autoSpaceDN/>
                    <w:bidi w:val="0"/>
                    <w:ind w:left="0" w:firstLine="0" w:firstLineChars="0"/>
                    <w:jc w:val="center"/>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z w:val="21"/>
                      <w:szCs w:val="21"/>
                      <w:u w:val="none"/>
                    </w:rPr>
                    <w:t>消防设施定期检查、维护</w:t>
                  </w:r>
                  <w:r>
                    <w:rPr>
                      <w:rFonts w:hint="eastAsia" w:ascii="Times New Roman" w:hAnsi="Times New Roman" w:cs="Times New Roman" w:eastAsiaTheme="minorEastAsia"/>
                      <w:color w:val="auto"/>
                      <w:sz w:val="21"/>
                      <w:szCs w:val="21"/>
                      <w:u w:val="none"/>
                      <w:lang w:eastAsia="zh-CN"/>
                    </w:rPr>
                    <w:t>，对</w:t>
                  </w:r>
                  <w:r>
                    <w:rPr>
                      <w:rFonts w:hint="default" w:ascii="Times New Roman" w:hAnsi="Times New Roman" w:cs="Times New Roman" w:eastAsiaTheme="minorEastAsia"/>
                      <w:color w:val="auto"/>
                      <w:sz w:val="21"/>
                      <w:szCs w:val="21"/>
                      <w:u w:val="none"/>
                    </w:rPr>
                    <w:t>电器线路定期进行检查、维修、保养，设置灭火器、消防沙袋等消防器材</w:t>
                  </w:r>
                </w:p>
              </w:tc>
              <w:tc>
                <w:tcPr>
                  <w:tcW w:w="560" w:type="pct"/>
                  <w:tcBorders>
                    <w:tl2br w:val="nil"/>
                    <w:tr2bl w:val="nil"/>
                  </w:tcBorders>
                  <w:vAlign w:val="center"/>
                </w:tcPr>
                <w:p w14:paraId="7A3F6EA1">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kern w:val="0"/>
                      <w:sz w:val="21"/>
                      <w:szCs w:val="21"/>
                      <w:u w:val="none"/>
                      <w:lang w:val="en-US" w:eastAsia="zh-CN"/>
                    </w:rPr>
                  </w:pPr>
                  <w:r>
                    <w:rPr>
                      <w:rFonts w:hint="default" w:ascii="Times New Roman" w:hAnsi="Times New Roman" w:cs="Times New Roman" w:eastAsiaTheme="minorEastAsia"/>
                      <w:color w:val="auto"/>
                      <w:kern w:val="0"/>
                      <w:sz w:val="21"/>
                      <w:szCs w:val="21"/>
                      <w:u w:val="none"/>
                      <w:lang w:val="en-US" w:eastAsia="zh-CN"/>
                    </w:rPr>
                    <w:t>2</w:t>
                  </w:r>
                </w:p>
              </w:tc>
            </w:tr>
            <w:tr w14:paraId="24418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439" w:type="pct"/>
                  <w:gridSpan w:val="2"/>
                  <w:tcBorders>
                    <w:tl2br w:val="nil"/>
                    <w:tr2bl w:val="nil"/>
                  </w:tcBorders>
                  <w:vAlign w:val="center"/>
                </w:tcPr>
                <w:p w14:paraId="1AFA46C3">
                  <w:pPr>
                    <w:pStyle w:val="61"/>
                    <w:keepNext w:val="0"/>
                    <w:keepLines w:val="0"/>
                    <w:pageBreakBefore w:val="0"/>
                    <w:kinsoku/>
                    <w:wordWrap/>
                    <w:overflowPunct/>
                    <w:topLinePunct w:val="0"/>
                    <w:autoSpaceDE/>
                    <w:autoSpaceDN/>
                    <w:bidi w:val="0"/>
                    <w:spacing w:before="0" w:beforeLines="0" w:after="0" w:afterLines="0" w:line="240" w:lineRule="auto"/>
                    <w:ind w:left="0" w:firstLine="0" w:firstLineChars="0"/>
                    <w:rPr>
                      <w:rFonts w:hint="default" w:ascii="Times New Roman" w:hAnsi="Times New Roman" w:cs="Times New Roman" w:eastAsiaTheme="minorEastAsia"/>
                      <w:color w:val="auto"/>
                      <w:kern w:val="2"/>
                      <w:sz w:val="21"/>
                      <w:szCs w:val="21"/>
                      <w:u w:val="none"/>
                    </w:rPr>
                  </w:pPr>
                  <w:r>
                    <w:rPr>
                      <w:rFonts w:hint="default" w:ascii="Times New Roman" w:hAnsi="Times New Roman" w:cs="Times New Roman" w:eastAsiaTheme="minorEastAsia"/>
                      <w:color w:val="auto"/>
                      <w:kern w:val="2"/>
                      <w:sz w:val="21"/>
                      <w:szCs w:val="21"/>
                      <w:u w:val="none"/>
                    </w:rPr>
                    <w:t>合计</w:t>
                  </w:r>
                </w:p>
              </w:tc>
              <w:tc>
                <w:tcPr>
                  <w:tcW w:w="560" w:type="pct"/>
                  <w:tcBorders>
                    <w:tl2br w:val="nil"/>
                    <w:tr2bl w:val="nil"/>
                  </w:tcBorders>
                  <w:vAlign w:val="center"/>
                </w:tcPr>
                <w:p w14:paraId="536CC2F8">
                  <w:pPr>
                    <w:keepNext w:val="0"/>
                    <w:keepLines w:val="0"/>
                    <w:pageBreakBefore w:val="0"/>
                    <w:widowControl/>
                    <w:kinsoku/>
                    <w:wordWrap/>
                    <w:overflowPunct/>
                    <w:topLinePunct w:val="0"/>
                    <w:autoSpaceDE/>
                    <w:autoSpaceDN/>
                    <w:bidi w:val="0"/>
                    <w:ind w:left="0" w:firstLine="0" w:firstLineChars="0"/>
                    <w:jc w:val="center"/>
                    <w:textAlignment w:val="center"/>
                    <w:rPr>
                      <w:rFonts w:hint="default" w:ascii="Times New Roman" w:hAnsi="Times New Roman" w:cs="Times New Roman" w:eastAsiaTheme="minorEastAsia"/>
                      <w:color w:val="auto"/>
                      <w:sz w:val="21"/>
                      <w:szCs w:val="21"/>
                      <w:u w:val="none"/>
                      <w:lang w:val="en-US" w:eastAsia="zh-CN"/>
                    </w:rPr>
                  </w:pPr>
                  <w:r>
                    <w:rPr>
                      <w:rFonts w:hint="eastAsia" w:cs="Times New Roman" w:eastAsiaTheme="minorEastAsia"/>
                      <w:color w:val="auto"/>
                      <w:kern w:val="0"/>
                      <w:sz w:val="21"/>
                      <w:szCs w:val="21"/>
                      <w:u w:val="none"/>
                      <w:lang w:val="en-US" w:eastAsia="zh-CN"/>
                    </w:rPr>
                    <w:t>100</w:t>
                  </w:r>
                </w:p>
              </w:tc>
            </w:tr>
          </w:tbl>
          <w:p w14:paraId="3ACB7BA1">
            <w:pPr>
              <w:spacing w:line="360" w:lineRule="auto"/>
              <w:rPr>
                <w:rFonts w:hint="default" w:ascii="Times New Roman" w:hAnsi="Times New Roman" w:cs="Times New Roman"/>
                <w:color w:val="auto"/>
                <w:kern w:val="44"/>
                <w:u w:val="none"/>
              </w:rPr>
            </w:pPr>
          </w:p>
          <w:p w14:paraId="7295B112">
            <w:pPr>
              <w:spacing w:line="360" w:lineRule="auto"/>
              <w:rPr>
                <w:rFonts w:hint="default" w:ascii="Times New Roman" w:hAnsi="Times New Roman" w:cs="Times New Roman"/>
                <w:color w:val="auto"/>
                <w:kern w:val="44"/>
                <w:u w:val="none"/>
              </w:rPr>
            </w:pPr>
          </w:p>
          <w:p w14:paraId="2A7B27A8">
            <w:pPr>
              <w:spacing w:line="360" w:lineRule="auto"/>
              <w:rPr>
                <w:rFonts w:hint="default" w:ascii="Times New Roman" w:hAnsi="Times New Roman" w:cs="Times New Roman"/>
                <w:color w:val="auto"/>
                <w:kern w:val="44"/>
                <w:u w:val="none"/>
              </w:rPr>
            </w:pPr>
          </w:p>
          <w:p w14:paraId="274D52F4">
            <w:pPr>
              <w:spacing w:line="360" w:lineRule="auto"/>
              <w:rPr>
                <w:rFonts w:hint="default" w:ascii="Times New Roman" w:hAnsi="Times New Roman" w:cs="Times New Roman"/>
                <w:color w:val="auto"/>
                <w:kern w:val="44"/>
                <w:u w:val="none"/>
              </w:rPr>
            </w:pPr>
          </w:p>
          <w:p w14:paraId="77CBF78C">
            <w:pPr>
              <w:spacing w:line="360" w:lineRule="auto"/>
              <w:rPr>
                <w:rFonts w:hint="default" w:ascii="Times New Roman" w:hAnsi="Times New Roman" w:cs="Times New Roman"/>
                <w:color w:val="auto"/>
                <w:kern w:val="44"/>
                <w:u w:val="none"/>
              </w:rPr>
            </w:pPr>
          </w:p>
          <w:p w14:paraId="56FD732C">
            <w:pPr>
              <w:spacing w:line="360" w:lineRule="auto"/>
              <w:rPr>
                <w:rFonts w:hint="default" w:ascii="Times New Roman" w:hAnsi="Times New Roman" w:cs="Times New Roman"/>
                <w:color w:val="auto"/>
                <w:kern w:val="44"/>
                <w:u w:val="none"/>
              </w:rPr>
            </w:pPr>
          </w:p>
          <w:p w14:paraId="16E84294">
            <w:pPr>
              <w:spacing w:line="360" w:lineRule="auto"/>
              <w:rPr>
                <w:rFonts w:hint="default" w:ascii="Times New Roman" w:hAnsi="Times New Roman" w:cs="Times New Roman"/>
                <w:color w:val="auto"/>
                <w:kern w:val="44"/>
                <w:u w:val="none"/>
              </w:rPr>
            </w:pPr>
          </w:p>
          <w:p w14:paraId="353E96C4">
            <w:pPr>
              <w:spacing w:line="360" w:lineRule="auto"/>
              <w:rPr>
                <w:rFonts w:hint="default" w:ascii="Times New Roman" w:hAnsi="Times New Roman" w:cs="Times New Roman"/>
                <w:color w:val="auto"/>
                <w:kern w:val="44"/>
                <w:u w:val="none"/>
              </w:rPr>
            </w:pPr>
          </w:p>
          <w:p w14:paraId="5D3CD187">
            <w:pPr>
              <w:spacing w:line="360" w:lineRule="auto"/>
              <w:rPr>
                <w:rFonts w:hint="default" w:ascii="Times New Roman" w:hAnsi="Times New Roman" w:cs="Times New Roman"/>
                <w:color w:val="auto"/>
                <w:kern w:val="44"/>
                <w:u w:val="none"/>
              </w:rPr>
            </w:pPr>
          </w:p>
          <w:p w14:paraId="0A04278A">
            <w:pPr>
              <w:spacing w:line="360" w:lineRule="auto"/>
              <w:rPr>
                <w:rFonts w:hint="default" w:ascii="Times New Roman" w:hAnsi="Times New Roman" w:cs="Times New Roman"/>
                <w:color w:val="auto"/>
                <w:kern w:val="44"/>
                <w:u w:val="none"/>
              </w:rPr>
            </w:pPr>
          </w:p>
          <w:p w14:paraId="22B83303">
            <w:pPr>
              <w:spacing w:line="360" w:lineRule="auto"/>
              <w:rPr>
                <w:rFonts w:hint="default" w:ascii="Times New Roman" w:hAnsi="Times New Roman" w:cs="Times New Roman"/>
                <w:color w:val="auto"/>
                <w:kern w:val="44"/>
                <w:u w:val="none"/>
              </w:rPr>
            </w:pPr>
          </w:p>
          <w:p w14:paraId="1A248AC8">
            <w:pPr>
              <w:spacing w:line="360" w:lineRule="auto"/>
              <w:rPr>
                <w:rFonts w:hint="default" w:ascii="Times New Roman" w:hAnsi="Times New Roman" w:cs="Times New Roman"/>
                <w:color w:val="auto"/>
                <w:kern w:val="44"/>
                <w:u w:val="none"/>
              </w:rPr>
            </w:pPr>
          </w:p>
          <w:p w14:paraId="23446EB7">
            <w:pPr>
              <w:spacing w:line="360" w:lineRule="auto"/>
              <w:rPr>
                <w:rFonts w:hint="default" w:ascii="Times New Roman" w:hAnsi="Times New Roman" w:cs="Times New Roman"/>
                <w:color w:val="auto"/>
                <w:kern w:val="44"/>
                <w:u w:val="none"/>
              </w:rPr>
            </w:pPr>
          </w:p>
          <w:p w14:paraId="74FCF2D0">
            <w:pPr>
              <w:spacing w:line="360" w:lineRule="auto"/>
              <w:rPr>
                <w:rFonts w:hint="default" w:ascii="Times New Roman" w:hAnsi="Times New Roman" w:cs="Times New Roman"/>
                <w:color w:val="auto"/>
                <w:kern w:val="44"/>
                <w:u w:val="none"/>
              </w:rPr>
            </w:pPr>
          </w:p>
          <w:p w14:paraId="665C4A76">
            <w:pPr>
              <w:spacing w:line="360" w:lineRule="auto"/>
              <w:rPr>
                <w:rFonts w:hint="default" w:ascii="Times New Roman" w:hAnsi="Times New Roman" w:cs="Times New Roman"/>
                <w:color w:val="auto"/>
                <w:kern w:val="44"/>
                <w:u w:val="none"/>
              </w:rPr>
            </w:pPr>
          </w:p>
          <w:p w14:paraId="50C1F32B">
            <w:pPr>
              <w:spacing w:line="360" w:lineRule="auto"/>
              <w:rPr>
                <w:rFonts w:hint="default" w:ascii="Times New Roman" w:hAnsi="Times New Roman" w:cs="Times New Roman"/>
                <w:color w:val="auto"/>
                <w:kern w:val="44"/>
                <w:u w:val="none"/>
              </w:rPr>
            </w:pPr>
          </w:p>
          <w:p w14:paraId="4A51CFA2">
            <w:pPr>
              <w:spacing w:line="360" w:lineRule="auto"/>
              <w:rPr>
                <w:rFonts w:hint="default" w:ascii="Times New Roman" w:hAnsi="Times New Roman" w:cs="Times New Roman"/>
                <w:color w:val="auto"/>
                <w:kern w:val="44"/>
                <w:u w:val="none"/>
              </w:rPr>
            </w:pPr>
          </w:p>
          <w:p w14:paraId="582A9685">
            <w:pPr>
              <w:spacing w:line="360" w:lineRule="auto"/>
              <w:rPr>
                <w:rFonts w:hint="default" w:ascii="Times New Roman" w:hAnsi="Times New Roman" w:cs="Times New Roman"/>
                <w:color w:val="auto"/>
                <w:kern w:val="44"/>
                <w:u w:val="none"/>
              </w:rPr>
            </w:pPr>
          </w:p>
          <w:p w14:paraId="4ABE5499">
            <w:pPr>
              <w:spacing w:line="360" w:lineRule="auto"/>
              <w:rPr>
                <w:rFonts w:hint="default" w:ascii="Times New Roman" w:hAnsi="Times New Roman" w:cs="Times New Roman"/>
                <w:color w:val="auto"/>
                <w:kern w:val="44"/>
                <w:u w:val="none"/>
              </w:rPr>
            </w:pPr>
          </w:p>
          <w:p w14:paraId="75CA80C5">
            <w:pPr>
              <w:spacing w:line="360" w:lineRule="auto"/>
              <w:rPr>
                <w:rFonts w:hint="default" w:ascii="Times New Roman" w:hAnsi="Times New Roman" w:cs="Times New Roman"/>
                <w:color w:val="auto"/>
                <w:kern w:val="44"/>
                <w:u w:val="none"/>
              </w:rPr>
            </w:pPr>
          </w:p>
          <w:p w14:paraId="220B4AB9">
            <w:pPr>
              <w:spacing w:line="360" w:lineRule="auto"/>
              <w:rPr>
                <w:rFonts w:hint="default" w:ascii="Times New Roman" w:hAnsi="Times New Roman" w:cs="Times New Roman"/>
                <w:color w:val="auto"/>
                <w:kern w:val="44"/>
                <w:u w:val="none"/>
              </w:rPr>
            </w:pPr>
          </w:p>
          <w:p w14:paraId="2A5D22CD">
            <w:pPr>
              <w:spacing w:line="360" w:lineRule="auto"/>
              <w:rPr>
                <w:rFonts w:hint="default" w:ascii="Times New Roman" w:hAnsi="Times New Roman" w:cs="Times New Roman"/>
                <w:color w:val="auto"/>
                <w:kern w:val="44"/>
                <w:u w:val="none"/>
              </w:rPr>
            </w:pPr>
          </w:p>
          <w:p w14:paraId="4E93ACF6">
            <w:pPr>
              <w:spacing w:line="360" w:lineRule="auto"/>
              <w:rPr>
                <w:rFonts w:hint="default" w:ascii="Times New Roman" w:hAnsi="Times New Roman" w:cs="Times New Roman"/>
                <w:color w:val="auto"/>
                <w:kern w:val="44"/>
                <w:u w:val="none"/>
              </w:rPr>
            </w:pPr>
          </w:p>
          <w:p w14:paraId="75E8CD6C">
            <w:pPr>
              <w:spacing w:line="360" w:lineRule="auto"/>
              <w:rPr>
                <w:rFonts w:hint="default" w:ascii="Times New Roman" w:hAnsi="Times New Roman" w:cs="Times New Roman"/>
                <w:color w:val="auto"/>
                <w:kern w:val="44"/>
                <w:u w:val="none"/>
              </w:rPr>
            </w:pPr>
          </w:p>
          <w:p w14:paraId="1A8C3405">
            <w:pPr>
              <w:spacing w:line="360" w:lineRule="auto"/>
              <w:rPr>
                <w:rFonts w:hint="default" w:ascii="Times New Roman" w:hAnsi="Times New Roman" w:cs="Times New Roman"/>
                <w:color w:val="auto"/>
                <w:kern w:val="44"/>
                <w:u w:val="none"/>
              </w:rPr>
            </w:pPr>
          </w:p>
          <w:p w14:paraId="0EAEDD05">
            <w:pPr>
              <w:adjustRightInd w:val="0"/>
              <w:snapToGrid w:val="0"/>
              <w:spacing w:line="360" w:lineRule="auto"/>
              <w:rPr>
                <w:rFonts w:hint="default" w:ascii="Times New Roman" w:hAnsi="Times New Roman" w:cs="Times New Roman"/>
                <w:color w:val="auto"/>
              </w:rPr>
            </w:pPr>
          </w:p>
        </w:tc>
      </w:tr>
    </w:tbl>
    <w:p w14:paraId="488C3A42">
      <w:pPr>
        <w:rPr>
          <w:color w:val="auto"/>
        </w:rPr>
      </w:pPr>
    </w:p>
    <w:p w14:paraId="4F9151E1">
      <w:pPr>
        <w:rPr>
          <w:rFonts w:hint="default" w:ascii="Times New Roman" w:hAnsi="Times New Roman" w:cs="Times New Roman"/>
          <w:color w:val="auto"/>
        </w:rPr>
        <w:sectPr>
          <w:pgSz w:w="11905" w:h="16838"/>
          <w:pgMar w:top="1440" w:right="1803" w:bottom="1440" w:left="1803" w:header="851" w:footer="851" w:gutter="0"/>
          <w:pgBorders>
            <w:top w:val="none" w:sz="0" w:space="0"/>
            <w:left w:val="none" w:sz="0" w:space="0"/>
            <w:bottom w:val="none" w:sz="0" w:space="0"/>
            <w:right w:val="none" w:sz="0" w:space="0"/>
          </w:pgBorders>
          <w:pgNumType w:fmt="decimal"/>
          <w:cols w:space="0" w:num="1"/>
          <w:rtlGutter w:val="0"/>
          <w:docGrid w:linePitch="312" w:charSpace="0"/>
        </w:sectPr>
      </w:pPr>
    </w:p>
    <w:p w14:paraId="0059A7B3">
      <w:pPr>
        <w:pStyle w:val="2"/>
        <w:bidi w:val="0"/>
        <w:jc w:val="center"/>
        <w:rPr>
          <w:rFonts w:hint="default" w:asciiTheme="majorEastAsia" w:hAnsiTheme="majorEastAsia" w:eastAsiaTheme="majorEastAsia" w:cstheme="majorEastAsia"/>
          <w:b/>
          <w:bCs/>
          <w:color w:val="auto"/>
        </w:rPr>
      </w:pPr>
      <w:bookmarkStart w:id="42" w:name="_Toc9123"/>
      <w:bookmarkStart w:id="43" w:name="_Toc6031"/>
      <w:bookmarkStart w:id="44" w:name="_Toc6049"/>
      <w:bookmarkStart w:id="45" w:name="_Hlk54167917"/>
      <w:r>
        <w:rPr>
          <w:rFonts w:hint="eastAsia" w:asciiTheme="majorEastAsia" w:hAnsiTheme="majorEastAsia" w:eastAsiaTheme="majorEastAsia" w:cstheme="majorEastAsia"/>
          <w:b/>
          <w:bCs/>
          <w:color w:val="auto"/>
          <w:lang w:val="en-US" w:eastAsia="zh-CN"/>
        </w:rPr>
        <w:t>五、</w:t>
      </w:r>
      <w:r>
        <w:rPr>
          <w:rFonts w:hint="default" w:asciiTheme="majorEastAsia" w:hAnsiTheme="majorEastAsia" w:eastAsiaTheme="majorEastAsia" w:cstheme="majorEastAsia"/>
          <w:b/>
          <w:bCs/>
          <w:color w:val="auto"/>
        </w:rPr>
        <w:t>环境保护措施监督检查清单</w:t>
      </w:r>
      <w:bookmarkEnd w:id="42"/>
      <w:bookmarkEnd w:id="43"/>
      <w:bookmarkEnd w:id="44"/>
      <w:bookmarkEnd w:id="45"/>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80"/>
        <w:gridCol w:w="1330"/>
        <w:gridCol w:w="1217"/>
        <w:gridCol w:w="1475"/>
        <w:gridCol w:w="2818"/>
      </w:tblGrid>
      <w:tr w14:paraId="19E7A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pct"/>
            <w:tcBorders>
              <w:tl2br w:val="single" w:color="auto" w:sz="12" w:space="0"/>
            </w:tcBorders>
          </w:tcPr>
          <w:p w14:paraId="33520FBD">
            <w:pPr>
              <w:spacing w:line="240" w:lineRule="atLeast"/>
              <w:jc w:val="right"/>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内容</w:t>
            </w:r>
          </w:p>
          <w:p w14:paraId="54D158C5">
            <w:pPr>
              <w:spacing w:line="240" w:lineRule="atLeast"/>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要素</w:t>
            </w:r>
          </w:p>
        </w:tc>
        <w:tc>
          <w:tcPr>
            <w:tcW w:w="1063" w:type="pct"/>
            <w:gridSpan w:val="2"/>
            <w:vAlign w:val="center"/>
          </w:tcPr>
          <w:p w14:paraId="4E20444C">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排放口</w:t>
            </w:r>
            <w:r>
              <w:rPr>
                <w:rFonts w:hint="eastAsia" w:cs="Times New Roman"/>
                <w:b/>
                <w:bCs/>
                <w:color w:val="auto"/>
                <w:sz w:val="24"/>
                <w:szCs w:val="24"/>
                <w:u w:val="none"/>
                <w:lang w:eastAsia="zh-CN"/>
              </w:rPr>
              <w:t>（</w:t>
            </w:r>
            <w:r>
              <w:rPr>
                <w:rFonts w:hint="default" w:ascii="Times New Roman" w:hAnsi="Times New Roman" w:cs="Times New Roman"/>
                <w:b/>
                <w:bCs/>
                <w:color w:val="auto"/>
                <w:sz w:val="24"/>
                <w:szCs w:val="24"/>
                <w:u w:val="none"/>
              </w:rPr>
              <w:t>编号、名称</w:t>
            </w:r>
            <w:r>
              <w:rPr>
                <w:rFonts w:hint="eastAsia" w:cs="Times New Roman"/>
                <w:b/>
                <w:bCs/>
                <w:color w:val="auto"/>
                <w:sz w:val="24"/>
                <w:szCs w:val="24"/>
                <w:u w:val="none"/>
                <w:lang w:eastAsia="zh-CN"/>
              </w:rPr>
              <w:t>）</w:t>
            </w:r>
            <w:r>
              <w:rPr>
                <w:rFonts w:hint="default" w:ascii="Times New Roman" w:hAnsi="Times New Roman" w:cs="Times New Roman"/>
                <w:b/>
                <w:bCs/>
                <w:color w:val="auto"/>
                <w:sz w:val="24"/>
                <w:szCs w:val="24"/>
                <w:u w:val="none"/>
              </w:rPr>
              <w:t>/污染源</w:t>
            </w:r>
          </w:p>
        </w:tc>
        <w:tc>
          <w:tcPr>
            <w:tcW w:w="714" w:type="pct"/>
            <w:vAlign w:val="center"/>
          </w:tcPr>
          <w:p w14:paraId="38324E61">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污染物项目</w:t>
            </w:r>
          </w:p>
        </w:tc>
        <w:tc>
          <w:tcPr>
            <w:tcW w:w="866" w:type="pct"/>
            <w:vAlign w:val="center"/>
          </w:tcPr>
          <w:p w14:paraId="665EF2C4">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环境保护措施</w:t>
            </w:r>
          </w:p>
        </w:tc>
        <w:tc>
          <w:tcPr>
            <w:tcW w:w="1655" w:type="pct"/>
            <w:vAlign w:val="center"/>
          </w:tcPr>
          <w:p w14:paraId="57C27C97">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执行标准</w:t>
            </w:r>
          </w:p>
        </w:tc>
      </w:tr>
      <w:tr w14:paraId="69C8D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00" w:type="pct"/>
            <w:vMerge w:val="restart"/>
            <w:vAlign w:val="center"/>
          </w:tcPr>
          <w:p w14:paraId="61EFC2ED">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大气环境</w:t>
            </w:r>
          </w:p>
        </w:tc>
        <w:tc>
          <w:tcPr>
            <w:tcW w:w="281" w:type="pct"/>
            <w:vMerge w:val="restart"/>
            <w:vAlign w:val="center"/>
          </w:tcPr>
          <w:p w14:paraId="5DE2536F">
            <w:pPr>
              <w:tabs>
                <w:tab w:val="left" w:pos="8820"/>
                <w:tab w:val="left" w:pos="9000"/>
              </w:tabs>
              <w:spacing w:line="240" w:lineRule="atLeast"/>
              <w:jc w:val="center"/>
              <w:rPr>
                <w:rFonts w:hint="default" w:ascii="Times New Roman" w:hAnsi="Times New Roman" w:eastAsia="宋体" w:cs="Times New Roman"/>
                <w:color w:val="auto"/>
                <w:sz w:val="24"/>
                <w:szCs w:val="24"/>
                <w:u w:val="none"/>
                <w:lang w:eastAsia="zh-CN"/>
              </w:rPr>
            </w:pPr>
            <w:r>
              <w:rPr>
                <w:rFonts w:hint="default" w:ascii="Times New Roman" w:hAnsi="Times New Roman" w:cs="Times New Roman"/>
                <w:color w:val="auto"/>
                <w:sz w:val="24"/>
                <w:szCs w:val="24"/>
                <w:u w:val="none"/>
                <w:lang w:eastAsia="zh-CN"/>
              </w:rPr>
              <w:t>有组织</w:t>
            </w:r>
          </w:p>
        </w:tc>
        <w:tc>
          <w:tcPr>
            <w:tcW w:w="781" w:type="pct"/>
            <w:vAlign w:val="center"/>
          </w:tcPr>
          <w:p w14:paraId="51443649">
            <w:pPr>
              <w:keepNext w:val="0"/>
              <w:keepLines w:val="0"/>
              <w:pageBreakBefore w:val="0"/>
              <w:widowControl w:val="0"/>
              <w:kinsoku/>
              <w:wordWrap/>
              <w:overflowPunct/>
              <w:topLinePunct w:val="0"/>
              <w:autoSpaceDE w:val="0"/>
              <w:autoSpaceDN w:val="0"/>
              <w:bidi w:val="0"/>
              <w:snapToGrid/>
              <w:ind w:left="0" w:leftChars="0" w:right="0" w:rightChars="0" w:firstLine="0" w:firstLineChars="0"/>
              <w:jc w:val="center"/>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eastAsia="宋体" w:cs="Times New Roman"/>
                <w:color w:val="auto"/>
                <w:sz w:val="24"/>
                <w:szCs w:val="24"/>
                <w:u w:val="none" w:color="auto"/>
                <w:lang w:val="en-US" w:eastAsia="zh-CN"/>
              </w:rPr>
              <w:t>蒸汽发生器废气（DA0</w:t>
            </w:r>
            <w:r>
              <w:rPr>
                <w:rFonts w:hint="eastAsia" w:ascii="Times New Roman" w:hAnsi="Times New Roman" w:cs="Times New Roman"/>
                <w:color w:val="auto"/>
                <w:sz w:val="24"/>
                <w:szCs w:val="24"/>
                <w:u w:val="none" w:color="auto"/>
                <w:lang w:val="en-US" w:eastAsia="zh-CN"/>
              </w:rPr>
              <w:t>01）</w:t>
            </w:r>
          </w:p>
        </w:tc>
        <w:tc>
          <w:tcPr>
            <w:tcW w:w="714" w:type="pct"/>
            <w:vAlign w:val="center"/>
          </w:tcPr>
          <w:p w14:paraId="4CEB6B90">
            <w:pPr>
              <w:tabs>
                <w:tab w:val="left" w:pos="8820"/>
                <w:tab w:val="left" w:pos="9000"/>
              </w:tabs>
              <w:spacing w:line="240" w:lineRule="atLeast"/>
              <w:jc w:val="center"/>
              <w:rPr>
                <w:rFonts w:hint="default" w:ascii="Times New Roman" w:hAnsi="Times New Roman" w:eastAsia="宋体" w:cs="Times New Roman"/>
                <w:color w:val="auto"/>
                <w:sz w:val="24"/>
                <w:szCs w:val="24"/>
                <w:u w:val="none"/>
                <w:lang w:eastAsia="zh-CN"/>
              </w:rPr>
            </w:pPr>
            <w:r>
              <w:rPr>
                <w:rFonts w:hint="default" w:ascii="Times New Roman" w:hAnsi="Times New Roman" w:cs="Times New Roman"/>
                <w:color w:val="auto"/>
                <w:sz w:val="24"/>
                <w:szCs w:val="24"/>
                <w:u w:val="none"/>
                <w:lang w:eastAsia="zh-CN"/>
              </w:rPr>
              <w:t>二氧化硫、氮氧化物、颗粒物</w:t>
            </w:r>
          </w:p>
        </w:tc>
        <w:tc>
          <w:tcPr>
            <w:tcW w:w="866" w:type="pct"/>
            <w:vAlign w:val="center"/>
          </w:tcPr>
          <w:p w14:paraId="0EF3AD9B">
            <w:pPr>
              <w:tabs>
                <w:tab w:val="left" w:pos="8820"/>
                <w:tab w:val="left" w:pos="9000"/>
              </w:tabs>
              <w:spacing w:line="240" w:lineRule="atLeast"/>
              <w:jc w:val="center"/>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eastAsia="zh-CN"/>
              </w:rPr>
              <w:t>低氮燃烧装置、</w:t>
            </w:r>
            <w:r>
              <w:rPr>
                <w:rFonts w:hint="eastAsia" w:ascii="Times New Roman" w:hAnsi="Times New Roman" w:cs="Times New Roman"/>
                <w:color w:val="auto"/>
                <w:sz w:val="24"/>
                <w:szCs w:val="24"/>
                <w:u w:val="none"/>
                <w:lang w:eastAsia="zh-CN"/>
              </w:rPr>
              <w:t>布袋</w:t>
            </w:r>
            <w:r>
              <w:rPr>
                <w:rFonts w:hint="default" w:ascii="Times New Roman" w:hAnsi="Times New Roman" w:cs="Times New Roman"/>
                <w:color w:val="auto"/>
                <w:sz w:val="24"/>
                <w:szCs w:val="24"/>
                <w:u w:val="none"/>
                <w:lang w:eastAsia="zh-CN"/>
              </w:rPr>
              <w:t>除尘处理后</w:t>
            </w:r>
            <w:r>
              <w:rPr>
                <w:rFonts w:hint="default" w:ascii="Times New Roman" w:hAnsi="Times New Roman" w:cs="Times New Roman"/>
                <w:color w:val="auto"/>
                <w:sz w:val="24"/>
                <w:szCs w:val="24"/>
                <w:u w:val="none"/>
                <w:lang w:val="en-US" w:eastAsia="zh-CN"/>
              </w:rPr>
              <w:t>+</w:t>
            </w:r>
            <w:r>
              <w:rPr>
                <w:rFonts w:hint="eastAsia" w:cs="Times New Roman"/>
                <w:color w:val="auto"/>
                <w:sz w:val="24"/>
                <w:szCs w:val="24"/>
                <w:u w:val="none"/>
                <w:lang w:val="en-US" w:eastAsia="zh-CN"/>
              </w:rPr>
              <w:t>1</w:t>
            </w:r>
            <w:r>
              <w:rPr>
                <w:rFonts w:hint="default" w:ascii="Times New Roman" w:hAnsi="Times New Roman" w:cs="Times New Roman"/>
                <w:color w:val="auto"/>
                <w:sz w:val="24"/>
                <w:szCs w:val="24"/>
                <w:u w:val="none"/>
                <w:lang w:val="en-US" w:eastAsia="zh-CN"/>
              </w:rPr>
              <w:t>5m高排气筒排放</w:t>
            </w:r>
          </w:p>
        </w:tc>
        <w:tc>
          <w:tcPr>
            <w:tcW w:w="1655" w:type="pct"/>
            <w:vAlign w:val="center"/>
          </w:tcPr>
          <w:p w14:paraId="06511DC4">
            <w:pPr>
              <w:tabs>
                <w:tab w:val="left" w:pos="8820"/>
                <w:tab w:val="left" w:pos="9000"/>
              </w:tabs>
              <w:spacing w:line="240" w:lineRule="atLeast"/>
              <w:jc w:val="center"/>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《锅炉大气污染物排放标准》（GB13271-2014）表2新建锅炉大气污染物排放浓度限值中的燃煤锅炉标准</w:t>
            </w:r>
          </w:p>
        </w:tc>
      </w:tr>
      <w:tr w14:paraId="73EBB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0" w:type="pct"/>
            <w:vMerge w:val="continue"/>
            <w:vAlign w:val="center"/>
          </w:tcPr>
          <w:p w14:paraId="5578E55C">
            <w:pPr>
              <w:spacing w:line="240" w:lineRule="atLeast"/>
              <w:jc w:val="center"/>
              <w:rPr>
                <w:rFonts w:hint="default" w:ascii="Times New Roman" w:hAnsi="Times New Roman" w:cs="Times New Roman"/>
                <w:b/>
                <w:bCs/>
                <w:color w:val="auto"/>
                <w:sz w:val="24"/>
                <w:szCs w:val="24"/>
                <w:u w:val="none"/>
              </w:rPr>
            </w:pPr>
          </w:p>
        </w:tc>
        <w:tc>
          <w:tcPr>
            <w:tcW w:w="281" w:type="pct"/>
            <w:vMerge w:val="continue"/>
            <w:vAlign w:val="center"/>
          </w:tcPr>
          <w:p w14:paraId="6F0C2ED9">
            <w:pPr>
              <w:tabs>
                <w:tab w:val="left" w:pos="8820"/>
                <w:tab w:val="left" w:pos="9000"/>
              </w:tabs>
              <w:spacing w:line="240" w:lineRule="atLeast"/>
              <w:jc w:val="center"/>
              <w:rPr>
                <w:rFonts w:hint="default" w:ascii="Times New Roman" w:hAnsi="Times New Roman" w:cs="Times New Roman"/>
                <w:color w:val="auto"/>
                <w:sz w:val="24"/>
                <w:szCs w:val="24"/>
                <w:u w:val="none"/>
                <w:lang w:eastAsia="zh-CN"/>
              </w:rPr>
            </w:pPr>
          </w:p>
        </w:tc>
        <w:tc>
          <w:tcPr>
            <w:tcW w:w="781" w:type="pct"/>
            <w:vAlign w:val="center"/>
          </w:tcPr>
          <w:p w14:paraId="063F400B">
            <w:pPr>
              <w:tabs>
                <w:tab w:val="left" w:pos="8820"/>
                <w:tab w:val="left" w:pos="9000"/>
              </w:tabs>
              <w:spacing w:line="240" w:lineRule="atLeast"/>
              <w:jc w:val="center"/>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热风炉废气（DA002）</w:t>
            </w:r>
          </w:p>
        </w:tc>
        <w:tc>
          <w:tcPr>
            <w:tcW w:w="714" w:type="pct"/>
            <w:vAlign w:val="center"/>
          </w:tcPr>
          <w:p w14:paraId="25636370">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二氧化硫、氮氧化物、颗粒物</w:t>
            </w:r>
          </w:p>
        </w:tc>
        <w:tc>
          <w:tcPr>
            <w:tcW w:w="866" w:type="pct"/>
            <w:vAlign w:val="center"/>
          </w:tcPr>
          <w:p w14:paraId="7133A168">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低氮燃烧、</w:t>
            </w:r>
            <w:r>
              <w:rPr>
                <w:rFonts w:hint="eastAsia" w:cs="Times New Roman"/>
                <w:color w:val="auto"/>
                <w:sz w:val="24"/>
                <w:szCs w:val="24"/>
                <w:u w:val="single"/>
                <w:lang w:val="en-US" w:eastAsia="zh-CN"/>
              </w:rPr>
              <w:t>“</w:t>
            </w:r>
            <w:r>
              <w:rPr>
                <w:rFonts w:hint="eastAsia" w:ascii="Times New Roman" w:hAnsi="Times New Roman" w:eastAsia="宋体" w:cs="Times New Roman"/>
                <w:color w:val="auto"/>
                <w:sz w:val="24"/>
                <w:szCs w:val="24"/>
                <w:u w:val="single"/>
                <w:lang w:val="en-US" w:eastAsia="zh-CN"/>
              </w:rPr>
              <w:t>布袋除尘+</w:t>
            </w:r>
            <w:r>
              <w:rPr>
                <w:rFonts w:hint="eastAsia" w:cs="Times New Roman"/>
                <w:color w:val="auto"/>
                <w:sz w:val="24"/>
                <w:szCs w:val="24"/>
                <w:u w:val="single"/>
                <w:lang w:val="en-US" w:eastAsia="zh-CN"/>
              </w:rPr>
              <w:t>活性炭”</w:t>
            </w:r>
            <w:r>
              <w:rPr>
                <w:rFonts w:hint="default" w:ascii="Times New Roman" w:hAnsi="Times New Roman" w:eastAsia="宋体" w:cs="Times New Roman"/>
                <w:color w:val="auto"/>
                <w:sz w:val="24"/>
                <w:szCs w:val="24"/>
                <w:u w:val="single"/>
                <w:lang w:val="en-US" w:eastAsia="zh-CN"/>
              </w:rPr>
              <w:t>+15m排气筒高空排放</w:t>
            </w:r>
          </w:p>
        </w:tc>
        <w:tc>
          <w:tcPr>
            <w:tcW w:w="1655" w:type="pct"/>
            <w:vAlign w:val="center"/>
          </w:tcPr>
          <w:p w14:paraId="306824BB">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FF0000"/>
                <w:sz w:val="24"/>
                <w:szCs w:val="24"/>
                <w:u w:val="single"/>
                <w:lang w:val="en-US" w:eastAsia="zh-CN"/>
              </w:rPr>
              <w:t>参照执行</w:t>
            </w:r>
            <w:r>
              <w:rPr>
                <w:rFonts w:hint="default" w:ascii="Times New Roman" w:hAnsi="Times New Roman" w:eastAsia="宋体" w:cs="Times New Roman"/>
                <w:color w:val="FF0000"/>
                <w:sz w:val="24"/>
                <w:szCs w:val="24"/>
                <w:u w:val="single"/>
                <w:lang w:val="en-US" w:eastAsia="zh-CN"/>
              </w:rPr>
              <w:t>《湖南省工业炉窑大气污染综合治理实施方案》中现阶段长沙市、株洲市、湘潭市以及常德市、岳阳市、益阳市等传输通道城市</w:t>
            </w:r>
            <w:r>
              <w:rPr>
                <w:rFonts w:hint="eastAsia" w:ascii="Times New Roman" w:hAnsi="Times New Roman" w:eastAsia="宋体" w:cs="Times New Roman"/>
                <w:color w:val="FF0000"/>
                <w:sz w:val="24"/>
                <w:szCs w:val="24"/>
                <w:u w:val="single"/>
                <w:lang w:val="en-US" w:eastAsia="zh-CN"/>
              </w:rPr>
              <w:t>“</w:t>
            </w:r>
            <w:r>
              <w:rPr>
                <w:rFonts w:hint="default" w:ascii="Times New Roman" w:hAnsi="Times New Roman" w:eastAsia="宋体" w:cs="Times New Roman"/>
                <w:color w:val="FF0000"/>
                <w:sz w:val="24"/>
                <w:szCs w:val="24"/>
                <w:u w:val="single"/>
                <w:lang w:val="en-US" w:eastAsia="zh-CN"/>
              </w:rPr>
              <w:t>暂未制订行业排放标准的工业炉窑</w:t>
            </w:r>
            <w:r>
              <w:rPr>
                <w:rFonts w:hint="eastAsia" w:ascii="Times New Roman" w:hAnsi="Times New Roman" w:eastAsia="宋体" w:cs="Times New Roman"/>
                <w:color w:val="FF0000"/>
                <w:sz w:val="24"/>
                <w:szCs w:val="24"/>
                <w:u w:val="single"/>
                <w:lang w:val="en-US" w:eastAsia="zh-CN"/>
              </w:rPr>
              <w:t>”的排放</w:t>
            </w:r>
            <w:r>
              <w:rPr>
                <w:rFonts w:hint="default" w:ascii="Times New Roman" w:hAnsi="Times New Roman" w:eastAsia="宋体" w:cs="Times New Roman"/>
                <w:color w:val="FF0000"/>
                <w:sz w:val="24"/>
                <w:szCs w:val="24"/>
                <w:u w:val="single"/>
                <w:lang w:val="en-US" w:eastAsia="zh-CN"/>
              </w:rPr>
              <w:t>限值</w:t>
            </w:r>
            <w:r>
              <w:rPr>
                <w:rFonts w:hint="eastAsia" w:ascii="Times New Roman" w:hAnsi="Times New Roman" w:eastAsia="宋体" w:cs="Times New Roman"/>
                <w:color w:val="FF0000"/>
                <w:sz w:val="24"/>
                <w:szCs w:val="24"/>
                <w:u w:val="single"/>
                <w:lang w:val="en-US" w:eastAsia="zh-CN"/>
              </w:rPr>
              <w:t>（颗粒物、二氧化硫、氮氧化物排放限值分别不高于30、200、300毫克/立方米）</w:t>
            </w:r>
          </w:p>
        </w:tc>
      </w:tr>
      <w:tr w14:paraId="0A8A5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0" w:type="pct"/>
            <w:vMerge w:val="continue"/>
            <w:vAlign w:val="center"/>
          </w:tcPr>
          <w:p w14:paraId="627F24AC">
            <w:pPr>
              <w:spacing w:line="240" w:lineRule="atLeast"/>
              <w:jc w:val="center"/>
              <w:rPr>
                <w:rFonts w:hint="default" w:ascii="Times New Roman" w:hAnsi="Times New Roman" w:cs="Times New Roman"/>
                <w:b/>
                <w:bCs/>
                <w:color w:val="auto"/>
                <w:sz w:val="24"/>
                <w:szCs w:val="24"/>
                <w:u w:val="none"/>
              </w:rPr>
            </w:pPr>
          </w:p>
        </w:tc>
        <w:tc>
          <w:tcPr>
            <w:tcW w:w="1063" w:type="pct"/>
            <w:gridSpan w:val="2"/>
            <w:vMerge w:val="restart"/>
            <w:vAlign w:val="center"/>
          </w:tcPr>
          <w:p w14:paraId="6949EDEF">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厂界无组织</w:t>
            </w:r>
          </w:p>
        </w:tc>
        <w:tc>
          <w:tcPr>
            <w:tcW w:w="714" w:type="pct"/>
            <w:vAlign w:val="center"/>
          </w:tcPr>
          <w:p w14:paraId="07FD30B4">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颗粒物</w:t>
            </w:r>
          </w:p>
        </w:tc>
        <w:tc>
          <w:tcPr>
            <w:tcW w:w="866" w:type="pct"/>
            <w:vAlign w:val="center"/>
          </w:tcPr>
          <w:p w14:paraId="732A01C9">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w:t>
            </w:r>
          </w:p>
        </w:tc>
        <w:tc>
          <w:tcPr>
            <w:tcW w:w="1655" w:type="pct"/>
            <w:vAlign w:val="center"/>
          </w:tcPr>
          <w:p w14:paraId="2ED1CCCF">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《大气污染物综合排放标准》（GB16297-1996）</w:t>
            </w:r>
          </w:p>
        </w:tc>
      </w:tr>
      <w:tr w14:paraId="31DEE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pct"/>
            <w:vMerge w:val="continue"/>
            <w:vAlign w:val="center"/>
          </w:tcPr>
          <w:p w14:paraId="280A8B44">
            <w:pPr>
              <w:spacing w:line="240" w:lineRule="atLeast"/>
              <w:jc w:val="center"/>
              <w:rPr>
                <w:rFonts w:hint="default" w:ascii="Times New Roman" w:hAnsi="Times New Roman" w:cs="Times New Roman"/>
                <w:b/>
                <w:bCs/>
                <w:color w:val="auto"/>
                <w:sz w:val="24"/>
                <w:szCs w:val="24"/>
                <w:u w:val="none"/>
              </w:rPr>
            </w:pPr>
          </w:p>
        </w:tc>
        <w:tc>
          <w:tcPr>
            <w:tcW w:w="1063" w:type="pct"/>
            <w:gridSpan w:val="2"/>
            <w:vMerge w:val="continue"/>
            <w:vAlign w:val="center"/>
          </w:tcPr>
          <w:p w14:paraId="01305723">
            <w:pPr>
              <w:tabs>
                <w:tab w:val="left" w:pos="8820"/>
                <w:tab w:val="left" w:pos="9000"/>
              </w:tabs>
              <w:spacing w:line="240" w:lineRule="atLeast"/>
              <w:jc w:val="center"/>
              <w:rPr>
                <w:rFonts w:hint="eastAsia" w:ascii="Times New Roman" w:hAnsi="Times New Roman" w:eastAsia="宋体" w:cs="Times New Roman"/>
                <w:color w:val="auto"/>
                <w:sz w:val="24"/>
                <w:szCs w:val="24"/>
                <w:u w:val="single"/>
                <w:lang w:val="en-US" w:eastAsia="zh-CN"/>
              </w:rPr>
            </w:pPr>
          </w:p>
        </w:tc>
        <w:tc>
          <w:tcPr>
            <w:tcW w:w="714" w:type="pct"/>
            <w:vAlign w:val="center"/>
          </w:tcPr>
          <w:p w14:paraId="3761867A">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臭气浓度</w:t>
            </w:r>
          </w:p>
        </w:tc>
        <w:tc>
          <w:tcPr>
            <w:tcW w:w="866" w:type="pct"/>
            <w:vAlign w:val="center"/>
          </w:tcPr>
          <w:p w14:paraId="0935BA6E">
            <w:pPr>
              <w:tabs>
                <w:tab w:val="left" w:pos="8820"/>
                <w:tab w:val="left" w:pos="9000"/>
              </w:tabs>
              <w:spacing w:line="240" w:lineRule="atLeast"/>
              <w:jc w:val="center"/>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w:t>
            </w:r>
          </w:p>
        </w:tc>
        <w:tc>
          <w:tcPr>
            <w:tcW w:w="1655" w:type="pct"/>
            <w:vAlign w:val="center"/>
          </w:tcPr>
          <w:p w14:paraId="7ACC1AFB">
            <w:pPr>
              <w:tabs>
                <w:tab w:val="left" w:pos="8820"/>
                <w:tab w:val="left" w:pos="9000"/>
              </w:tabs>
              <w:spacing w:line="240" w:lineRule="atLeast"/>
              <w:jc w:val="center"/>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《恶臭污染物排放标准》</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GB14554-93</w:t>
            </w:r>
            <w:r>
              <w:rPr>
                <w:rFonts w:hint="eastAsia" w:ascii="Times New Roman" w:hAnsi="Times New Roman" w:eastAsia="宋体" w:cs="Times New Roman"/>
                <w:color w:val="auto"/>
                <w:sz w:val="24"/>
                <w:szCs w:val="24"/>
                <w:u w:val="single"/>
                <w:lang w:val="en-US" w:eastAsia="zh-CN"/>
              </w:rPr>
              <w:t>）</w:t>
            </w:r>
          </w:p>
        </w:tc>
      </w:tr>
      <w:tr w14:paraId="12488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pct"/>
            <w:vAlign w:val="center"/>
          </w:tcPr>
          <w:p w14:paraId="4BE4BAF8">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地表水环境</w:t>
            </w:r>
          </w:p>
        </w:tc>
        <w:tc>
          <w:tcPr>
            <w:tcW w:w="1063" w:type="pct"/>
            <w:gridSpan w:val="2"/>
            <w:vAlign w:val="center"/>
          </w:tcPr>
          <w:p w14:paraId="6E4415C8">
            <w:pPr>
              <w:tabs>
                <w:tab w:val="left" w:pos="8820"/>
                <w:tab w:val="left" w:pos="9000"/>
              </w:tabs>
              <w:spacing w:line="240" w:lineRule="atLeast"/>
              <w:jc w:val="center"/>
              <w:rPr>
                <w:rFonts w:hint="default" w:ascii="Times New Roman" w:hAnsi="Times New Roman" w:eastAsia="宋体" w:cs="Times New Roman"/>
                <w:color w:val="auto"/>
                <w:sz w:val="24"/>
                <w:szCs w:val="24"/>
                <w:u w:val="none"/>
                <w:lang w:val="en-US" w:eastAsia="zh-CN"/>
              </w:rPr>
            </w:pPr>
            <w:r>
              <w:rPr>
                <w:rFonts w:hint="eastAsia" w:cs="Times New Roman"/>
                <w:color w:val="auto"/>
                <w:sz w:val="24"/>
                <w:szCs w:val="24"/>
                <w:u w:val="none"/>
                <w:lang w:val="en-US" w:eastAsia="zh-CN"/>
              </w:rPr>
              <w:t>生活</w:t>
            </w:r>
            <w:r>
              <w:rPr>
                <w:rFonts w:hint="default" w:ascii="Times New Roman" w:hAnsi="Times New Roman" w:cs="Times New Roman"/>
                <w:color w:val="auto"/>
                <w:sz w:val="24"/>
                <w:szCs w:val="24"/>
                <w:u w:val="none"/>
              </w:rPr>
              <w:t>污水</w:t>
            </w:r>
            <w:r>
              <w:rPr>
                <w:rFonts w:hint="eastAsia" w:cs="Times New Roman"/>
                <w:color w:val="auto"/>
                <w:sz w:val="24"/>
                <w:szCs w:val="24"/>
                <w:u w:val="none"/>
                <w:lang w:eastAsia="zh-CN"/>
              </w:rPr>
              <w:t>、</w:t>
            </w:r>
            <w:r>
              <w:rPr>
                <w:rFonts w:hint="eastAsia" w:cs="Times New Roman"/>
                <w:color w:val="auto"/>
                <w:sz w:val="24"/>
                <w:szCs w:val="24"/>
                <w:u w:val="none"/>
                <w:lang w:val="en-US" w:eastAsia="zh-CN"/>
              </w:rPr>
              <w:t>生产废水</w:t>
            </w:r>
          </w:p>
        </w:tc>
        <w:tc>
          <w:tcPr>
            <w:tcW w:w="714" w:type="pct"/>
            <w:vAlign w:val="center"/>
          </w:tcPr>
          <w:p w14:paraId="03E1D770">
            <w:pPr>
              <w:tabs>
                <w:tab w:val="left" w:pos="8820"/>
                <w:tab w:val="left" w:pos="9000"/>
              </w:tabs>
              <w:spacing w:line="240" w:lineRule="atLeast"/>
              <w:jc w:val="center"/>
              <w:rPr>
                <w:rFonts w:hint="eastAsia" w:ascii="Times New Roman" w:hAnsi="Times New Roman" w:eastAsia="宋体"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PH、</w:t>
            </w:r>
            <w:r>
              <w:rPr>
                <w:rFonts w:hint="default" w:ascii="Times New Roman" w:hAnsi="Times New Roman" w:cs="Times New Roman"/>
                <w:color w:val="auto"/>
                <w:sz w:val="24"/>
                <w:szCs w:val="24"/>
                <w:u w:val="none"/>
              </w:rPr>
              <w:t>COD、BOD</w:t>
            </w:r>
            <w:r>
              <w:rPr>
                <w:rFonts w:hint="default" w:ascii="Times New Roman" w:hAnsi="Times New Roman" w:cs="Times New Roman"/>
                <w:color w:val="auto"/>
                <w:sz w:val="24"/>
                <w:szCs w:val="24"/>
                <w:u w:val="none"/>
                <w:vertAlign w:val="subscript"/>
              </w:rPr>
              <w:t>5</w:t>
            </w:r>
            <w:r>
              <w:rPr>
                <w:rFonts w:hint="default" w:ascii="Times New Roman" w:hAnsi="Times New Roman" w:cs="Times New Roman"/>
                <w:color w:val="auto"/>
                <w:sz w:val="24"/>
                <w:szCs w:val="24"/>
                <w:u w:val="none"/>
              </w:rPr>
              <w:t>、SS、氨氮</w:t>
            </w:r>
            <w:r>
              <w:rPr>
                <w:rFonts w:hint="eastAsia" w:cs="Times New Roman"/>
                <w:color w:val="auto"/>
                <w:sz w:val="24"/>
                <w:szCs w:val="24"/>
                <w:u w:val="none"/>
                <w:lang w:eastAsia="zh-CN"/>
              </w:rPr>
              <w:t>、</w:t>
            </w:r>
            <w:r>
              <w:rPr>
                <w:rFonts w:hint="default" w:ascii="Times New Roman" w:hAnsi="Times New Roman" w:eastAsia="宋体" w:cs="Times New Roman"/>
                <w:bCs/>
                <w:color w:val="FF0000"/>
                <w:kern w:val="2"/>
                <w:sz w:val="24"/>
                <w:szCs w:val="24"/>
                <w:u w:val="none"/>
                <w:lang w:val="en-US" w:eastAsia="zh-CN"/>
              </w:rPr>
              <w:t>TP</w:t>
            </w:r>
            <w:r>
              <w:rPr>
                <w:rFonts w:hint="eastAsia" w:ascii="Times New Roman" w:hAnsi="Times New Roman" w:eastAsia="宋体" w:cs="Times New Roman"/>
                <w:bCs/>
                <w:color w:val="FF0000"/>
                <w:kern w:val="2"/>
                <w:sz w:val="24"/>
                <w:szCs w:val="24"/>
                <w:u w:val="none"/>
                <w:lang w:val="en-US" w:eastAsia="zh-CN"/>
              </w:rPr>
              <w:t>、</w:t>
            </w:r>
            <w:r>
              <w:rPr>
                <w:rFonts w:hint="default" w:ascii="Times New Roman" w:hAnsi="Times New Roman" w:cs="Times New Roman"/>
                <w:bCs/>
                <w:color w:val="auto"/>
                <w:kern w:val="2"/>
                <w:sz w:val="24"/>
                <w:szCs w:val="24"/>
                <w:u w:val="none"/>
                <w:lang w:val="en-US" w:eastAsia="zh-CN"/>
              </w:rPr>
              <w:t>TN</w:t>
            </w:r>
          </w:p>
        </w:tc>
        <w:tc>
          <w:tcPr>
            <w:tcW w:w="866" w:type="pct"/>
            <w:vAlign w:val="center"/>
          </w:tcPr>
          <w:p w14:paraId="6BE6C07E">
            <w:pPr>
              <w:tabs>
                <w:tab w:val="left" w:pos="8820"/>
                <w:tab w:val="left" w:pos="9000"/>
              </w:tabs>
              <w:spacing w:line="240" w:lineRule="atLeast"/>
              <w:jc w:val="center"/>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进入市政污水管网排入</w:t>
            </w:r>
            <w:r>
              <w:rPr>
                <w:rFonts w:hint="default" w:ascii="Times New Roman" w:hAnsi="Times New Roman" w:cs="Times New Roman"/>
                <w:color w:val="auto"/>
                <w:sz w:val="24"/>
                <w:szCs w:val="24"/>
                <w:u w:val="none"/>
                <w:lang w:eastAsia="zh-CN"/>
              </w:rPr>
              <w:t>龙潭镇</w:t>
            </w:r>
            <w:r>
              <w:rPr>
                <w:rFonts w:hint="default" w:ascii="Times New Roman" w:hAnsi="Times New Roman" w:cs="Times New Roman"/>
                <w:color w:val="auto"/>
                <w:sz w:val="24"/>
                <w:szCs w:val="24"/>
                <w:u w:val="none"/>
              </w:rPr>
              <w:t>污水处理厂</w:t>
            </w:r>
          </w:p>
        </w:tc>
        <w:tc>
          <w:tcPr>
            <w:tcW w:w="1655" w:type="pct"/>
            <w:vAlign w:val="center"/>
          </w:tcPr>
          <w:p w14:paraId="53A623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u w:val="none"/>
              </w:rPr>
            </w:pPr>
            <w:r>
              <w:rPr>
                <w:rFonts w:hint="eastAsia" w:cs="Times New Roman"/>
                <w:b w:val="0"/>
                <w:color w:val="auto"/>
                <w:sz w:val="24"/>
                <w:szCs w:val="24"/>
                <w:u w:val="none"/>
                <w:lang w:eastAsia="zh-CN"/>
              </w:rPr>
              <w:t>《污水综合排放标准》（GB8978-1996）</w:t>
            </w:r>
            <w:r>
              <w:rPr>
                <w:rFonts w:hint="eastAsia" w:ascii="Times New Roman" w:hAnsi="Times New Roman" w:eastAsia="宋体" w:cs="Times New Roman"/>
                <w:b w:val="0"/>
                <w:color w:val="auto"/>
                <w:sz w:val="24"/>
                <w:szCs w:val="24"/>
                <w:u w:val="none"/>
                <w:lang w:val="en-US" w:eastAsia="zh-CN"/>
              </w:rPr>
              <w:t>表4中三级排放标准</w:t>
            </w:r>
            <w:r>
              <w:rPr>
                <w:rFonts w:hint="eastAsia" w:ascii="Times New Roman" w:hAnsi="Times New Roman" w:eastAsia="宋体" w:cs="Times New Roman"/>
                <w:color w:val="FF0000"/>
                <w:sz w:val="24"/>
                <w:szCs w:val="24"/>
                <w:lang w:val="en-US" w:eastAsia="zh-CN"/>
              </w:rPr>
              <w:t>及龙潭镇污水处理厂进水水质标准中较严格的限值</w:t>
            </w:r>
          </w:p>
        </w:tc>
      </w:tr>
      <w:tr w14:paraId="6B334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pct"/>
            <w:vAlign w:val="center"/>
          </w:tcPr>
          <w:p w14:paraId="4A3C0D4F">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声环境</w:t>
            </w:r>
          </w:p>
        </w:tc>
        <w:tc>
          <w:tcPr>
            <w:tcW w:w="1063" w:type="pct"/>
            <w:gridSpan w:val="2"/>
            <w:vAlign w:val="center"/>
          </w:tcPr>
          <w:p w14:paraId="062E5AC2">
            <w:pPr>
              <w:spacing w:line="240" w:lineRule="atLeast"/>
              <w:jc w:val="center"/>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生产设备</w:t>
            </w:r>
          </w:p>
        </w:tc>
        <w:tc>
          <w:tcPr>
            <w:tcW w:w="714" w:type="pct"/>
            <w:vAlign w:val="center"/>
          </w:tcPr>
          <w:p w14:paraId="54FAF488">
            <w:pPr>
              <w:spacing w:line="240" w:lineRule="atLeast"/>
              <w:jc w:val="center"/>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噪声</w:t>
            </w:r>
          </w:p>
        </w:tc>
        <w:tc>
          <w:tcPr>
            <w:tcW w:w="866" w:type="pct"/>
            <w:vAlign w:val="center"/>
          </w:tcPr>
          <w:p w14:paraId="4E15062B">
            <w:pPr>
              <w:spacing w:line="240" w:lineRule="atLeast"/>
              <w:jc w:val="center"/>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消音减振、隔声降噪、距离衰减</w:t>
            </w:r>
          </w:p>
        </w:tc>
        <w:tc>
          <w:tcPr>
            <w:tcW w:w="1655" w:type="pct"/>
            <w:vAlign w:val="center"/>
          </w:tcPr>
          <w:p w14:paraId="623B5909">
            <w:pPr>
              <w:spacing w:line="240" w:lineRule="atLeast"/>
              <w:jc w:val="center"/>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《工业企业厂界环境噪声排放标准》</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GB12348-2008</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中2类</w:t>
            </w:r>
            <w:r>
              <w:rPr>
                <w:rFonts w:hint="eastAsia" w:cs="Times New Roman"/>
                <w:color w:val="auto"/>
                <w:sz w:val="24"/>
                <w:szCs w:val="24"/>
                <w:u w:val="none"/>
                <w:lang w:eastAsia="zh-CN"/>
              </w:rPr>
              <w:t>、</w:t>
            </w:r>
            <w:r>
              <w:rPr>
                <w:rFonts w:hint="eastAsia" w:cs="Times New Roman"/>
                <w:color w:val="auto"/>
                <w:sz w:val="24"/>
                <w:szCs w:val="24"/>
                <w:u w:val="none"/>
                <w:lang w:val="en-US" w:eastAsia="zh-CN"/>
              </w:rPr>
              <w:t>4类</w:t>
            </w:r>
            <w:r>
              <w:rPr>
                <w:rFonts w:hint="default" w:ascii="Times New Roman" w:hAnsi="Times New Roman" w:cs="Times New Roman"/>
                <w:color w:val="auto"/>
                <w:sz w:val="24"/>
                <w:szCs w:val="24"/>
                <w:u w:val="none"/>
              </w:rPr>
              <w:t>标准</w:t>
            </w:r>
          </w:p>
        </w:tc>
      </w:tr>
      <w:tr w14:paraId="45F04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0" w:type="pct"/>
            <w:vAlign w:val="center"/>
          </w:tcPr>
          <w:p w14:paraId="787450CD">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电磁辐射</w:t>
            </w:r>
          </w:p>
        </w:tc>
        <w:tc>
          <w:tcPr>
            <w:tcW w:w="4299" w:type="pct"/>
            <w:gridSpan w:val="5"/>
            <w:vAlign w:val="center"/>
          </w:tcPr>
          <w:p w14:paraId="2B235682">
            <w:pPr>
              <w:spacing w:line="240" w:lineRule="atLeast"/>
              <w:jc w:val="center"/>
              <w:rPr>
                <w:rFonts w:hint="default" w:ascii="Times New Roman" w:hAnsi="Times New Roman" w:eastAsia="宋体" w:cs="Times New Roman"/>
                <w:color w:val="auto"/>
                <w:sz w:val="24"/>
                <w:szCs w:val="24"/>
                <w:u w:val="none"/>
                <w:lang w:val="en-US" w:eastAsia="zh-CN"/>
              </w:rPr>
            </w:pPr>
            <w:r>
              <w:rPr>
                <w:rFonts w:hint="default" w:ascii="Times New Roman" w:hAnsi="Times New Roman" w:cs="Times New Roman"/>
                <w:color w:val="auto"/>
                <w:sz w:val="24"/>
                <w:szCs w:val="24"/>
                <w:u w:val="none"/>
                <w:lang w:eastAsia="zh-CN"/>
              </w:rPr>
              <w:t>不</w:t>
            </w:r>
            <w:r>
              <w:rPr>
                <w:rFonts w:hint="eastAsia" w:cs="Times New Roman"/>
                <w:color w:val="auto"/>
                <w:sz w:val="24"/>
                <w:szCs w:val="24"/>
                <w:u w:val="none"/>
                <w:lang w:val="en-US" w:eastAsia="zh-CN"/>
              </w:rPr>
              <w:t>涉及</w:t>
            </w:r>
          </w:p>
        </w:tc>
      </w:tr>
      <w:tr w14:paraId="3A9FB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0" w:type="pct"/>
            <w:vAlign w:val="center"/>
          </w:tcPr>
          <w:p w14:paraId="2CEA9F46">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固体废物</w:t>
            </w:r>
          </w:p>
        </w:tc>
        <w:tc>
          <w:tcPr>
            <w:tcW w:w="4299" w:type="pct"/>
            <w:gridSpan w:val="5"/>
            <w:vAlign w:val="center"/>
          </w:tcPr>
          <w:p w14:paraId="4EB79B4B">
            <w:pPr>
              <w:spacing w:line="240" w:lineRule="auto"/>
              <w:jc w:val="left"/>
              <w:rPr>
                <w:rFonts w:hint="default" w:ascii="Times New Roman" w:hAnsi="Times New Roman" w:eastAsia="宋体" w:cs="Times New Roman"/>
                <w:color w:val="auto"/>
                <w:sz w:val="24"/>
                <w:szCs w:val="24"/>
                <w:u w:val="none"/>
                <w:lang w:val="en-US" w:eastAsia="zh-CN"/>
              </w:rPr>
            </w:pPr>
            <w:r>
              <w:rPr>
                <w:rFonts w:hint="default" w:ascii="Times New Roman" w:hAnsi="Times New Roman" w:cs="Times New Roman"/>
                <w:color w:val="auto"/>
                <w:sz w:val="24"/>
                <w:szCs w:val="24"/>
                <w:u w:val="none"/>
              </w:rPr>
              <w:t>生</w:t>
            </w:r>
            <w:r>
              <w:rPr>
                <w:rFonts w:hint="default" w:ascii="Times New Roman" w:hAnsi="Times New Roman" w:eastAsia="宋体" w:cs="Times New Roman"/>
                <w:color w:val="auto"/>
                <w:sz w:val="24"/>
                <w:szCs w:val="24"/>
                <w:u w:val="none"/>
              </w:rPr>
              <w:t>活垃圾由环卫部门清运处置；</w:t>
            </w:r>
            <w:r>
              <w:rPr>
                <w:rFonts w:hint="eastAsia" w:ascii="Times New Roman" w:hAnsi="Times New Roman" w:eastAsia="宋体" w:cs="Times New Roman"/>
                <w:color w:val="auto"/>
                <w:sz w:val="24"/>
                <w:szCs w:val="24"/>
                <w:u w:val="none"/>
                <w:lang w:eastAsia="zh-CN"/>
              </w:rPr>
              <w:t>废包装袋</w:t>
            </w:r>
            <w:r>
              <w:rPr>
                <w:rFonts w:hint="eastAsia" w:cs="Times New Roman"/>
                <w:color w:val="auto"/>
                <w:sz w:val="24"/>
                <w:szCs w:val="24"/>
                <w:u w:val="none"/>
                <w:lang w:eastAsia="zh-CN"/>
              </w:rPr>
              <w:t>、</w:t>
            </w:r>
            <w:r>
              <w:rPr>
                <w:rFonts w:hint="eastAsia" w:cs="Times New Roman"/>
                <w:color w:val="auto"/>
                <w:sz w:val="24"/>
                <w:szCs w:val="24"/>
                <w:u w:val="none"/>
                <w:lang w:val="en-US" w:eastAsia="zh-CN"/>
              </w:rPr>
              <w:t>灰渣、</w:t>
            </w:r>
            <w:r>
              <w:rPr>
                <w:rFonts w:hint="eastAsia" w:ascii="Times New Roman" w:hAnsi="Times New Roman" w:eastAsia="宋体" w:cs="Times New Roman"/>
                <w:color w:val="auto"/>
                <w:sz w:val="24"/>
                <w:szCs w:val="24"/>
                <w:u w:val="none"/>
                <w:lang w:val="en-US" w:eastAsia="zh-CN"/>
              </w:rPr>
              <w:t>废弃泥土</w:t>
            </w:r>
            <w:r>
              <w:rPr>
                <w:rFonts w:hint="eastAsia" w:ascii="Times New Roman" w:hAnsi="Times New Roman" w:eastAsia="宋体" w:cs="Times New Roman"/>
                <w:color w:val="auto"/>
                <w:sz w:val="24"/>
                <w:szCs w:val="24"/>
                <w:u w:val="none"/>
                <w:lang w:eastAsia="zh-CN"/>
              </w:rPr>
              <w:t>外售给物资回收公司</w:t>
            </w:r>
            <w:r>
              <w:rPr>
                <w:rFonts w:hint="eastAsia" w:cs="Times New Roman"/>
                <w:color w:val="auto"/>
                <w:sz w:val="24"/>
                <w:szCs w:val="24"/>
                <w:u w:val="none"/>
                <w:lang w:eastAsia="zh-CN"/>
              </w:rPr>
              <w:t>；</w:t>
            </w:r>
            <w:r>
              <w:rPr>
                <w:rFonts w:hint="eastAsia" w:cs="Times New Roman"/>
                <w:color w:val="FF0000"/>
                <w:sz w:val="24"/>
                <w:szCs w:val="24"/>
                <w:u w:val="none"/>
                <w:lang w:val="en-US" w:eastAsia="zh-CN"/>
              </w:rPr>
              <w:t>危险废物分类暂存，委托有资质单位定期外运处置</w:t>
            </w:r>
          </w:p>
        </w:tc>
      </w:tr>
      <w:tr w14:paraId="1E094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0" w:type="pct"/>
            <w:vAlign w:val="center"/>
          </w:tcPr>
          <w:p w14:paraId="0BB32BBB">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土壤及地下水污染防治措施</w:t>
            </w:r>
          </w:p>
        </w:tc>
        <w:tc>
          <w:tcPr>
            <w:tcW w:w="4299" w:type="pct"/>
            <w:gridSpan w:val="5"/>
            <w:vAlign w:val="center"/>
          </w:tcPr>
          <w:p w14:paraId="18A3845F">
            <w:pPr>
              <w:spacing w:line="360" w:lineRule="auto"/>
              <w:jc w:val="center"/>
              <w:rPr>
                <w:rFonts w:hint="default" w:ascii="Times New Roman" w:hAnsi="Times New Roman" w:cs="Times New Roman"/>
                <w:color w:val="auto"/>
                <w:sz w:val="24"/>
                <w:szCs w:val="24"/>
                <w:u w:val="none"/>
              </w:rPr>
            </w:pPr>
            <w:r>
              <w:rPr>
                <w:rFonts w:hint="eastAsia" w:cs="Times New Roman"/>
                <w:color w:val="auto"/>
                <w:sz w:val="24"/>
                <w:szCs w:val="24"/>
                <w:u w:val="none"/>
                <w:lang w:val="en-US" w:eastAsia="zh-CN"/>
              </w:rPr>
              <w:t>厂区</w:t>
            </w:r>
            <w:r>
              <w:rPr>
                <w:rFonts w:hint="default" w:ascii="Times New Roman" w:hAnsi="Times New Roman" w:cs="Times New Roman"/>
                <w:color w:val="auto"/>
                <w:sz w:val="24"/>
                <w:szCs w:val="24"/>
                <w:u w:val="none"/>
                <w:lang w:eastAsia="zh-CN"/>
              </w:rPr>
              <w:t>场地地面</w:t>
            </w:r>
            <w:r>
              <w:rPr>
                <w:rFonts w:hint="eastAsia" w:ascii="Times New Roman" w:hAnsi="Times New Roman" w:cs="Times New Roman"/>
                <w:color w:val="auto"/>
                <w:sz w:val="24"/>
                <w:szCs w:val="24"/>
                <w:u w:val="none"/>
                <w:lang w:eastAsia="zh-CN"/>
              </w:rPr>
              <w:t>硬化</w:t>
            </w:r>
          </w:p>
        </w:tc>
      </w:tr>
      <w:tr w14:paraId="41CE7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pct"/>
            <w:vAlign w:val="center"/>
          </w:tcPr>
          <w:p w14:paraId="6CA317D4">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生态保护措施</w:t>
            </w:r>
          </w:p>
        </w:tc>
        <w:tc>
          <w:tcPr>
            <w:tcW w:w="4299" w:type="pct"/>
            <w:gridSpan w:val="5"/>
            <w:vAlign w:val="center"/>
          </w:tcPr>
          <w:p w14:paraId="5386B045">
            <w:pPr>
              <w:spacing w:line="240" w:lineRule="atLeast"/>
              <w:jc w:val="center"/>
              <w:rPr>
                <w:rFonts w:hint="eastAsia" w:ascii="Times New Roman" w:hAnsi="Times New Roman" w:eastAsia="宋体" w:cs="Times New Roman"/>
                <w:color w:val="auto"/>
                <w:sz w:val="24"/>
                <w:szCs w:val="24"/>
                <w:u w:val="none"/>
                <w:lang w:eastAsia="zh-CN"/>
              </w:rPr>
            </w:pPr>
            <w:r>
              <w:rPr>
                <w:rFonts w:hint="eastAsia" w:ascii="Times New Roman" w:hAnsi="Times New Roman" w:cs="Times New Roman"/>
                <w:color w:val="auto"/>
                <w:sz w:val="24"/>
                <w:szCs w:val="24"/>
                <w:u w:val="none"/>
                <w:lang w:eastAsia="zh-CN"/>
              </w:rPr>
              <w:t>绿化</w:t>
            </w:r>
          </w:p>
        </w:tc>
      </w:tr>
      <w:tr w14:paraId="47476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pct"/>
            <w:vAlign w:val="center"/>
          </w:tcPr>
          <w:p w14:paraId="4E196F47">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环境风险</w:t>
            </w:r>
          </w:p>
          <w:p w14:paraId="630156C0">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防范措施</w:t>
            </w:r>
          </w:p>
        </w:tc>
        <w:tc>
          <w:tcPr>
            <w:tcW w:w="4299" w:type="pct"/>
            <w:gridSpan w:val="5"/>
            <w:vAlign w:val="center"/>
          </w:tcPr>
          <w:p w14:paraId="69FAD234">
            <w:pPr>
              <w:spacing w:line="240" w:lineRule="auto"/>
              <w:rPr>
                <w:rFonts w:hint="default" w:ascii="Times New Roman" w:hAnsi="Times New Roman" w:eastAsia="宋体" w:cs="Times New Roman"/>
                <w:color w:val="auto"/>
                <w:sz w:val="24"/>
                <w:szCs w:val="24"/>
                <w:u w:val="none"/>
              </w:rPr>
            </w:pPr>
            <w:r>
              <w:rPr>
                <w:rFonts w:hint="default" w:ascii="Times New Roman" w:hAnsi="Times New Roman" w:cs="Times New Roman"/>
                <w:b w:val="0"/>
                <w:bCs w:val="0"/>
                <w:color w:val="auto"/>
                <w:sz w:val="24"/>
                <w:szCs w:val="24"/>
                <w:u w:val="none"/>
                <w:vertAlign w:val="baseline"/>
                <w:lang w:eastAsia="zh-CN"/>
              </w:rPr>
              <w:t>①</w:t>
            </w:r>
            <w:r>
              <w:rPr>
                <w:rFonts w:hint="eastAsia" w:ascii="Times New Roman" w:hAnsi="Times New Roman" w:cs="Times New Roman"/>
                <w:b w:val="0"/>
                <w:bCs w:val="0"/>
                <w:color w:val="auto"/>
                <w:sz w:val="24"/>
                <w:szCs w:val="24"/>
                <w:u w:val="none"/>
                <w:vertAlign w:val="baseline"/>
                <w:lang w:eastAsia="zh-CN"/>
              </w:rPr>
              <w:t>注意用火安全，进入原料堆场等场所时禁止使用明火</w:t>
            </w:r>
            <w:r>
              <w:rPr>
                <w:rFonts w:hint="default" w:ascii="Times New Roman" w:hAnsi="Times New Roman" w:eastAsia="宋体" w:cs="Times New Roman"/>
                <w:color w:val="auto"/>
                <w:sz w:val="24"/>
                <w:szCs w:val="24"/>
                <w:u w:val="none"/>
              </w:rPr>
              <w:t>。</w:t>
            </w:r>
          </w:p>
          <w:p w14:paraId="42E20996">
            <w:pPr>
              <w:spacing w:line="240" w:lineRule="auto"/>
              <w:jc w:val="left"/>
              <w:rPr>
                <w:rFonts w:hint="default" w:ascii="Times New Roman" w:hAnsi="Times New Roman" w:cs="Times New Roman"/>
                <w:color w:val="auto"/>
                <w:sz w:val="24"/>
                <w:szCs w:val="24"/>
                <w:u w:val="none"/>
              </w:rPr>
            </w:pPr>
            <w:r>
              <w:rPr>
                <w:rFonts w:hint="default" w:ascii="Times New Roman" w:hAnsi="Times New Roman" w:eastAsia="宋体" w:cs="Times New Roman"/>
                <w:color w:val="auto"/>
                <w:sz w:val="24"/>
                <w:szCs w:val="24"/>
                <w:u w:val="none"/>
                <w:lang w:val="en-US" w:eastAsia="zh-CN"/>
              </w:rPr>
              <w:t>②</w:t>
            </w:r>
            <w:r>
              <w:rPr>
                <w:rFonts w:hint="eastAsia" w:ascii="Times New Roman" w:hAnsi="Times New Roman" w:eastAsia="宋体" w:cs="Times New Roman"/>
                <w:color w:val="auto"/>
                <w:sz w:val="24"/>
                <w:szCs w:val="24"/>
                <w:u w:val="none"/>
                <w:lang w:val="en-US" w:eastAsia="zh-CN"/>
              </w:rPr>
              <w:t>定期检查电路，及时更换老旧电器设备及电路</w:t>
            </w:r>
            <w:r>
              <w:rPr>
                <w:rFonts w:hint="default" w:ascii="Times New Roman" w:hAnsi="Times New Roman" w:eastAsia="宋体" w:cs="Times New Roman"/>
                <w:color w:val="auto"/>
                <w:sz w:val="24"/>
                <w:szCs w:val="24"/>
                <w:u w:val="none"/>
              </w:rPr>
              <w:t>。</w:t>
            </w:r>
          </w:p>
        </w:tc>
      </w:tr>
      <w:tr w14:paraId="3AD4F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vAlign w:val="center"/>
          </w:tcPr>
          <w:p w14:paraId="70CF10C2">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其他环境</w:t>
            </w:r>
          </w:p>
          <w:p w14:paraId="08248C45">
            <w:pPr>
              <w:spacing w:line="240" w:lineRule="atLeast"/>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管理要求</w:t>
            </w:r>
          </w:p>
        </w:tc>
        <w:tc>
          <w:tcPr>
            <w:tcW w:w="4299" w:type="pct"/>
            <w:gridSpan w:val="5"/>
            <w:vAlign w:val="center"/>
          </w:tcPr>
          <w:p w14:paraId="14219984">
            <w:pPr>
              <w:spacing w:line="360" w:lineRule="auto"/>
              <w:ind w:firstLine="482" w:firstLineChars="200"/>
              <w:jc w:val="left"/>
              <w:rPr>
                <w:rFonts w:hint="default" w:ascii="Times New Roman" w:hAnsi="Times New Roman" w:cs="Times New Roman"/>
                <w:color w:val="auto"/>
                <w:szCs w:val="21"/>
                <w:u w:val="single"/>
              </w:rPr>
            </w:pPr>
            <w:r>
              <w:rPr>
                <w:rFonts w:hint="eastAsia" w:ascii="Times New Roman" w:hAnsi="Times New Roman" w:eastAsia="宋体" w:cs="Times New Roman"/>
                <w:b/>
                <w:bCs/>
                <w:color w:val="auto"/>
                <w:spacing w:val="0"/>
                <w:w w:val="100"/>
                <w:position w:val="0"/>
                <w:sz w:val="24"/>
                <w:szCs w:val="24"/>
                <w:lang w:val="en-US" w:eastAsia="zh-CN"/>
              </w:rPr>
              <w:t>1</w:t>
            </w:r>
            <w:r>
              <w:rPr>
                <w:rFonts w:ascii="Times New Roman" w:hAnsi="Times New Roman" w:eastAsia="Times New Roman" w:cs="Times New Roman"/>
                <w:b/>
                <w:bCs/>
                <w:color w:val="auto"/>
                <w:spacing w:val="0"/>
                <w:w w:val="100"/>
                <w:position w:val="0"/>
                <w:sz w:val="24"/>
                <w:szCs w:val="24"/>
              </w:rPr>
              <w:t>、项目竣工环境保护验收</w:t>
            </w:r>
          </w:p>
          <w:p w14:paraId="0D30822A">
            <w:pPr>
              <w:spacing w:line="360" w:lineRule="auto"/>
              <w:ind w:firstLine="480" w:firstLineChars="200"/>
              <w:jc w:val="both"/>
              <w:rPr>
                <w:rFonts w:hint="default" w:ascii="Times New Roman" w:hAnsi="Times New Roman" w:eastAsia="宋体" w:cs="Times New Roman"/>
                <w:color w:val="auto"/>
                <w:spacing w:val="0"/>
                <w:w w:val="100"/>
                <w:position w:val="0"/>
                <w:sz w:val="24"/>
                <w:szCs w:val="24"/>
              </w:rPr>
            </w:pPr>
            <w:r>
              <w:rPr>
                <w:rFonts w:hint="default" w:ascii="Times New Roman" w:hAnsi="Times New Roman" w:eastAsia="宋体" w:cs="Times New Roman"/>
                <w:color w:val="auto"/>
                <w:spacing w:val="0"/>
                <w:w w:val="100"/>
                <w:position w:val="0"/>
                <w:sz w:val="24"/>
                <w:szCs w:val="24"/>
              </w:rPr>
              <w:t>本项目竣工后建设单位应依据《建设项目环境保护管理条例》（2017年10月1日起施行）和《建设项目竣工环境保护验收暂行办法》（国环规环评〔2017〕4号，2017年11月22日发布）、《建设项目竣工环境保护验收技术指南污染影响类》（公告2018年第9号，2018年5月16日印发），对配套建设的环境保护设施进行验收，编制验收报告。</w:t>
            </w:r>
          </w:p>
          <w:p w14:paraId="21EF5B93">
            <w:pPr>
              <w:spacing w:line="360" w:lineRule="auto"/>
              <w:ind w:firstLine="480" w:firstLineChars="200"/>
              <w:jc w:val="left"/>
              <w:rPr>
                <w:rFonts w:ascii="Times New Roman" w:hAnsi="Times New Roman" w:eastAsia="Times New Roman" w:cs="Times New Roman"/>
                <w:b/>
                <w:bCs/>
                <w:color w:val="auto"/>
                <w:spacing w:val="0"/>
                <w:w w:val="100"/>
                <w:position w:val="0"/>
                <w:sz w:val="24"/>
                <w:szCs w:val="24"/>
              </w:rPr>
            </w:pPr>
            <w:r>
              <w:rPr>
                <w:rFonts w:hint="eastAsia" w:ascii="Times New Roman" w:hAnsi="Times New Roman" w:eastAsia="Times New Roman" w:cs="Times New Roman"/>
                <w:b/>
                <w:bCs/>
                <w:color w:val="auto"/>
                <w:spacing w:val="0"/>
                <w:w w:val="100"/>
                <w:position w:val="0"/>
                <w:sz w:val="24"/>
                <w:szCs w:val="24"/>
                <w:lang w:val="en-US" w:eastAsia="zh-CN"/>
              </w:rPr>
              <w:t>2、</w:t>
            </w:r>
            <w:r>
              <w:rPr>
                <w:rFonts w:ascii="Times New Roman" w:hAnsi="Times New Roman" w:eastAsia="Times New Roman" w:cs="Times New Roman"/>
                <w:b/>
                <w:bCs/>
                <w:color w:val="auto"/>
                <w:spacing w:val="0"/>
                <w:w w:val="100"/>
                <w:position w:val="0"/>
                <w:sz w:val="24"/>
                <w:szCs w:val="24"/>
              </w:rPr>
              <w:t>排污</w:t>
            </w:r>
          </w:p>
          <w:p w14:paraId="037D9EAB">
            <w:pPr>
              <w:spacing w:line="360" w:lineRule="auto"/>
              <w:ind w:firstLine="480" w:firstLineChars="200"/>
              <w:jc w:val="left"/>
              <w:rPr>
                <w:rFonts w:hint="eastAsia" w:ascii="Times New Roman" w:hAnsi="Times New Roman" w:eastAsia="Times New Roman" w:cs="Times New Roman"/>
                <w:b/>
                <w:bCs/>
                <w:color w:val="auto"/>
                <w:spacing w:val="0"/>
                <w:w w:val="100"/>
                <w:position w:val="0"/>
                <w:sz w:val="24"/>
                <w:szCs w:val="24"/>
                <w:lang w:val="en-US" w:eastAsia="zh-CN"/>
              </w:rPr>
            </w:pPr>
            <w:r>
              <w:rPr>
                <w:rFonts w:ascii="Times New Roman" w:hAnsi="Times New Roman" w:eastAsia="宋体" w:cs="Times New Roman"/>
                <w:color w:val="auto"/>
                <w:spacing w:val="0"/>
                <w:w w:val="100"/>
                <w:position w:val="0"/>
                <w:sz w:val="24"/>
                <w:szCs w:val="24"/>
              </w:rPr>
              <w:t>（1）排污许可制度</w:t>
            </w:r>
          </w:p>
          <w:p w14:paraId="561A8544">
            <w:pPr>
              <w:spacing w:line="360" w:lineRule="auto"/>
              <w:ind w:firstLine="480" w:firstLineChars="200"/>
              <w:jc w:val="both"/>
              <w:rPr>
                <w:rFonts w:hint="default" w:ascii="Times New Roman" w:hAnsi="Times New Roman" w:eastAsia="宋体" w:cs="Times New Roman"/>
                <w:color w:val="auto"/>
                <w:spacing w:val="0"/>
                <w:w w:val="100"/>
                <w:position w:val="0"/>
                <w:sz w:val="24"/>
                <w:szCs w:val="24"/>
              </w:rPr>
            </w:pPr>
            <w:r>
              <w:rPr>
                <w:rFonts w:hint="default" w:ascii="Times New Roman" w:hAnsi="Times New Roman" w:eastAsia="宋体" w:cs="Times New Roman"/>
                <w:color w:val="auto"/>
                <w:spacing w:val="0"/>
                <w:w w:val="100"/>
                <w:position w:val="0"/>
                <w:sz w:val="24"/>
                <w:szCs w:val="24"/>
              </w:rPr>
              <w:t>根据《排污许可管理条例》（中华人民共和国国务院令 第736号）、《排污许可管理办法（试行）》（部令第48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14:paraId="613172F1">
            <w:pPr>
              <w:spacing w:line="360" w:lineRule="auto"/>
              <w:ind w:firstLine="480" w:firstLineChars="200"/>
              <w:jc w:val="both"/>
              <w:rPr>
                <w:rFonts w:hint="default" w:ascii="Times New Roman" w:hAnsi="Times New Roman" w:eastAsia="宋体" w:cs="Times New Roman"/>
                <w:color w:val="auto"/>
                <w:spacing w:val="0"/>
                <w:w w:val="100"/>
                <w:position w:val="0"/>
                <w:sz w:val="24"/>
                <w:szCs w:val="24"/>
              </w:rPr>
            </w:pPr>
            <w:r>
              <w:rPr>
                <w:rFonts w:hint="default" w:ascii="Times New Roman" w:hAnsi="Times New Roman" w:eastAsia="宋体" w:cs="Times New Roman"/>
                <w:color w:val="auto"/>
                <w:spacing w:val="0"/>
                <w:w w:val="100"/>
                <w:position w:val="0"/>
                <w:sz w:val="24"/>
                <w:szCs w:val="24"/>
              </w:rPr>
              <w:t>③根据《固定污染源排污许可分类管理名录（2019年版）》，本项目竣工后在发生实际排污行为之前，建设单位应当按照国家环境保护相关法律法规以及排污许可证申请与核发技术规范要求</w:t>
            </w:r>
            <w:r>
              <w:rPr>
                <w:rFonts w:hint="default" w:ascii="Times New Roman" w:hAnsi="Times New Roman" w:eastAsia="宋体" w:cs="Times New Roman"/>
                <w:color w:val="auto"/>
                <w:spacing w:val="0"/>
                <w:w w:val="100"/>
                <w:position w:val="0"/>
                <w:sz w:val="24"/>
                <w:szCs w:val="24"/>
                <w:lang w:eastAsia="zh-CN"/>
              </w:rPr>
              <w:t>进行排污许可</w:t>
            </w:r>
            <w:r>
              <w:rPr>
                <w:rFonts w:hint="eastAsia" w:ascii="Times New Roman" w:hAnsi="Times New Roman" w:eastAsia="宋体" w:cs="Times New Roman"/>
                <w:color w:val="auto"/>
                <w:spacing w:val="0"/>
                <w:w w:val="100"/>
                <w:position w:val="0"/>
                <w:sz w:val="24"/>
                <w:szCs w:val="24"/>
                <w:lang w:eastAsia="zh-CN"/>
              </w:rPr>
              <w:t>登记</w:t>
            </w:r>
            <w:r>
              <w:rPr>
                <w:rFonts w:hint="default" w:ascii="Times New Roman" w:hAnsi="Times New Roman" w:eastAsia="宋体" w:cs="Times New Roman"/>
                <w:color w:val="auto"/>
                <w:spacing w:val="0"/>
                <w:w w:val="100"/>
                <w:position w:val="0"/>
                <w:sz w:val="24"/>
                <w:szCs w:val="24"/>
                <w:lang w:eastAsia="zh-CN"/>
              </w:rPr>
              <w:t>管理</w:t>
            </w:r>
            <w:r>
              <w:rPr>
                <w:rFonts w:hint="default" w:ascii="Times New Roman" w:hAnsi="Times New Roman" w:eastAsia="宋体" w:cs="Times New Roman"/>
                <w:color w:val="auto"/>
                <w:spacing w:val="0"/>
                <w:w w:val="100"/>
                <w:position w:val="0"/>
                <w:sz w:val="24"/>
                <w:szCs w:val="24"/>
              </w:rPr>
              <w:t>。</w:t>
            </w:r>
          </w:p>
          <w:p w14:paraId="20109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（2）排污口规范化</w:t>
            </w:r>
          </w:p>
          <w:p w14:paraId="64490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废水排放口、固定噪声源、固体废物贮存和排气筒和危险废物等必须按照国家和江西省的有关规定进行建设，应符合</w:t>
            </w:r>
            <w:r>
              <w:rPr>
                <w:rFonts w:hint="eastAsia"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一明显、二合理、三便于</w:t>
            </w:r>
            <w:r>
              <w:rPr>
                <w:rFonts w:hint="eastAsia"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的要求，即环保标志明显，排污口设置合理，便于采集样品、便于监测计量、便于公众参与和监督管理。同时要求按照国家环保总局制定的《环境保护图形标志实施细则（试行）》的规定，设置与排污口相应的图形标志牌。</w:t>
            </w:r>
          </w:p>
          <w:p w14:paraId="1A1D2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①排气筒设置取样口，并具备采样</w:t>
            </w:r>
            <w:r>
              <w:rPr>
                <w:rFonts w:hint="eastAsia" w:ascii="Times New Roman" w:hAnsi="Times New Roman" w:eastAsia="宋体" w:cs="Times New Roman"/>
                <w:color w:val="auto"/>
                <w:spacing w:val="0"/>
                <w:w w:val="100"/>
                <w:position w:val="0"/>
                <w:sz w:val="24"/>
                <w:szCs w:val="24"/>
                <w:lang w:eastAsia="zh-CN"/>
              </w:rPr>
              <w:t>检测</w:t>
            </w:r>
            <w:r>
              <w:rPr>
                <w:rFonts w:ascii="Times New Roman" w:hAnsi="Times New Roman" w:eastAsia="宋体" w:cs="Times New Roman"/>
                <w:color w:val="auto"/>
                <w:spacing w:val="0"/>
                <w:w w:val="100"/>
                <w:position w:val="0"/>
                <w:sz w:val="24"/>
                <w:szCs w:val="24"/>
              </w:rPr>
              <w:t>条件，</w:t>
            </w:r>
            <w:r>
              <w:rPr>
                <w:rFonts w:hint="eastAsia" w:ascii="Times New Roman" w:hAnsi="Times New Roman" w:eastAsia="宋体" w:cs="Times New Roman"/>
                <w:color w:val="auto"/>
                <w:spacing w:val="0"/>
                <w:w w:val="100"/>
                <w:position w:val="0"/>
                <w:sz w:val="24"/>
                <w:szCs w:val="24"/>
                <w:lang w:eastAsia="zh-CN"/>
              </w:rPr>
              <w:t>在</w:t>
            </w:r>
            <w:r>
              <w:rPr>
                <w:rFonts w:ascii="Times New Roman" w:hAnsi="Times New Roman" w:eastAsia="宋体" w:cs="Times New Roman"/>
                <w:color w:val="auto"/>
                <w:spacing w:val="0"/>
                <w:w w:val="100"/>
                <w:position w:val="0"/>
                <w:sz w:val="24"/>
                <w:szCs w:val="24"/>
              </w:rPr>
              <w:t>废水排放口附近</w:t>
            </w:r>
            <w:r>
              <w:rPr>
                <w:rFonts w:hint="eastAsia" w:cs="Times New Roman"/>
                <w:color w:val="auto"/>
                <w:spacing w:val="0"/>
                <w:w w:val="100"/>
                <w:position w:val="0"/>
                <w:sz w:val="24"/>
                <w:szCs w:val="24"/>
                <w:lang w:eastAsia="zh-CN"/>
              </w:rPr>
              <w:t>竖立</w:t>
            </w:r>
            <w:r>
              <w:rPr>
                <w:rFonts w:ascii="Times New Roman" w:hAnsi="Times New Roman" w:eastAsia="宋体" w:cs="Times New Roman"/>
                <w:color w:val="auto"/>
                <w:spacing w:val="0"/>
                <w:w w:val="100"/>
                <w:position w:val="0"/>
                <w:sz w:val="24"/>
                <w:szCs w:val="24"/>
              </w:rPr>
              <w:t>图形标志牌。</w:t>
            </w:r>
          </w:p>
          <w:p w14:paraId="59F54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②排污口管理。建设单位应在各个排污口处</w:t>
            </w:r>
            <w:r>
              <w:rPr>
                <w:rFonts w:hint="eastAsia" w:ascii="Times New Roman" w:hAnsi="Times New Roman" w:eastAsia="宋体" w:cs="Times New Roman"/>
                <w:color w:val="auto"/>
                <w:spacing w:val="0"/>
                <w:w w:val="100"/>
                <w:position w:val="0"/>
                <w:sz w:val="24"/>
                <w:szCs w:val="24"/>
                <w:lang w:eastAsia="zh-CN"/>
              </w:rPr>
              <w:t>竖立标志牌</w:t>
            </w:r>
            <w:r>
              <w:rPr>
                <w:rFonts w:ascii="Times New Roman" w:hAnsi="Times New Roman" w:eastAsia="宋体" w:cs="Times New Roman"/>
                <w:color w:val="auto"/>
                <w:spacing w:val="0"/>
                <w:w w:val="100"/>
                <w:position w:val="0"/>
                <w:sz w:val="24"/>
                <w:szCs w:val="24"/>
              </w:rPr>
              <w:t>，并如实填写《中华人民共和国规范化排污口标记登记证》，由环保部门签发。生态环境主管部门和建设单位可分别按以下内容建立排污口管理的专门档案：排污口性质和编号；位置；排放主要污染物种类、数量、浓度；排放去向；达标情况；治理设施运行情况及整改意见。</w:t>
            </w:r>
          </w:p>
          <w:p w14:paraId="00BFF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③环境保护图形标志</w:t>
            </w:r>
          </w:p>
          <w:p w14:paraId="6102E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在厂区的废气排放源、固体废物贮存处置场应设置环境保护图形标志，图形符号分为提示图形和警告图形符号两种，分别按《环境保护图形标志》排放口</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源</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GB15562.1-1995</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、《环境保护图形标志》固体废物贮存</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处置</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场</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GB15562.2-1995</w:t>
            </w:r>
            <w:r>
              <w:rPr>
                <w:rFonts w:hint="eastAsia" w:ascii="Times New Roman" w:hAnsi="Times New Roman" w:eastAsia="宋体" w:cs="Times New Roman"/>
                <w:color w:val="auto"/>
                <w:spacing w:val="0"/>
                <w:w w:val="100"/>
                <w:position w:val="0"/>
                <w:sz w:val="24"/>
                <w:szCs w:val="24"/>
                <w:lang w:eastAsia="zh-CN"/>
              </w:rPr>
              <w:t>）</w:t>
            </w:r>
            <w:r>
              <w:rPr>
                <w:rFonts w:ascii="Times New Roman" w:hAnsi="Times New Roman" w:eastAsia="宋体" w:cs="Times New Roman"/>
                <w:color w:val="auto"/>
                <w:spacing w:val="0"/>
                <w:w w:val="100"/>
                <w:position w:val="0"/>
                <w:sz w:val="24"/>
                <w:szCs w:val="24"/>
              </w:rPr>
              <w:t>及2023年修改单执行。环境保护图形标志的形状及颜色见表5-1，环境保护图形符号见表5-2。</w:t>
            </w:r>
          </w:p>
          <w:p w14:paraId="5780F731">
            <w:pPr>
              <w:pStyle w:val="125"/>
              <w:spacing w:line="222" w:lineRule="auto"/>
              <w:jc w:val="center"/>
              <w:rPr>
                <w:rFonts w:hint="default" w:ascii="Times New Roman" w:hAnsi="Times New Roman" w:cs="Times New Roman" w:eastAsiaTheme="minorEastAsia"/>
                <w:color w:val="auto"/>
                <w:spacing w:val="0"/>
                <w:w w:val="100"/>
                <w:position w:val="0"/>
                <w:sz w:val="24"/>
                <w:szCs w:val="24"/>
              </w:rPr>
            </w:pPr>
            <w:r>
              <w:rPr>
                <w:rFonts w:hint="default" w:ascii="Times New Roman" w:hAnsi="Times New Roman" w:cs="Times New Roman" w:eastAsiaTheme="minorEastAsia"/>
                <w:b/>
                <w:bCs/>
                <w:color w:val="auto"/>
                <w:spacing w:val="0"/>
                <w:w w:val="100"/>
                <w:position w:val="0"/>
                <w:sz w:val="24"/>
                <w:szCs w:val="24"/>
              </w:rPr>
              <w:t>表5-1   环境保护图形标志的形状及颜色表</w:t>
            </w:r>
          </w:p>
          <w:tbl>
            <w:tblPr>
              <w:tblStyle w:val="126"/>
              <w:tblW w:w="7068" w:type="dxa"/>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17"/>
              <w:gridCol w:w="2001"/>
              <w:gridCol w:w="1680"/>
              <w:gridCol w:w="1770"/>
            </w:tblGrid>
            <w:tr w14:paraId="44BCC8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3" w:type="pct"/>
                  <w:tcBorders>
                    <w:tl2br w:val="nil"/>
                    <w:tr2bl w:val="nil"/>
                  </w:tcBorders>
                  <w:noWrap w:val="0"/>
                  <w:vAlign w:val="center"/>
                </w:tcPr>
                <w:p w14:paraId="1C0A180C">
                  <w:pPr>
                    <w:pStyle w:val="125"/>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b/>
                      <w:bCs/>
                      <w:color w:val="auto"/>
                      <w:spacing w:val="0"/>
                      <w:w w:val="100"/>
                      <w:position w:val="0"/>
                      <w:sz w:val="21"/>
                      <w:szCs w:val="21"/>
                    </w:rPr>
                    <w:t>标志名称</w:t>
                  </w:r>
                </w:p>
              </w:tc>
              <w:tc>
                <w:tcPr>
                  <w:tcW w:w="1415" w:type="pct"/>
                  <w:tcBorders>
                    <w:tl2br w:val="nil"/>
                    <w:tr2bl w:val="nil"/>
                  </w:tcBorders>
                  <w:noWrap w:val="0"/>
                  <w:vAlign w:val="center"/>
                </w:tcPr>
                <w:p w14:paraId="6CA25B6C">
                  <w:pPr>
                    <w:pStyle w:val="125"/>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b/>
                      <w:bCs/>
                      <w:color w:val="auto"/>
                      <w:spacing w:val="0"/>
                      <w:w w:val="100"/>
                      <w:position w:val="0"/>
                      <w:sz w:val="21"/>
                      <w:szCs w:val="21"/>
                    </w:rPr>
                    <w:t>形状</w:t>
                  </w:r>
                </w:p>
              </w:tc>
              <w:tc>
                <w:tcPr>
                  <w:tcW w:w="1188" w:type="pct"/>
                  <w:tcBorders>
                    <w:tl2br w:val="nil"/>
                    <w:tr2bl w:val="nil"/>
                  </w:tcBorders>
                  <w:noWrap w:val="0"/>
                  <w:vAlign w:val="center"/>
                </w:tcPr>
                <w:p w14:paraId="4F8E4B9C">
                  <w:pPr>
                    <w:pStyle w:val="125"/>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b/>
                      <w:bCs/>
                      <w:color w:val="auto"/>
                      <w:spacing w:val="0"/>
                      <w:w w:val="100"/>
                      <w:position w:val="0"/>
                      <w:sz w:val="21"/>
                      <w:szCs w:val="21"/>
                    </w:rPr>
                    <w:t>背景颜色</w:t>
                  </w:r>
                </w:p>
              </w:tc>
              <w:tc>
                <w:tcPr>
                  <w:tcW w:w="1252" w:type="pct"/>
                  <w:tcBorders>
                    <w:tl2br w:val="nil"/>
                    <w:tr2bl w:val="nil"/>
                  </w:tcBorders>
                  <w:noWrap w:val="0"/>
                  <w:vAlign w:val="center"/>
                </w:tcPr>
                <w:p w14:paraId="42AC58E9">
                  <w:pPr>
                    <w:pStyle w:val="125"/>
                    <w:keepNext w:val="0"/>
                    <w:keepLines w:val="0"/>
                    <w:pageBreakBefore w:val="0"/>
                    <w:widowControl w:val="0"/>
                    <w:kinsoku/>
                    <w:wordWrap/>
                    <w:overflowPunct/>
                    <w:topLinePunct w:val="0"/>
                    <w:autoSpaceDE/>
                    <w:autoSpaceDN/>
                    <w:bidi w:val="0"/>
                    <w:adjustRightInd/>
                    <w:snapToGrid/>
                    <w:spacing w:line="230"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b/>
                      <w:bCs/>
                      <w:color w:val="auto"/>
                      <w:spacing w:val="0"/>
                      <w:w w:val="100"/>
                      <w:position w:val="0"/>
                      <w:sz w:val="21"/>
                      <w:szCs w:val="21"/>
                    </w:rPr>
                    <w:t>图形颜色</w:t>
                  </w:r>
                </w:p>
              </w:tc>
            </w:tr>
            <w:tr w14:paraId="2AE77E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3" w:type="pct"/>
                  <w:tcBorders>
                    <w:tl2br w:val="nil"/>
                    <w:tr2bl w:val="nil"/>
                  </w:tcBorders>
                  <w:noWrap w:val="0"/>
                  <w:vAlign w:val="center"/>
                </w:tcPr>
                <w:p w14:paraId="1091D57C">
                  <w:pPr>
                    <w:pStyle w:val="125"/>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警告标志</w:t>
                  </w:r>
                </w:p>
              </w:tc>
              <w:tc>
                <w:tcPr>
                  <w:tcW w:w="1415" w:type="pct"/>
                  <w:tcBorders>
                    <w:tl2br w:val="nil"/>
                    <w:tr2bl w:val="nil"/>
                  </w:tcBorders>
                  <w:noWrap w:val="0"/>
                  <w:vAlign w:val="center"/>
                </w:tcPr>
                <w:p w14:paraId="4039D0D9">
                  <w:pPr>
                    <w:pStyle w:val="125"/>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三角形边框</w:t>
                  </w:r>
                </w:p>
              </w:tc>
              <w:tc>
                <w:tcPr>
                  <w:tcW w:w="1188" w:type="pct"/>
                  <w:tcBorders>
                    <w:tl2br w:val="nil"/>
                    <w:tr2bl w:val="nil"/>
                  </w:tcBorders>
                  <w:noWrap w:val="0"/>
                  <w:vAlign w:val="center"/>
                </w:tcPr>
                <w:p w14:paraId="13531DF4">
                  <w:pPr>
                    <w:pStyle w:val="125"/>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黄色</w:t>
                  </w:r>
                </w:p>
              </w:tc>
              <w:tc>
                <w:tcPr>
                  <w:tcW w:w="1252" w:type="pct"/>
                  <w:tcBorders>
                    <w:tl2br w:val="nil"/>
                    <w:tr2bl w:val="nil"/>
                  </w:tcBorders>
                  <w:noWrap w:val="0"/>
                  <w:vAlign w:val="center"/>
                </w:tcPr>
                <w:p w14:paraId="22FD2248">
                  <w:pPr>
                    <w:pStyle w:val="125"/>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黑色</w:t>
                  </w:r>
                </w:p>
              </w:tc>
            </w:tr>
            <w:tr w14:paraId="0474F1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3" w:type="pct"/>
                  <w:tcBorders>
                    <w:tl2br w:val="nil"/>
                    <w:tr2bl w:val="nil"/>
                  </w:tcBorders>
                  <w:noWrap w:val="0"/>
                  <w:vAlign w:val="center"/>
                </w:tcPr>
                <w:p w14:paraId="6D46F5AA">
                  <w:pPr>
                    <w:pStyle w:val="125"/>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提示标志</w:t>
                  </w:r>
                </w:p>
              </w:tc>
              <w:tc>
                <w:tcPr>
                  <w:tcW w:w="1415" w:type="pct"/>
                  <w:tcBorders>
                    <w:tl2br w:val="nil"/>
                    <w:tr2bl w:val="nil"/>
                  </w:tcBorders>
                  <w:noWrap w:val="0"/>
                  <w:vAlign w:val="center"/>
                </w:tcPr>
                <w:p w14:paraId="0DD28631">
                  <w:pPr>
                    <w:pStyle w:val="125"/>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正方形边框</w:t>
                  </w:r>
                </w:p>
              </w:tc>
              <w:tc>
                <w:tcPr>
                  <w:tcW w:w="1188" w:type="pct"/>
                  <w:tcBorders>
                    <w:tl2br w:val="nil"/>
                    <w:tr2bl w:val="nil"/>
                  </w:tcBorders>
                  <w:noWrap w:val="0"/>
                  <w:vAlign w:val="center"/>
                </w:tcPr>
                <w:p w14:paraId="1B7FF5A8">
                  <w:pPr>
                    <w:pStyle w:val="125"/>
                    <w:keepNext w:val="0"/>
                    <w:keepLines w:val="0"/>
                    <w:pageBreakBefore w:val="0"/>
                    <w:widowControl w:val="0"/>
                    <w:kinsoku/>
                    <w:wordWrap/>
                    <w:overflowPunct/>
                    <w:topLinePunct w:val="0"/>
                    <w:autoSpaceDE/>
                    <w:autoSpaceDN/>
                    <w:bidi w:val="0"/>
                    <w:adjustRightInd/>
                    <w:snapToGrid/>
                    <w:spacing w:line="230"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绿色</w:t>
                  </w:r>
                </w:p>
              </w:tc>
              <w:tc>
                <w:tcPr>
                  <w:tcW w:w="1252" w:type="pct"/>
                  <w:tcBorders>
                    <w:tl2br w:val="nil"/>
                    <w:tr2bl w:val="nil"/>
                  </w:tcBorders>
                  <w:noWrap w:val="0"/>
                  <w:vAlign w:val="center"/>
                </w:tcPr>
                <w:p w14:paraId="63E3DDEE">
                  <w:pPr>
                    <w:pStyle w:val="125"/>
                    <w:keepNext w:val="0"/>
                    <w:keepLines w:val="0"/>
                    <w:pageBreakBefore w:val="0"/>
                    <w:widowControl w:val="0"/>
                    <w:kinsoku/>
                    <w:wordWrap/>
                    <w:overflowPunct/>
                    <w:topLinePunct w:val="0"/>
                    <w:autoSpaceDE/>
                    <w:autoSpaceDN/>
                    <w:bidi w:val="0"/>
                    <w:adjustRightInd/>
                    <w:snapToGrid/>
                    <w:spacing w:line="231" w:lineRule="auto"/>
                    <w:ind w:left="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白色</w:t>
                  </w:r>
                </w:p>
              </w:tc>
            </w:tr>
          </w:tbl>
          <w:p w14:paraId="6B11BA99">
            <w:pPr>
              <w:pStyle w:val="125"/>
              <w:keepNext w:val="0"/>
              <w:keepLines w:val="0"/>
              <w:pageBreakBefore w:val="0"/>
              <w:widowControl w:val="0"/>
              <w:kinsoku/>
              <w:wordWrap/>
              <w:overflowPunct/>
              <w:topLinePunct w:val="0"/>
              <w:autoSpaceDE/>
              <w:autoSpaceDN/>
              <w:bidi w:val="0"/>
              <w:adjustRightInd/>
              <w:snapToGrid/>
              <w:spacing w:before="157" w:beforeLines="50" w:line="224" w:lineRule="auto"/>
              <w:ind w:left="2064"/>
              <w:textAlignment w:val="auto"/>
              <w:rPr>
                <w:rFonts w:ascii="Times New Roman" w:hAnsi="Times New Roman" w:eastAsia="Times New Roman" w:cs="Times New Roman"/>
                <w:b/>
                <w:bCs/>
                <w:color w:val="auto"/>
                <w:spacing w:val="0"/>
                <w:w w:val="100"/>
                <w:position w:val="0"/>
                <w:sz w:val="24"/>
                <w:szCs w:val="24"/>
              </w:rPr>
            </w:pPr>
            <w:r>
              <w:rPr>
                <w:rFonts w:ascii="Times New Roman" w:hAnsi="Times New Roman" w:eastAsia="Times New Roman" w:cs="Times New Roman"/>
                <w:b/>
                <w:bCs/>
                <w:color w:val="auto"/>
                <w:spacing w:val="0"/>
                <w:w w:val="100"/>
                <w:position w:val="0"/>
                <w:sz w:val="24"/>
                <w:szCs w:val="24"/>
              </w:rPr>
              <w:t>表5-2   环境保护图形符号一览表</w:t>
            </w:r>
          </w:p>
          <w:tbl>
            <w:tblPr>
              <w:tblStyle w:val="126"/>
              <w:tblW w:w="7048" w:type="dxa"/>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02"/>
              <w:gridCol w:w="1530"/>
              <w:gridCol w:w="1550"/>
              <w:gridCol w:w="1750"/>
            </w:tblGrid>
            <w:tr w14:paraId="70E81A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 w:type="pct"/>
                  <w:tcBorders>
                    <w:tl2br w:val="nil"/>
                    <w:tr2bl w:val="nil"/>
                  </w:tcBorders>
                  <w:noWrap w:val="0"/>
                  <w:vAlign w:val="center"/>
                </w:tcPr>
                <w:p w14:paraId="3F4C75F3">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名称</w:t>
                  </w:r>
                </w:p>
              </w:tc>
              <w:tc>
                <w:tcPr>
                  <w:tcW w:w="1136" w:type="pct"/>
                  <w:tcBorders>
                    <w:tl2br w:val="nil"/>
                    <w:tr2bl w:val="nil"/>
                  </w:tcBorders>
                  <w:noWrap w:val="0"/>
                  <w:vAlign w:val="center"/>
                </w:tcPr>
                <w:p w14:paraId="29E2A502">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噪声排放源</w:t>
                  </w:r>
                </w:p>
              </w:tc>
              <w:tc>
                <w:tcPr>
                  <w:tcW w:w="1085" w:type="pct"/>
                  <w:tcBorders>
                    <w:tl2br w:val="nil"/>
                    <w:tr2bl w:val="nil"/>
                  </w:tcBorders>
                  <w:noWrap w:val="0"/>
                  <w:vAlign w:val="center"/>
                </w:tcPr>
                <w:p w14:paraId="2319012E">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废水排放口</w:t>
                  </w:r>
                </w:p>
              </w:tc>
              <w:tc>
                <w:tcPr>
                  <w:tcW w:w="1099" w:type="pct"/>
                  <w:tcBorders>
                    <w:tl2br w:val="nil"/>
                    <w:tr2bl w:val="nil"/>
                  </w:tcBorders>
                  <w:noWrap w:val="0"/>
                  <w:vAlign w:val="center"/>
                </w:tcPr>
                <w:p w14:paraId="602BCC99">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废气排放口</w:t>
                  </w:r>
                </w:p>
              </w:tc>
              <w:tc>
                <w:tcPr>
                  <w:tcW w:w="1241" w:type="pct"/>
                  <w:tcBorders>
                    <w:tl2br w:val="nil"/>
                    <w:tr2bl w:val="nil"/>
                  </w:tcBorders>
                  <w:noWrap w:val="0"/>
                  <w:vAlign w:val="center"/>
                </w:tcPr>
                <w:p w14:paraId="00718F64">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一般固体废物</w:t>
                  </w:r>
                </w:p>
              </w:tc>
            </w:tr>
            <w:tr w14:paraId="249DB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 w:type="pct"/>
                  <w:tcBorders>
                    <w:tl2br w:val="nil"/>
                    <w:tr2bl w:val="nil"/>
                  </w:tcBorders>
                  <w:noWrap w:val="0"/>
                  <w:vAlign w:val="center"/>
                </w:tcPr>
                <w:p w14:paraId="55F62BB1">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图形符号</w:t>
                  </w:r>
                </w:p>
              </w:tc>
              <w:tc>
                <w:tcPr>
                  <w:tcW w:w="1136" w:type="pct"/>
                  <w:tcBorders>
                    <w:tl2br w:val="nil"/>
                    <w:tr2bl w:val="nil"/>
                  </w:tcBorders>
                  <w:noWrap w:val="0"/>
                  <w:vAlign w:val="center"/>
                </w:tcPr>
                <w:p w14:paraId="67E9CC5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drawing>
                      <wp:inline distT="0" distB="0" distL="114300" distR="114300">
                        <wp:extent cx="828675" cy="816610"/>
                        <wp:effectExtent l="0" t="0" r="9525" b="2540"/>
                        <wp:docPr id="9" name="图片 6"/>
                        <wp:cNvGraphicFramePr/>
                        <a:graphic xmlns:a="http://schemas.openxmlformats.org/drawingml/2006/main">
                          <a:graphicData uri="http://schemas.openxmlformats.org/drawingml/2006/picture">
                            <pic:pic xmlns:pic="http://schemas.openxmlformats.org/drawingml/2006/picture">
                              <pic:nvPicPr>
                                <pic:cNvPr id="9" name="图片 6"/>
                                <pic:cNvPicPr/>
                              </pic:nvPicPr>
                              <pic:blipFill>
                                <a:blip r:embed="rId15"/>
                                <a:stretch>
                                  <a:fillRect/>
                                </a:stretch>
                              </pic:blipFill>
                              <pic:spPr>
                                <a:xfrm>
                                  <a:off x="0" y="0"/>
                                  <a:ext cx="828675" cy="816610"/>
                                </a:xfrm>
                                <a:prstGeom prst="rect">
                                  <a:avLst/>
                                </a:prstGeom>
                                <a:noFill/>
                                <a:ln>
                                  <a:noFill/>
                                </a:ln>
                              </pic:spPr>
                            </pic:pic>
                          </a:graphicData>
                        </a:graphic>
                      </wp:inline>
                    </w:drawing>
                  </w:r>
                </w:p>
              </w:tc>
              <w:tc>
                <w:tcPr>
                  <w:tcW w:w="1085" w:type="pct"/>
                  <w:tcBorders>
                    <w:tl2br w:val="nil"/>
                    <w:tr2bl w:val="nil"/>
                  </w:tcBorders>
                  <w:noWrap w:val="0"/>
                  <w:vAlign w:val="center"/>
                </w:tcPr>
                <w:p w14:paraId="6D1117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drawing>
                      <wp:inline distT="0" distB="0" distL="114300" distR="114300">
                        <wp:extent cx="743585" cy="802640"/>
                        <wp:effectExtent l="0" t="0" r="18415" b="16510"/>
                        <wp:docPr id="51" name="图片 7"/>
                        <wp:cNvGraphicFramePr/>
                        <a:graphic xmlns:a="http://schemas.openxmlformats.org/drawingml/2006/main">
                          <a:graphicData uri="http://schemas.openxmlformats.org/drawingml/2006/picture">
                            <pic:pic xmlns:pic="http://schemas.openxmlformats.org/drawingml/2006/picture">
                              <pic:nvPicPr>
                                <pic:cNvPr id="51" name="图片 7"/>
                                <pic:cNvPicPr/>
                              </pic:nvPicPr>
                              <pic:blipFill>
                                <a:blip r:embed="rId16"/>
                                <a:stretch>
                                  <a:fillRect/>
                                </a:stretch>
                              </pic:blipFill>
                              <pic:spPr>
                                <a:xfrm>
                                  <a:off x="0" y="0"/>
                                  <a:ext cx="743585" cy="802640"/>
                                </a:xfrm>
                                <a:prstGeom prst="rect">
                                  <a:avLst/>
                                </a:prstGeom>
                                <a:noFill/>
                                <a:ln>
                                  <a:noFill/>
                                </a:ln>
                              </pic:spPr>
                            </pic:pic>
                          </a:graphicData>
                        </a:graphic>
                      </wp:inline>
                    </w:drawing>
                  </w:r>
                </w:p>
              </w:tc>
              <w:tc>
                <w:tcPr>
                  <w:tcW w:w="1099" w:type="pct"/>
                  <w:tcBorders>
                    <w:tl2br w:val="nil"/>
                    <w:tr2bl w:val="nil"/>
                  </w:tcBorders>
                  <w:noWrap w:val="0"/>
                  <w:vAlign w:val="center"/>
                </w:tcPr>
                <w:p w14:paraId="0590416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drawing>
                      <wp:inline distT="0" distB="0" distL="114300" distR="114300">
                        <wp:extent cx="799465" cy="836295"/>
                        <wp:effectExtent l="0" t="0" r="635" b="190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7"/>
                                <a:stretch>
                                  <a:fillRect/>
                                </a:stretch>
                              </pic:blipFill>
                              <pic:spPr>
                                <a:xfrm>
                                  <a:off x="0" y="0"/>
                                  <a:ext cx="799465" cy="836295"/>
                                </a:xfrm>
                                <a:prstGeom prst="rect">
                                  <a:avLst/>
                                </a:prstGeom>
                                <a:noFill/>
                                <a:ln>
                                  <a:noFill/>
                                </a:ln>
                              </pic:spPr>
                            </pic:pic>
                          </a:graphicData>
                        </a:graphic>
                      </wp:inline>
                    </w:drawing>
                  </w:r>
                </w:p>
              </w:tc>
              <w:tc>
                <w:tcPr>
                  <w:tcW w:w="1241" w:type="pct"/>
                  <w:tcBorders>
                    <w:tl2br w:val="nil"/>
                    <w:tr2bl w:val="nil"/>
                  </w:tcBorders>
                  <w:noWrap w:val="0"/>
                  <w:vAlign w:val="center"/>
                </w:tcPr>
                <w:p w14:paraId="12EE203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drawing>
                      <wp:inline distT="0" distB="0" distL="114300" distR="114300">
                        <wp:extent cx="836930" cy="861060"/>
                        <wp:effectExtent l="0" t="0" r="1270" b="15240"/>
                        <wp:docPr id="5" name="图片 9"/>
                        <wp:cNvGraphicFramePr/>
                        <a:graphic xmlns:a="http://schemas.openxmlformats.org/drawingml/2006/main">
                          <a:graphicData uri="http://schemas.openxmlformats.org/drawingml/2006/picture">
                            <pic:pic xmlns:pic="http://schemas.openxmlformats.org/drawingml/2006/picture">
                              <pic:nvPicPr>
                                <pic:cNvPr id="5" name="图片 9"/>
                                <pic:cNvPicPr/>
                              </pic:nvPicPr>
                              <pic:blipFill>
                                <a:blip r:embed="rId18"/>
                                <a:stretch>
                                  <a:fillRect/>
                                </a:stretch>
                              </pic:blipFill>
                              <pic:spPr>
                                <a:xfrm>
                                  <a:off x="0" y="0"/>
                                  <a:ext cx="836930" cy="861060"/>
                                </a:xfrm>
                                <a:prstGeom prst="rect">
                                  <a:avLst/>
                                </a:prstGeom>
                                <a:noFill/>
                                <a:ln>
                                  <a:noFill/>
                                </a:ln>
                              </pic:spPr>
                            </pic:pic>
                          </a:graphicData>
                        </a:graphic>
                      </wp:inline>
                    </w:drawing>
                  </w:r>
                </w:p>
              </w:tc>
            </w:tr>
            <w:tr w14:paraId="2D16D4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 w:type="pct"/>
                  <w:tcBorders>
                    <w:tl2br w:val="nil"/>
                    <w:tr2bl w:val="nil"/>
                  </w:tcBorders>
                  <w:noWrap w:val="0"/>
                  <w:vAlign w:val="center"/>
                </w:tcPr>
                <w:p w14:paraId="519D928E">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功能</w:t>
                  </w:r>
                </w:p>
              </w:tc>
              <w:tc>
                <w:tcPr>
                  <w:tcW w:w="1136" w:type="pct"/>
                  <w:tcBorders>
                    <w:tl2br w:val="nil"/>
                    <w:tr2bl w:val="nil"/>
                  </w:tcBorders>
                  <w:noWrap w:val="0"/>
                  <w:vAlign w:val="center"/>
                </w:tcPr>
                <w:p w14:paraId="12C44678">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表示噪声向外环境排放</w:t>
                  </w:r>
                </w:p>
              </w:tc>
              <w:tc>
                <w:tcPr>
                  <w:tcW w:w="1085" w:type="pct"/>
                  <w:tcBorders>
                    <w:tl2br w:val="nil"/>
                    <w:tr2bl w:val="nil"/>
                  </w:tcBorders>
                  <w:noWrap w:val="0"/>
                  <w:vAlign w:val="center"/>
                </w:tcPr>
                <w:p w14:paraId="53DDEC5F">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表示废水向外环境排放</w:t>
                  </w:r>
                </w:p>
              </w:tc>
              <w:tc>
                <w:tcPr>
                  <w:tcW w:w="1099" w:type="pct"/>
                  <w:tcBorders>
                    <w:tl2br w:val="nil"/>
                    <w:tr2bl w:val="nil"/>
                  </w:tcBorders>
                  <w:noWrap w:val="0"/>
                  <w:vAlign w:val="center"/>
                </w:tcPr>
                <w:p w14:paraId="51177A81">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表示废气向</w:t>
                  </w:r>
                </w:p>
                <w:p w14:paraId="3B26C0D4">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大气环境排放</w:t>
                  </w:r>
                </w:p>
              </w:tc>
              <w:tc>
                <w:tcPr>
                  <w:tcW w:w="1241" w:type="pct"/>
                  <w:tcBorders>
                    <w:tl2br w:val="nil"/>
                    <w:tr2bl w:val="nil"/>
                  </w:tcBorders>
                  <w:noWrap w:val="0"/>
                  <w:vAlign w:val="center"/>
                </w:tcPr>
                <w:p w14:paraId="796CCAB7">
                  <w:pPr>
                    <w:pStyle w:val="12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表示一般固体废物贮存、处置场</w:t>
                  </w:r>
                </w:p>
              </w:tc>
            </w:tr>
          </w:tbl>
          <w:p w14:paraId="1D997D74">
            <w:pPr>
              <w:spacing w:line="360" w:lineRule="auto"/>
              <w:ind w:firstLine="480" w:firstLineChars="200"/>
              <w:jc w:val="left"/>
              <w:rPr>
                <w:rFonts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pacing w:val="0"/>
                <w:w w:val="100"/>
                <w:position w:val="0"/>
                <w:sz w:val="24"/>
                <w:szCs w:val="24"/>
              </w:rPr>
              <w:t>使用国家环保部门统一印制的《中华人民共和国规范化排污口标志登记证》，并按要求填写有关内容，项目建成后，应将主要污染物种类、数量、浓度、排放去向、立标情况及设施运行情况记录于档案。</w:t>
            </w:r>
          </w:p>
          <w:p w14:paraId="41366CBD">
            <w:pPr>
              <w:spacing w:line="360" w:lineRule="auto"/>
              <w:ind w:firstLine="480" w:firstLineChars="200"/>
              <w:jc w:val="left"/>
              <w:rPr>
                <w:rFonts w:hint="eastAsia" w:ascii="Times New Roman" w:hAnsi="Times New Roman" w:eastAsia="Times New Roman" w:cs="Times New Roman"/>
                <w:b/>
                <w:bCs/>
                <w:color w:val="auto"/>
                <w:spacing w:val="0"/>
                <w:w w:val="100"/>
                <w:position w:val="0"/>
                <w:sz w:val="24"/>
                <w:szCs w:val="24"/>
                <w:u w:val="single"/>
                <w:lang w:val="en-US" w:eastAsia="zh-CN"/>
              </w:rPr>
            </w:pPr>
            <w:r>
              <w:rPr>
                <w:rFonts w:hint="eastAsia" w:ascii="Times New Roman" w:hAnsi="Times New Roman" w:eastAsia="Times New Roman" w:cs="Times New Roman"/>
                <w:b/>
                <w:bCs/>
                <w:color w:val="auto"/>
                <w:spacing w:val="0"/>
                <w:w w:val="100"/>
                <w:position w:val="0"/>
                <w:sz w:val="24"/>
                <w:szCs w:val="24"/>
                <w:u w:val="single"/>
                <w:lang w:val="en-US" w:eastAsia="zh-CN"/>
              </w:rPr>
              <w:t>3、突发环境事件应急预案</w:t>
            </w:r>
          </w:p>
          <w:p w14:paraId="317A6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0"/>
                <w:w w:val="100"/>
                <w:position w:val="0"/>
                <w:sz w:val="24"/>
                <w:szCs w:val="24"/>
              </w:rPr>
            </w:pPr>
            <w:r>
              <w:rPr>
                <w:rFonts w:ascii="Times New Roman" w:hAnsi="Times New Roman" w:eastAsia="宋体" w:cs="Times New Roman"/>
                <w:color w:val="auto"/>
                <w:sz w:val="24"/>
                <w:u w:val="single"/>
              </w:rPr>
              <w:t>项目在正常生产后开展本企业的突发环境事件应急预案编制工作，并按要求到生态环境主管部门进行备案</w:t>
            </w:r>
            <w:r>
              <w:rPr>
                <w:rFonts w:hint="eastAsia" w:cs="Times New Roman"/>
                <w:color w:val="auto"/>
                <w:sz w:val="24"/>
                <w:u w:val="single"/>
                <w:lang w:eastAsia="zh-CN"/>
              </w:rPr>
              <w:t>；</w:t>
            </w:r>
            <w:r>
              <w:rPr>
                <w:rFonts w:ascii="Times New Roman" w:hAnsi="Times New Roman" w:eastAsia="宋体" w:cs="Times New Roman"/>
                <w:color w:val="auto"/>
                <w:sz w:val="24"/>
                <w:u w:val="single"/>
              </w:rPr>
              <w:t>若符合《湖南省突发环境事件应急预案管理办法（修订版）》的通知（湘环发〔2024〕49号）中豁免，须向属地县级生态环境主管部门提供环境应急预案豁免管理申请表并得到同意。</w:t>
            </w:r>
          </w:p>
        </w:tc>
      </w:tr>
    </w:tbl>
    <w:p w14:paraId="37599818">
      <w:pPr>
        <w:pStyle w:val="2"/>
        <w:bidi w:val="0"/>
        <w:jc w:val="center"/>
        <w:rPr>
          <w:rFonts w:hint="eastAsia" w:asciiTheme="majorEastAsia" w:hAnsiTheme="majorEastAsia" w:eastAsiaTheme="majorEastAsia" w:cstheme="majorEastAsia"/>
          <w:b/>
          <w:bCs/>
          <w:color w:val="auto"/>
        </w:rPr>
      </w:pPr>
      <w:r>
        <w:rPr>
          <w:rFonts w:hint="default" w:ascii="Times New Roman" w:hAnsi="Times New Roman" w:cs="Times New Roman"/>
          <w:snapToGrid w:val="0"/>
          <w:color w:val="auto"/>
          <w:u w:val="single"/>
        </w:rPr>
        <w:br w:type="page"/>
      </w:r>
      <w:bookmarkStart w:id="46" w:name="_Toc25183"/>
      <w:bookmarkStart w:id="47" w:name="_Toc4579"/>
      <w:bookmarkStart w:id="48" w:name="_Toc7192"/>
      <w:r>
        <w:rPr>
          <w:rFonts w:hint="eastAsia" w:asciiTheme="majorEastAsia" w:hAnsiTheme="majorEastAsia" w:eastAsiaTheme="majorEastAsia" w:cstheme="majorEastAsia"/>
          <w:b/>
          <w:bCs/>
          <w:color w:val="auto"/>
        </w:rPr>
        <w:t>六、结论</w:t>
      </w:r>
      <w:bookmarkEnd w:id="46"/>
      <w:bookmarkEnd w:id="47"/>
      <w:bookmarkEnd w:id="48"/>
    </w:p>
    <w:tbl>
      <w:tblPr>
        <w:tblStyle w:val="32"/>
        <w:tblW w:w="8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71"/>
      </w:tblGrid>
      <w:tr w14:paraId="18EE1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8571" w:type="dxa"/>
            <w:vAlign w:val="top"/>
          </w:tcPr>
          <w:p w14:paraId="71BAF8AF">
            <w:pPr>
              <w:pStyle w:val="47"/>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both"/>
              <w:textAlignment w:val="auto"/>
              <w:rPr>
                <w:rFonts w:hint="eastAsia" w:ascii="Times New Roman" w:hAnsi="Times New Roman" w:eastAsia="宋体" w:cs="Times New Roman"/>
                <w:bCs/>
                <w:color w:val="auto"/>
                <w:lang w:eastAsia="zh-CN"/>
              </w:rPr>
            </w:pPr>
            <w:r>
              <w:rPr>
                <w:rFonts w:hint="default" w:ascii="Times New Roman" w:hAnsi="Times New Roman" w:cs="Times New Roman"/>
                <w:bCs/>
                <w:color w:val="auto"/>
              </w:rPr>
              <w:t>综上所述，</w:t>
            </w:r>
            <w:r>
              <w:rPr>
                <w:rFonts w:hint="eastAsia" w:ascii="Times New Roman" w:hAnsi="Times New Roman" w:cs="Times New Roman"/>
                <w:color w:val="auto"/>
                <w:sz w:val="24"/>
                <w:lang w:eastAsia="zh-CN"/>
              </w:rPr>
              <w:t>湖南正生山银花示范种植基地及加工集散交易中心建设项目</w:t>
            </w:r>
            <w:r>
              <w:rPr>
                <w:rFonts w:hint="default" w:ascii="Times New Roman" w:hAnsi="Times New Roman" w:cs="Times New Roman"/>
                <w:bCs/>
                <w:color w:val="auto"/>
              </w:rPr>
              <w:t>符合</w:t>
            </w:r>
            <w:r>
              <w:rPr>
                <w:rFonts w:hint="eastAsia" w:ascii="Times New Roman" w:hAnsi="Times New Roman" w:cs="Times New Roman"/>
                <w:bCs/>
                <w:color w:val="auto"/>
                <w:lang w:val="en-US" w:eastAsia="zh-CN"/>
              </w:rPr>
              <w:t>当前</w:t>
            </w:r>
            <w:r>
              <w:rPr>
                <w:rFonts w:hint="default" w:ascii="Times New Roman" w:hAnsi="Times New Roman" w:cs="Times New Roman"/>
                <w:bCs/>
                <w:color w:val="auto"/>
              </w:rPr>
              <w:t>国家和地方的相关产业政策，</w:t>
            </w:r>
            <w:r>
              <w:rPr>
                <w:rFonts w:hint="eastAsia" w:ascii="Times New Roman" w:hAnsi="Times New Roman" w:eastAsia="宋体" w:cs="Times New Roman"/>
                <w:color w:val="auto"/>
                <w:sz w:val="24"/>
              </w:rPr>
              <w:t>各</w:t>
            </w:r>
            <w:r>
              <w:rPr>
                <w:bCs/>
                <w:color w:val="auto"/>
                <w:sz w:val="24"/>
              </w:rPr>
              <w:t>项污染物经采取相应环保对策、措施后，其环境影响可得到减缓或消除。在严格按环保</w:t>
            </w:r>
            <w:r>
              <w:rPr>
                <w:rFonts w:hint="eastAsia"/>
                <w:bCs/>
                <w:color w:val="auto"/>
                <w:sz w:val="24"/>
                <w:lang w:eastAsia="zh-CN"/>
              </w:rPr>
              <w:t>“</w:t>
            </w:r>
            <w:r>
              <w:rPr>
                <w:bCs/>
                <w:color w:val="auto"/>
                <w:sz w:val="24"/>
              </w:rPr>
              <w:t>三同时</w:t>
            </w:r>
            <w:r>
              <w:rPr>
                <w:rFonts w:hint="eastAsia"/>
                <w:bCs/>
                <w:color w:val="auto"/>
                <w:sz w:val="24"/>
                <w:lang w:eastAsia="zh-CN"/>
              </w:rPr>
              <w:t>”</w:t>
            </w:r>
            <w:r>
              <w:rPr>
                <w:bCs/>
                <w:color w:val="auto"/>
                <w:sz w:val="24"/>
              </w:rPr>
              <w:t>制度落实本报告提出的各项环保对策、措施，保证治理资金落实到位，加强污染治理措施和设备运行管理的前提下，本项目建设和运营从环保角度分析是可行的。</w:t>
            </w:r>
          </w:p>
          <w:p w14:paraId="6B9BA8F0">
            <w:pPr>
              <w:spacing w:line="360" w:lineRule="auto"/>
              <w:ind w:firstLine="480" w:firstLineChars="200"/>
              <w:jc w:val="both"/>
              <w:rPr>
                <w:rFonts w:hint="default" w:ascii="Times New Roman" w:hAnsi="Times New Roman" w:cs="Times New Roman"/>
                <w:bCs/>
                <w:color w:val="auto"/>
                <w:kern w:val="0"/>
                <w:sz w:val="24"/>
                <w:szCs w:val="20"/>
              </w:rPr>
            </w:pPr>
          </w:p>
          <w:p w14:paraId="12C9F664">
            <w:pPr>
              <w:pStyle w:val="4"/>
              <w:spacing w:line="360" w:lineRule="auto"/>
              <w:ind w:firstLine="482" w:firstLineChars="200"/>
              <w:jc w:val="both"/>
              <w:rPr>
                <w:rFonts w:hint="default" w:ascii="Times New Roman" w:hAnsi="Times New Roman" w:cs="Times New Roman"/>
                <w:bCs/>
                <w:color w:val="auto"/>
                <w:kern w:val="0"/>
                <w:sz w:val="24"/>
                <w:szCs w:val="20"/>
              </w:rPr>
            </w:pPr>
          </w:p>
          <w:p w14:paraId="707F7C5B">
            <w:pPr>
              <w:pStyle w:val="47"/>
              <w:jc w:val="both"/>
              <w:rPr>
                <w:rFonts w:hint="default" w:ascii="Times New Roman" w:hAnsi="Times New Roman" w:cs="Times New Roman"/>
                <w:color w:val="auto"/>
              </w:rPr>
            </w:pPr>
          </w:p>
        </w:tc>
      </w:tr>
    </w:tbl>
    <w:p w14:paraId="1B8C95E1">
      <w:pPr>
        <w:pStyle w:val="2"/>
        <w:bidi w:val="0"/>
        <w:jc w:val="both"/>
        <w:rPr>
          <w:rFonts w:hint="default" w:asciiTheme="majorEastAsia" w:hAnsiTheme="majorEastAsia" w:eastAsiaTheme="majorEastAsia" w:cstheme="majorEastAsia"/>
          <w:b/>
          <w:bCs/>
          <w:color w:val="auto"/>
          <w:lang w:val="zh-CN"/>
        </w:rPr>
        <w:sectPr>
          <w:footerReference r:id="rId5" w:type="default"/>
          <w:pgSz w:w="11905" w:h="16838"/>
          <w:pgMar w:top="1440" w:right="1803" w:bottom="1440" w:left="1803" w:header="851" w:footer="850" w:gutter="0"/>
          <w:pgBorders>
            <w:top w:val="none" w:sz="0" w:space="0"/>
            <w:left w:val="none" w:sz="0" w:space="0"/>
            <w:bottom w:val="none" w:sz="0" w:space="0"/>
            <w:right w:val="none" w:sz="0" w:space="0"/>
          </w:pgBorders>
          <w:pgNumType w:fmt="decimal"/>
          <w:cols w:space="0" w:num="1"/>
          <w:rtlGutter w:val="0"/>
          <w:docGrid w:linePitch="312" w:charSpace="0"/>
        </w:sectPr>
      </w:pPr>
      <w:bookmarkStart w:id="49" w:name="_Toc24386"/>
      <w:bookmarkStart w:id="50" w:name="_Toc3342"/>
    </w:p>
    <w:p w14:paraId="71C82328">
      <w:pPr>
        <w:pStyle w:val="2"/>
        <w:bidi w:val="0"/>
        <w:jc w:val="both"/>
        <w:rPr>
          <w:rFonts w:hint="default" w:asciiTheme="majorEastAsia" w:hAnsiTheme="majorEastAsia" w:eastAsiaTheme="majorEastAsia" w:cstheme="majorEastAsia"/>
          <w:b/>
          <w:bCs/>
          <w:color w:val="auto"/>
          <w:lang w:val="zh-CN"/>
        </w:rPr>
      </w:pPr>
      <w:bookmarkStart w:id="51" w:name="_Toc4344"/>
      <w:r>
        <w:rPr>
          <w:rFonts w:hint="default" w:asciiTheme="majorEastAsia" w:hAnsiTheme="majorEastAsia" w:eastAsiaTheme="majorEastAsia" w:cstheme="majorEastAsia"/>
          <w:b/>
          <w:bCs/>
          <w:color w:val="auto"/>
          <w:lang w:val="zh-CN"/>
        </w:rPr>
        <w:t>附表</w:t>
      </w:r>
      <w:bookmarkEnd w:id="49"/>
      <w:bookmarkEnd w:id="50"/>
      <w:bookmarkEnd w:id="51"/>
    </w:p>
    <w:p w14:paraId="5E89A260">
      <w:pPr>
        <w:jc w:val="center"/>
        <w:rPr>
          <w:rFonts w:hint="default" w:ascii="Times New Roman" w:hAnsi="Times New Roman" w:cs="Times New Roman"/>
          <w:b/>
          <w:bCs/>
          <w:color w:val="auto"/>
          <w:sz w:val="32"/>
          <w:szCs w:val="32"/>
          <w:u w:val="none"/>
        </w:rPr>
      </w:pPr>
      <w:bookmarkStart w:id="52" w:name="_Toc17087"/>
      <w:r>
        <w:rPr>
          <w:rFonts w:hint="default" w:ascii="Times New Roman" w:hAnsi="Times New Roman" w:cs="Times New Roman"/>
          <w:b/>
          <w:bCs/>
          <w:color w:val="auto"/>
          <w:sz w:val="32"/>
          <w:szCs w:val="32"/>
          <w:highlight w:val="none"/>
          <w:u w:val="none"/>
        </w:rPr>
        <w:t>建设项目污染物排放量</w:t>
      </w:r>
      <w:r>
        <w:rPr>
          <w:rFonts w:hint="default" w:ascii="Times New Roman" w:hAnsi="Times New Roman" w:cs="Times New Roman"/>
          <w:b/>
          <w:bCs/>
          <w:color w:val="auto"/>
          <w:sz w:val="32"/>
          <w:szCs w:val="32"/>
          <w:u w:val="none"/>
        </w:rPr>
        <w:t>汇总表</w:t>
      </w:r>
      <w:bookmarkEnd w:id="52"/>
    </w:p>
    <w:tbl>
      <w:tblPr>
        <w:tblStyle w:val="32"/>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008"/>
        <w:gridCol w:w="1612"/>
        <w:gridCol w:w="1287"/>
        <w:gridCol w:w="1719"/>
        <w:gridCol w:w="1576"/>
        <w:gridCol w:w="1781"/>
        <w:gridCol w:w="1657"/>
        <w:gridCol w:w="1227"/>
      </w:tblGrid>
      <w:tr w14:paraId="0ADC1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tcBorders>
              <w:tl2br w:val="single" w:color="auto" w:sz="12" w:space="0"/>
            </w:tcBorders>
            <w:tcMar>
              <w:left w:w="28" w:type="dxa"/>
              <w:right w:w="28" w:type="dxa"/>
            </w:tcMar>
            <w:vAlign w:val="center"/>
          </w:tcPr>
          <w:p w14:paraId="16680317">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jc w:val="right"/>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项目</w:t>
            </w:r>
          </w:p>
          <w:p w14:paraId="7CA09E1C">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jc w:val="left"/>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分类</w:t>
            </w:r>
          </w:p>
        </w:tc>
        <w:tc>
          <w:tcPr>
            <w:tcW w:w="719" w:type="pct"/>
            <w:tcMar>
              <w:left w:w="28" w:type="dxa"/>
              <w:right w:w="28" w:type="dxa"/>
            </w:tcMar>
            <w:vAlign w:val="center"/>
          </w:tcPr>
          <w:p w14:paraId="33D9E006">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污染物名称</w:t>
            </w:r>
          </w:p>
        </w:tc>
        <w:tc>
          <w:tcPr>
            <w:tcW w:w="578" w:type="pct"/>
            <w:tcMar>
              <w:left w:w="28" w:type="dxa"/>
              <w:right w:w="28" w:type="dxa"/>
            </w:tcMar>
            <w:vAlign w:val="center"/>
          </w:tcPr>
          <w:p w14:paraId="7C1504A3">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现有工程排放量（固体废物产生量）</w:t>
            </w:r>
            <w:r>
              <w:rPr>
                <w:rFonts w:hint="default" w:ascii="Times New Roman" w:hAnsi="Times New Roman" w:cs="Times New Roman"/>
                <w:b/>
                <w:bCs/>
                <w:snapToGrid w:val="0"/>
                <w:color w:val="auto"/>
                <w:spacing w:val="-6"/>
                <w:kern w:val="21"/>
                <w:sz w:val="21"/>
                <w:szCs w:val="21"/>
                <w:u w:val="none"/>
                <w:lang w:val="en-US" w:eastAsia="zh-CN"/>
              </w:rPr>
              <w:fldChar w:fldCharType="begin"/>
            </w:r>
            <w:r>
              <w:rPr>
                <w:rFonts w:hint="default" w:ascii="Times New Roman" w:hAnsi="Times New Roman" w:cs="Times New Roman"/>
                <w:b/>
                <w:bCs/>
                <w:snapToGrid w:val="0"/>
                <w:color w:val="auto"/>
                <w:spacing w:val="-6"/>
                <w:kern w:val="21"/>
                <w:sz w:val="21"/>
                <w:szCs w:val="21"/>
                <w:u w:val="none"/>
                <w:lang w:val="en-US" w:eastAsia="zh-CN"/>
              </w:rPr>
              <w:instrText xml:space="preserve"> = 1 \* GB3 \* MERGEFORMAT </w:instrText>
            </w:r>
            <w:r>
              <w:rPr>
                <w:rFonts w:hint="default" w:ascii="Times New Roman" w:hAnsi="Times New Roman" w:cs="Times New Roman"/>
                <w:b/>
                <w:bCs/>
                <w:snapToGrid w:val="0"/>
                <w:color w:val="auto"/>
                <w:spacing w:val="-6"/>
                <w:kern w:val="21"/>
                <w:sz w:val="21"/>
                <w:szCs w:val="21"/>
                <w:u w:val="none"/>
                <w:lang w:val="en-US" w:eastAsia="zh-CN"/>
              </w:rPr>
              <w:fldChar w:fldCharType="separate"/>
            </w:r>
            <w:r>
              <w:rPr>
                <w:rFonts w:hint="default" w:ascii="Times New Roman" w:hAnsi="Times New Roman" w:cs="Times New Roman"/>
                <w:b/>
                <w:bCs/>
                <w:color w:val="auto"/>
                <w:kern w:val="2"/>
                <w:sz w:val="21"/>
                <w:szCs w:val="21"/>
                <w:u w:val="none"/>
                <w:lang w:val="en-US" w:eastAsia="zh-CN"/>
              </w:rPr>
              <w:t>①</w:t>
            </w:r>
            <w:r>
              <w:rPr>
                <w:rFonts w:hint="default" w:ascii="Times New Roman" w:hAnsi="Times New Roman" w:cs="Times New Roman"/>
                <w:b/>
                <w:bCs/>
                <w:snapToGrid w:val="0"/>
                <w:color w:val="auto"/>
                <w:spacing w:val="-6"/>
                <w:kern w:val="21"/>
                <w:sz w:val="21"/>
                <w:szCs w:val="21"/>
                <w:u w:val="none"/>
                <w:lang w:val="en-US" w:eastAsia="zh-CN"/>
              </w:rPr>
              <w:fldChar w:fldCharType="end"/>
            </w:r>
          </w:p>
        </w:tc>
        <w:tc>
          <w:tcPr>
            <w:tcW w:w="462" w:type="pct"/>
            <w:tcMar>
              <w:left w:w="28" w:type="dxa"/>
              <w:right w:w="28" w:type="dxa"/>
            </w:tcMar>
            <w:vAlign w:val="center"/>
          </w:tcPr>
          <w:p w14:paraId="0822614A">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现有工程许可排放量</w:t>
            </w:r>
          </w:p>
          <w:p w14:paraId="1D1000BD">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fldChar w:fldCharType="begin"/>
            </w:r>
            <w:r>
              <w:rPr>
                <w:rFonts w:hint="default" w:ascii="Times New Roman" w:hAnsi="Times New Roman" w:cs="Times New Roman"/>
                <w:b/>
                <w:bCs/>
                <w:snapToGrid w:val="0"/>
                <w:color w:val="auto"/>
                <w:spacing w:val="-6"/>
                <w:kern w:val="21"/>
                <w:sz w:val="21"/>
                <w:szCs w:val="21"/>
                <w:u w:val="none"/>
                <w:lang w:val="en-US" w:eastAsia="zh-CN"/>
              </w:rPr>
              <w:instrText xml:space="preserve"> = 2 \* GB3 \* MERGEFORMAT </w:instrText>
            </w:r>
            <w:r>
              <w:rPr>
                <w:rFonts w:hint="default" w:ascii="Times New Roman" w:hAnsi="Times New Roman" w:cs="Times New Roman"/>
                <w:b/>
                <w:bCs/>
                <w:snapToGrid w:val="0"/>
                <w:color w:val="auto"/>
                <w:spacing w:val="-6"/>
                <w:kern w:val="21"/>
                <w:sz w:val="21"/>
                <w:szCs w:val="21"/>
                <w:u w:val="none"/>
                <w:lang w:val="en-US" w:eastAsia="zh-CN"/>
              </w:rPr>
              <w:fldChar w:fldCharType="separate"/>
            </w:r>
            <w:r>
              <w:rPr>
                <w:rFonts w:hint="default" w:ascii="Times New Roman" w:hAnsi="Times New Roman" w:cs="Times New Roman"/>
                <w:b/>
                <w:bCs/>
                <w:snapToGrid w:val="0"/>
                <w:color w:val="auto"/>
                <w:spacing w:val="-6"/>
                <w:kern w:val="21"/>
                <w:sz w:val="21"/>
                <w:szCs w:val="21"/>
                <w:u w:val="none"/>
                <w:lang w:val="en-US" w:eastAsia="zh-CN"/>
              </w:rPr>
              <w:t>②</w:t>
            </w:r>
            <w:r>
              <w:rPr>
                <w:rFonts w:hint="default" w:ascii="Times New Roman" w:hAnsi="Times New Roman" w:cs="Times New Roman"/>
                <w:b/>
                <w:bCs/>
                <w:snapToGrid w:val="0"/>
                <w:color w:val="auto"/>
                <w:spacing w:val="-6"/>
                <w:kern w:val="21"/>
                <w:sz w:val="21"/>
                <w:szCs w:val="21"/>
                <w:u w:val="none"/>
                <w:lang w:val="en-US" w:eastAsia="zh-CN"/>
              </w:rPr>
              <w:fldChar w:fldCharType="end"/>
            </w:r>
          </w:p>
        </w:tc>
        <w:tc>
          <w:tcPr>
            <w:tcW w:w="616" w:type="pct"/>
            <w:tcMar>
              <w:left w:w="28" w:type="dxa"/>
              <w:right w:w="28" w:type="dxa"/>
            </w:tcMar>
            <w:vAlign w:val="center"/>
          </w:tcPr>
          <w:p w14:paraId="7FE8F6C7">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在建工程排放量（固体废物产生量）</w:t>
            </w:r>
            <w:r>
              <w:rPr>
                <w:rFonts w:hint="default" w:ascii="Times New Roman" w:hAnsi="Times New Roman" w:cs="Times New Roman"/>
                <w:b/>
                <w:bCs/>
                <w:snapToGrid w:val="0"/>
                <w:color w:val="auto"/>
                <w:spacing w:val="-6"/>
                <w:kern w:val="21"/>
                <w:sz w:val="21"/>
                <w:szCs w:val="21"/>
                <w:u w:val="none"/>
                <w:lang w:val="en-US" w:eastAsia="zh-CN"/>
              </w:rPr>
              <w:fldChar w:fldCharType="begin"/>
            </w:r>
            <w:r>
              <w:rPr>
                <w:rFonts w:hint="default" w:ascii="Times New Roman" w:hAnsi="Times New Roman" w:cs="Times New Roman"/>
                <w:b/>
                <w:bCs/>
                <w:snapToGrid w:val="0"/>
                <w:color w:val="auto"/>
                <w:spacing w:val="-6"/>
                <w:kern w:val="21"/>
                <w:sz w:val="21"/>
                <w:szCs w:val="21"/>
                <w:u w:val="none"/>
                <w:lang w:val="en-US" w:eastAsia="zh-CN"/>
              </w:rPr>
              <w:instrText xml:space="preserve"> = 3 \* GB3 \* MERGEFORMAT </w:instrText>
            </w:r>
            <w:r>
              <w:rPr>
                <w:rFonts w:hint="default" w:ascii="Times New Roman" w:hAnsi="Times New Roman" w:cs="Times New Roman"/>
                <w:b/>
                <w:bCs/>
                <w:snapToGrid w:val="0"/>
                <w:color w:val="auto"/>
                <w:spacing w:val="-6"/>
                <w:kern w:val="21"/>
                <w:sz w:val="21"/>
                <w:szCs w:val="21"/>
                <w:u w:val="none"/>
                <w:lang w:val="en-US" w:eastAsia="zh-CN"/>
              </w:rPr>
              <w:fldChar w:fldCharType="separate"/>
            </w:r>
            <w:r>
              <w:rPr>
                <w:rFonts w:hint="default" w:ascii="Times New Roman" w:hAnsi="Times New Roman" w:cs="Times New Roman"/>
                <w:b/>
                <w:bCs/>
                <w:color w:val="auto"/>
                <w:kern w:val="2"/>
                <w:sz w:val="21"/>
                <w:szCs w:val="21"/>
                <w:u w:val="none"/>
                <w:lang w:val="en-US" w:eastAsia="zh-CN"/>
              </w:rPr>
              <w:t>③</w:t>
            </w:r>
            <w:r>
              <w:rPr>
                <w:rFonts w:hint="default" w:ascii="Times New Roman" w:hAnsi="Times New Roman" w:cs="Times New Roman"/>
                <w:b/>
                <w:bCs/>
                <w:snapToGrid w:val="0"/>
                <w:color w:val="auto"/>
                <w:spacing w:val="-6"/>
                <w:kern w:val="21"/>
                <w:sz w:val="21"/>
                <w:szCs w:val="21"/>
                <w:u w:val="none"/>
                <w:lang w:val="en-US" w:eastAsia="zh-CN"/>
              </w:rPr>
              <w:fldChar w:fldCharType="end"/>
            </w:r>
          </w:p>
        </w:tc>
        <w:tc>
          <w:tcPr>
            <w:tcW w:w="565" w:type="pct"/>
            <w:tcMar>
              <w:left w:w="28" w:type="dxa"/>
              <w:right w:w="28" w:type="dxa"/>
            </w:tcMar>
            <w:vAlign w:val="center"/>
          </w:tcPr>
          <w:p w14:paraId="774EC8A4">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本项目排放量（固体废物产生量）</w:t>
            </w:r>
            <w:r>
              <w:rPr>
                <w:rFonts w:hint="default" w:ascii="Times New Roman" w:hAnsi="Times New Roman" w:cs="Times New Roman"/>
                <w:b/>
                <w:bCs/>
                <w:snapToGrid w:val="0"/>
                <w:color w:val="auto"/>
                <w:spacing w:val="-6"/>
                <w:kern w:val="21"/>
                <w:sz w:val="21"/>
                <w:szCs w:val="21"/>
                <w:u w:val="none"/>
                <w:lang w:val="en-US" w:eastAsia="zh-CN"/>
              </w:rPr>
              <w:fldChar w:fldCharType="begin"/>
            </w:r>
            <w:r>
              <w:rPr>
                <w:rFonts w:hint="default" w:ascii="Times New Roman" w:hAnsi="Times New Roman" w:cs="Times New Roman"/>
                <w:b/>
                <w:bCs/>
                <w:snapToGrid w:val="0"/>
                <w:color w:val="auto"/>
                <w:spacing w:val="-6"/>
                <w:kern w:val="21"/>
                <w:sz w:val="21"/>
                <w:szCs w:val="21"/>
                <w:u w:val="none"/>
                <w:lang w:val="en-US" w:eastAsia="zh-CN"/>
              </w:rPr>
              <w:instrText xml:space="preserve"> = 4 \* GB3 \* MERGEFORMAT </w:instrText>
            </w:r>
            <w:r>
              <w:rPr>
                <w:rFonts w:hint="default" w:ascii="Times New Roman" w:hAnsi="Times New Roman" w:cs="Times New Roman"/>
                <w:b/>
                <w:bCs/>
                <w:snapToGrid w:val="0"/>
                <w:color w:val="auto"/>
                <w:spacing w:val="-6"/>
                <w:kern w:val="21"/>
                <w:sz w:val="21"/>
                <w:szCs w:val="21"/>
                <w:u w:val="none"/>
                <w:lang w:val="en-US" w:eastAsia="zh-CN"/>
              </w:rPr>
              <w:fldChar w:fldCharType="separate"/>
            </w:r>
            <w:r>
              <w:rPr>
                <w:rFonts w:hint="default" w:ascii="Times New Roman" w:hAnsi="Times New Roman" w:cs="Times New Roman"/>
                <w:b/>
                <w:bCs/>
                <w:color w:val="auto"/>
                <w:kern w:val="2"/>
                <w:sz w:val="21"/>
                <w:szCs w:val="21"/>
                <w:u w:val="none"/>
                <w:lang w:val="en-US" w:eastAsia="zh-CN"/>
              </w:rPr>
              <w:t>④</w:t>
            </w:r>
            <w:r>
              <w:rPr>
                <w:rFonts w:hint="default" w:ascii="Times New Roman" w:hAnsi="Times New Roman" w:cs="Times New Roman"/>
                <w:b/>
                <w:bCs/>
                <w:snapToGrid w:val="0"/>
                <w:color w:val="auto"/>
                <w:spacing w:val="-6"/>
                <w:kern w:val="21"/>
                <w:sz w:val="21"/>
                <w:szCs w:val="21"/>
                <w:u w:val="none"/>
                <w:lang w:val="en-US" w:eastAsia="zh-CN"/>
              </w:rPr>
              <w:fldChar w:fldCharType="end"/>
            </w:r>
          </w:p>
        </w:tc>
        <w:tc>
          <w:tcPr>
            <w:tcW w:w="638" w:type="pct"/>
            <w:tcMar>
              <w:left w:w="28" w:type="dxa"/>
              <w:right w:w="28" w:type="dxa"/>
            </w:tcMar>
            <w:vAlign w:val="center"/>
          </w:tcPr>
          <w:p w14:paraId="37784422">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16"/>
                <w:kern w:val="21"/>
                <w:sz w:val="21"/>
                <w:szCs w:val="21"/>
                <w:u w:val="none"/>
                <w:lang w:val="en-US" w:eastAsia="zh-CN"/>
              </w:rPr>
            </w:pPr>
            <w:r>
              <w:rPr>
                <w:rFonts w:hint="default" w:ascii="Times New Roman" w:hAnsi="Times New Roman" w:cs="Times New Roman"/>
                <w:b/>
                <w:bCs/>
                <w:snapToGrid w:val="0"/>
                <w:color w:val="auto"/>
                <w:spacing w:val="-16"/>
                <w:kern w:val="21"/>
                <w:sz w:val="21"/>
                <w:szCs w:val="21"/>
                <w:u w:val="none"/>
                <w:lang w:val="en-US" w:eastAsia="zh-CN"/>
              </w:rPr>
              <w:t>以新带老削减量（新建项目不填）</w:t>
            </w:r>
            <w:r>
              <w:rPr>
                <w:rFonts w:hint="default" w:ascii="Times New Roman" w:hAnsi="Times New Roman" w:cs="Times New Roman"/>
                <w:b/>
                <w:bCs/>
                <w:snapToGrid w:val="0"/>
                <w:color w:val="auto"/>
                <w:spacing w:val="-16"/>
                <w:kern w:val="21"/>
                <w:sz w:val="21"/>
                <w:szCs w:val="21"/>
                <w:u w:val="none"/>
                <w:lang w:val="en-US" w:eastAsia="zh-CN"/>
              </w:rPr>
              <w:fldChar w:fldCharType="begin"/>
            </w:r>
            <w:r>
              <w:rPr>
                <w:rFonts w:hint="default" w:ascii="Times New Roman" w:hAnsi="Times New Roman" w:cs="Times New Roman"/>
                <w:b/>
                <w:bCs/>
                <w:snapToGrid w:val="0"/>
                <w:color w:val="auto"/>
                <w:spacing w:val="-16"/>
                <w:kern w:val="21"/>
                <w:sz w:val="21"/>
                <w:szCs w:val="21"/>
                <w:u w:val="none"/>
                <w:lang w:val="en-US" w:eastAsia="zh-CN"/>
              </w:rPr>
              <w:instrText xml:space="preserve"> = 5 \* GB3 \* MERGEFORMAT </w:instrText>
            </w:r>
            <w:r>
              <w:rPr>
                <w:rFonts w:hint="default" w:ascii="Times New Roman" w:hAnsi="Times New Roman" w:cs="Times New Roman"/>
                <w:b/>
                <w:bCs/>
                <w:snapToGrid w:val="0"/>
                <w:color w:val="auto"/>
                <w:spacing w:val="-16"/>
                <w:kern w:val="21"/>
                <w:sz w:val="21"/>
                <w:szCs w:val="21"/>
                <w:u w:val="none"/>
                <w:lang w:val="en-US" w:eastAsia="zh-CN"/>
              </w:rPr>
              <w:fldChar w:fldCharType="separate"/>
            </w:r>
            <w:r>
              <w:rPr>
                <w:rFonts w:hint="default" w:ascii="Times New Roman" w:hAnsi="Times New Roman" w:cs="Times New Roman"/>
                <w:b/>
                <w:bCs/>
                <w:color w:val="auto"/>
                <w:kern w:val="2"/>
                <w:sz w:val="21"/>
                <w:szCs w:val="21"/>
                <w:u w:val="none"/>
                <w:lang w:val="en-US" w:eastAsia="zh-CN"/>
              </w:rPr>
              <w:t>⑤</w:t>
            </w:r>
            <w:r>
              <w:rPr>
                <w:rFonts w:hint="default" w:ascii="Times New Roman" w:hAnsi="Times New Roman" w:cs="Times New Roman"/>
                <w:b/>
                <w:bCs/>
                <w:snapToGrid w:val="0"/>
                <w:color w:val="auto"/>
                <w:spacing w:val="-16"/>
                <w:kern w:val="21"/>
                <w:sz w:val="21"/>
                <w:szCs w:val="21"/>
                <w:u w:val="none"/>
                <w:lang w:val="en-US" w:eastAsia="zh-CN"/>
              </w:rPr>
              <w:fldChar w:fldCharType="end"/>
            </w:r>
          </w:p>
        </w:tc>
        <w:tc>
          <w:tcPr>
            <w:tcW w:w="594" w:type="pct"/>
            <w:tcMar>
              <w:left w:w="28" w:type="dxa"/>
              <w:right w:w="28" w:type="dxa"/>
            </w:tcMar>
            <w:vAlign w:val="center"/>
          </w:tcPr>
          <w:p w14:paraId="757D74F4">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16"/>
                <w:kern w:val="21"/>
                <w:sz w:val="21"/>
                <w:szCs w:val="21"/>
                <w:u w:val="none"/>
                <w:lang w:val="en-US" w:eastAsia="zh-CN"/>
              </w:rPr>
            </w:pPr>
            <w:r>
              <w:rPr>
                <w:rFonts w:hint="default" w:ascii="Times New Roman" w:hAnsi="Times New Roman" w:cs="Times New Roman"/>
                <w:b/>
                <w:bCs/>
                <w:snapToGrid w:val="0"/>
                <w:color w:val="auto"/>
                <w:spacing w:val="-16"/>
                <w:kern w:val="21"/>
                <w:sz w:val="21"/>
                <w:szCs w:val="21"/>
                <w:u w:val="none"/>
                <w:lang w:val="en-US" w:eastAsia="zh-CN"/>
              </w:rPr>
              <w:t>本项目建成后全厂排放量（固体废物产生量）</w:t>
            </w:r>
            <w:r>
              <w:rPr>
                <w:rFonts w:hint="default" w:ascii="Times New Roman" w:hAnsi="Times New Roman" w:cs="Times New Roman"/>
                <w:b/>
                <w:bCs/>
                <w:snapToGrid w:val="0"/>
                <w:color w:val="auto"/>
                <w:spacing w:val="-16"/>
                <w:kern w:val="21"/>
                <w:sz w:val="21"/>
                <w:szCs w:val="21"/>
                <w:u w:val="none"/>
                <w:lang w:val="en-US" w:eastAsia="zh-CN"/>
              </w:rPr>
              <w:fldChar w:fldCharType="begin"/>
            </w:r>
            <w:r>
              <w:rPr>
                <w:rFonts w:hint="default" w:ascii="Times New Roman" w:hAnsi="Times New Roman" w:cs="Times New Roman"/>
                <w:b/>
                <w:bCs/>
                <w:snapToGrid w:val="0"/>
                <w:color w:val="auto"/>
                <w:spacing w:val="-16"/>
                <w:kern w:val="21"/>
                <w:sz w:val="21"/>
                <w:szCs w:val="21"/>
                <w:u w:val="none"/>
                <w:lang w:val="en-US" w:eastAsia="zh-CN"/>
              </w:rPr>
              <w:instrText xml:space="preserve"> = 6 \* GB3 \* MERGEFORMAT </w:instrText>
            </w:r>
            <w:r>
              <w:rPr>
                <w:rFonts w:hint="default" w:ascii="Times New Roman" w:hAnsi="Times New Roman" w:cs="Times New Roman"/>
                <w:b/>
                <w:bCs/>
                <w:snapToGrid w:val="0"/>
                <w:color w:val="auto"/>
                <w:spacing w:val="-16"/>
                <w:kern w:val="21"/>
                <w:sz w:val="21"/>
                <w:szCs w:val="21"/>
                <w:u w:val="none"/>
                <w:lang w:val="en-US" w:eastAsia="zh-CN"/>
              </w:rPr>
              <w:fldChar w:fldCharType="separate"/>
            </w:r>
            <w:r>
              <w:rPr>
                <w:rFonts w:hint="default" w:ascii="Times New Roman" w:hAnsi="Times New Roman" w:cs="Times New Roman"/>
                <w:b/>
                <w:bCs/>
                <w:color w:val="auto"/>
                <w:kern w:val="2"/>
                <w:sz w:val="21"/>
                <w:szCs w:val="21"/>
                <w:u w:val="none"/>
                <w:lang w:val="en-US" w:eastAsia="zh-CN"/>
              </w:rPr>
              <w:t>⑥</w:t>
            </w:r>
            <w:r>
              <w:rPr>
                <w:rFonts w:hint="default" w:ascii="Times New Roman" w:hAnsi="Times New Roman" w:cs="Times New Roman"/>
                <w:b/>
                <w:bCs/>
                <w:snapToGrid w:val="0"/>
                <w:color w:val="auto"/>
                <w:spacing w:val="-16"/>
                <w:kern w:val="21"/>
                <w:sz w:val="21"/>
                <w:szCs w:val="21"/>
                <w:u w:val="none"/>
                <w:lang w:val="en-US" w:eastAsia="zh-CN"/>
              </w:rPr>
              <w:fldChar w:fldCharType="end"/>
            </w:r>
          </w:p>
        </w:tc>
        <w:tc>
          <w:tcPr>
            <w:tcW w:w="415" w:type="pct"/>
            <w:tcMar>
              <w:left w:w="28" w:type="dxa"/>
              <w:right w:w="28" w:type="dxa"/>
            </w:tcMar>
            <w:vAlign w:val="center"/>
          </w:tcPr>
          <w:p w14:paraId="088DAD6A">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b/>
                <w:bCs/>
                <w:snapToGrid w:val="0"/>
                <w:color w:val="auto"/>
                <w:spacing w:val="-6"/>
                <w:kern w:val="21"/>
                <w:sz w:val="21"/>
                <w:szCs w:val="21"/>
                <w:u w:val="none"/>
                <w:lang w:val="en-US" w:eastAsia="zh-CN"/>
              </w:rPr>
            </w:pPr>
            <w:r>
              <w:rPr>
                <w:rFonts w:hint="default" w:ascii="Times New Roman" w:hAnsi="Times New Roman" w:cs="Times New Roman"/>
                <w:b/>
                <w:bCs/>
                <w:snapToGrid w:val="0"/>
                <w:color w:val="auto"/>
                <w:spacing w:val="-6"/>
                <w:kern w:val="21"/>
                <w:sz w:val="21"/>
                <w:szCs w:val="21"/>
                <w:u w:val="none"/>
                <w:lang w:val="en-US" w:eastAsia="zh-CN"/>
              </w:rPr>
              <w:t>变化量</w:t>
            </w:r>
            <w:r>
              <w:rPr>
                <w:rFonts w:hint="default" w:ascii="Times New Roman" w:hAnsi="Times New Roman" w:cs="Times New Roman"/>
                <w:b/>
                <w:bCs/>
                <w:snapToGrid w:val="0"/>
                <w:color w:val="auto"/>
                <w:spacing w:val="-6"/>
                <w:kern w:val="21"/>
                <w:sz w:val="21"/>
                <w:szCs w:val="21"/>
                <w:u w:val="none"/>
                <w:lang w:val="en-US" w:eastAsia="zh-CN"/>
              </w:rPr>
              <w:fldChar w:fldCharType="begin"/>
            </w:r>
            <w:r>
              <w:rPr>
                <w:rFonts w:hint="default" w:ascii="Times New Roman" w:hAnsi="Times New Roman" w:cs="Times New Roman"/>
                <w:b/>
                <w:bCs/>
                <w:snapToGrid w:val="0"/>
                <w:color w:val="auto"/>
                <w:spacing w:val="-6"/>
                <w:kern w:val="21"/>
                <w:sz w:val="21"/>
                <w:szCs w:val="21"/>
                <w:u w:val="none"/>
                <w:lang w:val="en-US" w:eastAsia="zh-CN"/>
              </w:rPr>
              <w:instrText xml:space="preserve"> = 7 \* GB3 \* MERGEFORMAT </w:instrText>
            </w:r>
            <w:r>
              <w:rPr>
                <w:rFonts w:hint="default" w:ascii="Times New Roman" w:hAnsi="Times New Roman" w:cs="Times New Roman"/>
                <w:b/>
                <w:bCs/>
                <w:snapToGrid w:val="0"/>
                <w:color w:val="auto"/>
                <w:spacing w:val="-6"/>
                <w:kern w:val="21"/>
                <w:sz w:val="21"/>
                <w:szCs w:val="21"/>
                <w:u w:val="none"/>
                <w:lang w:val="en-US" w:eastAsia="zh-CN"/>
              </w:rPr>
              <w:fldChar w:fldCharType="separate"/>
            </w:r>
            <w:r>
              <w:rPr>
                <w:rFonts w:hint="default" w:ascii="Times New Roman" w:hAnsi="Times New Roman" w:cs="Times New Roman"/>
                <w:b/>
                <w:bCs/>
                <w:color w:val="auto"/>
                <w:kern w:val="2"/>
                <w:sz w:val="21"/>
                <w:szCs w:val="21"/>
                <w:u w:val="none"/>
                <w:lang w:val="en-US" w:eastAsia="zh-CN"/>
              </w:rPr>
              <w:t>⑦</w:t>
            </w:r>
            <w:r>
              <w:rPr>
                <w:rFonts w:hint="default" w:ascii="Times New Roman" w:hAnsi="Times New Roman" w:cs="Times New Roman"/>
                <w:b/>
                <w:bCs/>
                <w:snapToGrid w:val="0"/>
                <w:color w:val="auto"/>
                <w:spacing w:val="-6"/>
                <w:kern w:val="21"/>
                <w:sz w:val="21"/>
                <w:szCs w:val="21"/>
                <w:u w:val="none"/>
                <w:lang w:val="en-US" w:eastAsia="zh-CN"/>
              </w:rPr>
              <w:fldChar w:fldCharType="end"/>
            </w:r>
          </w:p>
        </w:tc>
      </w:tr>
      <w:tr w14:paraId="33F77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restart"/>
            <w:vAlign w:val="center"/>
          </w:tcPr>
          <w:p w14:paraId="3450307F">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废气</w:t>
            </w:r>
          </w:p>
        </w:tc>
        <w:tc>
          <w:tcPr>
            <w:tcW w:w="719" w:type="pct"/>
            <w:vAlign w:val="center"/>
          </w:tcPr>
          <w:p w14:paraId="0BD0C26C">
            <w:pPr>
              <w:keepNext w:val="0"/>
              <w:keepLines w:val="0"/>
              <w:pageBreakBefore w:val="0"/>
              <w:kinsoku/>
              <w:wordWrap/>
              <w:overflowPunct/>
              <w:topLinePunct w:val="0"/>
              <w:autoSpaceDE w:val="0"/>
              <w:autoSpaceDN w:val="0"/>
              <w:bidi w:val="0"/>
              <w:adjustRightInd/>
              <w:spacing w:line="240" w:lineRule="auto"/>
              <w:ind w:lef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578" w:type="pct"/>
            <w:vAlign w:val="center"/>
          </w:tcPr>
          <w:p w14:paraId="4E4FC4D8">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6ADBED0B">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3ADC0406">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48F31137">
            <w:pPr>
              <w:keepNext w:val="0"/>
              <w:keepLines w:val="0"/>
              <w:widowControl/>
              <w:suppressLineNumbers w:val="0"/>
              <w:jc w:val="center"/>
              <w:textAlignment w:val="center"/>
              <w:rPr>
                <w:rFonts w:hint="default" w:ascii="Times New Roman" w:hAnsi="Times New Roman" w:cs="Times New Roman"/>
                <w:color w:val="FF0000"/>
                <w:sz w:val="21"/>
                <w:szCs w:val="21"/>
                <w:u w:val="none"/>
                <w:lang w:val="en-US"/>
              </w:rPr>
            </w:pPr>
            <w:r>
              <w:rPr>
                <w:rFonts w:hint="eastAsia" w:cs="Times New Roman"/>
                <w:i w:val="0"/>
                <w:iCs w:val="0"/>
                <w:color w:val="FF0000"/>
                <w:kern w:val="0"/>
                <w:sz w:val="21"/>
                <w:szCs w:val="21"/>
                <w:u w:val="none"/>
                <w:lang w:val="en-US" w:eastAsia="zh-CN" w:bidi="ar"/>
              </w:rPr>
              <w:t>0.694</w:t>
            </w:r>
            <w:r>
              <w:rPr>
                <w:rFonts w:hint="default" w:ascii="Times New Roman" w:hAnsi="Times New Roman" w:cs="Times New Roman"/>
                <w:snapToGrid w:val="0"/>
                <w:color w:val="auto"/>
                <w:sz w:val="21"/>
                <w:szCs w:val="21"/>
                <w:u w:val="none"/>
              </w:rPr>
              <w:t>t/a</w:t>
            </w:r>
          </w:p>
        </w:tc>
        <w:tc>
          <w:tcPr>
            <w:tcW w:w="638" w:type="pct"/>
            <w:vAlign w:val="center"/>
          </w:tcPr>
          <w:p w14:paraId="3A1D6212">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FF0000"/>
                <w:kern w:val="21"/>
                <w:sz w:val="21"/>
                <w:szCs w:val="21"/>
                <w:u w:val="none"/>
              </w:rPr>
            </w:pPr>
            <w:r>
              <w:rPr>
                <w:rFonts w:hint="default" w:ascii="Times New Roman" w:hAnsi="Times New Roman" w:cs="Times New Roman"/>
                <w:snapToGrid w:val="0"/>
                <w:color w:val="FF0000"/>
                <w:kern w:val="21"/>
                <w:sz w:val="21"/>
                <w:szCs w:val="21"/>
                <w:u w:val="none"/>
                <w:lang w:val="en-US" w:eastAsia="zh-CN"/>
              </w:rPr>
              <w:t>/</w:t>
            </w:r>
          </w:p>
        </w:tc>
        <w:tc>
          <w:tcPr>
            <w:tcW w:w="1665" w:type="dxa"/>
            <w:vAlign w:val="center"/>
          </w:tcPr>
          <w:p w14:paraId="46F810D6">
            <w:pPr>
              <w:keepNext w:val="0"/>
              <w:keepLines w:val="0"/>
              <w:widowControl/>
              <w:suppressLineNumbers w:val="0"/>
              <w:jc w:val="center"/>
              <w:textAlignment w:val="center"/>
              <w:rPr>
                <w:rFonts w:hint="default" w:ascii="Times New Roman" w:hAnsi="Times New Roman" w:cs="Times New Roman"/>
                <w:color w:val="FF0000"/>
                <w:kern w:val="2"/>
                <w:sz w:val="21"/>
                <w:szCs w:val="21"/>
                <w:u w:val="none"/>
                <w:lang w:val="en-US" w:eastAsia="zh-CN" w:bidi="ar-SA"/>
              </w:rPr>
            </w:pPr>
            <w:r>
              <w:rPr>
                <w:rFonts w:hint="eastAsia" w:cs="Times New Roman"/>
                <w:i w:val="0"/>
                <w:iCs w:val="0"/>
                <w:color w:val="FF0000"/>
                <w:kern w:val="0"/>
                <w:sz w:val="21"/>
                <w:szCs w:val="21"/>
                <w:u w:val="none"/>
                <w:lang w:val="en-US" w:eastAsia="zh-CN" w:bidi="ar"/>
              </w:rPr>
              <w:t>0.694</w:t>
            </w:r>
            <w:r>
              <w:rPr>
                <w:rFonts w:hint="default" w:ascii="Times New Roman" w:hAnsi="Times New Roman" w:cs="Times New Roman"/>
                <w:snapToGrid w:val="0"/>
                <w:color w:val="auto"/>
                <w:sz w:val="21"/>
                <w:szCs w:val="21"/>
                <w:u w:val="none"/>
              </w:rPr>
              <w:t>t/a</w:t>
            </w:r>
          </w:p>
        </w:tc>
        <w:tc>
          <w:tcPr>
            <w:tcW w:w="1163" w:type="dxa"/>
            <w:vAlign w:val="center"/>
          </w:tcPr>
          <w:p w14:paraId="2DEB8FE7">
            <w:pPr>
              <w:keepNext w:val="0"/>
              <w:keepLines w:val="0"/>
              <w:widowControl/>
              <w:suppressLineNumbers w:val="0"/>
              <w:jc w:val="center"/>
              <w:textAlignment w:val="center"/>
              <w:rPr>
                <w:rFonts w:hint="default" w:ascii="Times New Roman" w:hAnsi="Times New Roman" w:cs="Times New Roman"/>
                <w:snapToGrid w:val="0"/>
                <w:color w:val="FF0000"/>
                <w:kern w:val="21"/>
                <w:sz w:val="21"/>
                <w:szCs w:val="21"/>
                <w:u w:val="none"/>
                <w:lang w:val="en-US" w:eastAsia="zh-CN"/>
              </w:rPr>
            </w:pPr>
            <w:r>
              <w:rPr>
                <w:rFonts w:hint="eastAsia" w:cs="Times New Roman"/>
                <w:i w:val="0"/>
                <w:iCs w:val="0"/>
                <w:color w:val="FF0000"/>
                <w:kern w:val="0"/>
                <w:sz w:val="21"/>
                <w:szCs w:val="21"/>
                <w:u w:val="none"/>
                <w:lang w:val="en-US" w:eastAsia="zh-CN" w:bidi="ar"/>
              </w:rPr>
              <w:t>+0.694</w:t>
            </w:r>
            <w:r>
              <w:rPr>
                <w:rFonts w:hint="default" w:ascii="Times New Roman" w:hAnsi="Times New Roman" w:cs="Times New Roman"/>
                <w:snapToGrid w:val="0"/>
                <w:color w:val="auto"/>
                <w:sz w:val="21"/>
                <w:szCs w:val="21"/>
                <w:u w:val="none"/>
              </w:rPr>
              <w:t>t/a</w:t>
            </w:r>
          </w:p>
        </w:tc>
      </w:tr>
      <w:tr w14:paraId="07619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4A2A8C51">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color w:val="auto"/>
                <w:sz w:val="21"/>
                <w:szCs w:val="21"/>
                <w:u w:val="none"/>
              </w:rPr>
            </w:pPr>
          </w:p>
        </w:tc>
        <w:tc>
          <w:tcPr>
            <w:tcW w:w="719" w:type="pct"/>
            <w:vAlign w:val="center"/>
          </w:tcPr>
          <w:p w14:paraId="27B19DD2">
            <w:pPr>
              <w:keepNext w:val="0"/>
              <w:keepLines w:val="0"/>
              <w:pageBreakBefore w:val="0"/>
              <w:kinsoku/>
              <w:wordWrap/>
              <w:overflowPunct/>
              <w:topLinePunct w:val="0"/>
              <w:autoSpaceDE w:val="0"/>
              <w:autoSpaceDN w:val="0"/>
              <w:bidi w:val="0"/>
              <w:adjustRightInd/>
              <w:spacing w:line="240" w:lineRule="auto"/>
              <w:ind w:lef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578" w:type="pct"/>
            <w:vAlign w:val="center"/>
          </w:tcPr>
          <w:p w14:paraId="221AB0EF">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32560519">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4715E40B">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2466874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486</w:t>
            </w:r>
            <w:r>
              <w:rPr>
                <w:rFonts w:hint="default" w:ascii="Times New Roman" w:hAnsi="Times New Roman" w:cs="Times New Roman"/>
                <w:snapToGrid w:val="0"/>
                <w:color w:val="auto"/>
                <w:sz w:val="21"/>
                <w:szCs w:val="21"/>
                <w:u w:val="none"/>
              </w:rPr>
              <w:t>t/a</w:t>
            </w:r>
          </w:p>
        </w:tc>
        <w:tc>
          <w:tcPr>
            <w:tcW w:w="638" w:type="pct"/>
            <w:vAlign w:val="center"/>
          </w:tcPr>
          <w:p w14:paraId="4CF4D82C">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2A5C891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486</w:t>
            </w:r>
            <w:r>
              <w:rPr>
                <w:rFonts w:hint="default" w:ascii="Times New Roman" w:hAnsi="Times New Roman" w:cs="Times New Roman"/>
                <w:snapToGrid w:val="0"/>
                <w:color w:val="auto"/>
                <w:sz w:val="21"/>
                <w:szCs w:val="21"/>
                <w:u w:val="none"/>
              </w:rPr>
              <w:t>t/a</w:t>
            </w:r>
          </w:p>
        </w:tc>
        <w:tc>
          <w:tcPr>
            <w:tcW w:w="1163" w:type="dxa"/>
            <w:vAlign w:val="center"/>
          </w:tcPr>
          <w:p w14:paraId="7396DDDF">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u w:val="none"/>
                <w:lang w:val="en-US" w:eastAsia="zh-CN"/>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486</w:t>
            </w:r>
            <w:r>
              <w:rPr>
                <w:rFonts w:hint="default" w:ascii="Times New Roman" w:hAnsi="Times New Roman" w:cs="Times New Roman"/>
                <w:snapToGrid w:val="0"/>
                <w:color w:val="auto"/>
                <w:sz w:val="21"/>
                <w:szCs w:val="21"/>
                <w:u w:val="none"/>
              </w:rPr>
              <w:t>t/a</w:t>
            </w:r>
          </w:p>
        </w:tc>
      </w:tr>
      <w:tr w14:paraId="5F272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5B792206">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color w:val="auto"/>
                <w:sz w:val="21"/>
                <w:szCs w:val="21"/>
                <w:u w:val="none"/>
              </w:rPr>
            </w:pPr>
          </w:p>
        </w:tc>
        <w:tc>
          <w:tcPr>
            <w:tcW w:w="719" w:type="pct"/>
            <w:vAlign w:val="center"/>
          </w:tcPr>
          <w:p w14:paraId="191649D8">
            <w:pPr>
              <w:keepNext w:val="0"/>
              <w:keepLines w:val="0"/>
              <w:pageBreakBefore w:val="0"/>
              <w:kinsoku/>
              <w:wordWrap/>
              <w:overflowPunct/>
              <w:topLinePunct w:val="0"/>
              <w:autoSpaceDE w:val="0"/>
              <w:autoSpaceDN w:val="0"/>
              <w:bidi w:val="0"/>
              <w:adjustRightInd/>
              <w:spacing w:line="240" w:lineRule="auto"/>
              <w:ind w:left="0" w:firstLine="0" w:firstLineChars="0"/>
              <w:jc w:val="center"/>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color="auto"/>
              </w:rPr>
              <w:t>颗粒物</w:t>
            </w:r>
          </w:p>
        </w:tc>
        <w:tc>
          <w:tcPr>
            <w:tcW w:w="578" w:type="pct"/>
            <w:vAlign w:val="center"/>
          </w:tcPr>
          <w:p w14:paraId="0F8E7519">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148AD914">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77C810CA">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19B6DB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0.003</w:t>
            </w:r>
            <w:r>
              <w:rPr>
                <w:rFonts w:hint="eastAsia" w:cs="Times New Roman"/>
                <w:i w:val="0"/>
                <w:iCs w:val="0"/>
                <w:color w:val="auto"/>
                <w:kern w:val="0"/>
                <w:sz w:val="21"/>
                <w:szCs w:val="21"/>
                <w:u w:val="none"/>
                <w:lang w:val="en-US" w:eastAsia="zh-CN" w:bidi="ar"/>
              </w:rPr>
              <w:t>4</w:t>
            </w:r>
            <w:r>
              <w:rPr>
                <w:rFonts w:hint="default" w:ascii="Times New Roman" w:hAnsi="Times New Roman" w:cs="Times New Roman"/>
                <w:snapToGrid w:val="0"/>
                <w:color w:val="auto"/>
                <w:sz w:val="21"/>
                <w:szCs w:val="21"/>
                <w:u w:val="none"/>
              </w:rPr>
              <w:t>t/a</w:t>
            </w:r>
          </w:p>
        </w:tc>
        <w:tc>
          <w:tcPr>
            <w:tcW w:w="638" w:type="pct"/>
            <w:vAlign w:val="center"/>
          </w:tcPr>
          <w:p w14:paraId="16ED5FAB">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61BA190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0.003</w:t>
            </w:r>
            <w:r>
              <w:rPr>
                <w:rFonts w:hint="eastAsia" w:cs="Times New Roman"/>
                <w:i w:val="0"/>
                <w:iCs w:val="0"/>
                <w:color w:val="auto"/>
                <w:kern w:val="0"/>
                <w:sz w:val="21"/>
                <w:szCs w:val="21"/>
                <w:u w:val="none"/>
                <w:lang w:val="en-US" w:eastAsia="zh-CN" w:bidi="ar"/>
              </w:rPr>
              <w:t>4</w:t>
            </w:r>
            <w:r>
              <w:rPr>
                <w:rFonts w:hint="default" w:ascii="Times New Roman" w:hAnsi="Times New Roman" w:cs="Times New Roman"/>
                <w:snapToGrid w:val="0"/>
                <w:color w:val="auto"/>
                <w:sz w:val="21"/>
                <w:szCs w:val="21"/>
                <w:u w:val="none"/>
              </w:rPr>
              <w:t>t/a</w:t>
            </w:r>
          </w:p>
        </w:tc>
        <w:tc>
          <w:tcPr>
            <w:tcW w:w="1163" w:type="dxa"/>
            <w:vAlign w:val="center"/>
          </w:tcPr>
          <w:p w14:paraId="6D73032F">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u w:val="none"/>
                <w:lang w:val="en-US" w:eastAsia="zh-CN"/>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0.003</w:t>
            </w:r>
            <w:r>
              <w:rPr>
                <w:rFonts w:hint="eastAsia" w:cs="Times New Roman"/>
                <w:i w:val="0"/>
                <w:iCs w:val="0"/>
                <w:color w:val="auto"/>
                <w:kern w:val="0"/>
                <w:sz w:val="21"/>
                <w:szCs w:val="21"/>
                <w:u w:val="none"/>
                <w:lang w:val="en-US" w:eastAsia="zh-CN" w:bidi="ar"/>
              </w:rPr>
              <w:t>4</w:t>
            </w:r>
            <w:r>
              <w:rPr>
                <w:rFonts w:hint="default" w:ascii="Times New Roman" w:hAnsi="Times New Roman" w:cs="Times New Roman"/>
                <w:snapToGrid w:val="0"/>
                <w:color w:val="auto"/>
                <w:sz w:val="21"/>
                <w:szCs w:val="21"/>
                <w:u w:val="none"/>
              </w:rPr>
              <w:t>t/a</w:t>
            </w:r>
          </w:p>
        </w:tc>
      </w:tr>
      <w:tr w14:paraId="22A87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restart"/>
            <w:vAlign w:val="center"/>
          </w:tcPr>
          <w:p w14:paraId="55D24D8B">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废水</w:t>
            </w:r>
          </w:p>
        </w:tc>
        <w:tc>
          <w:tcPr>
            <w:tcW w:w="719" w:type="pct"/>
            <w:vAlign w:val="center"/>
          </w:tcPr>
          <w:p w14:paraId="69419C44">
            <w:pPr>
              <w:pStyle w:val="94"/>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color w:val="auto"/>
                <w:sz w:val="21"/>
                <w:szCs w:val="21"/>
                <w:u w:val="none"/>
              </w:rPr>
              <w:t>废水量</w:t>
            </w:r>
          </w:p>
        </w:tc>
        <w:tc>
          <w:tcPr>
            <w:tcW w:w="578" w:type="pct"/>
            <w:vAlign w:val="center"/>
          </w:tcPr>
          <w:p w14:paraId="66C8188C">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eastAsia="宋体"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77163704">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75342E73">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647DDDBB">
            <w:pPr>
              <w:keepNext w:val="0"/>
              <w:keepLines w:val="0"/>
              <w:pageBreakBefore w:val="0"/>
              <w:widowControl/>
              <w:suppressLineNumbers w:val="0"/>
              <w:kinsoku/>
              <w:wordWrap/>
              <w:overflowPunct/>
              <w:topLinePunct w:val="0"/>
              <w:bidi w:val="0"/>
              <w:adjustRightInd/>
              <w:spacing w:line="240" w:lineRule="auto"/>
              <w:ind w:lef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1628.77</w:t>
            </w:r>
            <w:r>
              <w:rPr>
                <w:rFonts w:hint="default" w:ascii="Times New Roman" w:hAnsi="Times New Roman" w:cs="Times New Roman"/>
                <w:snapToGrid w:val="0"/>
                <w:color w:val="auto"/>
                <w:sz w:val="21"/>
                <w:szCs w:val="21"/>
                <w:u w:val="none"/>
              </w:rPr>
              <w:t>t/a</w:t>
            </w:r>
          </w:p>
        </w:tc>
        <w:tc>
          <w:tcPr>
            <w:tcW w:w="638" w:type="pct"/>
            <w:vAlign w:val="center"/>
          </w:tcPr>
          <w:p w14:paraId="67047D6F">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461C2AD3">
            <w:pPr>
              <w:keepNext w:val="0"/>
              <w:keepLines w:val="0"/>
              <w:pageBreakBefore w:val="0"/>
              <w:widowControl/>
              <w:suppressLineNumbers w:val="0"/>
              <w:kinsoku/>
              <w:wordWrap/>
              <w:overflowPunct/>
              <w:topLinePunct w:val="0"/>
              <w:bidi w:val="0"/>
              <w:adjustRightInd/>
              <w:spacing w:line="240" w:lineRule="auto"/>
              <w:ind w:left="0" w:leftChars="0" w:firstLine="0" w:firstLineChars="0"/>
              <w:jc w:val="center"/>
              <w:textAlignment w:val="center"/>
              <w:rPr>
                <w:rFonts w:hint="default" w:ascii="Times New Roman" w:hAnsi="Times New Roman" w:cs="Times New Roman"/>
                <w:snapToGrid w:val="0"/>
                <w:color w:val="auto"/>
                <w:kern w:val="21"/>
                <w:sz w:val="21"/>
                <w:szCs w:val="21"/>
                <w:u w:val="none"/>
                <w:lang w:val="en-US" w:eastAsia="zh-CN"/>
              </w:rPr>
            </w:pPr>
            <w:r>
              <w:rPr>
                <w:rFonts w:hint="eastAsia" w:cs="Times New Roman"/>
                <w:i w:val="0"/>
                <w:iCs w:val="0"/>
                <w:color w:val="auto"/>
                <w:kern w:val="0"/>
                <w:sz w:val="21"/>
                <w:szCs w:val="21"/>
                <w:u w:val="none"/>
                <w:lang w:val="en-US" w:eastAsia="zh-CN" w:bidi="ar"/>
              </w:rPr>
              <w:t>1628.77</w:t>
            </w:r>
            <w:r>
              <w:rPr>
                <w:rFonts w:hint="default" w:ascii="Times New Roman" w:hAnsi="Times New Roman" w:cs="Times New Roman"/>
                <w:snapToGrid w:val="0"/>
                <w:color w:val="auto"/>
                <w:sz w:val="21"/>
                <w:szCs w:val="21"/>
                <w:u w:val="none"/>
              </w:rPr>
              <w:t>t/a</w:t>
            </w:r>
          </w:p>
        </w:tc>
        <w:tc>
          <w:tcPr>
            <w:tcW w:w="1163" w:type="dxa"/>
            <w:vAlign w:val="center"/>
          </w:tcPr>
          <w:p w14:paraId="060A28A4">
            <w:pPr>
              <w:keepNext w:val="0"/>
              <w:keepLines w:val="0"/>
              <w:pageBreakBefore w:val="0"/>
              <w:widowControl/>
              <w:suppressLineNumbers w:val="0"/>
              <w:kinsoku/>
              <w:wordWrap/>
              <w:overflowPunct/>
              <w:topLinePunct w:val="0"/>
              <w:bidi w:val="0"/>
              <w:adjustRightInd/>
              <w:spacing w:line="240" w:lineRule="auto"/>
              <w:ind w:left="0" w:leftChars="0" w:firstLine="0" w:firstLineChars="0"/>
              <w:jc w:val="center"/>
              <w:textAlignment w:val="center"/>
              <w:rPr>
                <w:rFonts w:hint="default" w:ascii="Times New Roman" w:hAnsi="Times New Roman" w:cs="Times New Roman"/>
                <w:snapToGrid w:val="0"/>
                <w:color w:val="auto"/>
                <w:kern w:val="21"/>
                <w:sz w:val="21"/>
                <w:szCs w:val="21"/>
                <w:u w:val="none"/>
              </w:rPr>
            </w:pPr>
            <w:r>
              <w:rPr>
                <w:rFonts w:hint="eastAsia" w:cs="Times New Roman"/>
                <w:i w:val="0"/>
                <w:iCs w:val="0"/>
                <w:color w:val="auto"/>
                <w:kern w:val="0"/>
                <w:sz w:val="21"/>
                <w:szCs w:val="21"/>
                <w:u w:val="none"/>
                <w:lang w:val="en-US" w:eastAsia="zh-CN" w:bidi="ar"/>
              </w:rPr>
              <w:t>+1628.77</w:t>
            </w:r>
            <w:r>
              <w:rPr>
                <w:rFonts w:hint="default" w:ascii="Times New Roman" w:hAnsi="Times New Roman" w:cs="Times New Roman"/>
                <w:snapToGrid w:val="0"/>
                <w:color w:val="auto"/>
                <w:sz w:val="21"/>
                <w:szCs w:val="21"/>
                <w:u w:val="none"/>
              </w:rPr>
              <w:t>t/a</w:t>
            </w:r>
          </w:p>
        </w:tc>
      </w:tr>
      <w:tr w14:paraId="1018F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60C8548D">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0E44949F">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eastAsiaTheme="minorEastAsia"/>
                <w:color w:val="auto"/>
                <w:sz w:val="21"/>
                <w:szCs w:val="21"/>
                <w:u w:val="none"/>
              </w:rPr>
              <w:t>COD</w:t>
            </w:r>
          </w:p>
        </w:tc>
        <w:tc>
          <w:tcPr>
            <w:tcW w:w="578" w:type="pct"/>
            <w:vAlign w:val="center"/>
          </w:tcPr>
          <w:p w14:paraId="0B978CE6">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eastAsia="宋体"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3250F325">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4A944F96">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208FFE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0.0814</w:t>
            </w:r>
            <w:r>
              <w:rPr>
                <w:rFonts w:hint="default" w:ascii="Times New Roman" w:hAnsi="Times New Roman" w:cs="Times New Roman"/>
                <w:snapToGrid w:val="0"/>
                <w:color w:val="auto"/>
                <w:sz w:val="21"/>
                <w:szCs w:val="21"/>
                <w:u w:val="none"/>
              </w:rPr>
              <w:t>t/a</w:t>
            </w:r>
          </w:p>
        </w:tc>
        <w:tc>
          <w:tcPr>
            <w:tcW w:w="638" w:type="pct"/>
            <w:vAlign w:val="center"/>
          </w:tcPr>
          <w:p w14:paraId="7F20C97C">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539E4262">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0.0814</w:t>
            </w:r>
            <w:r>
              <w:rPr>
                <w:rFonts w:hint="default" w:ascii="Times New Roman" w:hAnsi="Times New Roman" w:cs="Times New Roman"/>
                <w:snapToGrid w:val="0"/>
                <w:color w:val="auto"/>
                <w:sz w:val="21"/>
                <w:szCs w:val="21"/>
                <w:u w:val="none"/>
              </w:rPr>
              <w:t>t/a</w:t>
            </w:r>
          </w:p>
        </w:tc>
        <w:tc>
          <w:tcPr>
            <w:tcW w:w="1163" w:type="dxa"/>
            <w:vAlign w:val="center"/>
          </w:tcPr>
          <w:p w14:paraId="4911D247">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u w:val="none"/>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0.0814</w:t>
            </w:r>
            <w:r>
              <w:rPr>
                <w:rFonts w:hint="default" w:ascii="Times New Roman" w:hAnsi="Times New Roman" w:cs="Times New Roman"/>
                <w:snapToGrid w:val="0"/>
                <w:color w:val="auto"/>
                <w:sz w:val="21"/>
                <w:szCs w:val="21"/>
                <w:u w:val="none"/>
              </w:rPr>
              <w:t>t/a</w:t>
            </w:r>
          </w:p>
        </w:tc>
      </w:tr>
      <w:tr w14:paraId="5227F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7FA5CC5F">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5EFBF2F8">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eastAsiaTheme="minorEastAsia"/>
                <w:color w:val="auto"/>
                <w:sz w:val="21"/>
                <w:szCs w:val="21"/>
                <w:u w:val="none"/>
              </w:rPr>
              <w:t>BOD</w:t>
            </w:r>
            <w:r>
              <w:rPr>
                <w:rFonts w:hint="default" w:ascii="Times New Roman" w:hAnsi="Times New Roman" w:cs="Times New Roman" w:eastAsiaTheme="minorEastAsia"/>
                <w:color w:val="auto"/>
                <w:sz w:val="21"/>
                <w:szCs w:val="21"/>
                <w:u w:val="none"/>
                <w:vertAlign w:val="subscript"/>
              </w:rPr>
              <w:t>5</w:t>
            </w:r>
          </w:p>
        </w:tc>
        <w:tc>
          <w:tcPr>
            <w:tcW w:w="578" w:type="pct"/>
            <w:vAlign w:val="center"/>
          </w:tcPr>
          <w:p w14:paraId="78FA193B">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eastAsia="宋体"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3F9F79EC">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628BFBB5">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17E883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0.016</w:t>
            </w:r>
            <w:r>
              <w:rPr>
                <w:rFonts w:hint="eastAsia" w:cs="Times New Roman"/>
                <w:i w:val="0"/>
                <w:iCs w:val="0"/>
                <w:color w:val="auto"/>
                <w:kern w:val="0"/>
                <w:sz w:val="21"/>
                <w:szCs w:val="21"/>
                <w:u w:val="none"/>
                <w:lang w:val="en-US" w:eastAsia="zh-CN" w:bidi="ar"/>
              </w:rPr>
              <w:t>3</w:t>
            </w:r>
            <w:r>
              <w:rPr>
                <w:rFonts w:hint="default" w:ascii="Times New Roman" w:hAnsi="Times New Roman" w:cs="Times New Roman"/>
                <w:snapToGrid w:val="0"/>
                <w:color w:val="auto"/>
                <w:sz w:val="21"/>
                <w:szCs w:val="21"/>
                <w:u w:val="none"/>
              </w:rPr>
              <w:t>t/a</w:t>
            </w:r>
          </w:p>
        </w:tc>
        <w:tc>
          <w:tcPr>
            <w:tcW w:w="638" w:type="pct"/>
            <w:vAlign w:val="center"/>
          </w:tcPr>
          <w:p w14:paraId="3DD103FB">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35EA9E46">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0.016</w:t>
            </w:r>
            <w:r>
              <w:rPr>
                <w:rFonts w:hint="eastAsia" w:cs="Times New Roman"/>
                <w:i w:val="0"/>
                <w:iCs w:val="0"/>
                <w:color w:val="auto"/>
                <w:kern w:val="0"/>
                <w:sz w:val="21"/>
                <w:szCs w:val="21"/>
                <w:u w:val="none"/>
                <w:lang w:val="en-US" w:eastAsia="zh-CN" w:bidi="ar"/>
              </w:rPr>
              <w:t>3</w:t>
            </w:r>
            <w:r>
              <w:rPr>
                <w:rFonts w:hint="default" w:ascii="Times New Roman" w:hAnsi="Times New Roman" w:cs="Times New Roman"/>
                <w:snapToGrid w:val="0"/>
                <w:color w:val="auto"/>
                <w:sz w:val="21"/>
                <w:szCs w:val="21"/>
                <w:u w:val="none"/>
              </w:rPr>
              <w:t>t/a</w:t>
            </w:r>
          </w:p>
        </w:tc>
        <w:tc>
          <w:tcPr>
            <w:tcW w:w="1163" w:type="dxa"/>
            <w:vAlign w:val="center"/>
          </w:tcPr>
          <w:p w14:paraId="5CC5EBDF">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u w:val="none"/>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0.016</w:t>
            </w:r>
            <w:r>
              <w:rPr>
                <w:rFonts w:hint="eastAsia" w:cs="Times New Roman"/>
                <w:i w:val="0"/>
                <w:iCs w:val="0"/>
                <w:color w:val="auto"/>
                <w:kern w:val="0"/>
                <w:sz w:val="21"/>
                <w:szCs w:val="21"/>
                <w:u w:val="none"/>
                <w:lang w:val="en-US" w:eastAsia="zh-CN" w:bidi="ar"/>
              </w:rPr>
              <w:t>3</w:t>
            </w:r>
            <w:r>
              <w:rPr>
                <w:rFonts w:hint="default" w:ascii="Times New Roman" w:hAnsi="Times New Roman" w:cs="Times New Roman"/>
                <w:snapToGrid w:val="0"/>
                <w:color w:val="auto"/>
                <w:sz w:val="21"/>
                <w:szCs w:val="21"/>
                <w:u w:val="none"/>
              </w:rPr>
              <w:t>t/a</w:t>
            </w:r>
          </w:p>
        </w:tc>
      </w:tr>
      <w:tr w14:paraId="686CF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2EB4011E">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68866A0B">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eastAsiaTheme="minorEastAsia"/>
                <w:color w:val="auto"/>
                <w:sz w:val="21"/>
                <w:szCs w:val="21"/>
                <w:u w:val="none"/>
              </w:rPr>
              <w:t>SS</w:t>
            </w:r>
          </w:p>
        </w:tc>
        <w:tc>
          <w:tcPr>
            <w:tcW w:w="578" w:type="pct"/>
            <w:vAlign w:val="center"/>
          </w:tcPr>
          <w:p w14:paraId="479563BA">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eastAsia="宋体"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3B15F31D">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7E5DF652">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36CCAB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0.016</w:t>
            </w:r>
            <w:r>
              <w:rPr>
                <w:rFonts w:hint="eastAsia" w:cs="Times New Roman"/>
                <w:i w:val="0"/>
                <w:iCs w:val="0"/>
                <w:color w:val="auto"/>
                <w:kern w:val="0"/>
                <w:sz w:val="21"/>
                <w:szCs w:val="21"/>
                <w:u w:val="none"/>
                <w:lang w:val="en-US" w:eastAsia="zh-CN" w:bidi="ar"/>
              </w:rPr>
              <w:t>3</w:t>
            </w:r>
            <w:r>
              <w:rPr>
                <w:rFonts w:hint="default" w:ascii="Times New Roman" w:hAnsi="Times New Roman" w:cs="Times New Roman"/>
                <w:snapToGrid w:val="0"/>
                <w:color w:val="auto"/>
                <w:sz w:val="21"/>
                <w:szCs w:val="21"/>
                <w:u w:val="none"/>
              </w:rPr>
              <w:t>t/a</w:t>
            </w:r>
          </w:p>
        </w:tc>
        <w:tc>
          <w:tcPr>
            <w:tcW w:w="638" w:type="pct"/>
            <w:vAlign w:val="center"/>
          </w:tcPr>
          <w:p w14:paraId="31CD85B1">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11AEDECB">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0.016</w:t>
            </w:r>
            <w:r>
              <w:rPr>
                <w:rFonts w:hint="eastAsia" w:cs="Times New Roman"/>
                <w:i w:val="0"/>
                <w:iCs w:val="0"/>
                <w:color w:val="auto"/>
                <w:kern w:val="0"/>
                <w:sz w:val="21"/>
                <w:szCs w:val="21"/>
                <w:u w:val="none"/>
                <w:lang w:val="en-US" w:eastAsia="zh-CN" w:bidi="ar"/>
              </w:rPr>
              <w:t>3</w:t>
            </w:r>
            <w:r>
              <w:rPr>
                <w:rFonts w:hint="default" w:ascii="Times New Roman" w:hAnsi="Times New Roman" w:cs="Times New Roman"/>
                <w:snapToGrid w:val="0"/>
                <w:color w:val="auto"/>
                <w:sz w:val="21"/>
                <w:szCs w:val="21"/>
                <w:u w:val="none"/>
              </w:rPr>
              <w:t>t/a</w:t>
            </w:r>
          </w:p>
        </w:tc>
        <w:tc>
          <w:tcPr>
            <w:tcW w:w="1163" w:type="dxa"/>
            <w:vAlign w:val="center"/>
          </w:tcPr>
          <w:p w14:paraId="1D13F305">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u w:val="none"/>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0.016</w:t>
            </w:r>
            <w:r>
              <w:rPr>
                <w:rFonts w:hint="eastAsia" w:cs="Times New Roman"/>
                <w:i w:val="0"/>
                <w:iCs w:val="0"/>
                <w:color w:val="auto"/>
                <w:kern w:val="0"/>
                <w:sz w:val="21"/>
                <w:szCs w:val="21"/>
                <w:u w:val="none"/>
                <w:lang w:val="en-US" w:eastAsia="zh-CN" w:bidi="ar"/>
              </w:rPr>
              <w:t>3</w:t>
            </w:r>
            <w:r>
              <w:rPr>
                <w:rFonts w:hint="default" w:ascii="Times New Roman" w:hAnsi="Times New Roman" w:cs="Times New Roman"/>
                <w:snapToGrid w:val="0"/>
                <w:color w:val="auto"/>
                <w:sz w:val="21"/>
                <w:szCs w:val="21"/>
                <w:u w:val="none"/>
              </w:rPr>
              <w:t>t/a</w:t>
            </w:r>
          </w:p>
        </w:tc>
      </w:tr>
      <w:tr w14:paraId="21758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5D61EAF3">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0D9978DD">
            <w:pPr>
              <w:keepNext w:val="0"/>
              <w:keepLines w:val="0"/>
              <w:pageBreakBefore w:val="0"/>
              <w:widowControl/>
              <w:kinsoku/>
              <w:wordWrap/>
              <w:overflowPunct/>
              <w:topLinePunct w:val="0"/>
              <w:bidi w:val="0"/>
              <w:adjustRightInd/>
              <w:spacing w:line="240" w:lineRule="auto"/>
              <w:ind w:left="0" w:firstLine="0" w:firstLineChars="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eastAsiaTheme="minorEastAsia"/>
                <w:color w:val="auto"/>
                <w:sz w:val="21"/>
                <w:szCs w:val="21"/>
                <w:u w:val="none"/>
              </w:rPr>
              <w:t>NH</w:t>
            </w:r>
            <w:r>
              <w:rPr>
                <w:rFonts w:hint="default" w:ascii="Times New Roman" w:hAnsi="Times New Roman" w:cs="Times New Roman" w:eastAsiaTheme="minorEastAsia"/>
                <w:color w:val="auto"/>
                <w:sz w:val="21"/>
                <w:szCs w:val="21"/>
                <w:u w:val="none"/>
                <w:vertAlign w:val="subscript"/>
              </w:rPr>
              <w:t>3</w:t>
            </w:r>
            <w:r>
              <w:rPr>
                <w:rFonts w:hint="default" w:ascii="Times New Roman" w:hAnsi="Times New Roman" w:cs="Times New Roman" w:eastAsiaTheme="minorEastAsia"/>
                <w:color w:val="auto"/>
                <w:sz w:val="21"/>
                <w:szCs w:val="21"/>
                <w:u w:val="none"/>
              </w:rPr>
              <w:t>-N</w:t>
            </w:r>
          </w:p>
        </w:tc>
        <w:tc>
          <w:tcPr>
            <w:tcW w:w="578" w:type="pct"/>
            <w:vAlign w:val="center"/>
          </w:tcPr>
          <w:p w14:paraId="6FA9BC81">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eastAsia="宋体"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1A093201">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51CAE05D">
            <w:pPr>
              <w:keepNext w:val="0"/>
              <w:keepLines w:val="0"/>
              <w:pageBreakBefore w:val="0"/>
              <w:kinsoku/>
              <w:wordWrap/>
              <w:overflowPunct/>
              <w:topLinePunct w:val="0"/>
              <w:bidi w:val="0"/>
              <w:adjustRightInd/>
              <w:snapToGri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178F21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0.00814</w:t>
            </w:r>
            <w:r>
              <w:rPr>
                <w:rFonts w:hint="default" w:ascii="Times New Roman" w:hAnsi="Times New Roman" w:cs="Times New Roman"/>
                <w:snapToGrid w:val="0"/>
                <w:color w:val="auto"/>
                <w:sz w:val="21"/>
                <w:szCs w:val="21"/>
                <w:u w:val="none"/>
              </w:rPr>
              <w:t>t/a</w:t>
            </w:r>
          </w:p>
        </w:tc>
        <w:tc>
          <w:tcPr>
            <w:tcW w:w="638" w:type="pct"/>
            <w:vAlign w:val="center"/>
          </w:tcPr>
          <w:p w14:paraId="2DB1D6AC">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6B002ABB">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0.00814</w:t>
            </w:r>
            <w:r>
              <w:rPr>
                <w:rFonts w:hint="default" w:ascii="Times New Roman" w:hAnsi="Times New Roman" w:cs="Times New Roman"/>
                <w:snapToGrid w:val="0"/>
                <w:color w:val="auto"/>
                <w:sz w:val="21"/>
                <w:szCs w:val="21"/>
                <w:u w:val="none"/>
              </w:rPr>
              <w:t>t/a</w:t>
            </w:r>
          </w:p>
        </w:tc>
        <w:tc>
          <w:tcPr>
            <w:tcW w:w="1163" w:type="dxa"/>
            <w:vAlign w:val="center"/>
          </w:tcPr>
          <w:p w14:paraId="18419973">
            <w:pPr>
              <w:keepNext w:val="0"/>
              <w:keepLines w:val="0"/>
              <w:widowControl/>
              <w:suppressLineNumbers w:val="0"/>
              <w:jc w:val="center"/>
              <w:textAlignment w:val="center"/>
              <w:rPr>
                <w:rFonts w:hint="default" w:ascii="Times New Roman" w:hAnsi="Times New Roman" w:cs="Times New Roman"/>
                <w:color w:val="auto"/>
                <w:kern w:val="0"/>
                <w:sz w:val="21"/>
                <w:szCs w:val="21"/>
                <w:u w:val="none"/>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0.00814</w:t>
            </w:r>
            <w:r>
              <w:rPr>
                <w:rFonts w:hint="default" w:ascii="Times New Roman" w:hAnsi="Times New Roman" w:cs="Times New Roman"/>
                <w:snapToGrid w:val="0"/>
                <w:color w:val="auto"/>
                <w:sz w:val="21"/>
                <w:szCs w:val="21"/>
                <w:u w:val="none"/>
              </w:rPr>
              <w:t>t/a</w:t>
            </w:r>
          </w:p>
        </w:tc>
      </w:tr>
      <w:tr w14:paraId="32147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restart"/>
            <w:vAlign w:val="center"/>
          </w:tcPr>
          <w:p w14:paraId="628D5B49">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一般固体废物</w:t>
            </w:r>
          </w:p>
        </w:tc>
        <w:tc>
          <w:tcPr>
            <w:tcW w:w="719" w:type="pct"/>
            <w:vAlign w:val="center"/>
          </w:tcPr>
          <w:p w14:paraId="2ECBB986">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color w:val="auto"/>
                <w:sz w:val="21"/>
                <w:szCs w:val="21"/>
                <w:u w:val="none"/>
                <w:lang w:eastAsia="zh-CN"/>
              </w:rPr>
            </w:pPr>
            <w:r>
              <w:rPr>
                <w:rFonts w:hint="eastAsia" w:ascii="Times New Roman" w:hAnsi="Times New Roman" w:cs="Times New Roman"/>
                <w:snapToGrid w:val="0"/>
                <w:color w:val="auto"/>
                <w:sz w:val="21"/>
                <w:szCs w:val="21"/>
                <w:u w:val="none"/>
                <w:lang w:eastAsia="zh-CN"/>
              </w:rPr>
              <w:t>废包装袋</w:t>
            </w:r>
          </w:p>
        </w:tc>
        <w:tc>
          <w:tcPr>
            <w:tcW w:w="578" w:type="pct"/>
            <w:vAlign w:val="center"/>
          </w:tcPr>
          <w:p w14:paraId="03D214BA">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46B718EA">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36B52938">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0405A5C1">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snapToGrid w:val="0"/>
                <w:color w:val="auto"/>
                <w:sz w:val="21"/>
                <w:szCs w:val="21"/>
                <w:u w:val="none"/>
                <w:lang w:val="en-US" w:eastAsia="zh-CN"/>
              </w:rPr>
              <w:t>2.8</w:t>
            </w:r>
            <w:r>
              <w:rPr>
                <w:rFonts w:hint="default" w:ascii="Times New Roman" w:hAnsi="Times New Roman" w:cs="Times New Roman"/>
                <w:snapToGrid w:val="0"/>
                <w:color w:val="auto"/>
                <w:sz w:val="21"/>
                <w:szCs w:val="21"/>
                <w:u w:val="none"/>
              </w:rPr>
              <w:t>t/a</w:t>
            </w:r>
          </w:p>
        </w:tc>
        <w:tc>
          <w:tcPr>
            <w:tcW w:w="638" w:type="pct"/>
            <w:vAlign w:val="center"/>
          </w:tcPr>
          <w:p w14:paraId="4874D36F">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62490821">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kern w:val="21"/>
                <w:sz w:val="21"/>
                <w:szCs w:val="21"/>
                <w:u w:val="none"/>
                <w:lang w:eastAsia="zh-CN"/>
              </w:rPr>
            </w:pPr>
            <w:r>
              <w:rPr>
                <w:rFonts w:hint="eastAsia" w:cs="Times New Roman"/>
                <w:snapToGrid w:val="0"/>
                <w:color w:val="auto"/>
                <w:sz w:val="21"/>
                <w:szCs w:val="21"/>
                <w:u w:val="none"/>
                <w:lang w:val="en-US" w:eastAsia="zh-CN"/>
              </w:rPr>
              <w:t>2.8</w:t>
            </w:r>
            <w:r>
              <w:rPr>
                <w:rFonts w:hint="default" w:ascii="Times New Roman" w:hAnsi="Times New Roman" w:cs="Times New Roman"/>
                <w:snapToGrid w:val="0"/>
                <w:color w:val="auto"/>
                <w:sz w:val="21"/>
                <w:szCs w:val="21"/>
                <w:u w:val="none"/>
              </w:rPr>
              <w:t>t/a</w:t>
            </w:r>
          </w:p>
        </w:tc>
        <w:tc>
          <w:tcPr>
            <w:tcW w:w="1163" w:type="dxa"/>
            <w:vAlign w:val="center"/>
          </w:tcPr>
          <w:p w14:paraId="467D2624">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kern w:val="21"/>
                <w:sz w:val="21"/>
                <w:szCs w:val="21"/>
                <w:u w:val="none"/>
                <w:lang w:eastAsia="zh-CN"/>
              </w:rPr>
            </w:pPr>
            <w:r>
              <w:rPr>
                <w:rFonts w:hint="eastAsia" w:cs="Times New Roman"/>
                <w:i w:val="0"/>
                <w:iCs w:val="0"/>
                <w:color w:val="auto"/>
                <w:kern w:val="0"/>
                <w:sz w:val="21"/>
                <w:szCs w:val="21"/>
                <w:u w:val="none"/>
                <w:lang w:val="en-US" w:eastAsia="zh-CN" w:bidi="ar"/>
              </w:rPr>
              <w:t>+</w:t>
            </w:r>
            <w:r>
              <w:rPr>
                <w:rFonts w:hint="eastAsia" w:cs="Times New Roman"/>
                <w:snapToGrid w:val="0"/>
                <w:color w:val="auto"/>
                <w:sz w:val="21"/>
                <w:szCs w:val="21"/>
                <w:u w:val="none"/>
                <w:lang w:val="en-US" w:eastAsia="zh-CN"/>
              </w:rPr>
              <w:t>2.8</w:t>
            </w:r>
            <w:r>
              <w:rPr>
                <w:rFonts w:hint="default" w:ascii="Times New Roman" w:hAnsi="Times New Roman" w:cs="Times New Roman"/>
                <w:snapToGrid w:val="0"/>
                <w:color w:val="auto"/>
                <w:sz w:val="21"/>
                <w:szCs w:val="21"/>
                <w:u w:val="none"/>
              </w:rPr>
              <w:t>t/a</w:t>
            </w:r>
          </w:p>
        </w:tc>
      </w:tr>
      <w:tr w14:paraId="3A1E3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15AF39C0">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4193E6DB">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color w:val="auto"/>
                <w:sz w:val="21"/>
                <w:szCs w:val="21"/>
                <w:u w:val="none"/>
                <w:lang w:eastAsia="zh-CN"/>
              </w:rPr>
            </w:pPr>
            <w:r>
              <w:rPr>
                <w:rFonts w:hint="eastAsia" w:ascii="Times New Roman" w:hAnsi="Times New Roman" w:cs="Times New Roman"/>
                <w:snapToGrid w:val="0"/>
                <w:color w:val="auto"/>
                <w:sz w:val="21"/>
                <w:szCs w:val="21"/>
                <w:u w:val="none"/>
                <w:lang w:eastAsia="zh-CN"/>
              </w:rPr>
              <w:t>筛选废弃叶子、树枝</w:t>
            </w:r>
          </w:p>
        </w:tc>
        <w:tc>
          <w:tcPr>
            <w:tcW w:w="578" w:type="pct"/>
            <w:vAlign w:val="center"/>
          </w:tcPr>
          <w:p w14:paraId="6A4B8104">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66C5DE2B">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66D3A0CC">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552B25C0">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snapToGrid w:val="0"/>
                <w:color w:val="auto"/>
                <w:sz w:val="21"/>
                <w:szCs w:val="21"/>
                <w:u w:val="none"/>
                <w:lang w:val="en-US" w:eastAsia="zh-CN"/>
              </w:rPr>
              <w:t>7</w:t>
            </w:r>
            <w:r>
              <w:rPr>
                <w:rFonts w:hint="default" w:ascii="Times New Roman" w:hAnsi="Times New Roman" w:cs="Times New Roman"/>
                <w:snapToGrid w:val="0"/>
                <w:color w:val="auto"/>
                <w:sz w:val="21"/>
                <w:szCs w:val="21"/>
                <w:u w:val="none"/>
              </w:rPr>
              <w:t>t/a</w:t>
            </w:r>
          </w:p>
        </w:tc>
        <w:tc>
          <w:tcPr>
            <w:tcW w:w="638" w:type="pct"/>
            <w:vAlign w:val="center"/>
          </w:tcPr>
          <w:p w14:paraId="2E9F0D23">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eastAsia="宋体" w:cs="Times New Roman"/>
                <w:snapToGrid w:val="0"/>
                <w:color w:val="auto"/>
                <w:kern w:val="21"/>
                <w:sz w:val="21"/>
                <w:szCs w:val="21"/>
                <w:u w:val="none"/>
              </w:rPr>
              <w:t>/</w:t>
            </w:r>
          </w:p>
        </w:tc>
        <w:tc>
          <w:tcPr>
            <w:tcW w:w="1665" w:type="dxa"/>
            <w:vAlign w:val="center"/>
          </w:tcPr>
          <w:p w14:paraId="65EB62AE">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u w:val="none"/>
                <w:lang w:val="en-US" w:eastAsia="zh-CN" w:bidi="ar-SA"/>
              </w:rPr>
            </w:pPr>
            <w:r>
              <w:rPr>
                <w:rFonts w:hint="eastAsia" w:cs="Times New Roman"/>
                <w:snapToGrid w:val="0"/>
                <w:color w:val="auto"/>
                <w:sz w:val="21"/>
                <w:szCs w:val="21"/>
                <w:u w:val="none"/>
                <w:lang w:val="en-US" w:eastAsia="zh-CN"/>
              </w:rPr>
              <w:t>7</w:t>
            </w:r>
            <w:r>
              <w:rPr>
                <w:rFonts w:hint="default" w:ascii="Times New Roman" w:hAnsi="Times New Roman" w:cs="Times New Roman"/>
                <w:snapToGrid w:val="0"/>
                <w:color w:val="auto"/>
                <w:sz w:val="21"/>
                <w:szCs w:val="21"/>
                <w:u w:val="none"/>
              </w:rPr>
              <w:t>t/a</w:t>
            </w:r>
          </w:p>
        </w:tc>
        <w:tc>
          <w:tcPr>
            <w:tcW w:w="1163" w:type="dxa"/>
            <w:vAlign w:val="center"/>
          </w:tcPr>
          <w:p w14:paraId="2885FC34">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lang w:val="en-US" w:eastAsia="zh-CN"/>
              </w:rPr>
            </w:pPr>
            <w:r>
              <w:rPr>
                <w:rFonts w:hint="eastAsia" w:cs="Times New Roman"/>
                <w:i w:val="0"/>
                <w:iCs w:val="0"/>
                <w:color w:val="auto"/>
                <w:kern w:val="0"/>
                <w:sz w:val="21"/>
                <w:szCs w:val="21"/>
                <w:u w:val="none"/>
                <w:lang w:val="en-US" w:eastAsia="zh-CN" w:bidi="ar"/>
              </w:rPr>
              <w:t>+</w:t>
            </w:r>
            <w:r>
              <w:rPr>
                <w:rFonts w:hint="eastAsia" w:cs="Times New Roman"/>
                <w:snapToGrid w:val="0"/>
                <w:color w:val="auto"/>
                <w:sz w:val="21"/>
                <w:szCs w:val="21"/>
                <w:u w:val="none"/>
                <w:lang w:val="en-US" w:eastAsia="zh-CN"/>
              </w:rPr>
              <w:t>7</w:t>
            </w:r>
            <w:r>
              <w:rPr>
                <w:rFonts w:hint="default" w:ascii="Times New Roman" w:hAnsi="Times New Roman" w:cs="Times New Roman"/>
                <w:snapToGrid w:val="0"/>
                <w:color w:val="auto"/>
                <w:sz w:val="21"/>
                <w:szCs w:val="21"/>
                <w:u w:val="none"/>
              </w:rPr>
              <w:t>t/a</w:t>
            </w:r>
          </w:p>
        </w:tc>
      </w:tr>
      <w:tr w14:paraId="48CA5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5A4314A1">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38382D12">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color w:val="auto"/>
                <w:sz w:val="21"/>
                <w:szCs w:val="21"/>
                <w:u w:val="none"/>
                <w:lang w:eastAsia="zh-CN"/>
              </w:rPr>
            </w:pPr>
            <w:r>
              <w:rPr>
                <w:rFonts w:hint="eastAsia" w:ascii="Times New Roman" w:hAnsi="Times New Roman" w:cs="Times New Roman"/>
                <w:snapToGrid w:val="0"/>
                <w:color w:val="auto"/>
                <w:sz w:val="21"/>
                <w:szCs w:val="21"/>
                <w:u w:val="none"/>
                <w:lang w:eastAsia="zh-CN"/>
              </w:rPr>
              <w:t>灰渣</w:t>
            </w:r>
          </w:p>
        </w:tc>
        <w:tc>
          <w:tcPr>
            <w:tcW w:w="1620" w:type="dxa"/>
            <w:vAlign w:val="center"/>
          </w:tcPr>
          <w:p w14:paraId="5FF09C47">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295" w:type="dxa"/>
            <w:vAlign w:val="center"/>
          </w:tcPr>
          <w:p w14:paraId="0B28CFDA">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727" w:type="dxa"/>
            <w:vAlign w:val="center"/>
          </w:tcPr>
          <w:p w14:paraId="03C45061">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62FD1B59">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snapToGrid w:val="0"/>
                <w:color w:val="auto"/>
                <w:sz w:val="21"/>
                <w:szCs w:val="21"/>
                <w:u w:val="none"/>
                <w:lang w:val="en-US" w:eastAsia="zh-CN"/>
              </w:rPr>
              <w:t>81.66</w:t>
            </w:r>
            <w:r>
              <w:rPr>
                <w:rFonts w:hint="default" w:ascii="Times New Roman" w:hAnsi="Times New Roman" w:cs="Times New Roman"/>
                <w:snapToGrid w:val="0"/>
                <w:color w:val="auto"/>
                <w:sz w:val="21"/>
                <w:szCs w:val="21"/>
                <w:u w:val="none"/>
              </w:rPr>
              <w:t>t/a</w:t>
            </w:r>
          </w:p>
        </w:tc>
        <w:tc>
          <w:tcPr>
            <w:tcW w:w="1789" w:type="dxa"/>
            <w:vAlign w:val="center"/>
          </w:tcPr>
          <w:p w14:paraId="42AEB918">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30DAF6FA">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snapToGrid w:val="0"/>
                <w:color w:val="auto"/>
                <w:sz w:val="21"/>
                <w:szCs w:val="21"/>
                <w:u w:val="none"/>
                <w:lang w:val="en-US" w:eastAsia="zh-CN"/>
              </w:rPr>
            </w:pPr>
            <w:r>
              <w:rPr>
                <w:rFonts w:hint="eastAsia" w:cs="Times New Roman"/>
                <w:snapToGrid w:val="0"/>
                <w:color w:val="auto"/>
                <w:sz w:val="21"/>
                <w:szCs w:val="21"/>
                <w:u w:val="none"/>
                <w:lang w:val="en-US" w:eastAsia="zh-CN"/>
              </w:rPr>
              <w:t>81.66</w:t>
            </w:r>
            <w:r>
              <w:rPr>
                <w:rFonts w:hint="default" w:ascii="Times New Roman" w:hAnsi="Times New Roman" w:cs="Times New Roman"/>
                <w:snapToGrid w:val="0"/>
                <w:color w:val="auto"/>
                <w:sz w:val="21"/>
                <w:szCs w:val="21"/>
                <w:u w:val="none"/>
              </w:rPr>
              <w:t>t/a</w:t>
            </w:r>
          </w:p>
        </w:tc>
        <w:tc>
          <w:tcPr>
            <w:tcW w:w="1163" w:type="dxa"/>
            <w:vAlign w:val="center"/>
          </w:tcPr>
          <w:p w14:paraId="2C761D65">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snapToGrid w:val="0"/>
                <w:color w:val="auto"/>
                <w:kern w:val="21"/>
                <w:sz w:val="21"/>
                <w:szCs w:val="21"/>
                <w:u w:val="none"/>
                <w:lang w:val="en-US"/>
              </w:rPr>
            </w:pPr>
            <w:r>
              <w:rPr>
                <w:rFonts w:hint="eastAsia" w:cs="Times New Roman"/>
                <w:i w:val="0"/>
                <w:iCs w:val="0"/>
                <w:color w:val="auto"/>
                <w:kern w:val="0"/>
                <w:sz w:val="21"/>
                <w:szCs w:val="21"/>
                <w:u w:val="none"/>
                <w:lang w:val="en-US" w:eastAsia="zh-CN" w:bidi="ar"/>
              </w:rPr>
              <w:t>+</w:t>
            </w:r>
            <w:r>
              <w:rPr>
                <w:rFonts w:hint="eastAsia" w:cs="Times New Roman"/>
                <w:snapToGrid w:val="0"/>
                <w:color w:val="auto"/>
                <w:sz w:val="21"/>
                <w:szCs w:val="21"/>
                <w:u w:val="none"/>
                <w:lang w:val="en-US" w:eastAsia="zh-CN"/>
              </w:rPr>
              <w:t>81.66</w:t>
            </w:r>
            <w:r>
              <w:rPr>
                <w:rFonts w:hint="default" w:ascii="Times New Roman" w:hAnsi="Times New Roman" w:cs="Times New Roman"/>
                <w:snapToGrid w:val="0"/>
                <w:color w:val="auto"/>
                <w:sz w:val="21"/>
                <w:szCs w:val="21"/>
                <w:u w:val="none"/>
              </w:rPr>
              <w:t>t/a</w:t>
            </w:r>
          </w:p>
        </w:tc>
      </w:tr>
      <w:tr w14:paraId="49F1F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2063E74D">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shd w:val="clear" w:color="auto" w:fill="auto"/>
            <w:vAlign w:val="center"/>
          </w:tcPr>
          <w:p w14:paraId="598A6437">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s="Times New Roman"/>
                <w:snapToGrid w:val="0"/>
                <w:color w:val="auto"/>
                <w:sz w:val="21"/>
                <w:szCs w:val="21"/>
                <w:u w:val="none"/>
                <w:lang w:val="en-US" w:eastAsia="zh-CN"/>
              </w:rPr>
              <w:t>沉淀池沉渣</w:t>
            </w:r>
          </w:p>
        </w:tc>
        <w:tc>
          <w:tcPr>
            <w:tcW w:w="1620" w:type="dxa"/>
            <w:shd w:val="clear" w:color="auto" w:fill="auto"/>
            <w:vAlign w:val="center"/>
          </w:tcPr>
          <w:p w14:paraId="6EB3BE1A">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1295" w:type="dxa"/>
            <w:shd w:val="clear" w:color="auto" w:fill="auto"/>
            <w:vAlign w:val="center"/>
          </w:tcPr>
          <w:p w14:paraId="56F6795F">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1727" w:type="dxa"/>
            <w:shd w:val="clear" w:color="auto" w:fill="auto"/>
            <w:vAlign w:val="center"/>
          </w:tcPr>
          <w:p w14:paraId="741A0045">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565" w:type="pct"/>
            <w:shd w:val="clear" w:color="auto" w:fill="auto"/>
            <w:vAlign w:val="center"/>
          </w:tcPr>
          <w:p w14:paraId="0D1B2DD4">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snapToGrid w:val="0"/>
                <w:color w:val="auto"/>
                <w:sz w:val="21"/>
                <w:szCs w:val="21"/>
                <w:u w:val="none"/>
                <w:lang w:val="en-US" w:eastAsia="zh-CN"/>
              </w:rPr>
              <w:t>33.33</w:t>
            </w:r>
            <w:r>
              <w:rPr>
                <w:rFonts w:hint="default" w:ascii="Times New Roman" w:hAnsi="Times New Roman" w:cs="Times New Roman"/>
                <w:snapToGrid w:val="0"/>
                <w:color w:val="auto"/>
                <w:sz w:val="21"/>
                <w:szCs w:val="21"/>
                <w:u w:val="none"/>
              </w:rPr>
              <w:t>t/a</w:t>
            </w:r>
          </w:p>
        </w:tc>
        <w:tc>
          <w:tcPr>
            <w:tcW w:w="1789" w:type="dxa"/>
            <w:shd w:val="clear" w:color="auto" w:fill="auto"/>
            <w:vAlign w:val="center"/>
          </w:tcPr>
          <w:p w14:paraId="566935C9">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1665" w:type="dxa"/>
            <w:shd w:val="clear" w:color="auto" w:fill="auto"/>
            <w:vAlign w:val="center"/>
          </w:tcPr>
          <w:p w14:paraId="2537909A">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0"/>
                <w:sz w:val="21"/>
                <w:szCs w:val="21"/>
                <w:u w:val="none"/>
                <w:lang w:val="en-US" w:eastAsia="zh-CN" w:bidi="ar-SA"/>
              </w:rPr>
            </w:pPr>
            <w:r>
              <w:rPr>
                <w:rFonts w:hint="eastAsia" w:cs="Times New Roman"/>
                <w:snapToGrid w:val="0"/>
                <w:color w:val="auto"/>
                <w:sz w:val="21"/>
                <w:szCs w:val="21"/>
                <w:u w:val="none"/>
                <w:lang w:val="en-US" w:eastAsia="zh-CN"/>
              </w:rPr>
              <w:t>33.33</w:t>
            </w:r>
            <w:r>
              <w:rPr>
                <w:rFonts w:hint="default" w:ascii="Times New Roman" w:hAnsi="Times New Roman" w:cs="Times New Roman"/>
                <w:snapToGrid w:val="0"/>
                <w:color w:val="auto"/>
                <w:sz w:val="21"/>
                <w:szCs w:val="21"/>
                <w:u w:val="none"/>
              </w:rPr>
              <w:t>t/a</w:t>
            </w:r>
          </w:p>
        </w:tc>
        <w:tc>
          <w:tcPr>
            <w:tcW w:w="1163" w:type="dxa"/>
            <w:shd w:val="clear" w:color="auto" w:fill="auto"/>
            <w:vAlign w:val="center"/>
          </w:tcPr>
          <w:p w14:paraId="3DA86198">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cs="Times New Roman"/>
                <w:i w:val="0"/>
                <w:iCs w:val="0"/>
                <w:color w:val="auto"/>
                <w:kern w:val="0"/>
                <w:sz w:val="21"/>
                <w:szCs w:val="21"/>
                <w:u w:val="none"/>
                <w:lang w:val="en-US" w:eastAsia="zh-CN" w:bidi="ar"/>
              </w:rPr>
              <w:t>+</w:t>
            </w:r>
            <w:r>
              <w:rPr>
                <w:rFonts w:hint="eastAsia" w:cs="Times New Roman"/>
                <w:snapToGrid w:val="0"/>
                <w:color w:val="auto"/>
                <w:sz w:val="21"/>
                <w:szCs w:val="21"/>
                <w:u w:val="none"/>
                <w:lang w:val="en-US" w:eastAsia="zh-CN"/>
              </w:rPr>
              <w:t>33.33</w:t>
            </w:r>
            <w:r>
              <w:rPr>
                <w:rFonts w:hint="default" w:ascii="Times New Roman" w:hAnsi="Times New Roman" w:cs="Times New Roman"/>
                <w:snapToGrid w:val="0"/>
                <w:color w:val="auto"/>
                <w:sz w:val="21"/>
                <w:szCs w:val="21"/>
                <w:u w:val="none"/>
              </w:rPr>
              <w:t>t/a</w:t>
            </w:r>
          </w:p>
        </w:tc>
      </w:tr>
      <w:tr w14:paraId="47295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3A5CA78F">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5DCF884A">
            <w:pPr>
              <w:pStyle w:val="136"/>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废离子交换树脂</w:t>
            </w:r>
          </w:p>
        </w:tc>
        <w:tc>
          <w:tcPr>
            <w:tcW w:w="1620" w:type="dxa"/>
            <w:vAlign w:val="center"/>
          </w:tcPr>
          <w:p w14:paraId="358E00F3">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295" w:type="dxa"/>
            <w:vAlign w:val="center"/>
          </w:tcPr>
          <w:p w14:paraId="6F55D6C8">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727" w:type="dxa"/>
            <w:vAlign w:val="center"/>
          </w:tcPr>
          <w:p w14:paraId="1773548A">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13219592">
            <w:pPr>
              <w:pStyle w:val="136"/>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w:t>
            </w:r>
            <w:r>
              <w:rPr>
                <w:rFonts w:hint="default" w:ascii="Times New Roman" w:hAnsi="Times New Roman" w:cs="Times New Roman"/>
                <w:snapToGrid w:val="0"/>
                <w:color w:val="auto"/>
                <w:sz w:val="21"/>
                <w:szCs w:val="21"/>
                <w:u w:val="none"/>
              </w:rPr>
              <w:t>t/a</w:t>
            </w:r>
          </w:p>
        </w:tc>
        <w:tc>
          <w:tcPr>
            <w:tcW w:w="1789" w:type="dxa"/>
            <w:vAlign w:val="center"/>
          </w:tcPr>
          <w:p w14:paraId="05AFD013">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shd w:val="clear" w:color="auto" w:fill="auto"/>
            <w:vAlign w:val="center"/>
          </w:tcPr>
          <w:p w14:paraId="22CB81A7">
            <w:pPr>
              <w:pStyle w:val="136"/>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0.4</w:t>
            </w:r>
            <w:r>
              <w:rPr>
                <w:rFonts w:hint="default" w:ascii="Times New Roman" w:hAnsi="Times New Roman" w:cs="Times New Roman"/>
                <w:snapToGrid w:val="0"/>
                <w:color w:val="auto"/>
                <w:sz w:val="21"/>
                <w:szCs w:val="21"/>
                <w:u w:val="none"/>
              </w:rPr>
              <w:t>t/a</w:t>
            </w:r>
          </w:p>
        </w:tc>
        <w:tc>
          <w:tcPr>
            <w:tcW w:w="1163" w:type="dxa"/>
            <w:shd w:val="clear" w:color="auto" w:fill="auto"/>
            <w:vAlign w:val="center"/>
          </w:tcPr>
          <w:p w14:paraId="183DC80C">
            <w:pPr>
              <w:pStyle w:val="136"/>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color w:val="auto"/>
                <w:sz w:val="21"/>
                <w:szCs w:val="21"/>
                <w:lang w:val="en-US" w:eastAsia="zh-CN"/>
              </w:rPr>
              <w:t>0.4</w:t>
            </w:r>
            <w:r>
              <w:rPr>
                <w:rFonts w:hint="default" w:ascii="Times New Roman" w:hAnsi="Times New Roman" w:cs="Times New Roman"/>
                <w:snapToGrid w:val="0"/>
                <w:color w:val="auto"/>
                <w:sz w:val="21"/>
                <w:szCs w:val="21"/>
                <w:u w:val="none"/>
              </w:rPr>
              <w:t>t/a</w:t>
            </w:r>
          </w:p>
        </w:tc>
      </w:tr>
      <w:tr w14:paraId="32560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restart"/>
            <w:vAlign w:val="center"/>
          </w:tcPr>
          <w:p w14:paraId="59505806">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r>
              <w:rPr>
                <w:rFonts w:hint="eastAsia" w:ascii="Times New Roman" w:cs="Times New Roman"/>
                <w:snapToGrid w:val="0"/>
                <w:color w:val="auto"/>
                <w:kern w:val="21"/>
                <w:sz w:val="21"/>
                <w:szCs w:val="21"/>
                <w:u w:val="none"/>
                <w:lang w:val="en-US" w:eastAsia="zh-CN"/>
              </w:rPr>
              <w:t>危险废物</w:t>
            </w:r>
          </w:p>
        </w:tc>
        <w:tc>
          <w:tcPr>
            <w:tcW w:w="719" w:type="pct"/>
            <w:vAlign w:val="center"/>
          </w:tcPr>
          <w:p w14:paraId="0F687187">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cs="Times New Roman"/>
                <w:snapToGrid w:val="0"/>
                <w:color w:val="auto"/>
                <w:sz w:val="21"/>
                <w:szCs w:val="21"/>
                <w:u w:val="none"/>
                <w:lang w:val="en-US" w:eastAsia="zh-CN"/>
              </w:rPr>
            </w:pPr>
            <w:r>
              <w:rPr>
                <w:color w:val="auto"/>
                <w:sz w:val="21"/>
                <w:szCs w:val="21"/>
              </w:rPr>
              <w:t>废润滑油</w:t>
            </w:r>
          </w:p>
        </w:tc>
        <w:tc>
          <w:tcPr>
            <w:tcW w:w="1620" w:type="dxa"/>
            <w:vAlign w:val="center"/>
          </w:tcPr>
          <w:p w14:paraId="28FAB401">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295" w:type="dxa"/>
            <w:vAlign w:val="center"/>
          </w:tcPr>
          <w:p w14:paraId="09F6F3DC">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727" w:type="dxa"/>
            <w:vAlign w:val="center"/>
          </w:tcPr>
          <w:p w14:paraId="280857C9">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0068F1B4">
            <w:pPr>
              <w:pStyle w:val="136"/>
              <w:rPr>
                <w:rFonts w:hint="eastAsia" w:cs="Times New Roman"/>
                <w:snapToGrid w:val="0"/>
                <w:color w:val="auto"/>
                <w:sz w:val="21"/>
                <w:szCs w:val="21"/>
                <w:u w:val="none"/>
                <w:lang w:val="en-US" w:eastAsia="zh-CN"/>
              </w:rPr>
            </w:pPr>
            <w:r>
              <w:rPr>
                <w:rFonts w:hint="default"/>
                <w:color w:val="auto"/>
                <w:sz w:val="21"/>
                <w:szCs w:val="21"/>
              </w:rPr>
              <w:t>0.01</w:t>
            </w:r>
            <w:r>
              <w:rPr>
                <w:rFonts w:hint="default" w:ascii="Times New Roman" w:hAnsi="Times New Roman" w:cs="Times New Roman"/>
                <w:snapToGrid w:val="0"/>
                <w:color w:val="auto"/>
                <w:sz w:val="21"/>
                <w:szCs w:val="21"/>
                <w:u w:val="none"/>
              </w:rPr>
              <w:t>t/a</w:t>
            </w:r>
          </w:p>
        </w:tc>
        <w:tc>
          <w:tcPr>
            <w:tcW w:w="1789" w:type="dxa"/>
            <w:vAlign w:val="center"/>
          </w:tcPr>
          <w:p w14:paraId="46C09C02">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shd w:val="clear" w:color="auto" w:fill="auto"/>
            <w:vAlign w:val="center"/>
          </w:tcPr>
          <w:p w14:paraId="2E830CC8">
            <w:pPr>
              <w:pStyle w:val="136"/>
              <w:rPr>
                <w:rFonts w:hint="eastAsia" w:ascii="Times New Roman" w:hAnsi="Times New Roman" w:eastAsia="宋体" w:cs="Times New Roman"/>
                <w:snapToGrid w:val="0"/>
                <w:color w:val="auto"/>
                <w:kern w:val="2"/>
                <w:sz w:val="21"/>
                <w:szCs w:val="21"/>
                <w:u w:val="none"/>
                <w:lang w:val="en-US" w:eastAsia="zh-CN" w:bidi="ar-SA"/>
              </w:rPr>
            </w:pPr>
            <w:r>
              <w:rPr>
                <w:rFonts w:hint="default"/>
                <w:color w:val="auto"/>
                <w:sz w:val="21"/>
                <w:szCs w:val="21"/>
              </w:rPr>
              <w:t>0.01</w:t>
            </w:r>
            <w:r>
              <w:rPr>
                <w:rFonts w:hint="default" w:ascii="Times New Roman" w:hAnsi="Times New Roman" w:cs="Times New Roman"/>
                <w:snapToGrid w:val="0"/>
                <w:color w:val="auto"/>
                <w:sz w:val="21"/>
                <w:szCs w:val="21"/>
                <w:u w:val="none"/>
              </w:rPr>
              <w:t>t/a</w:t>
            </w:r>
          </w:p>
        </w:tc>
        <w:tc>
          <w:tcPr>
            <w:tcW w:w="1163" w:type="dxa"/>
            <w:shd w:val="clear" w:color="auto" w:fill="auto"/>
            <w:vAlign w:val="center"/>
          </w:tcPr>
          <w:p w14:paraId="758DBCE2">
            <w:pPr>
              <w:pStyle w:val="136"/>
              <w:rPr>
                <w:rFonts w:hint="eastAsia" w:ascii="Times New Roman" w:hAnsi="Times New Roman" w:eastAsia="宋体" w:cs="Times New Roman"/>
                <w:snapToGrid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w:t>
            </w:r>
            <w:r>
              <w:rPr>
                <w:rFonts w:hint="default"/>
                <w:color w:val="auto"/>
                <w:sz w:val="21"/>
                <w:szCs w:val="21"/>
              </w:rPr>
              <w:t>0.01</w:t>
            </w:r>
            <w:r>
              <w:rPr>
                <w:rFonts w:hint="default" w:ascii="Times New Roman" w:hAnsi="Times New Roman" w:cs="Times New Roman"/>
                <w:snapToGrid w:val="0"/>
                <w:color w:val="auto"/>
                <w:sz w:val="21"/>
                <w:szCs w:val="21"/>
                <w:u w:val="none"/>
              </w:rPr>
              <w:t>t/a</w:t>
            </w:r>
          </w:p>
        </w:tc>
      </w:tr>
      <w:tr w14:paraId="71DA6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73B22CEE">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shd w:val="clear" w:color="auto" w:fill="auto"/>
            <w:vAlign w:val="center"/>
          </w:tcPr>
          <w:p w14:paraId="6FDA48F9">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snapToGrid w:val="0"/>
                <w:color w:val="auto"/>
                <w:kern w:val="0"/>
                <w:sz w:val="21"/>
                <w:szCs w:val="21"/>
                <w:u w:val="none"/>
                <w:lang w:val="en-US" w:eastAsia="zh-CN" w:bidi="ar-SA"/>
              </w:rPr>
            </w:pPr>
            <w:r>
              <w:rPr>
                <w:color w:val="auto"/>
                <w:sz w:val="21"/>
                <w:szCs w:val="21"/>
              </w:rPr>
              <w:t>含油抹布及手套</w:t>
            </w:r>
          </w:p>
        </w:tc>
        <w:tc>
          <w:tcPr>
            <w:tcW w:w="1620" w:type="dxa"/>
            <w:shd w:val="clear" w:color="auto" w:fill="auto"/>
            <w:vAlign w:val="center"/>
          </w:tcPr>
          <w:p w14:paraId="6856971E">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1295" w:type="dxa"/>
            <w:shd w:val="clear" w:color="auto" w:fill="auto"/>
            <w:vAlign w:val="center"/>
          </w:tcPr>
          <w:p w14:paraId="1ACB01D4">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1727" w:type="dxa"/>
            <w:shd w:val="clear" w:color="auto" w:fill="auto"/>
            <w:vAlign w:val="center"/>
          </w:tcPr>
          <w:p w14:paraId="44BB6839">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565" w:type="pct"/>
            <w:shd w:val="clear" w:color="auto" w:fill="auto"/>
            <w:vAlign w:val="center"/>
          </w:tcPr>
          <w:p w14:paraId="6FE7036E">
            <w:pPr>
              <w:pStyle w:val="136"/>
              <w:rPr>
                <w:rFonts w:hint="default" w:ascii="Times New Roman" w:hAnsi="Times New Roman" w:eastAsia="宋体" w:cs="Times New Roman"/>
                <w:snapToGrid w:val="0"/>
                <w:color w:val="auto"/>
                <w:kern w:val="2"/>
                <w:sz w:val="21"/>
                <w:szCs w:val="21"/>
                <w:u w:val="none"/>
                <w:lang w:val="en-US" w:eastAsia="zh-CN" w:bidi="ar-SA"/>
              </w:rPr>
            </w:pPr>
            <w:r>
              <w:rPr>
                <w:rFonts w:hint="default"/>
                <w:color w:val="auto"/>
                <w:sz w:val="21"/>
                <w:szCs w:val="21"/>
              </w:rPr>
              <w:t>0.01</w:t>
            </w:r>
            <w:r>
              <w:rPr>
                <w:rFonts w:hint="default" w:ascii="Times New Roman" w:hAnsi="Times New Roman" w:cs="Times New Roman"/>
                <w:snapToGrid w:val="0"/>
                <w:color w:val="auto"/>
                <w:sz w:val="21"/>
                <w:szCs w:val="21"/>
                <w:u w:val="none"/>
              </w:rPr>
              <w:t>t/a</w:t>
            </w:r>
          </w:p>
        </w:tc>
        <w:tc>
          <w:tcPr>
            <w:tcW w:w="1789" w:type="dxa"/>
            <w:shd w:val="clear" w:color="auto" w:fill="auto"/>
            <w:vAlign w:val="center"/>
          </w:tcPr>
          <w:p w14:paraId="6A58699D">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cs="Times New Roman"/>
                <w:snapToGrid w:val="0"/>
                <w:color w:val="auto"/>
                <w:kern w:val="21"/>
                <w:sz w:val="21"/>
                <w:szCs w:val="21"/>
                <w:u w:val="none"/>
                <w:lang w:val="en-US" w:eastAsia="zh-CN"/>
              </w:rPr>
              <w:t>/</w:t>
            </w:r>
          </w:p>
        </w:tc>
        <w:tc>
          <w:tcPr>
            <w:tcW w:w="1665" w:type="dxa"/>
            <w:shd w:val="clear" w:color="auto" w:fill="auto"/>
            <w:vAlign w:val="center"/>
          </w:tcPr>
          <w:p w14:paraId="5F060993">
            <w:pPr>
              <w:pStyle w:val="136"/>
              <w:rPr>
                <w:rFonts w:hint="default" w:ascii="Times New Roman" w:hAnsi="Times New Roman" w:eastAsia="宋体" w:cs="Times New Roman"/>
                <w:snapToGrid w:val="0"/>
                <w:color w:val="auto"/>
                <w:kern w:val="2"/>
                <w:sz w:val="21"/>
                <w:szCs w:val="21"/>
                <w:u w:val="none"/>
                <w:lang w:val="en-US" w:eastAsia="zh-CN" w:bidi="ar-SA"/>
              </w:rPr>
            </w:pPr>
            <w:r>
              <w:rPr>
                <w:rFonts w:hint="default"/>
                <w:color w:val="auto"/>
                <w:sz w:val="21"/>
                <w:szCs w:val="21"/>
              </w:rPr>
              <w:t>0.01</w:t>
            </w:r>
            <w:r>
              <w:rPr>
                <w:rFonts w:hint="default" w:ascii="Times New Roman" w:hAnsi="Times New Roman" w:cs="Times New Roman"/>
                <w:snapToGrid w:val="0"/>
                <w:color w:val="auto"/>
                <w:sz w:val="21"/>
                <w:szCs w:val="21"/>
                <w:u w:val="none"/>
              </w:rPr>
              <w:t>t/a</w:t>
            </w:r>
          </w:p>
        </w:tc>
        <w:tc>
          <w:tcPr>
            <w:tcW w:w="1163" w:type="dxa"/>
            <w:shd w:val="clear" w:color="auto" w:fill="auto"/>
            <w:vAlign w:val="center"/>
          </w:tcPr>
          <w:p w14:paraId="23B79EE0">
            <w:pPr>
              <w:pStyle w:val="136"/>
              <w:rPr>
                <w:rFonts w:hint="eastAsia" w:ascii="Times New Roman" w:hAnsi="Times New Roman" w:eastAsia="宋体" w:cs="Times New Roman"/>
                <w:snapToGrid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w:t>
            </w:r>
            <w:r>
              <w:rPr>
                <w:rFonts w:hint="default"/>
                <w:color w:val="auto"/>
                <w:sz w:val="21"/>
                <w:szCs w:val="21"/>
              </w:rPr>
              <w:t>0.01</w:t>
            </w:r>
            <w:r>
              <w:rPr>
                <w:rFonts w:hint="default" w:ascii="Times New Roman" w:hAnsi="Times New Roman" w:cs="Times New Roman"/>
                <w:snapToGrid w:val="0"/>
                <w:color w:val="auto"/>
                <w:sz w:val="21"/>
                <w:szCs w:val="21"/>
                <w:u w:val="none"/>
              </w:rPr>
              <w:t>t/a</w:t>
            </w:r>
          </w:p>
        </w:tc>
      </w:tr>
      <w:tr w14:paraId="6FFE3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7BED8861">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cs="Times New Roman"/>
                <w:snapToGrid w:val="0"/>
                <w:color w:val="auto"/>
                <w:kern w:val="21"/>
                <w:sz w:val="21"/>
                <w:szCs w:val="21"/>
                <w:u w:val="none"/>
                <w:lang w:val="en-US" w:eastAsia="zh-CN"/>
              </w:rPr>
            </w:pPr>
          </w:p>
        </w:tc>
        <w:tc>
          <w:tcPr>
            <w:tcW w:w="719" w:type="pct"/>
            <w:vAlign w:val="center"/>
          </w:tcPr>
          <w:p w14:paraId="2B11E1B4">
            <w:pPr>
              <w:pStyle w:val="110"/>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cs="Times New Roman"/>
                <w:snapToGrid w:val="0"/>
                <w:color w:val="auto"/>
                <w:sz w:val="21"/>
                <w:szCs w:val="21"/>
                <w:u w:val="none"/>
                <w:lang w:val="en-US" w:eastAsia="zh-CN"/>
              </w:rPr>
            </w:pPr>
            <w:r>
              <w:rPr>
                <w:rFonts w:hint="eastAsia" w:ascii="Times New Roman" w:hAnsi="Times New Roman" w:eastAsia="宋体" w:cs="Times New Roman"/>
                <w:color w:val="FF0000"/>
                <w:sz w:val="21"/>
                <w:szCs w:val="21"/>
                <w:u w:val="single"/>
                <w:lang w:val="en-US" w:eastAsia="zh-CN"/>
              </w:rPr>
              <w:t>废活性炭</w:t>
            </w:r>
          </w:p>
        </w:tc>
        <w:tc>
          <w:tcPr>
            <w:tcW w:w="1620" w:type="dxa"/>
            <w:vAlign w:val="center"/>
          </w:tcPr>
          <w:p w14:paraId="4332F48A">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295" w:type="dxa"/>
            <w:vAlign w:val="center"/>
          </w:tcPr>
          <w:p w14:paraId="775B41F4">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1727" w:type="dxa"/>
            <w:vAlign w:val="center"/>
          </w:tcPr>
          <w:p w14:paraId="1A9561A8">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43672A1D">
            <w:pPr>
              <w:pStyle w:val="136"/>
              <w:rPr>
                <w:rFonts w:hint="eastAsia" w:cs="Times New Roman"/>
                <w:snapToGrid w:val="0"/>
                <w:color w:val="auto"/>
                <w:sz w:val="21"/>
                <w:szCs w:val="21"/>
                <w:u w:val="none"/>
                <w:lang w:val="en-US" w:eastAsia="zh-CN"/>
              </w:rPr>
            </w:pPr>
            <w:r>
              <w:rPr>
                <w:rFonts w:hint="eastAsia" w:ascii="Times New Roman" w:hAnsi="Times New Roman" w:eastAsia="宋体" w:cs="Times New Roman"/>
                <w:color w:val="FF0000"/>
                <w:sz w:val="21"/>
                <w:szCs w:val="21"/>
                <w:u w:val="single"/>
                <w:lang w:val="en-US" w:eastAsia="zh-CN"/>
              </w:rPr>
              <w:t>9.75</w:t>
            </w:r>
            <w:r>
              <w:rPr>
                <w:rFonts w:hint="default" w:ascii="Times New Roman" w:hAnsi="Times New Roman" w:cs="Times New Roman"/>
                <w:snapToGrid w:val="0"/>
                <w:color w:val="auto"/>
                <w:sz w:val="21"/>
                <w:szCs w:val="21"/>
                <w:u w:val="none"/>
              </w:rPr>
              <w:t>t/a</w:t>
            </w:r>
          </w:p>
        </w:tc>
        <w:tc>
          <w:tcPr>
            <w:tcW w:w="1789" w:type="dxa"/>
            <w:vAlign w:val="center"/>
          </w:tcPr>
          <w:p w14:paraId="408FE774">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eastAsia="宋体"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shd w:val="clear" w:color="auto" w:fill="auto"/>
            <w:vAlign w:val="center"/>
          </w:tcPr>
          <w:p w14:paraId="77008F2A">
            <w:pPr>
              <w:pStyle w:val="136"/>
              <w:rPr>
                <w:rFonts w:hint="eastAsia" w:ascii="Times New Roman" w:hAnsi="Times New Roman" w:eastAsia="宋体" w:cs="Times New Roman"/>
                <w:snapToGrid w:val="0"/>
                <w:color w:val="auto"/>
                <w:kern w:val="2"/>
                <w:sz w:val="21"/>
                <w:szCs w:val="21"/>
                <w:u w:val="none"/>
                <w:lang w:val="en-US" w:eastAsia="zh-CN" w:bidi="ar-SA"/>
              </w:rPr>
            </w:pPr>
            <w:r>
              <w:rPr>
                <w:rFonts w:hint="eastAsia" w:ascii="Times New Roman" w:hAnsi="Times New Roman" w:eastAsia="宋体" w:cs="Times New Roman"/>
                <w:color w:val="FF0000"/>
                <w:sz w:val="21"/>
                <w:szCs w:val="21"/>
                <w:u w:val="single"/>
                <w:lang w:val="en-US" w:eastAsia="zh-CN"/>
              </w:rPr>
              <w:t>9.75</w:t>
            </w:r>
            <w:r>
              <w:rPr>
                <w:rFonts w:hint="default" w:ascii="Times New Roman" w:hAnsi="Times New Roman" w:cs="Times New Roman"/>
                <w:snapToGrid w:val="0"/>
                <w:color w:val="auto"/>
                <w:sz w:val="21"/>
                <w:szCs w:val="21"/>
                <w:u w:val="none"/>
              </w:rPr>
              <w:t>t/a</w:t>
            </w:r>
          </w:p>
        </w:tc>
        <w:tc>
          <w:tcPr>
            <w:tcW w:w="1163" w:type="dxa"/>
            <w:shd w:val="clear" w:color="auto" w:fill="auto"/>
            <w:vAlign w:val="center"/>
          </w:tcPr>
          <w:p w14:paraId="27717DBD">
            <w:pPr>
              <w:pStyle w:val="136"/>
              <w:rPr>
                <w:rFonts w:hint="eastAsia" w:ascii="Times New Roman" w:hAnsi="Times New Roman" w:eastAsia="宋体" w:cs="Times New Roman"/>
                <w:snapToGrid w:val="0"/>
                <w:color w:val="auto"/>
                <w:kern w:val="2"/>
                <w:sz w:val="21"/>
                <w:szCs w:val="21"/>
                <w:u w:val="none"/>
                <w:lang w:val="en-US" w:eastAsia="zh-CN" w:bidi="ar-SA"/>
              </w:rPr>
            </w:pPr>
            <w:r>
              <w:rPr>
                <w:rFonts w:hint="eastAsia" w:cs="Times New Roman"/>
                <w:i w:val="0"/>
                <w:iCs w:val="0"/>
                <w:color w:val="FF0000"/>
                <w:kern w:val="0"/>
                <w:sz w:val="21"/>
                <w:szCs w:val="21"/>
                <w:u w:val="none"/>
                <w:lang w:val="en-US" w:eastAsia="zh-CN" w:bidi="ar"/>
              </w:rPr>
              <w:t>+</w:t>
            </w:r>
            <w:r>
              <w:rPr>
                <w:rFonts w:hint="eastAsia" w:ascii="Times New Roman" w:hAnsi="Times New Roman" w:eastAsia="宋体" w:cs="Times New Roman"/>
                <w:color w:val="FF0000"/>
                <w:sz w:val="21"/>
                <w:szCs w:val="21"/>
                <w:u w:val="single"/>
                <w:lang w:val="en-US" w:eastAsia="zh-CN"/>
              </w:rPr>
              <w:t>9.75</w:t>
            </w:r>
            <w:r>
              <w:rPr>
                <w:rFonts w:hint="default" w:ascii="Times New Roman" w:hAnsi="Times New Roman" w:cs="Times New Roman"/>
                <w:snapToGrid w:val="0"/>
                <w:color w:val="auto"/>
                <w:sz w:val="21"/>
                <w:szCs w:val="21"/>
                <w:u w:val="none"/>
              </w:rPr>
              <w:t>t/a</w:t>
            </w:r>
          </w:p>
        </w:tc>
      </w:tr>
      <w:tr w14:paraId="3A61B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Align w:val="center"/>
          </w:tcPr>
          <w:p w14:paraId="62EB6C4D">
            <w:pPr>
              <w:pStyle w:val="61"/>
              <w:keepNext w:val="0"/>
              <w:keepLines w:val="0"/>
              <w:pageBreakBefore w:val="0"/>
              <w:kinsoku/>
              <w:wordWrap/>
              <w:overflowPunct/>
              <w:topLinePunct w:val="0"/>
              <w:bidi w:val="0"/>
              <w:adjustRightInd/>
              <w:snapToGrid/>
              <w:spacing w:before="0" w:beforeLines="0" w:after="0" w:afterLines="0" w:line="240" w:lineRule="auto"/>
              <w:ind w:left="0" w:firstLine="0" w:firstLineChars="0"/>
              <w:rPr>
                <w:rFonts w:hint="default" w:ascii="Times New Roman" w:hAnsi="Times New Roman" w:eastAsia="宋体" w:cs="Times New Roman"/>
                <w:snapToGrid w:val="0"/>
                <w:color w:val="auto"/>
                <w:kern w:val="21"/>
                <w:sz w:val="21"/>
                <w:szCs w:val="21"/>
                <w:u w:val="none"/>
                <w:lang w:val="en-US" w:eastAsia="zh-CN"/>
              </w:rPr>
            </w:pPr>
            <w:r>
              <w:rPr>
                <w:rFonts w:hint="default" w:ascii="Times New Roman" w:hAnsi="Times New Roman" w:cs="Times New Roman"/>
                <w:snapToGrid w:val="0"/>
                <w:color w:val="auto"/>
                <w:kern w:val="21"/>
                <w:sz w:val="21"/>
                <w:szCs w:val="21"/>
                <w:u w:val="none"/>
                <w:lang w:val="en-US" w:eastAsia="zh-CN"/>
              </w:rPr>
              <w:t>生活垃圾</w:t>
            </w:r>
          </w:p>
        </w:tc>
        <w:tc>
          <w:tcPr>
            <w:tcW w:w="719" w:type="pct"/>
            <w:vAlign w:val="center"/>
          </w:tcPr>
          <w:p w14:paraId="2B882EB9">
            <w:pPr>
              <w:pStyle w:val="105"/>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color w:val="auto"/>
                <w:sz w:val="21"/>
                <w:szCs w:val="21"/>
                <w:u w:val="none"/>
                <w:lang w:eastAsia="zh-CN"/>
              </w:rPr>
            </w:pPr>
            <w:r>
              <w:rPr>
                <w:rFonts w:hint="default" w:ascii="Times New Roman" w:hAnsi="Times New Roman" w:cs="Times New Roman"/>
                <w:snapToGrid w:val="0"/>
                <w:color w:val="auto"/>
                <w:kern w:val="21"/>
                <w:sz w:val="21"/>
                <w:szCs w:val="21"/>
                <w:u w:val="none"/>
                <w:lang w:val="en-US" w:eastAsia="zh-CN"/>
              </w:rPr>
              <w:t>生活垃圾</w:t>
            </w:r>
          </w:p>
        </w:tc>
        <w:tc>
          <w:tcPr>
            <w:tcW w:w="578" w:type="pct"/>
            <w:vAlign w:val="center"/>
          </w:tcPr>
          <w:p w14:paraId="61D435FA">
            <w:pPr>
              <w:keepNext w:val="0"/>
              <w:keepLines w:val="0"/>
              <w:pageBreakBefore w:val="0"/>
              <w:kinsoku/>
              <w:wordWrap/>
              <w:overflowPunct/>
              <w:topLinePunct w:val="0"/>
              <w:bidi w:val="0"/>
              <w:adjustRightInd/>
              <w:spacing w:line="240" w:lineRule="auto"/>
              <w:ind w:left="0" w:leftChars="0" w:firstLine="0" w:firstLineChars="0"/>
              <w:jc w:val="center"/>
              <w:rPr>
                <w:rFonts w:hint="default" w:ascii="Times New Roman" w:hAnsi="Times New Roman" w:cs="Times New Roman"/>
                <w:color w:val="auto"/>
                <w:sz w:val="21"/>
                <w:szCs w:val="21"/>
                <w:u w:val="none"/>
                <w:lang w:eastAsia="zh-CN"/>
              </w:rPr>
            </w:pPr>
            <w:r>
              <w:rPr>
                <w:rFonts w:hint="default" w:ascii="Times New Roman" w:hAnsi="Times New Roman" w:cs="Times New Roman"/>
                <w:snapToGrid w:val="0"/>
                <w:color w:val="auto"/>
                <w:kern w:val="21"/>
                <w:sz w:val="21"/>
                <w:szCs w:val="21"/>
                <w:u w:val="none"/>
                <w:lang w:val="en-US" w:eastAsia="zh-CN"/>
              </w:rPr>
              <w:t>/</w:t>
            </w:r>
          </w:p>
        </w:tc>
        <w:tc>
          <w:tcPr>
            <w:tcW w:w="462" w:type="pct"/>
            <w:vAlign w:val="center"/>
          </w:tcPr>
          <w:p w14:paraId="36E9974F">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616" w:type="pct"/>
            <w:vAlign w:val="center"/>
          </w:tcPr>
          <w:p w14:paraId="41C4C8B2">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565" w:type="pct"/>
            <w:vAlign w:val="center"/>
          </w:tcPr>
          <w:p w14:paraId="4A49B47E">
            <w:pPr>
              <w:keepNext w:val="0"/>
              <w:keepLines w:val="0"/>
              <w:pageBreakBefore w:val="0"/>
              <w:widowControl/>
              <w:suppressLineNumbers w:val="0"/>
              <w:kinsoku/>
              <w:wordWrap/>
              <w:overflowPunct/>
              <w:topLinePunct w:val="0"/>
              <w:bidi w:val="0"/>
              <w:adjustRightInd/>
              <w:spacing w:line="240" w:lineRule="auto"/>
              <w:ind w:lef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0.3</w:t>
            </w:r>
            <w:r>
              <w:rPr>
                <w:rFonts w:hint="default" w:ascii="Times New Roman" w:hAnsi="Times New Roman" w:cs="Times New Roman"/>
                <w:snapToGrid w:val="0"/>
                <w:color w:val="auto"/>
                <w:sz w:val="21"/>
                <w:szCs w:val="21"/>
                <w:u w:val="none"/>
              </w:rPr>
              <w:t>t/a</w:t>
            </w:r>
          </w:p>
        </w:tc>
        <w:tc>
          <w:tcPr>
            <w:tcW w:w="638" w:type="pct"/>
            <w:vAlign w:val="center"/>
          </w:tcPr>
          <w:p w14:paraId="449A2C0E">
            <w:pPr>
              <w:keepNext w:val="0"/>
              <w:keepLines w:val="0"/>
              <w:pageBreakBefore w:val="0"/>
              <w:kinsoku/>
              <w:wordWrap/>
              <w:overflowPunct/>
              <w:topLinePunct w:val="0"/>
              <w:bidi w:val="0"/>
              <w:adjustRightInd/>
              <w:spacing w:line="240" w:lineRule="auto"/>
              <w:ind w:left="0" w:firstLine="0" w:firstLineChars="0"/>
              <w:jc w:val="center"/>
              <w:rPr>
                <w:rFonts w:hint="default" w:ascii="Times New Roman" w:hAnsi="Times New Roman" w:cs="Times New Roman"/>
                <w:snapToGrid w:val="0"/>
                <w:color w:val="auto"/>
                <w:kern w:val="21"/>
                <w:sz w:val="21"/>
                <w:szCs w:val="21"/>
                <w:u w:val="none"/>
              </w:rPr>
            </w:pPr>
            <w:r>
              <w:rPr>
                <w:rFonts w:hint="default" w:ascii="Times New Roman" w:hAnsi="Times New Roman" w:cs="Times New Roman"/>
                <w:snapToGrid w:val="0"/>
                <w:color w:val="auto"/>
                <w:kern w:val="21"/>
                <w:sz w:val="21"/>
                <w:szCs w:val="21"/>
                <w:u w:val="none"/>
                <w:lang w:val="en-US" w:eastAsia="zh-CN"/>
              </w:rPr>
              <w:t>/</w:t>
            </w:r>
          </w:p>
        </w:tc>
        <w:tc>
          <w:tcPr>
            <w:tcW w:w="1665" w:type="dxa"/>
            <w:vAlign w:val="center"/>
          </w:tcPr>
          <w:p w14:paraId="018E74FE">
            <w:pPr>
              <w:keepNext w:val="0"/>
              <w:keepLines w:val="0"/>
              <w:pageBreakBefore w:val="0"/>
              <w:widowControl/>
              <w:suppressLineNumbers w:val="0"/>
              <w:kinsoku/>
              <w:wordWrap/>
              <w:overflowPunct/>
              <w:topLinePunct w:val="0"/>
              <w:bidi w:val="0"/>
              <w:adjustRightInd/>
              <w:spacing w:line="240" w:lineRule="auto"/>
              <w:ind w:left="0" w:leftChars="0" w:firstLine="0" w:firstLineChars="0"/>
              <w:jc w:val="center"/>
              <w:textAlignment w:val="center"/>
              <w:rPr>
                <w:rFonts w:hint="default" w:ascii="Times New Roman" w:hAnsi="Times New Roman" w:cs="Times New Roman"/>
                <w:color w:val="auto"/>
                <w:sz w:val="21"/>
                <w:szCs w:val="21"/>
                <w:u w:val="none"/>
                <w:lang w:eastAsia="zh-CN"/>
              </w:rPr>
            </w:pPr>
            <w:r>
              <w:rPr>
                <w:rFonts w:hint="eastAsia" w:cs="Times New Roman"/>
                <w:i w:val="0"/>
                <w:iCs w:val="0"/>
                <w:color w:val="auto"/>
                <w:kern w:val="0"/>
                <w:sz w:val="21"/>
                <w:szCs w:val="21"/>
                <w:u w:val="none"/>
                <w:lang w:val="en-US" w:eastAsia="zh-CN" w:bidi="ar"/>
              </w:rPr>
              <w:t>0.3</w:t>
            </w:r>
            <w:r>
              <w:rPr>
                <w:rFonts w:hint="default" w:ascii="Times New Roman" w:hAnsi="Times New Roman" w:cs="Times New Roman"/>
                <w:snapToGrid w:val="0"/>
                <w:color w:val="auto"/>
                <w:sz w:val="21"/>
                <w:szCs w:val="21"/>
                <w:u w:val="none"/>
              </w:rPr>
              <w:t>t/a</w:t>
            </w:r>
          </w:p>
        </w:tc>
        <w:tc>
          <w:tcPr>
            <w:tcW w:w="1163" w:type="dxa"/>
            <w:vAlign w:val="center"/>
          </w:tcPr>
          <w:p w14:paraId="09B1023D">
            <w:pPr>
              <w:keepNext w:val="0"/>
              <w:keepLines w:val="0"/>
              <w:pageBreakBefore w:val="0"/>
              <w:widowControl/>
              <w:suppressLineNumbers w:val="0"/>
              <w:kinsoku/>
              <w:wordWrap/>
              <w:overflowPunct/>
              <w:topLinePunct w:val="0"/>
              <w:bidi w:val="0"/>
              <w:adjustRightInd/>
              <w:spacing w:line="240" w:lineRule="auto"/>
              <w:ind w:left="0" w:leftChars="0" w:firstLine="0" w:firstLineChars="0"/>
              <w:jc w:val="center"/>
              <w:textAlignment w:val="center"/>
              <w:rPr>
                <w:rFonts w:hint="default" w:ascii="Times New Roman" w:hAnsi="Times New Roman" w:cs="Times New Roman"/>
                <w:color w:val="auto"/>
                <w:sz w:val="21"/>
                <w:szCs w:val="21"/>
                <w:u w:val="none"/>
                <w:lang w:val="en-US" w:eastAsia="zh-CN"/>
              </w:rPr>
            </w:pPr>
            <w:r>
              <w:rPr>
                <w:rFonts w:hint="eastAsia" w:cs="Times New Roman"/>
                <w:i w:val="0"/>
                <w:iCs w:val="0"/>
                <w:color w:val="FF0000"/>
                <w:kern w:val="0"/>
                <w:sz w:val="21"/>
                <w:szCs w:val="21"/>
                <w:u w:val="none"/>
                <w:lang w:val="en-US" w:eastAsia="zh-CN" w:bidi="ar"/>
              </w:rPr>
              <w:t>+</w:t>
            </w:r>
            <w:r>
              <w:rPr>
                <w:rFonts w:hint="eastAsia" w:cs="Times New Roman"/>
                <w:i w:val="0"/>
                <w:iCs w:val="0"/>
                <w:color w:val="auto"/>
                <w:kern w:val="0"/>
                <w:sz w:val="21"/>
                <w:szCs w:val="21"/>
                <w:u w:val="none"/>
                <w:lang w:val="en-US" w:eastAsia="zh-CN" w:bidi="ar"/>
              </w:rPr>
              <w:t>0.3</w:t>
            </w:r>
            <w:r>
              <w:rPr>
                <w:rFonts w:hint="default" w:ascii="Times New Roman" w:hAnsi="Times New Roman" w:cs="Times New Roman"/>
                <w:snapToGrid w:val="0"/>
                <w:color w:val="auto"/>
                <w:sz w:val="21"/>
                <w:szCs w:val="21"/>
                <w:u w:val="none"/>
              </w:rPr>
              <w:t>t/a</w:t>
            </w:r>
          </w:p>
        </w:tc>
      </w:tr>
    </w:tbl>
    <w:p w14:paraId="13BDDB35">
      <w:pPr>
        <w:rPr>
          <w:rFonts w:hint="default" w:ascii="Times New Roman" w:hAnsi="Times New Roman" w:cs="Times New Roman"/>
          <w:snapToGrid w:val="0"/>
          <w:color w:val="auto"/>
          <w:spacing w:val="-6"/>
          <w:kern w:val="21"/>
          <w:szCs w:val="21"/>
        </w:rPr>
        <w:sectPr>
          <w:pgSz w:w="16838" w:h="11905" w:orient="landscape"/>
          <w:pgMar w:top="1803" w:right="1440" w:bottom="1803" w:left="1440" w:header="851"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14:paraId="65729FC0">
      <w:pPr>
        <w:spacing w:line="240" w:lineRule="auto"/>
        <w:rPr>
          <w:rFonts w:hint="default"/>
          <w:color w:val="auto"/>
          <w:lang w:val="zh-CN"/>
        </w:rPr>
      </w:pPr>
    </w:p>
    <w:sectPr>
      <w:pgSz w:w="11905"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B2D5">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6430">
    <w:pPr>
      <w:pStyle w:val="21"/>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-134620</wp:posOffset>
              </wp:positionV>
              <wp:extent cx="249555" cy="266065"/>
              <wp:effectExtent l="0" t="0" r="0" b="0"/>
              <wp:wrapNone/>
              <wp:docPr id="4097" name="文本框 2049"/>
              <wp:cNvGraphicFramePr/>
              <a:graphic xmlns:a="http://schemas.openxmlformats.org/drawingml/2006/main">
                <a:graphicData uri="http://schemas.microsoft.com/office/word/2010/wordprocessingShape">
                  <wps:wsp>
                    <wps:cNvSpPr/>
                    <wps:spPr>
                      <a:xfrm>
                        <a:off x="0" y="0"/>
                        <a:ext cx="249555" cy="266065"/>
                      </a:xfrm>
                      <a:prstGeom prst="rect">
                        <a:avLst/>
                      </a:prstGeom>
                      <a:ln>
                        <a:noFill/>
                      </a:ln>
                    </wps:spPr>
                    <wps:txbx>
                      <w:txbxContent>
                        <w:p w14:paraId="40A19F3F">
                          <w:pPr>
                            <w:pStyle w:val="21"/>
                          </w:pPr>
                          <w:r>
                            <w:fldChar w:fldCharType="begin"/>
                          </w:r>
                          <w:r>
                            <w:instrText xml:space="preserve"> PAGE  \* MERGEFORMAT </w:instrText>
                          </w:r>
                          <w:r>
                            <w:fldChar w:fldCharType="separate"/>
                          </w:r>
                          <w:r>
                            <w:t>48</w:t>
                          </w:r>
                          <w:r>
                            <w:fldChar w:fldCharType="end"/>
                          </w:r>
                        </w:p>
                      </w:txbxContent>
                    </wps:txbx>
                    <wps:bodyPr vert="horz" wrap="square" lIns="0" tIns="0" rIns="0" bIns="0" anchor="t" upright="0"/>
                  </wps:wsp>
                </a:graphicData>
              </a:graphic>
            </wp:anchor>
          </w:drawing>
        </mc:Choice>
        <mc:Fallback>
          <w:pict>
            <v:rect id="文本框 2049" o:spid="_x0000_s1026" o:spt="1" style="position:absolute;left:0pt;margin-top:-10.6pt;height:20.95pt;width:19.65pt;mso-position-horizontal:center;mso-position-horizontal-relative:margin;z-index:251659264;mso-width-relative:page;mso-height-relative:page;" filled="f" stroked="f" coordsize="21600,21600" o:gfxdata="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&#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2vptD1wAAAAYBAAAPAAAAAAAAAAEAIAAAACIAAABk&#10;cnMvZG93bnJldi54bWxQSwECFAAUAAAACACHTuJA4xzFY84BAACHAwAADgAAAAAAAAABACAAAAAm&#10;AQAAZHJzL2Uyb0RvYy54bWxQSwUGAAAAAAYABgBZAQAAZgUAAAAA&#10;">
              <v:fill on="f" focussize="0,0"/>
              <v:stroke on="f"/>
              <v:imagedata o:title=""/>
              <o:lock v:ext="edit" aspectratio="f"/>
              <v:textbox inset="0mm,0mm,0mm,0mm">
                <w:txbxContent>
                  <w:p w14:paraId="40A19F3F">
                    <w:pPr>
                      <w:pStyle w:val="21"/>
                    </w:pPr>
                    <w:r>
                      <w:fldChar w:fldCharType="begin"/>
                    </w:r>
                    <w:r>
                      <w:instrText xml:space="preserve"> PAGE  \* MERGEFORMAT </w:instrText>
                    </w:r>
                    <w:r>
                      <w:fldChar w:fldCharType="separate"/>
                    </w:r>
                    <w:r>
                      <w:t>48</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B9EA">
    <w:pPr>
      <w:pStyle w:val="21"/>
      <w:ind w:right="360" w:firstLine="36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-134620</wp:posOffset>
              </wp:positionV>
              <wp:extent cx="1828800" cy="1828800"/>
              <wp:effectExtent l="0" t="0" r="0" b="0"/>
              <wp:wrapNone/>
              <wp:docPr id="4098" name="文本框 205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16A7C85">
                          <w:pPr>
                            <w:pStyle w:val="21"/>
                          </w:pPr>
                          <w:r>
                            <w:fldChar w:fldCharType="begin"/>
                          </w:r>
                          <w:r>
                            <w:instrText xml:space="preserve"> PAGE  \* MERGEFORMAT </w:instrText>
                          </w:r>
                          <w:r>
                            <w:fldChar w:fldCharType="separate"/>
                          </w:r>
                          <w:r>
                            <w:t>70</w:t>
                          </w:r>
                          <w:r>
                            <w:fldChar w:fldCharType="end"/>
                          </w:r>
                        </w:p>
                      </w:txbxContent>
                    </wps:txbx>
                    <wps:bodyPr vert="horz" wrap="none" lIns="0" tIns="0" rIns="0" bIns="0" anchor="t" upright="0">
                      <a:spAutoFit/>
                    </wps:bodyPr>
                  </wps:wsp>
                </a:graphicData>
              </a:graphic>
            </wp:anchor>
          </w:drawing>
        </mc:Choice>
        <mc:Fallback>
          <w:pict>
            <v:rect id="文本框 2052" o:spid="_x0000_s1026" o:spt="1" style="position:absolute;left:0pt;margin-top:-10.6pt;height:144pt;width:144pt;mso-position-horizontal:center;mso-position-horizontal-relative:margin;mso-wrap-style:none;z-index:251659264;mso-width-relative:page;mso-height-relative:page;" filled="f" stroked="f" coordsize="21600,21600" o:gfxdata="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ytb9UAAAAIAQAADwAAAAAAAAABACAAAAAi&#10;AAAAZHJzL2Rvd25yZXYueG1sUEsBAhQAFAAAAAgAh07iQAFeuo7UAQAAoQMAAA4AAAAAAAAAAQAg&#10;AAAAJAEAAGRycy9lMm9Eb2MueG1sUEsFBgAAAAAGAAYAWQEAAGoFAAAAAA==&#10;">
              <v:fill on="f" focussize="0,0"/>
              <v:stroke on="f"/>
              <v:imagedata o:title=""/>
              <o:lock v:ext="edit" aspectratio="f"/>
              <v:textbox inset="0mm,0mm,0mm,0mm" style="mso-fit-shape-to-text:t;">
                <w:txbxContent>
                  <w:p w14:paraId="316A7C85">
                    <w:pPr>
                      <w:pStyle w:val="21"/>
                    </w:pPr>
                    <w:r>
                      <w:fldChar w:fldCharType="begin"/>
                    </w:r>
                    <w:r>
                      <w:instrText xml:space="preserve"> PAGE  \* MERGEFORMAT </w:instrText>
                    </w:r>
                    <w:r>
                      <w:fldChar w:fldCharType="separate"/>
                    </w:r>
                    <w:r>
                      <w:t>70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EF07A"/>
    <w:multiLevelType w:val="singleLevel"/>
    <w:tmpl w:val="9DCEF07A"/>
    <w:lvl w:ilvl="0" w:tentative="0">
      <w:start w:val="4"/>
      <w:numFmt w:val="decimal"/>
      <w:suff w:val="nothing"/>
      <w:lvlText w:val="%1、"/>
      <w:lvlJc w:val="left"/>
    </w:lvl>
  </w:abstractNum>
  <w:abstractNum w:abstractNumId="1">
    <w:nsid w:val="A97424B7"/>
    <w:multiLevelType w:val="singleLevel"/>
    <w:tmpl w:val="A97424B7"/>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00000006"/>
    <w:multiLevelType w:val="singleLevel"/>
    <w:tmpl w:val="00000006"/>
    <w:lvl w:ilvl="0" w:tentative="0">
      <w:start w:val="5"/>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6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OWY0MmU3NDM0MzY4MWE2NmQyMWRiOGRjZjUyMTkifQ=="/>
  </w:docVars>
  <w:rsids>
    <w:rsidRoot w:val="00000000"/>
    <w:rsid w:val="00005AAF"/>
    <w:rsid w:val="003B2047"/>
    <w:rsid w:val="003C0FB6"/>
    <w:rsid w:val="003E0B1C"/>
    <w:rsid w:val="0076431C"/>
    <w:rsid w:val="007F0A1D"/>
    <w:rsid w:val="00912C4E"/>
    <w:rsid w:val="00930024"/>
    <w:rsid w:val="009444C8"/>
    <w:rsid w:val="00CB0E6E"/>
    <w:rsid w:val="00E46AD2"/>
    <w:rsid w:val="00F05477"/>
    <w:rsid w:val="014337F8"/>
    <w:rsid w:val="01527EDF"/>
    <w:rsid w:val="01822651"/>
    <w:rsid w:val="0192652E"/>
    <w:rsid w:val="019E4ED3"/>
    <w:rsid w:val="01E07299"/>
    <w:rsid w:val="01E90844"/>
    <w:rsid w:val="01FB40D3"/>
    <w:rsid w:val="021F7DC1"/>
    <w:rsid w:val="023228D6"/>
    <w:rsid w:val="025905B8"/>
    <w:rsid w:val="02781BC8"/>
    <w:rsid w:val="02816CCE"/>
    <w:rsid w:val="02963DFC"/>
    <w:rsid w:val="029F7154"/>
    <w:rsid w:val="02C40969"/>
    <w:rsid w:val="02DC3F04"/>
    <w:rsid w:val="02E66B31"/>
    <w:rsid w:val="0301396B"/>
    <w:rsid w:val="030516AD"/>
    <w:rsid w:val="033E4BBF"/>
    <w:rsid w:val="0346596A"/>
    <w:rsid w:val="03B60BF9"/>
    <w:rsid w:val="03DC2591"/>
    <w:rsid w:val="03FF434E"/>
    <w:rsid w:val="04402271"/>
    <w:rsid w:val="044C0C16"/>
    <w:rsid w:val="045F303F"/>
    <w:rsid w:val="046447EC"/>
    <w:rsid w:val="04754611"/>
    <w:rsid w:val="04E83035"/>
    <w:rsid w:val="04F10C0A"/>
    <w:rsid w:val="05125DB1"/>
    <w:rsid w:val="051554AC"/>
    <w:rsid w:val="051756C8"/>
    <w:rsid w:val="05282CA0"/>
    <w:rsid w:val="053C512E"/>
    <w:rsid w:val="05502988"/>
    <w:rsid w:val="05663F59"/>
    <w:rsid w:val="05740424"/>
    <w:rsid w:val="05A056BD"/>
    <w:rsid w:val="05B64EE1"/>
    <w:rsid w:val="05EC0902"/>
    <w:rsid w:val="05F1557F"/>
    <w:rsid w:val="060043AE"/>
    <w:rsid w:val="0600615C"/>
    <w:rsid w:val="060F639F"/>
    <w:rsid w:val="06113EC5"/>
    <w:rsid w:val="06253E14"/>
    <w:rsid w:val="064F49ED"/>
    <w:rsid w:val="06755314"/>
    <w:rsid w:val="068702F8"/>
    <w:rsid w:val="069D39AB"/>
    <w:rsid w:val="06A55503"/>
    <w:rsid w:val="06D4212C"/>
    <w:rsid w:val="06D66EBD"/>
    <w:rsid w:val="07287718"/>
    <w:rsid w:val="07465DF0"/>
    <w:rsid w:val="07667F5C"/>
    <w:rsid w:val="077256C2"/>
    <w:rsid w:val="07943000"/>
    <w:rsid w:val="07B0536F"/>
    <w:rsid w:val="07CF228A"/>
    <w:rsid w:val="07D4164E"/>
    <w:rsid w:val="082425D6"/>
    <w:rsid w:val="08245D26"/>
    <w:rsid w:val="08283748"/>
    <w:rsid w:val="085207C5"/>
    <w:rsid w:val="085D4882"/>
    <w:rsid w:val="086E3B72"/>
    <w:rsid w:val="08AC61C8"/>
    <w:rsid w:val="08E73603"/>
    <w:rsid w:val="09104908"/>
    <w:rsid w:val="09420839"/>
    <w:rsid w:val="09554A11"/>
    <w:rsid w:val="09855EF7"/>
    <w:rsid w:val="09A6526C"/>
    <w:rsid w:val="09C90142"/>
    <w:rsid w:val="09E84DC7"/>
    <w:rsid w:val="09F60BAB"/>
    <w:rsid w:val="0A0427C2"/>
    <w:rsid w:val="0A207AE8"/>
    <w:rsid w:val="0A3B59B5"/>
    <w:rsid w:val="0A854E82"/>
    <w:rsid w:val="0ABC321E"/>
    <w:rsid w:val="0ADA51CD"/>
    <w:rsid w:val="0AF10769"/>
    <w:rsid w:val="0B094FB3"/>
    <w:rsid w:val="0B8D6901"/>
    <w:rsid w:val="0B955093"/>
    <w:rsid w:val="0BAB4DBC"/>
    <w:rsid w:val="0BD55995"/>
    <w:rsid w:val="0BDA11FD"/>
    <w:rsid w:val="0BE2331A"/>
    <w:rsid w:val="0BE702FC"/>
    <w:rsid w:val="0BE91440"/>
    <w:rsid w:val="0C0D4C1D"/>
    <w:rsid w:val="0C1069CD"/>
    <w:rsid w:val="0C1741FF"/>
    <w:rsid w:val="0C2801BA"/>
    <w:rsid w:val="0C656D19"/>
    <w:rsid w:val="0C6F1ECE"/>
    <w:rsid w:val="0C8E2094"/>
    <w:rsid w:val="0C9B273A"/>
    <w:rsid w:val="0CAF61E6"/>
    <w:rsid w:val="0CBB2DDD"/>
    <w:rsid w:val="0CC47EE3"/>
    <w:rsid w:val="0D0B3D64"/>
    <w:rsid w:val="0D174D83"/>
    <w:rsid w:val="0D500CF1"/>
    <w:rsid w:val="0D725B91"/>
    <w:rsid w:val="0DA159B5"/>
    <w:rsid w:val="0DA81174"/>
    <w:rsid w:val="0DD61B3B"/>
    <w:rsid w:val="0DFE4B58"/>
    <w:rsid w:val="0E08232E"/>
    <w:rsid w:val="0E1924B1"/>
    <w:rsid w:val="0E4630CE"/>
    <w:rsid w:val="0E5C239D"/>
    <w:rsid w:val="0E794CFD"/>
    <w:rsid w:val="0E9953A0"/>
    <w:rsid w:val="0EC47948"/>
    <w:rsid w:val="0F1B4006"/>
    <w:rsid w:val="0F2C05F8"/>
    <w:rsid w:val="0F5F460A"/>
    <w:rsid w:val="1001593A"/>
    <w:rsid w:val="101F3682"/>
    <w:rsid w:val="10262C63"/>
    <w:rsid w:val="10572E1C"/>
    <w:rsid w:val="1081433D"/>
    <w:rsid w:val="108654B0"/>
    <w:rsid w:val="10987EED"/>
    <w:rsid w:val="109E4479"/>
    <w:rsid w:val="10A342B4"/>
    <w:rsid w:val="10B4201D"/>
    <w:rsid w:val="10BE10ED"/>
    <w:rsid w:val="10C67501"/>
    <w:rsid w:val="10DD77C5"/>
    <w:rsid w:val="11252DE6"/>
    <w:rsid w:val="116F2E0B"/>
    <w:rsid w:val="11785740"/>
    <w:rsid w:val="117D54BF"/>
    <w:rsid w:val="11894686"/>
    <w:rsid w:val="11BB3F06"/>
    <w:rsid w:val="11E9219A"/>
    <w:rsid w:val="1230601B"/>
    <w:rsid w:val="12320AF7"/>
    <w:rsid w:val="124E024F"/>
    <w:rsid w:val="12543AB7"/>
    <w:rsid w:val="12661A3D"/>
    <w:rsid w:val="127952CC"/>
    <w:rsid w:val="129E4D32"/>
    <w:rsid w:val="12AA5DDC"/>
    <w:rsid w:val="12C47AD5"/>
    <w:rsid w:val="12E34947"/>
    <w:rsid w:val="12E806A4"/>
    <w:rsid w:val="12F77E1B"/>
    <w:rsid w:val="13070B2A"/>
    <w:rsid w:val="1345125C"/>
    <w:rsid w:val="134F35CA"/>
    <w:rsid w:val="137141F5"/>
    <w:rsid w:val="138D2581"/>
    <w:rsid w:val="13A07E55"/>
    <w:rsid w:val="13E946D3"/>
    <w:rsid w:val="13F30F85"/>
    <w:rsid w:val="13FC17C7"/>
    <w:rsid w:val="141F6347"/>
    <w:rsid w:val="14292D22"/>
    <w:rsid w:val="1432607A"/>
    <w:rsid w:val="14373691"/>
    <w:rsid w:val="14445DAD"/>
    <w:rsid w:val="14612A01"/>
    <w:rsid w:val="146B50E8"/>
    <w:rsid w:val="1490556D"/>
    <w:rsid w:val="149A777C"/>
    <w:rsid w:val="14BB439D"/>
    <w:rsid w:val="14DB226E"/>
    <w:rsid w:val="14F11A91"/>
    <w:rsid w:val="152C18E8"/>
    <w:rsid w:val="156758B0"/>
    <w:rsid w:val="15793835"/>
    <w:rsid w:val="15842905"/>
    <w:rsid w:val="158B322B"/>
    <w:rsid w:val="15C54CCC"/>
    <w:rsid w:val="15C61C55"/>
    <w:rsid w:val="15CA4090"/>
    <w:rsid w:val="16556050"/>
    <w:rsid w:val="167069E6"/>
    <w:rsid w:val="16A6065A"/>
    <w:rsid w:val="16C80323"/>
    <w:rsid w:val="16FC64CC"/>
    <w:rsid w:val="1711679D"/>
    <w:rsid w:val="172123D6"/>
    <w:rsid w:val="17336F18"/>
    <w:rsid w:val="17400E74"/>
    <w:rsid w:val="1763654B"/>
    <w:rsid w:val="176A5B2B"/>
    <w:rsid w:val="17742506"/>
    <w:rsid w:val="17857F55"/>
    <w:rsid w:val="179B3F36"/>
    <w:rsid w:val="17B434B7"/>
    <w:rsid w:val="17BD3EAD"/>
    <w:rsid w:val="17C92852"/>
    <w:rsid w:val="17CC40F0"/>
    <w:rsid w:val="17DC33B7"/>
    <w:rsid w:val="17E94CA2"/>
    <w:rsid w:val="17EE4F0B"/>
    <w:rsid w:val="17F02536"/>
    <w:rsid w:val="181141F9"/>
    <w:rsid w:val="189310B2"/>
    <w:rsid w:val="18932E60"/>
    <w:rsid w:val="1898498F"/>
    <w:rsid w:val="18C94AD3"/>
    <w:rsid w:val="18C96255"/>
    <w:rsid w:val="18F356AC"/>
    <w:rsid w:val="19063631"/>
    <w:rsid w:val="19410EA4"/>
    <w:rsid w:val="19670574"/>
    <w:rsid w:val="197E3148"/>
    <w:rsid w:val="1988673C"/>
    <w:rsid w:val="19987CB0"/>
    <w:rsid w:val="19CE4747"/>
    <w:rsid w:val="19DC491F"/>
    <w:rsid w:val="19E17FAF"/>
    <w:rsid w:val="1A4966F3"/>
    <w:rsid w:val="1A7016AA"/>
    <w:rsid w:val="1A8E38DF"/>
    <w:rsid w:val="1AA2738A"/>
    <w:rsid w:val="1AD11A1D"/>
    <w:rsid w:val="1ADB1F2D"/>
    <w:rsid w:val="1B1E4E3E"/>
    <w:rsid w:val="1B4B17D0"/>
    <w:rsid w:val="1B5C1C2F"/>
    <w:rsid w:val="1B79633D"/>
    <w:rsid w:val="1B9118D8"/>
    <w:rsid w:val="1BCC2910"/>
    <w:rsid w:val="1BD55F38"/>
    <w:rsid w:val="1C13053F"/>
    <w:rsid w:val="1C176E8E"/>
    <w:rsid w:val="1C1825D2"/>
    <w:rsid w:val="1C455095"/>
    <w:rsid w:val="1C890385"/>
    <w:rsid w:val="1C9635A4"/>
    <w:rsid w:val="1C9A095A"/>
    <w:rsid w:val="1C9A4352"/>
    <w:rsid w:val="1CA94A00"/>
    <w:rsid w:val="1CAC629E"/>
    <w:rsid w:val="1CBD494F"/>
    <w:rsid w:val="1CEB14BC"/>
    <w:rsid w:val="1D24677C"/>
    <w:rsid w:val="1D911505"/>
    <w:rsid w:val="1DA20945"/>
    <w:rsid w:val="1DDC7057"/>
    <w:rsid w:val="1E110AAE"/>
    <w:rsid w:val="1E7E1EBC"/>
    <w:rsid w:val="1EAF02C7"/>
    <w:rsid w:val="1EB3600A"/>
    <w:rsid w:val="1EC726BE"/>
    <w:rsid w:val="1EE066D3"/>
    <w:rsid w:val="1EF65EF6"/>
    <w:rsid w:val="1EF750C9"/>
    <w:rsid w:val="1EFA3C38"/>
    <w:rsid w:val="1F1E2D61"/>
    <w:rsid w:val="1F2962CC"/>
    <w:rsid w:val="1F2E5690"/>
    <w:rsid w:val="1F5F3A9B"/>
    <w:rsid w:val="1F703EFB"/>
    <w:rsid w:val="1F7C63FB"/>
    <w:rsid w:val="1FC14756"/>
    <w:rsid w:val="1FD05531"/>
    <w:rsid w:val="1FD61FB0"/>
    <w:rsid w:val="1FEF6BCD"/>
    <w:rsid w:val="1FF64400"/>
    <w:rsid w:val="200A3A07"/>
    <w:rsid w:val="209F7BF6"/>
    <w:rsid w:val="20AC2D10"/>
    <w:rsid w:val="20CE3EA7"/>
    <w:rsid w:val="20E029BA"/>
    <w:rsid w:val="20EE3329"/>
    <w:rsid w:val="214116AB"/>
    <w:rsid w:val="214178FD"/>
    <w:rsid w:val="217B0D8B"/>
    <w:rsid w:val="219A4EC2"/>
    <w:rsid w:val="21C35F1E"/>
    <w:rsid w:val="21CE6067"/>
    <w:rsid w:val="21D06ED2"/>
    <w:rsid w:val="21DD0D56"/>
    <w:rsid w:val="21ED1832"/>
    <w:rsid w:val="21ED35E0"/>
    <w:rsid w:val="21F32BAE"/>
    <w:rsid w:val="228D6B72"/>
    <w:rsid w:val="22A87507"/>
    <w:rsid w:val="22E04EF3"/>
    <w:rsid w:val="231E4666"/>
    <w:rsid w:val="23294AEC"/>
    <w:rsid w:val="23362D65"/>
    <w:rsid w:val="236E0751"/>
    <w:rsid w:val="237613B4"/>
    <w:rsid w:val="238D507B"/>
    <w:rsid w:val="23902475"/>
    <w:rsid w:val="23C374B7"/>
    <w:rsid w:val="23FA1FE5"/>
    <w:rsid w:val="23FC5D5D"/>
    <w:rsid w:val="24683ABA"/>
    <w:rsid w:val="248F2C0E"/>
    <w:rsid w:val="24A24B56"/>
    <w:rsid w:val="25022DC9"/>
    <w:rsid w:val="252E1F46"/>
    <w:rsid w:val="257F6C45"/>
    <w:rsid w:val="25B83F05"/>
    <w:rsid w:val="25C114BC"/>
    <w:rsid w:val="260016FF"/>
    <w:rsid w:val="264D055F"/>
    <w:rsid w:val="265754CC"/>
    <w:rsid w:val="2666570F"/>
    <w:rsid w:val="26BE554B"/>
    <w:rsid w:val="26C8461C"/>
    <w:rsid w:val="27277595"/>
    <w:rsid w:val="27283097"/>
    <w:rsid w:val="27320A96"/>
    <w:rsid w:val="27547C5E"/>
    <w:rsid w:val="27932534"/>
    <w:rsid w:val="279B6484"/>
    <w:rsid w:val="27A42993"/>
    <w:rsid w:val="27E56B08"/>
    <w:rsid w:val="27EE6CD3"/>
    <w:rsid w:val="27FA0805"/>
    <w:rsid w:val="283A50A6"/>
    <w:rsid w:val="28700AC7"/>
    <w:rsid w:val="28730446"/>
    <w:rsid w:val="28732366"/>
    <w:rsid w:val="28CC6498"/>
    <w:rsid w:val="28D728F5"/>
    <w:rsid w:val="292C529C"/>
    <w:rsid w:val="2939535D"/>
    <w:rsid w:val="29457BFB"/>
    <w:rsid w:val="29503D65"/>
    <w:rsid w:val="298E19CD"/>
    <w:rsid w:val="298F4F7D"/>
    <w:rsid w:val="29961D73"/>
    <w:rsid w:val="299F1664"/>
    <w:rsid w:val="29BB3FC4"/>
    <w:rsid w:val="29C664E0"/>
    <w:rsid w:val="2A067935"/>
    <w:rsid w:val="2A197236"/>
    <w:rsid w:val="2A3C3357"/>
    <w:rsid w:val="2A3C6EB3"/>
    <w:rsid w:val="2A4A36B6"/>
    <w:rsid w:val="2A613F72"/>
    <w:rsid w:val="2A77438F"/>
    <w:rsid w:val="2A7C7BF7"/>
    <w:rsid w:val="2A810D6A"/>
    <w:rsid w:val="2A994305"/>
    <w:rsid w:val="2AAA4765"/>
    <w:rsid w:val="2AB033FD"/>
    <w:rsid w:val="2AB729DE"/>
    <w:rsid w:val="2AE80DE9"/>
    <w:rsid w:val="2AF351A7"/>
    <w:rsid w:val="2AFC6642"/>
    <w:rsid w:val="2B093A4F"/>
    <w:rsid w:val="2B577D1D"/>
    <w:rsid w:val="2B626DED"/>
    <w:rsid w:val="2B7F799F"/>
    <w:rsid w:val="2BAA609E"/>
    <w:rsid w:val="2BBB02AC"/>
    <w:rsid w:val="2BC453B2"/>
    <w:rsid w:val="2C281E22"/>
    <w:rsid w:val="2C471F68"/>
    <w:rsid w:val="2C770D67"/>
    <w:rsid w:val="2C823E41"/>
    <w:rsid w:val="2CC66F08"/>
    <w:rsid w:val="2CE63FAE"/>
    <w:rsid w:val="2D205BB7"/>
    <w:rsid w:val="2D5409B8"/>
    <w:rsid w:val="2D6D1A79"/>
    <w:rsid w:val="2D872B3B"/>
    <w:rsid w:val="2DC749A6"/>
    <w:rsid w:val="2DE312CD"/>
    <w:rsid w:val="2DEC6E42"/>
    <w:rsid w:val="2E053A60"/>
    <w:rsid w:val="2E112405"/>
    <w:rsid w:val="2E422F06"/>
    <w:rsid w:val="2E7C3AC3"/>
    <w:rsid w:val="2EC61441"/>
    <w:rsid w:val="2EDF69A7"/>
    <w:rsid w:val="2F0106CB"/>
    <w:rsid w:val="2F0957D2"/>
    <w:rsid w:val="2F2B399A"/>
    <w:rsid w:val="2F2B5748"/>
    <w:rsid w:val="2F4B1946"/>
    <w:rsid w:val="2F503401"/>
    <w:rsid w:val="2F57653D"/>
    <w:rsid w:val="2F594288"/>
    <w:rsid w:val="2F5D1795"/>
    <w:rsid w:val="2F9E5F1A"/>
    <w:rsid w:val="2FB219C5"/>
    <w:rsid w:val="2FCE2CA3"/>
    <w:rsid w:val="2FD5365E"/>
    <w:rsid w:val="3011493E"/>
    <w:rsid w:val="302E6FB3"/>
    <w:rsid w:val="30516BC1"/>
    <w:rsid w:val="30607673"/>
    <w:rsid w:val="309A2B85"/>
    <w:rsid w:val="30AC28B9"/>
    <w:rsid w:val="30B575EE"/>
    <w:rsid w:val="30F85AFE"/>
    <w:rsid w:val="31110555"/>
    <w:rsid w:val="312E1520"/>
    <w:rsid w:val="313703D4"/>
    <w:rsid w:val="313C778B"/>
    <w:rsid w:val="3150593A"/>
    <w:rsid w:val="317038E6"/>
    <w:rsid w:val="31C12394"/>
    <w:rsid w:val="31FA4FEC"/>
    <w:rsid w:val="31FB7654"/>
    <w:rsid w:val="32452FC5"/>
    <w:rsid w:val="3253123E"/>
    <w:rsid w:val="32AC094E"/>
    <w:rsid w:val="32B31CDC"/>
    <w:rsid w:val="32BD2B5B"/>
    <w:rsid w:val="32C055C3"/>
    <w:rsid w:val="32DF2AD1"/>
    <w:rsid w:val="32E53E60"/>
    <w:rsid w:val="32EB316F"/>
    <w:rsid w:val="32F56799"/>
    <w:rsid w:val="32FC60A5"/>
    <w:rsid w:val="33004250"/>
    <w:rsid w:val="33062754"/>
    <w:rsid w:val="3344502A"/>
    <w:rsid w:val="33721B98"/>
    <w:rsid w:val="33B82568"/>
    <w:rsid w:val="33DE547F"/>
    <w:rsid w:val="34036C94"/>
    <w:rsid w:val="340D65C0"/>
    <w:rsid w:val="341744ED"/>
    <w:rsid w:val="34190265"/>
    <w:rsid w:val="3450049B"/>
    <w:rsid w:val="34651562"/>
    <w:rsid w:val="349667E8"/>
    <w:rsid w:val="349873DC"/>
    <w:rsid w:val="34B95A57"/>
    <w:rsid w:val="34F859FF"/>
    <w:rsid w:val="35026356"/>
    <w:rsid w:val="35470DB7"/>
    <w:rsid w:val="35926EE2"/>
    <w:rsid w:val="35A26038"/>
    <w:rsid w:val="35DC779C"/>
    <w:rsid w:val="35E87EEF"/>
    <w:rsid w:val="35F1677D"/>
    <w:rsid w:val="35FE2C4A"/>
    <w:rsid w:val="360C753B"/>
    <w:rsid w:val="362A5E2D"/>
    <w:rsid w:val="36317AE8"/>
    <w:rsid w:val="364D41F6"/>
    <w:rsid w:val="368C4D1E"/>
    <w:rsid w:val="36DD37CC"/>
    <w:rsid w:val="37225683"/>
    <w:rsid w:val="375649E7"/>
    <w:rsid w:val="375A4E1C"/>
    <w:rsid w:val="37677539"/>
    <w:rsid w:val="377D52A6"/>
    <w:rsid w:val="37857677"/>
    <w:rsid w:val="379F78B1"/>
    <w:rsid w:val="37C4498C"/>
    <w:rsid w:val="37C60704"/>
    <w:rsid w:val="381E2074"/>
    <w:rsid w:val="382901CF"/>
    <w:rsid w:val="382C5908"/>
    <w:rsid w:val="38B467AE"/>
    <w:rsid w:val="38D429AD"/>
    <w:rsid w:val="3902576C"/>
    <w:rsid w:val="39184F8F"/>
    <w:rsid w:val="391E6AEA"/>
    <w:rsid w:val="399F07E5"/>
    <w:rsid w:val="39A2565D"/>
    <w:rsid w:val="39B34CB8"/>
    <w:rsid w:val="39CD3FCC"/>
    <w:rsid w:val="39E66E3B"/>
    <w:rsid w:val="39FF3A59"/>
    <w:rsid w:val="3A0476F3"/>
    <w:rsid w:val="3A0B68A2"/>
    <w:rsid w:val="3A267238"/>
    <w:rsid w:val="3A683CF4"/>
    <w:rsid w:val="3AA54601"/>
    <w:rsid w:val="3AAB598F"/>
    <w:rsid w:val="3AC5176B"/>
    <w:rsid w:val="3AC802EF"/>
    <w:rsid w:val="3AF92745"/>
    <w:rsid w:val="3B225C51"/>
    <w:rsid w:val="3B2E0A9A"/>
    <w:rsid w:val="3B312338"/>
    <w:rsid w:val="3B392F9B"/>
    <w:rsid w:val="3B4262F3"/>
    <w:rsid w:val="3B633EE6"/>
    <w:rsid w:val="3B675D5A"/>
    <w:rsid w:val="3B8A37F6"/>
    <w:rsid w:val="3B974891"/>
    <w:rsid w:val="3B985F13"/>
    <w:rsid w:val="3BC60CD2"/>
    <w:rsid w:val="3BDC04F6"/>
    <w:rsid w:val="3C0B0DDB"/>
    <w:rsid w:val="3C245ED1"/>
    <w:rsid w:val="3C271FF1"/>
    <w:rsid w:val="3C300842"/>
    <w:rsid w:val="3C4A2F0A"/>
    <w:rsid w:val="3C4D6CFE"/>
    <w:rsid w:val="3C591B47"/>
    <w:rsid w:val="3C5C33E5"/>
    <w:rsid w:val="3CA65DAF"/>
    <w:rsid w:val="3CBE02CA"/>
    <w:rsid w:val="3CC176EC"/>
    <w:rsid w:val="3CC35212"/>
    <w:rsid w:val="3CCD6091"/>
    <w:rsid w:val="3CD4741F"/>
    <w:rsid w:val="3CDB255C"/>
    <w:rsid w:val="3CE75508"/>
    <w:rsid w:val="3D0032C3"/>
    <w:rsid w:val="3D0F0457"/>
    <w:rsid w:val="3D4C3459"/>
    <w:rsid w:val="3D4F2F4A"/>
    <w:rsid w:val="3D567C46"/>
    <w:rsid w:val="3D597AFB"/>
    <w:rsid w:val="3D6B1CE1"/>
    <w:rsid w:val="3DF5589F"/>
    <w:rsid w:val="3E014244"/>
    <w:rsid w:val="3E281786"/>
    <w:rsid w:val="3E28743C"/>
    <w:rsid w:val="3E295549"/>
    <w:rsid w:val="3F010273"/>
    <w:rsid w:val="3F485EA2"/>
    <w:rsid w:val="3F520ACF"/>
    <w:rsid w:val="3F6853D5"/>
    <w:rsid w:val="3F7A243C"/>
    <w:rsid w:val="3F7A35A1"/>
    <w:rsid w:val="3FA4132B"/>
    <w:rsid w:val="3FEE34D6"/>
    <w:rsid w:val="403B1563"/>
    <w:rsid w:val="404623E2"/>
    <w:rsid w:val="40582115"/>
    <w:rsid w:val="40583EC3"/>
    <w:rsid w:val="40640ABA"/>
    <w:rsid w:val="4072249C"/>
    <w:rsid w:val="40730CFD"/>
    <w:rsid w:val="40AD420F"/>
    <w:rsid w:val="40BD70D9"/>
    <w:rsid w:val="40C61775"/>
    <w:rsid w:val="40DA0D7C"/>
    <w:rsid w:val="40EB2F89"/>
    <w:rsid w:val="40EF2A79"/>
    <w:rsid w:val="40F005A0"/>
    <w:rsid w:val="40FE0CCC"/>
    <w:rsid w:val="41160006"/>
    <w:rsid w:val="41174FE2"/>
    <w:rsid w:val="411E79D5"/>
    <w:rsid w:val="4142704D"/>
    <w:rsid w:val="416A064C"/>
    <w:rsid w:val="41727207"/>
    <w:rsid w:val="41932BA9"/>
    <w:rsid w:val="419E7FFC"/>
    <w:rsid w:val="41B108B3"/>
    <w:rsid w:val="41B11ADD"/>
    <w:rsid w:val="41BE218B"/>
    <w:rsid w:val="41C9151C"/>
    <w:rsid w:val="41FA5DBB"/>
    <w:rsid w:val="41FB36A0"/>
    <w:rsid w:val="42003488"/>
    <w:rsid w:val="42156510"/>
    <w:rsid w:val="422C5607"/>
    <w:rsid w:val="423746D8"/>
    <w:rsid w:val="425E4EBB"/>
    <w:rsid w:val="42726C3A"/>
    <w:rsid w:val="42764AD5"/>
    <w:rsid w:val="42DA5063"/>
    <w:rsid w:val="42E45EE2"/>
    <w:rsid w:val="430345BA"/>
    <w:rsid w:val="43166C80"/>
    <w:rsid w:val="4339622E"/>
    <w:rsid w:val="433B1FA6"/>
    <w:rsid w:val="43433935"/>
    <w:rsid w:val="440C56F0"/>
    <w:rsid w:val="441D49D5"/>
    <w:rsid w:val="4469669F"/>
    <w:rsid w:val="448368CD"/>
    <w:rsid w:val="448404AA"/>
    <w:rsid w:val="448D4FA9"/>
    <w:rsid w:val="449E72F7"/>
    <w:rsid w:val="45132AAF"/>
    <w:rsid w:val="453E3FCF"/>
    <w:rsid w:val="4557299B"/>
    <w:rsid w:val="45BE2A1A"/>
    <w:rsid w:val="45E306D3"/>
    <w:rsid w:val="461940F5"/>
    <w:rsid w:val="462B05C5"/>
    <w:rsid w:val="467A6D17"/>
    <w:rsid w:val="46A37FD0"/>
    <w:rsid w:val="46C44F06"/>
    <w:rsid w:val="47013507"/>
    <w:rsid w:val="472D7E58"/>
    <w:rsid w:val="472E544D"/>
    <w:rsid w:val="47342D3B"/>
    <w:rsid w:val="474242BD"/>
    <w:rsid w:val="475278BE"/>
    <w:rsid w:val="477B5067"/>
    <w:rsid w:val="4780267D"/>
    <w:rsid w:val="47A65E5C"/>
    <w:rsid w:val="47C87B80"/>
    <w:rsid w:val="47E10C42"/>
    <w:rsid w:val="47EB386F"/>
    <w:rsid w:val="47F133C2"/>
    <w:rsid w:val="480A0199"/>
    <w:rsid w:val="4820176A"/>
    <w:rsid w:val="483B0549"/>
    <w:rsid w:val="48515DC8"/>
    <w:rsid w:val="4854729D"/>
    <w:rsid w:val="48625944"/>
    <w:rsid w:val="489D2DBB"/>
    <w:rsid w:val="48D34A2F"/>
    <w:rsid w:val="48E44E8E"/>
    <w:rsid w:val="49663AF5"/>
    <w:rsid w:val="49C212D7"/>
    <w:rsid w:val="49C341BF"/>
    <w:rsid w:val="49C7252E"/>
    <w:rsid w:val="49D560C0"/>
    <w:rsid w:val="49DF11B1"/>
    <w:rsid w:val="49ED6F18"/>
    <w:rsid w:val="49EF2599"/>
    <w:rsid w:val="4A275968"/>
    <w:rsid w:val="4A30453E"/>
    <w:rsid w:val="4A435BE4"/>
    <w:rsid w:val="4A547DF1"/>
    <w:rsid w:val="4A975B98"/>
    <w:rsid w:val="4AD87A63"/>
    <w:rsid w:val="4B0215FB"/>
    <w:rsid w:val="4B132F8D"/>
    <w:rsid w:val="4B481704"/>
    <w:rsid w:val="4B9A7A86"/>
    <w:rsid w:val="4BA3693A"/>
    <w:rsid w:val="4BC845F3"/>
    <w:rsid w:val="4BE56F53"/>
    <w:rsid w:val="4C235CCD"/>
    <w:rsid w:val="4C5256D4"/>
    <w:rsid w:val="4C561BFF"/>
    <w:rsid w:val="4C6753F2"/>
    <w:rsid w:val="4CD314A1"/>
    <w:rsid w:val="4CEE6460"/>
    <w:rsid w:val="4CF66F3E"/>
    <w:rsid w:val="4D0258E3"/>
    <w:rsid w:val="4D1A70D0"/>
    <w:rsid w:val="4D286F21"/>
    <w:rsid w:val="4D2A3F2B"/>
    <w:rsid w:val="4D2E0486"/>
    <w:rsid w:val="4D424527"/>
    <w:rsid w:val="4D5763B7"/>
    <w:rsid w:val="4D602609"/>
    <w:rsid w:val="4D956757"/>
    <w:rsid w:val="4DAB7D28"/>
    <w:rsid w:val="4DB766CD"/>
    <w:rsid w:val="4DD92AE7"/>
    <w:rsid w:val="4DFA480C"/>
    <w:rsid w:val="4E035DB6"/>
    <w:rsid w:val="4E1C0C26"/>
    <w:rsid w:val="4E306565"/>
    <w:rsid w:val="4E3A10AC"/>
    <w:rsid w:val="4E802F63"/>
    <w:rsid w:val="4E8F31A6"/>
    <w:rsid w:val="4E9764FE"/>
    <w:rsid w:val="4EB37674"/>
    <w:rsid w:val="4EBF4C21"/>
    <w:rsid w:val="4EC15329"/>
    <w:rsid w:val="4ED432AF"/>
    <w:rsid w:val="4F22401A"/>
    <w:rsid w:val="4F26396A"/>
    <w:rsid w:val="4F3501F1"/>
    <w:rsid w:val="4F3D2C02"/>
    <w:rsid w:val="4F5F701C"/>
    <w:rsid w:val="4F9A62A6"/>
    <w:rsid w:val="4FA40ED3"/>
    <w:rsid w:val="4FF736F9"/>
    <w:rsid w:val="500E27F0"/>
    <w:rsid w:val="50243DC2"/>
    <w:rsid w:val="503B7459"/>
    <w:rsid w:val="505B4777"/>
    <w:rsid w:val="50811214"/>
    <w:rsid w:val="50AC756E"/>
    <w:rsid w:val="50DD469C"/>
    <w:rsid w:val="50EC0B0F"/>
    <w:rsid w:val="50F33EC0"/>
    <w:rsid w:val="510D2AA8"/>
    <w:rsid w:val="510F05CE"/>
    <w:rsid w:val="510F6820"/>
    <w:rsid w:val="5117392E"/>
    <w:rsid w:val="51226553"/>
    <w:rsid w:val="51237AAF"/>
    <w:rsid w:val="51383FC9"/>
    <w:rsid w:val="515D57DD"/>
    <w:rsid w:val="516B3C9B"/>
    <w:rsid w:val="516C3C72"/>
    <w:rsid w:val="517B639D"/>
    <w:rsid w:val="51824B2F"/>
    <w:rsid w:val="51945803"/>
    <w:rsid w:val="51D27F79"/>
    <w:rsid w:val="5215582B"/>
    <w:rsid w:val="522602C5"/>
    <w:rsid w:val="522D1654"/>
    <w:rsid w:val="523F1703"/>
    <w:rsid w:val="52666F88"/>
    <w:rsid w:val="527C6137"/>
    <w:rsid w:val="52E8662F"/>
    <w:rsid w:val="52F91536"/>
    <w:rsid w:val="52FB073A"/>
    <w:rsid w:val="53670B95"/>
    <w:rsid w:val="536D2A53"/>
    <w:rsid w:val="53966943"/>
    <w:rsid w:val="53A05E55"/>
    <w:rsid w:val="53BB4A3D"/>
    <w:rsid w:val="53C67686"/>
    <w:rsid w:val="53C707EE"/>
    <w:rsid w:val="53FD5056"/>
    <w:rsid w:val="540F7953"/>
    <w:rsid w:val="54402B72"/>
    <w:rsid w:val="545804DE"/>
    <w:rsid w:val="546E1AAF"/>
    <w:rsid w:val="547D1CF3"/>
    <w:rsid w:val="5499550F"/>
    <w:rsid w:val="54A34F3D"/>
    <w:rsid w:val="54A62885"/>
    <w:rsid w:val="54AA0D3A"/>
    <w:rsid w:val="54D264E2"/>
    <w:rsid w:val="54F2345A"/>
    <w:rsid w:val="55200FFC"/>
    <w:rsid w:val="552A3C28"/>
    <w:rsid w:val="556E7FB9"/>
    <w:rsid w:val="55913CA7"/>
    <w:rsid w:val="55992B5C"/>
    <w:rsid w:val="55AD03B6"/>
    <w:rsid w:val="55BB6F76"/>
    <w:rsid w:val="55C3736F"/>
    <w:rsid w:val="55FD133D"/>
    <w:rsid w:val="56392AD1"/>
    <w:rsid w:val="563A433F"/>
    <w:rsid w:val="565D5C27"/>
    <w:rsid w:val="569D0B8E"/>
    <w:rsid w:val="57730079"/>
    <w:rsid w:val="57AD28EF"/>
    <w:rsid w:val="57BC3D89"/>
    <w:rsid w:val="57D85BBE"/>
    <w:rsid w:val="57E56B89"/>
    <w:rsid w:val="57ED3263"/>
    <w:rsid w:val="581A7F84"/>
    <w:rsid w:val="58266A43"/>
    <w:rsid w:val="583848AE"/>
    <w:rsid w:val="58612C04"/>
    <w:rsid w:val="5866141B"/>
    <w:rsid w:val="58890170"/>
    <w:rsid w:val="58C16652"/>
    <w:rsid w:val="58F46A27"/>
    <w:rsid w:val="59151B75"/>
    <w:rsid w:val="5932754F"/>
    <w:rsid w:val="594159E5"/>
    <w:rsid w:val="59526FF3"/>
    <w:rsid w:val="5966544B"/>
    <w:rsid w:val="59786D78"/>
    <w:rsid w:val="59893D04"/>
    <w:rsid w:val="59AC7302"/>
    <w:rsid w:val="59E074F3"/>
    <w:rsid w:val="5A1D3D5C"/>
    <w:rsid w:val="5A24333C"/>
    <w:rsid w:val="5A28616B"/>
    <w:rsid w:val="5A2A0227"/>
    <w:rsid w:val="5A577EFE"/>
    <w:rsid w:val="5A670C3D"/>
    <w:rsid w:val="5A7D0C9E"/>
    <w:rsid w:val="5A981634"/>
    <w:rsid w:val="5AB02E22"/>
    <w:rsid w:val="5ABC17C7"/>
    <w:rsid w:val="5ACC1D6C"/>
    <w:rsid w:val="5AE66844"/>
    <w:rsid w:val="5B1C2265"/>
    <w:rsid w:val="5B2E3D47"/>
    <w:rsid w:val="5B377CAB"/>
    <w:rsid w:val="5B3D3F8A"/>
    <w:rsid w:val="5B4D0590"/>
    <w:rsid w:val="5B7E6A7C"/>
    <w:rsid w:val="5BE03293"/>
    <w:rsid w:val="5C5617A7"/>
    <w:rsid w:val="5C58107B"/>
    <w:rsid w:val="5C6C4B26"/>
    <w:rsid w:val="5C936557"/>
    <w:rsid w:val="5CD7666E"/>
    <w:rsid w:val="5D1F603D"/>
    <w:rsid w:val="5D2D64DB"/>
    <w:rsid w:val="5D485594"/>
    <w:rsid w:val="5D5201C0"/>
    <w:rsid w:val="5D962295"/>
    <w:rsid w:val="5DA46146"/>
    <w:rsid w:val="5DAA7FFC"/>
    <w:rsid w:val="5DB9327E"/>
    <w:rsid w:val="5DC15346"/>
    <w:rsid w:val="5DCA5FA9"/>
    <w:rsid w:val="5DDF7CE6"/>
    <w:rsid w:val="5DF2411B"/>
    <w:rsid w:val="5DFD456D"/>
    <w:rsid w:val="5E005E6E"/>
    <w:rsid w:val="5E5D0BCB"/>
    <w:rsid w:val="5E6875B6"/>
    <w:rsid w:val="5E8123A6"/>
    <w:rsid w:val="5E9B7945"/>
    <w:rsid w:val="5EC73F4C"/>
    <w:rsid w:val="5EC84E93"/>
    <w:rsid w:val="5ED66053"/>
    <w:rsid w:val="5EF17565"/>
    <w:rsid w:val="5F2D5436"/>
    <w:rsid w:val="5F4571B2"/>
    <w:rsid w:val="5F4A2FEB"/>
    <w:rsid w:val="5F6E6E08"/>
    <w:rsid w:val="5F944AC0"/>
    <w:rsid w:val="5FAD7930"/>
    <w:rsid w:val="5FBE38EB"/>
    <w:rsid w:val="6017749F"/>
    <w:rsid w:val="601B0D3D"/>
    <w:rsid w:val="60536729"/>
    <w:rsid w:val="606B7C88"/>
    <w:rsid w:val="6074044E"/>
    <w:rsid w:val="60B73D35"/>
    <w:rsid w:val="60D1764E"/>
    <w:rsid w:val="60D44B41"/>
    <w:rsid w:val="60F63558"/>
    <w:rsid w:val="61330309"/>
    <w:rsid w:val="613A51F3"/>
    <w:rsid w:val="61723CCE"/>
    <w:rsid w:val="61C84EF5"/>
    <w:rsid w:val="61D5316E"/>
    <w:rsid w:val="61ED6709"/>
    <w:rsid w:val="620B1CA4"/>
    <w:rsid w:val="62141EE8"/>
    <w:rsid w:val="623936FD"/>
    <w:rsid w:val="62467BC8"/>
    <w:rsid w:val="624D27B1"/>
    <w:rsid w:val="625E3163"/>
    <w:rsid w:val="62675B5F"/>
    <w:rsid w:val="62856942"/>
    <w:rsid w:val="628F0554"/>
    <w:rsid w:val="629848C7"/>
    <w:rsid w:val="629F6D92"/>
    <w:rsid w:val="62BB2364"/>
    <w:rsid w:val="62CB6A6A"/>
    <w:rsid w:val="62D17DD9"/>
    <w:rsid w:val="63147CC6"/>
    <w:rsid w:val="634405AB"/>
    <w:rsid w:val="63476CDA"/>
    <w:rsid w:val="635B2744"/>
    <w:rsid w:val="639D41AD"/>
    <w:rsid w:val="639D5F0D"/>
    <w:rsid w:val="63E36016"/>
    <w:rsid w:val="642B3519"/>
    <w:rsid w:val="64395C36"/>
    <w:rsid w:val="646D63CB"/>
    <w:rsid w:val="64833355"/>
    <w:rsid w:val="649022F5"/>
    <w:rsid w:val="649410BE"/>
    <w:rsid w:val="64BB489D"/>
    <w:rsid w:val="64D60202"/>
    <w:rsid w:val="64DB47D3"/>
    <w:rsid w:val="6502275C"/>
    <w:rsid w:val="65733C50"/>
    <w:rsid w:val="65B0017A"/>
    <w:rsid w:val="65CA20EA"/>
    <w:rsid w:val="65DD16A8"/>
    <w:rsid w:val="662F72F1"/>
    <w:rsid w:val="66AF0431"/>
    <w:rsid w:val="66BC48FC"/>
    <w:rsid w:val="66C56152"/>
    <w:rsid w:val="66E55C01"/>
    <w:rsid w:val="670A5668"/>
    <w:rsid w:val="67113410"/>
    <w:rsid w:val="6712775C"/>
    <w:rsid w:val="67523290"/>
    <w:rsid w:val="675D60DF"/>
    <w:rsid w:val="676514A7"/>
    <w:rsid w:val="676F7BC1"/>
    <w:rsid w:val="678A5829"/>
    <w:rsid w:val="678C42CF"/>
    <w:rsid w:val="67942CB6"/>
    <w:rsid w:val="67B57CC9"/>
    <w:rsid w:val="67EC2FBF"/>
    <w:rsid w:val="67ED1BBE"/>
    <w:rsid w:val="67F105D6"/>
    <w:rsid w:val="68071BA7"/>
    <w:rsid w:val="683010B1"/>
    <w:rsid w:val="68476448"/>
    <w:rsid w:val="684D7116"/>
    <w:rsid w:val="68774F7F"/>
    <w:rsid w:val="68930513"/>
    <w:rsid w:val="68DC4DE2"/>
    <w:rsid w:val="68E14A3C"/>
    <w:rsid w:val="68EC771B"/>
    <w:rsid w:val="69004F3B"/>
    <w:rsid w:val="690600B1"/>
    <w:rsid w:val="690A7BA1"/>
    <w:rsid w:val="69196036"/>
    <w:rsid w:val="69821E2D"/>
    <w:rsid w:val="69A55B1C"/>
    <w:rsid w:val="69F57785"/>
    <w:rsid w:val="69F85FA8"/>
    <w:rsid w:val="6A0603AD"/>
    <w:rsid w:val="6A3363C3"/>
    <w:rsid w:val="6A6E35CE"/>
    <w:rsid w:val="6A781C30"/>
    <w:rsid w:val="6AA933EA"/>
    <w:rsid w:val="6AFD711C"/>
    <w:rsid w:val="6B2C2051"/>
    <w:rsid w:val="6B3233DF"/>
    <w:rsid w:val="6B3811CB"/>
    <w:rsid w:val="6B4D0219"/>
    <w:rsid w:val="6B594E10"/>
    <w:rsid w:val="6B5D66AE"/>
    <w:rsid w:val="6B7457A6"/>
    <w:rsid w:val="6B87372B"/>
    <w:rsid w:val="6BA0659B"/>
    <w:rsid w:val="6BAB4527"/>
    <w:rsid w:val="6BC36589"/>
    <w:rsid w:val="6C111246"/>
    <w:rsid w:val="6C5B6B6F"/>
    <w:rsid w:val="6C823EF2"/>
    <w:rsid w:val="6C9D0D2C"/>
    <w:rsid w:val="6C9F4AA4"/>
    <w:rsid w:val="6CB06129"/>
    <w:rsid w:val="6CB26586"/>
    <w:rsid w:val="6CBC7404"/>
    <w:rsid w:val="6CD02EB0"/>
    <w:rsid w:val="6CE1330F"/>
    <w:rsid w:val="6CE32BE3"/>
    <w:rsid w:val="6D1014FE"/>
    <w:rsid w:val="6D1A237D"/>
    <w:rsid w:val="6D1C60F5"/>
    <w:rsid w:val="6D2531FB"/>
    <w:rsid w:val="6D267E2D"/>
    <w:rsid w:val="6D7B106D"/>
    <w:rsid w:val="6D7E504C"/>
    <w:rsid w:val="6DAD31F1"/>
    <w:rsid w:val="6DB037F2"/>
    <w:rsid w:val="6DCC18C9"/>
    <w:rsid w:val="6DE541BD"/>
    <w:rsid w:val="6DE85FD7"/>
    <w:rsid w:val="6E2E0238"/>
    <w:rsid w:val="6E2E60E0"/>
    <w:rsid w:val="6E341EDA"/>
    <w:rsid w:val="6E663ACB"/>
    <w:rsid w:val="6E731D44"/>
    <w:rsid w:val="6E751F61"/>
    <w:rsid w:val="6E761835"/>
    <w:rsid w:val="6E865F1C"/>
    <w:rsid w:val="6EA14B04"/>
    <w:rsid w:val="6EA77C40"/>
    <w:rsid w:val="6EB16D5C"/>
    <w:rsid w:val="6EBD0556"/>
    <w:rsid w:val="6EC802E2"/>
    <w:rsid w:val="6EEB3FD1"/>
    <w:rsid w:val="6EED6E2B"/>
    <w:rsid w:val="6F0532E4"/>
    <w:rsid w:val="6F156EF1"/>
    <w:rsid w:val="6FC50CC6"/>
    <w:rsid w:val="6FCD36D6"/>
    <w:rsid w:val="6FD111A8"/>
    <w:rsid w:val="6FEC1DAE"/>
    <w:rsid w:val="6FF62C2D"/>
    <w:rsid w:val="70214F03"/>
    <w:rsid w:val="70357BF9"/>
    <w:rsid w:val="707D50FC"/>
    <w:rsid w:val="70A00DEB"/>
    <w:rsid w:val="70A408DB"/>
    <w:rsid w:val="70A42689"/>
    <w:rsid w:val="70B54896"/>
    <w:rsid w:val="70E94540"/>
    <w:rsid w:val="7121017E"/>
    <w:rsid w:val="71357785"/>
    <w:rsid w:val="714125CE"/>
    <w:rsid w:val="714300F4"/>
    <w:rsid w:val="715C2F64"/>
    <w:rsid w:val="718304F0"/>
    <w:rsid w:val="71C81C7C"/>
    <w:rsid w:val="71E73175"/>
    <w:rsid w:val="720B6055"/>
    <w:rsid w:val="72281098"/>
    <w:rsid w:val="723452CB"/>
    <w:rsid w:val="723E08BB"/>
    <w:rsid w:val="72564F56"/>
    <w:rsid w:val="728C1627"/>
    <w:rsid w:val="72BD5C84"/>
    <w:rsid w:val="72D059B7"/>
    <w:rsid w:val="72E05877"/>
    <w:rsid w:val="72EC6569"/>
    <w:rsid w:val="73013DC3"/>
    <w:rsid w:val="73104156"/>
    <w:rsid w:val="7338355D"/>
    <w:rsid w:val="734C0DB6"/>
    <w:rsid w:val="735A7977"/>
    <w:rsid w:val="73B250BD"/>
    <w:rsid w:val="73B928EF"/>
    <w:rsid w:val="73FB6A64"/>
    <w:rsid w:val="749D7B1B"/>
    <w:rsid w:val="74D86DA5"/>
    <w:rsid w:val="74E25E76"/>
    <w:rsid w:val="75422471"/>
    <w:rsid w:val="75475CD9"/>
    <w:rsid w:val="75656D39"/>
    <w:rsid w:val="75E55C1E"/>
    <w:rsid w:val="7601057E"/>
    <w:rsid w:val="761348CB"/>
    <w:rsid w:val="76385BE5"/>
    <w:rsid w:val="767E1BCE"/>
    <w:rsid w:val="7694203A"/>
    <w:rsid w:val="76A1621A"/>
    <w:rsid w:val="76AA29C3"/>
    <w:rsid w:val="76BB697E"/>
    <w:rsid w:val="76C3504D"/>
    <w:rsid w:val="76FD2AF3"/>
    <w:rsid w:val="77132317"/>
    <w:rsid w:val="77302EC9"/>
    <w:rsid w:val="77366005"/>
    <w:rsid w:val="773F4EBA"/>
    <w:rsid w:val="774150D6"/>
    <w:rsid w:val="77446974"/>
    <w:rsid w:val="77674410"/>
    <w:rsid w:val="776C7C79"/>
    <w:rsid w:val="777A2396"/>
    <w:rsid w:val="77B84C6C"/>
    <w:rsid w:val="77C85B5E"/>
    <w:rsid w:val="77DF1E38"/>
    <w:rsid w:val="77EB6DF0"/>
    <w:rsid w:val="78252301"/>
    <w:rsid w:val="78384130"/>
    <w:rsid w:val="78412EB3"/>
    <w:rsid w:val="7861181B"/>
    <w:rsid w:val="78947487"/>
    <w:rsid w:val="789847BA"/>
    <w:rsid w:val="78BB0EB8"/>
    <w:rsid w:val="78C87131"/>
    <w:rsid w:val="78E0091E"/>
    <w:rsid w:val="78E90790"/>
    <w:rsid w:val="790A14F7"/>
    <w:rsid w:val="79102FB2"/>
    <w:rsid w:val="79537342"/>
    <w:rsid w:val="795A247F"/>
    <w:rsid w:val="79627585"/>
    <w:rsid w:val="79907C4E"/>
    <w:rsid w:val="7993773F"/>
    <w:rsid w:val="79B10E72"/>
    <w:rsid w:val="79B33ECD"/>
    <w:rsid w:val="79BD7240"/>
    <w:rsid w:val="79D33FDF"/>
    <w:rsid w:val="7A3605DE"/>
    <w:rsid w:val="7A531478"/>
    <w:rsid w:val="7A7F0EB4"/>
    <w:rsid w:val="7A8B6668"/>
    <w:rsid w:val="7A903C7E"/>
    <w:rsid w:val="7A9C2623"/>
    <w:rsid w:val="7AB7745D"/>
    <w:rsid w:val="7ACA7190"/>
    <w:rsid w:val="7ADB314B"/>
    <w:rsid w:val="7B14665D"/>
    <w:rsid w:val="7B290D36"/>
    <w:rsid w:val="7B336D52"/>
    <w:rsid w:val="7B354F51"/>
    <w:rsid w:val="7B705F89"/>
    <w:rsid w:val="7B976D37"/>
    <w:rsid w:val="7BB265A2"/>
    <w:rsid w:val="7BCD518A"/>
    <w:rsid w:val="7BCE62D7"/>
    <w:rsid w:val="7BEE3352"/>
    <w:rsid w:val="7C0E12FE"/>
    <w:rsid w:val="7C533081"/>
    <w:rsid w:val="7C7A4BE6"/>
    <w:rsid w:val="7CE22869"/>
    <w:rsid w:val="7D063CDB"/>
    <w:rsid w:val="7D096956"/>
    <w:rsid w:val="7D0A7D18"/>
    <w:rsid w:val="7D0F1D9C"/>
    <w:rsid w:val="7D142945"/>
    <w:rsid w:val="7D172126"/>
    <w:rsid w:val="7D6637D4"/>
    <w:rsid w:val="7DBD122E"/>
    <w:rsid w:val="7E130E4E"/>
    <w:rsid w:val="7E250F6F"/>
    <w:rsid w:val="7E260B81"/>
    <w:rsid w:val="7E41193E"/>
    <w:rsid w:val="7E4B4A8C"/>
    <w:rsid w:val="7E53749D"/>
    <w:rsid w:val="7EB048EF"/>
    <w:rsid w:val="7EB20667"/>
    <w:rsid w:val="7EC34622"/>
    <w:rsid w:val="7ECA3C03"/>
    <w:rsid w:val="7F076C05"/>
    <w:rsid w:val="7F390F10"/>
    <w:rsid w:val="7F3B240A"/>
    <w:rsid w:val="7F3D5A7B"/>
    <w:rsid w:val="7F4A08A0"/>
    <w:rsid w:val="7F7D0C75"/>
    <w:rsid w:val="7FEE7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35"/>
    <w:autoRedefine/>
    <w:qFormat/>
    <w:uiPriority w:val="0"/>
    <w:pPr>
      <w:keepNext/>
      <w:keepLines/>
      <w:spacing w:before="156" w:beforeLines="50" w:after="156" w:afterLines="50"/>
      <w:outlineLvl w:val="1"/>
    </w:pPr>
    <w:rPr>
      <w:b/>
      <w:bCs/>
      <w:sz w:val="32"/>
      <w:szCs w:val="32"/>
    </w:rPr>
  </w:style>
  <w:style w:type="paragraph" w:styleId="4">
    <w:name w:val="heading 3"/>
    <w:basedOn w:val="1"/>
    <w:next w:val="1"/>
    <w:autoRedefine/>
    <w:qFormat/>
    <w:uiPriority w:val="0"/>
    <w:pPr>
      <w:ind w:firstLine="0" w:firstLineChars="0"/>
      <w:outlineLvl w:val="2"/>
    </w:pPr>
    <w:rPr>
      <w:b/>
      <w:sz w:val="28"/>
    </w:rPr>
  </w:style>
  <w:style w:type="paragraph" w:styleId="5">
    <w:name w:val="heading 4"/>
    <w:basedOn w:val="1"/>
    <w:next w:val="1"/>
    <w:autoRedefine/>
    <w:qFormat/>
    <w:uiPriority w:val="0"/>
    <w:pPr>
      <w:keepNext/>
      <w:keepLines/>
      <w:numPr>
        <w:ilvl w:val="3"/>
        <w:numId w:val="1"/>
      </w:numPr>
      <w:ind w:left="0" w:firstLine="0" w:firstLineChars="0"/>
      <w:jc w:val="left"/>
      <w:outlineLvl w:val="3"/>
    </w:pPr>
    <w:rPr>
      <w:rFonts w:ascii="Times New Roman" w:hAnsi="Times New Roman" w:eastAsia="宋体"/>
      <w:b/>
      <w:bCs/>
      <w:sz w:val="28"/>
      <w:szCs w:val="28"/>
    </w:rPr>
  </w:style>
  <w:style w:type="character" w:default="1" w:styleId="34">
    <w:name w:val="Default Paragraph Font"/>
    <w:autoRedefine/>
    <w:qFormat/>
    <w:uiPriority w:val="0"/>
  </w:style>
  <w:style w:type="table" w:default="1" w:styleId="32">
    <w:name w:val="Normal Table"/>
    <w:autoRedefine/>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rPr>
      <w:rFonts w:hint="default"/>
      <w:sz w:val="21"/>
      <w:szCs w:val="24"/>
    </w:rPr>
  </w:style>
  <w:style w:type="paragraph" w:styleId="7">
    <w:name w:val="Normal Indent"/>
    <w:basedOn w:val="1"/>
    <w:next w:val="5"/>
    <w:autoRedefine/>
    <w:qFormat/>
    <w:uiPriority w:val="0"/>
    <w:pPr>
      <w:ind w:firstLine="420" w:firstLineChars="200"/>
    </w:pPr>
    <w:rPr>
      <w:szCs w:val="20"/>
    </w:rPr>
  </w:style>
  <w:style w:type="paragraph" w:styleId="8">
    <w:name w:val="caption"/>
    <w:basedOn w:val="1"/>
    <w:next w:val="1"/>
    <w:autoRedefine/>
    <w:qFormat/>
    <w:uiPriority w:val="0"/>
    <w:pPr>
      <w:adjustRightInd w:val="0"/>
      <w:snapToGrid w:val="0"/>
      <w:jc w:val="center"/>
    </w:pPr>
    <w:rPr>
      <w:b/>
      <w:sz w:val="24"/>
      <w:szCs w:val="20"/>
    </w:rPr>
  </w:style>
  <w:style w:type="paragraph" w:styleId="9">
    <w:name w:val="Document Map"/>
    <w:basedOn w:val="1"/>
    <w:link w:val="51"/>
    <w:autoRedefine/>
    <w:qFormat/>
    <w:uiPriority w:val="0"/>
    <w:rPr>
      <w:rFonts w:ascii="宋体"/>
      <w:sz w:val="18"/>
      <w:szCs w:val="18"/>
    </w:rPr>
  </w:style>
  <w:style w:type="paragraph" w:styleId="10">
    <w:name w:val="annotation text"/>
    <w:basedOn w:val="1"/>
    <w:link w:val="52"/>
    <w:autoRedefine/>
    <w:qFormat/>
    <w:uiPriority w:val="0"/>
    <w:pPr>
      <w:jc w:val="left"/>
    </w:pPr>
    <w:rPr>
      <w:kern w:val="0"/>
      <w:sz w:val="24"/>
      <w:szCs w:val="20"/>
    </w:rPr>
  </w:style>
  <w:style w:type="paragraph" w:styleId="11">
    <w:name w:val="Body Text 3"/>
    <w:basedOn w:val="1"/>
    <w:autoRedefine/>
    <w:qFormat/>
    <w:uiPriority w:val="0"/>
    <w:pPr>
      <w:jc w:val="center"/>
    </w:pPr>
    <w:rPr>
      <w:rFonts w:ascii="宋体" w:hAnsi="宋体"/>
      <w:spacing w:val="-20"/>
      <w:sz w:val="28"/>
    </w:rPr>
  </w:style>
  <w:style w:type="paragraph" w:styleId="12">
    <w:name w:val="Body Text"/>
    <w:basedOn w:val="1"/>
    <w:next w:val="13"/>
    <w:link w:val="50"/>
    <w:autoRedefine/>
    <w:qFormat/>
    <w:uiPriority w:val="0"/>
    <w:pPr>
      <w:widowControl/>
      <w:snapToGrid w:val="0"/>
      <w:spacing w:before="60" w:after="160" w:line="259" w:lineRule="auto"/>
      <w:ind w:right="113"/>
    </w:pPr>
    <w:rPr>
      <w:kern w:val="0"/>
      <w:sz w:val="18"/>
      <w:szCs w:val="20"/>
    </w:rPr>
  </w:style>
  <w:style w:type="paragraph" w:customStyle="1" w:styleId="13">
    <w:name w:val="xl27"/>
    <w:basedOn w:val="6"/>
    <w:next w:val="14"/>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14">
    <w:name w:val="A正文"/>
    <w:basedOn w:val="1"/>
    <w:qFormat/>
    <w:uiPriority w:val="0"/>
    <w:pPr>
      <w:spacing w:line="480" w:lineRule="exact"/>
      <w:ind w:firstLine="480"/>
      <w:jc w:val="left"/>
    </w:pPr>
    <w:rPr>
      <w:rFonts w:hint="eastAsia" w:ascii="宋体" w:hAnsi="宋体" w:eastAsia="宋体" w:cs="Times New Roman"/>
      <w:kern w:val="0"/>
      <w:sz w:val="24"/>
      <w:szCs w:val="22"/>
    </w:rPr>
  </w:style>
  <w:style w:type="paragraph" w:styleId="15">
    <w:name w:val="Body Text Indent"/>
    <w:basedOn w:val="1"/>
    <w:link w:val="53"/>
    <w:autoRedefine/>
    <w:qFormat/>
    <w:uiPriority w:val="0"/>
    <w:pPr>
      <w:spacing w:after="120"/>
      <w:ind w:left="420" w:leftChars="200"/>
    </w:pPr>
    <w:rPr>
      <w:kern w:val="0"/>
      <w:sz w:val="24"/>
      <w:szCs w:val="20"/>
    </w:rPr>
  </w:style>
  <w:style w:type="paragraph" w:styleId="16">
    <w:name w:val="toc 3"/>
    <w:basedOn w:val="1"/>
    <w:next w:val="1"/>
    <w:autoRedefine/>
    <w:qFormat/>
    <w:uiPriority w:val="0"/>
    <w:pPr>
      <w:spacing w:line="360" w:lineRule="auto"/>
    </w:pPr>
    <w:rPr>
      <w:spacing w:val="-6"/>
      <w:sz w:val="24"/>
    </w:r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link w:val="54"/>
    <w:autoRedefine/>
    <w:qFormat/>
    <w:uiPriority w:val="0"/>
    <w:pPr>
      <w:ind w:left="100" w:leftChars="2500"/>
    </w:pPr>
    <w:rPr>
      <w:kern w:val="0"/>
      <w:sz w:val="24"/>
      <w:szCs w:val="20"/>
    </w:rPr>
  </w:style>
  <w:style w:type="paragraph" w:styleId="19">
    <w:name w:val="Body Text Indent 2"/>
    <w:basedOn w:val="1"/>
    <w:next w:val="1"/>
    <w:autoRedefine/>
    <w:qFormat/>
    <w:uiPriority w:val="0"/>
    <w:pPr>
      <w:adjustRightInd w:val="0"/>
      <w:snapToGrid w:val="0"/>
      <w:spacing w:after="143" w:line="460" w:lineRule="atLeast"/>
      <w:ind w:firstLine="480" w:firstLineChars="0"/>
    </w:pPr>
    <w:rPr>
      <w:rFonts w:hint="eastAsia" w:cs="Times New Roman"/>
      <w:color w:val="000000"/>
    </w:rPr>
  </w:style>
  <w:style w:type="paragraph" w:styleId="20">
    <w:name w:val="Balloon Text"/>
    <w:basedOn w:val="1"/>
    <w:link w:val="55"/>
    <w:autoRedefine/>
    <w:qFormat/>
    <w:uiPriority w:val="0"/>
    <w:rPr>
      <w:kern w:val="0"/>
      <w:sz w:val="18"/>
      <w:szCs w:val="20"/>
    </w:rPr>
  </w:style>
  <w:style w:type="paragraph" w:styleId="21">
    <w:name w:val="footer"/>
    <w:basedOn w:val="1"/>
    <w:link w:val="56"/>
    <w:autoRedefine/>
    <w:qFormat/>
    <w:uiPriority w:val="99"/>
    <w:pPr>
      <w:tabs>
        <w:tab w:val="center" w:pos="4153"/>
        <w:tab w:val="right" w:pos="8306"/>
      </w:tabs>
      <w:snapToGrid w:val="0"/>
      <w:jc w:val="left"/>
    </w:pPr>
    <w:rPr>
      <w:kern w:val="0"/>
      <w:sz w:val="18"/>
      <w:szCs w:val="20"/>
    </w:rPr>
  </w:style>
  <w:style w:type="paragraph" w:styleId="22">
    <w:name w:val="header"/>
    <w:basedOn w:val="1"/>
    <w:link w:val="57"/>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3">
    <w:name w:val="toc 1"/>
    <w:basedOn w:val="1"/>
    <w:next w:val="1"/>
    <w:autoRedefine/>
    <w:qFormat/>
    <w:uiPriority w:val="0"/>
  </w:style>
  <w:style w:type="paragraph" w:styleId="24">
    <w:name w:val="List"/>
    <w:basedOn w:val="1"/>
    <w:next w:val="12"/>
    <w:qFormat/>
    <w:uiPriority w:val="0"/>
    <w:pPr>
      <w:ind w:left="200" w:hanging="200" w:hangingChars="200"/>
    </w:pPr>
  </w:style>
  <w:style w:type="paragraph" w:styleId="25">
    <w:name w:val="Body Text Indent 3"/>
    <w:basedOn w:val="1"/>
    <w:link w:val="58"/>
    <w:autoRedefine/>
    <w:qFormat/>
    <w:uiPriority w:val="0"/>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Normal (Web)"/>
    <w:basedOn w:val="1"/>
    <w:link w:val="59"/>
    <w:autoRedefine/>
    <w:qFormat/>
    <w:uiPriority w:val="0"/>
    <w:pPr>
      <w:widowControl/>
      <w:spacing w:before="100" w:beforeAutospacing="1" w:after="100" w:afterAutospacing="1"/>
      <w:jc w:val="left"/>
    </w:pPr>
    <w:rPr>
      <w:rFonts w:ascii="宋体" w:hAnsi="宋体"/>
      <w:kern w:val="0"/>
      <w:sz w:val="24"/>
      <w:szCs w:val="20"/>
    </w:rPr>
  </w:style>
  <w:style w:type="paragraph" w:styleId="28">
    <w:name w:val="Title"/>
    <w:basedOn w:val="1"/>
    <w:next w:val="5"/>
    <w:autoRedefine/>
    <w:qFormat/>
    <w:uiPriority w:val="0"/>
    <w:pPr>
      <w:spacing w:before="240" w:beforeAutospacing="0" w:after="60" w:afterAutospacing="0"/>
      <w:jc w:val="left"/>
      <w:outlineLvl w:val="0"/>
    </w:pPr>
    <w:rPr>
      <w:rFonts w:ascii="Arial" w:hAnsi="Arial"/>
      <w:sz w:val="32"/>
    </w:rPr>
  </w:style>
  <w:style w:type="paragraph" w:styleId="29">
    <w:name w:val="annotation subject"/>
    <w:basedOn w:val="10"/>
    <w:next w:val="10"/>
    <w:link w:val="60"/>
    <w:autoRedefine/>
    <w:qFormat/>
    <w:uiPriority w:val="0"/>
    <w:rPr>
      <w:b/>
      <w:kern w:val="2"/>
    </w:rPr>
  </w:style>
  <w:style w:type="paragraph" w:styleId="30">
    <w:name w:val="Body Text First Indent"/>
    <w:basedOn w:val="12"/>
    <w:next w:val="31"/>
    <w:autoRedefine/>
    <w:qFormat/>
    <w:uiPriority w:val="0"/>
    <w:pPr>
      <w:spacing w:after="120"/>
      <w:ind w:firstLine="420" w:firstLineChars="100"/>
    </w:pPr>
    <w:rPr>
      <w:sz w:val="21"/>
      <w:szCs w:val="24"/>
    </w:rPr>
  </w:style>
  <w:style w:type="paragraph" w:styleId="31">
    <w:name w:val="Body Text First Indent 2"/>
    <w:basedOn w:val="15"/>
    <w:next w:val="1"/>
    <w:autoRedefine/>
    <w:qFormat/>
    <w:uiPriority w:val="0"/>
    <w:pPr>
      <w:tabs>
        <w:tab w:val="left" w:pos="540"/>
      </w:tabs>
      <w:ind w:firstLine="420" w:firstLineChars="200"/>
    </w:pPr>
    <w:rPr>
      <w:rFonts w:ascii="Times New Roman" w:hAnsi="Times New Roman" w:cs="Times New Roman"/>
    </w:rPr>
  </w:style>
  <w:style w:type="table" w:styleId="33">
    <w:name w:val="Table Grid"/>
    <w:basedOn w:val="32"/>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autoRedefine/>
    <w:qFormat/>
    <w:uiPriority w:val="0"/>
  </w:style>
  <w:style w:type="character" w:styleId="37">
    <w:name w:val="FollowedHyperlink"/>
    <w:basedOn w:val="34"/>
    <w:autoRedefine/>
    <w:qFormat/>
    <w:uiPriority w:val="0"/>
    <w:rPr>
      <w:color w:val="000000"/>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Acronym"/>
    <w:basedOn w:val="34"/>
    <w:autoRedefine/>
    <w:qFormat/>
    <w:uiPriority w:val="0"/>
  </w:style>
  <w:style w:type="character" w:styleId="41">
    <w:name w:val="HTML Variable"/>
    <w:basedOn w:val="34"/>
    <w:autoRedefine/>
    <w:qFormat/>
    <w:uiPriority w:val="0"/>
  </w:style>
  <w:style w:type="character" w:styleId="42">
    <w:name w:val="Hyperlink"/>
    <w:basedOn w:val="34"/>
    <w:autoRedefine/>
    <w:qFormat/>
    <w:uiPriority w:val="0"/>
    <w:rPr>
      <w:color w:val="333333"/>
      <w:u w:val="none"/>
    </w:rPr>
  </w:style>
  <w:style w:type="character" w:styleId="43">
    <w:name w:val="HTML Code"/>
    <w:basedOn w:val="34"/>
    <w:autoRedefine/>
    <w:qFormat/>
    <w:uiPriority w:val="0"/>
    <w:rPr>
      <w:rFonts w:ascii="微软雅黑" w:hAnsi="微软雅黑" w:eastAsia="微软雅黑" w:cs="微软雅黑"/>
      <w:color w:val="333333"/>
      <w:sz w:val="21"/>
      <w:szCs w:val="21"/>
    </w:rPr>
  </w:style>
  <w:style w:type="character" w:styleId="44">
    <w:name w:val="annotation reference"/>
    <w:autoRedefine/>
    <w:qFormat/>
    <w:uiPriority w:val="0"/>
    <w:rPr>
      <w:sz w:val="21"/>
    </w:rPr>
  </w:style>
  <w:style w:type="character" w:styleId="45">
    <w:name w:val="HTML Cite"/>
    <w:basedOn w:val="34"/>
    <w:autoRedefine/>
    <w:qFormat/>
    <w:uiPriority w:val="0"/>
  </w:style>
  <w:style w:type="paragraph" w:customStyle="1" w:styleId="46">
    <w:name w:val="1正文"/>
    <w:qFormat/>
    <w:uiPriority w:val="0"/>
    <w:pPr>
      <w:widowControl/>
      <w:suppressAutoHyphens w:val="0"/>
      <w:kinsoku/>
      <w:overflowPunct/>
      <w:bidi w:val="0"/>
      <w:snapToGrid w:val="0"/>
      <w:spacing w:beforeLines="0" w:beforeAutospacing="0" w:afterLines="0" w:afterAutospacing="0" w:line="360" w:lineRule="auto"/>
      <w:jc w:val="both"/>
    </w:pPr>
    <w:rPr>
      <w:rFonts w:ascii="Times New Roman" w:hAnsi="Times New Roman" w:eastAsia="宋体" w:cs="Times New Roman"/>
      <w:color w:val="auto"/>
      <w:kern w:val="2"/>
      <w:sz w:val="24"/>
      <w:szCs w:val="24"/>
      <w:lang w:val="en-US" w:eastAsia="zh-CN" w:bidi="ar-SA"/>
    </w:rPr>
  </w:style>
  <w:style w:type="paragraph" w:customStyle="1" w:styleId="47">
    <w:name w:val="Default"/>
    <w:basedOn w:val="48"/>
    <w:next w:val="1"/>
    <w:autoRedefine/>
    <w:qFormat/>
    <w:uiPriority w:val="99"/>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48">
    <w:name w:val="纯文本1"/>
    <w:basedOn w:val="1"/>
    <w:autoRedefine/>
    <w:qFormat/>
    <w:uiPriority w:val="0"/>
    <w:rPr>
      <w:rFonts w:ascii="宋体" w:hAnsi="Courier New"/>
    </w:rPr>
  </w:style>
  <w:style w:type="character" w:customStyle="1" w:styleId="49">
    <w:name w:val="正文文本 Char"/>
    <w:autoRedefine/>
    <w:qFormat/>
    <w:uiPriority w:val="0"/>
    <w:rPr>
      <w:sz w:val="18"/>
    </w:rPr>
  </w:style>
  <w:style w:type="character" w:customStyle="1" w:styleId="50">
    <w:name w:val="正文文本 Char1"/>
    <w:basedOn w:val="34"/>
    <w:link w:val="12"/>
    <w:autoRedefine/>
    <w:qFormat/>
    <w:uiPriority w:val="0"/>
    <w:rPr>
      <w:rFonts w:hint="default" w:ascii="Calibri" w:hAnsi="Calibri" w:cs="Calibri"/>
    </w:rPr>
  </w:style>
  <w:style w:type="character" w:customStyle="1" w:styleId="51">
    <w:name w:val="文档结构图 Char"/>
    <w:basedOn w:val="34"/>
    <w:link w:val="9"/>
    <w:autoRedefine/>
    <w:qFormat/>
    <w:uiPriority w:val="0"/>
    <w:rPr>
      <w:rFonts w:ascii="宋体"/>
      <w:kern w:val="2"/>
      <w:sz w:val="18"/>
      <w:szCs w:val="18"/>
    </w:rPr>
  </w:style>
  <w:style w:type="character" w:customStyle="1" w:styleId="52">
    <w:name w:val="批注文字 Char"/>
    <w:link w:val="10"/>
    <w:autoRedefine/>
    <w:qFormat/>
    <w:uiPriority w:val="0"/>
    <w:rPr>
      <w:rFonts w:ascii="Times New Roman" w:hAnsi="Times New Roman" w:eastAsia="宋体"/>
      <w:sz w:val="24"/>
    </w:rPr>
  </w:style>
  <w:style w:type="character" w:customStyle="1" w:styleId="53">
    <w:name w:val="正文文本缩进 Char"/>
    <w:link w:val="15"/>
    <w:autoRedefine/>
    <w:qFormat/>
    <w:uiPriority w:val="0"/>
    <w:rPr>
      <w:rFonts w:ascii="Times New Roman" w:hAnsi="Times New Roman" w:eastAsia="宋体"/>
      <w:sz w:val="24"/>
    </w:rPr>
  </w:style>
  <w:style w:type="character" w:customStyle="1" w:styleId="54">
    <w:name w:val="日期 Char"/>
    <w:link w:val="18"/>
    <w:autoRedefine/>
    <w:qFormat/>
    <w:uiPriority w:val="0"/>
    <w:rPr>
      <w:rFonts w:ascii="Times New Roman" w:hAnsi="Times New Roman" w:eastAsia="宋体"/>
      <w:sz w:val="24"/>
    </w:rPr>
  </w:style>
  <w:style w:type="character" w:customStyle="1" w:styleId="55">
    <w:name w:val="批注框文本 Char"/>
    <w:link w:val="20"/>
    <w:autoRedefine/>
    <w:qFormat/>
    <w:uiPriority w:val="0"/>
    <w:rPr>
      <w:rFonts w:ascii="Times New Roman" w:hAnsi="Times New Roman" w:eastAsia="宋体"/>
      <w:sz w:val="18"/>
    </w:rPr>
  </w:style>
  <w:style w:type="character" w:customStyle="1" w:styleId="56">
    <w:name w:val="页脚 Char"/>
    <w:link w:val="21"/>
    <w:autoRedefine/>
    <w:qFormat/>
    <w:uiPriority w:val="99"/>
    <w:rPr>
      <w:sz w:val="18"/>
    </w:rPr>
  </w:style>
  <w:style w:type="character" w:customStyle="1" w:styleId="57">
    <w:name w:val="页眉 Char1"/>
    <w:basedOn w:val="34"/>
    <w:link w:val="22"/>
    <w:autoRedefine/>
    <w:qFormat/>
    <w:uiPriority w:val="0"/>
    <w:rPr>
      <w:rFonts w:hint="default" w:ascii="Calibri" w:hAnsi="Calibri" w:cs="Calibri"/>
    </w:rPr>
  </w:style>
  <w:style w:type="character" w:customStyle="1" w:styleId="58">
    <w:name w:val="正文文本缩进 3 Char"/>
    <w:link w:val="25"/>
    <w:autoRedefine/>
    <w:qFormat/>
    <w:uiPriority w:val="0"/>
    <w:rPr>
      <w:sz w:val="16"/>
      <w:szCs w:val="16"/>
    </w:rPr>
  </w:style>
  <w:style w:type="character" w:customStyle="1" w:styleId="59">
    <w:name w:val="普通(网站) Char"/>
    <w:link w:val="27"/>
    <w:autoRedefine/>
    <w:qFormat/>
    <w:uiPriority w:val="0"/>
    <w:rPr>
      <w:rFonts w:ascii="宋体" w:hAnsi="宋体" w:eastAsia="宋体"/>
      <w:sz w:val="24"/>
    </w:rPr>
  </w:style>
  <w:style w:type="character" w:customStyle="1" w:styleId="60">
    <w:name w:val="批注主题 Char"/>
    <w:link w:val="29"/>
    <w:autoRedefine/>
    <w:qFormat/>
    <w:uiPriority w:val="0"/>
    <w:rPr>
      <w:rFonts w:ascii="Times New Roman" w:hAnsi="Times New Roman" w:eastAsia="宋体"/>
      <w:b/>
      <w:kern w:val="2"/>
      <w:sz w:val="24"/>
    </w:rPr>
  </w:style>
  <w:style w:type="paragraph" w:customStyle="1" w:styleId="61">
    <w:name w:val="表格"/>
    <w:basedOn w:val="62"/>
    <w:next w:val="1"/>
    <w:link w:val="63"/>
    <w:autoRedefine/>
    <w:qFormat/>
    <w:uiPriority w:val="0"/>
    <w:pPr>
      <w:adjustRightInd w:val="0"/>
      <w:snapToGrid w:val="0"/>
      <w:spacing w:beforeLines="10" w:afterLines="10" w:line="259" w:lineRule="auto"/>
      <w:jc w:val="center"/>
    </w:pPr>
    <w:rPr>
      <w:rFonts w:ascii="宋体"/>
      <w:kern w:val="0"/>
      <w:szCs w:val="20"/>
    </w:rPr>
  </w:style>
  <w:style w:type="paragraph" w:customStyle="1" w:styleId="62">
    <w:name w:val="表格式"/>
    <w:basedOn w:val="24"/>
    <w:qFormat/>
    <w:uiPriority w:val="0"/>
    <w:pPr>
      <w:spacing w:before="156" w:beforeLines="50" w:after="156" w:afterLines="50" w:line="240" w:lineRule="exact"/>
      <w:jc w:val="center"/>
    </w:pPr>
    <w:rPr>
      <w:rFonts w:ascii="Times New Roman" w:hAnsi="Times New Roman" w:eastAsia="宋体" w:cs="Times New Roman"/>
      <w:color w:val="000000"/>
      <w:szCs w:val="21"/>
    </w:rPr>
  </w:style>
  <w:style w:type="character" w:customStyle="1" w:styleId="63">
    <w:name w:val="表格 Char"/>
    <w:link w:val="61"/>
    <w:autoRedefine/>
    <w:qFormat/>
    <w:uiPriority w:val="0"/>
    <w:rPr>
      <w:rFonts w:ascii="宋体"/>
      <w:sz w:val="21"/>
    </w:rPr>
  </w:style>
  <w:style w:type="character" w:customStyle="1" w:styleId="64">
    <w:name w:val="页眉 Char"/>
    <w:autoRedefine/>
    <w:qFormat/>
    <w:uiPriority w:val="0"/>
    <w:rPr>
      <w:sz w:val="18"/>
    </w:rPr>
  </w:style>
  <w:style w:type="character" w:customStyle="1" w:styleId="65">
    <w:name w:val="页脚 字符"/>
    <w:basedOn w:val="34"/>
    <w:autoRedefine/>
    <w:qFormat/>
    <w:uiPriority w:val="99"/>
  </w:style>
  <w:style w:type="character" w:customStyle="1" w:styleId="66">
    <w:name w:val="font11"/>
    <w:basedOn w:val="34"/>
    <w:autoRedefine/>
    <w:qFormat/>
    <w:uiPriority w:val="0"/>
    <w:rPr>
      <w:rFonts w:hint="default" w:ascii="Times New Roman" w:hAnsi="Times New Roman" w:cs="Times New Roman"/>
      <w:color w:val="000000"/>
      <w:sz w:val="21"/>
      <w:szCs w:val="21"/>
      <w:u w:val="none"/>
    </w:rPr>
  </w:style>
  <w:style w:type="character" w:customStyle="1" w:styleId="67">
    <w:name w:val="正文文本 字符1"/>
    <w:autoRedefine/>
    <w:qFormat/>
    <w:uiPriority w:val="0"/>
    <w:rPr>
      <w:rFonts w:ascii="Times New Roman" w:hAnsi="Times New Roman" w:eastAsia="宋体"/>
      <w:sz w:val="24"/>
    </w:rPr>
  </w:style>
  <w:style w:type="character" w:customStyle="1" w:styleId="68">
    <w:name w:val="font41"/>
    <w:basedOn w:val="34"/>
    <w:autoRedefine/>
    <w:qFormat/>
    <w:uiPriority w:val="0"/>
    <w:rPr>
      <w:rFonts w:hint="default" w:ascii="Times New Roman" w:hAnsi="Times New Roman" w:cs="Times New Roman"/>
      <w:color w:val="000000"/>
      <w:sz w:val="21"/>
      <w:szCs w:val="21"/>
      <w:u w:val="none"/>
      <w:vertAlign w:val="subscript"/>
    </w:rPr>
  </w:style>
  <w:style w:type="character" w:customStyle="1" w:styleId="69">
    <w:name w:val="日期 字符"/>
    <w:autoRedefine/>
    <w:qFormat/>
    <w:uiPriority w:val="0"/>
    <w:rPr>
      <w:rFonts w:ascii="Times New Roman" w:hAnsi="Times New Roman" w:eastAsia="宋体"/>
      <w:sz w:val="24"/>
    </w:rPr>
  </w:style>
  <w:style w:type="character" w:customStyle="1" w:styleId="70">
    <w:name w:val="批注文字 字符1"/>
    <w:autoRedefine/>
    <w:qFormat/>
    <w:uiPriority w:val="0"/>
    <w:rPr>
      <w:rFonts w:ascii="Times New Roman" w:hAnsi="Times New Roman" w:eastAsia="宋体"/>
      <w:sz w:val="24"/>
    </w:rPr>
  </w:style>
  <w:style w:type="paragraph" w:customStyle="1" w:styleId="71">
    <w:name w:val="正文（用）"/>
    <w:basedOn w:val="1"/>
    <w:autoRedefine/>
    <w:qFormat/>
    <w:uiPriority w:val="0"/>
    <w:pPr>
      <w:ind w:firstLine="480" w:firstLineChars="200"/>
      <w:jc w:val="left"/>
    </w:pPr>
    <w:rPr>
      <w:rFonts w:ascii="宋体" w:hAnsi="宋体" w:cs="宋体"/>
    </w:rPr>
  </w:style>
  <w:style w:type="paragraph" w:customStyle="1" w:styleId="72">
    <w:name w:val="样式 表头 + 段后: 0.2 行"/>
    <w:basedOn w:val="73"/>
    <w:autoRedefine/>
    <w:qFormat/>
    <w:uiPriority w:val="0"/>
    <w:pPr>
      <w:tabs>
        <w:tab w:val="left" w:pos="1021"/>
      </w:tabs>
      <w:spacing w:line="240" w:lineRule="auto"/>
    </w:pPr>
    <w:rPr>
      <w:color w:val="000000"/>
    </w:rPr>
  </w:style>
  <w:style w:type="paragraph" w:customStyle="1" w:styleId="73">
    <w:name w:val="表头"/>
    <w:basedOn w:val="1"/>
    <w:autoRedefine/>
    <w:qFormat/>
    <w:uiPriority w:val="0"/>
    <w:pPr>
      <w:tabs>
        <w:tab w:val="left" w:pos="1021"/>
      </w:tabs>
      <w:spacing w:before="60" w:after="120" w:line="440" w:lineRule="exact"/>
      <w:ind w:firstLine="1903" w:firstLineChars="790"/>
    </w:pPr>
    <w:rPr>
      <w:rFonts w:cs="宋体"/>
      <w:b/>
      <w:kern w:val="24"/>
      <w:szCs w:val="24"/>
      <w:lang w:val="zh-CN"/>
    </w:rPr>
  </w:style>
  <w:style w:type="paragraph" w:customStyle="1" w:styleId="74">
    <w:name w:val="样式 标题 2H2He + 首行缩进:  0.5 字符"/>
    <w:basedOn w:val="3"/>
    <w:autoRedefine/>
    <w:qFormat/>
    <w:uiPriority w:val="0"/>
    <w:pPr>
      <w:keepNext w:val="0"/>
      <w:keepLines w:val="0"/>
      <w:tabs>
        <w:tab w:val="left" w:pos="648"/>
      </w:tabs>
      <w:overflowPunct w:val="0"/>
      <w:autoSpaceDE w:val="0"/>
      <w:autoSpaceDN w:val="0"/>
      <w:adjustRightInd w:val="0"/>
      <w:spacing w:before="40" w:after="40" w:line="400" w:lineRule="exact"/>
      <w:ind w:firstLine="221" w:firstLineChars="50"/>
      <w:textAlignment w:val="baseline"/>
    </w:pPr>
    <w:rPr>
      <w:rFonts w:ascii="宋体" w:hAnsi="宋体" w:eastAsia="宋体" w:cs="宋体"/>
      <w:bCs w:val="0"/>
      <w:color w:val="000000"/>
      <w:kern w:val="32"/>
      <w:szCs w:val="20"/>
    </w:rPr>
  </w:style>
  <w:style w:type="paragraph" w:customStyle="1" w:styleId="75">
    <w:name w:val="表第一列"/>
    <w:basedOn w:val="30"/>
    <w:autoRedefine/>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Times New Roman" w:hAnsi="Times New Roman"/>
      <w:b/>
      <w:color w:val="000000"/>
      <w:spacing w:val="-6"/>
      <w:sz w:val="24"/>
    </w:rPr>
  </w:style>
  <w:style w:type="paragraph" w:customStyle="1" w:styleId="76">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77">
    <w:name w:val="123456"/>
    <w:basedOn w:val="1"/>
    <w:autoRedefine/>
    <w:qFormat/>
    <w:uiPriority w:val="0"/>
    <w:pPr>
      <w:spacing w:line="440" w:lineRule="exact"/>
      <w:ind w:firstLine="480" w:firstLineChars="200"/>
    </w:pPr>
    <w:rPr>
      <w:bCs/>
      <w:sz w:val="24"/>
    </w:rPr>
  </w:style>
  <w:style w:type="paragraph" w:customStyle="1" w:styleId="78">
    <w:name w:val="表格文字"/>
    <w:basedOn w:val="79"/>
    <w:next w:val="1"/>
    <w:autoRedefine/>
    <w:qFormat/>
    <w:uiPriority w:val="0"/>
    <w:pPr>
      <w:adjustRightInd w:val="0"/>
      <w:snapToGrid w:val="0"/>
      <w:spacing w:after="0"/>
      <w:ind w:firstLine="0" w:firstLineChars="0"/>
      <w:jc w:val="center"/>
    </w:pPr>
    <w:rPr>
      <w:kern w:val="2"/>
      <w:sz w:val="21"/>
      <w:szCs w:val="20"/>
      <w:lang w:val="en-US" w:eastAsia="zh-CN"/>
    </w:rPr>
  </w:style>
  <w:style w:type="paragraph" w:customStyle="1" w:styleId="79">
    <w:name w:val="正文格式"/>
    <w:basedOn w:val="1"/>
    <w:qFormat/>
    <w:uiPriority w:val="0"/>
    <w:pPr>
      <w:spacing w:line="360" w:lineRule="auto"/>
      <w:ind w:firstLine="560" w:firstLineChars="200"/>
    </w:pPr>
    <w:rPr>
      <w:rFonts w:ascii="宋体" w:hAnsi="宋体"/>
      <w:sz w:val="28"/>
      <w:szCs w:val="28"/>
    </w:rPr>
  </w:style>
  <w:style w:type="paragraph" w:customStyle="1" w:styleId="80">
    <w:name w:val="1文章"/>
    <w:basedOn w:val="1"/>
    <w:autoRedefine/>
    <w:qFormat/>
    <w:uiPriority w:val="0"/>
    <w:pPr>
      <w:snapToGrid w:val="0"/>
      <w:spacing w:line="360" w:lineRule="auto"/>
      <w:ind w:firstLine="573"/>
    </w:pPr>
    <w:rPr>
      <w:rFonts w:eastAsia="仿宋_GB2312"/>
      <w:sz w:val="28"/>
    </w:rPr>
  </w:style>
  <w:style w:type="paragraph" w:customStyle="1" w:styleId="81">
    <w:name w:val="az"/>
    <w:autoRedefine/>
    <w:qFormat/>
    <w:uiPriority w:val="0"/>
    <w:pPr>
      <w:jc w:val="center"/>
    </w:pPr>
    <w:rPr>
      <w:rFonts w:ascii="Times New Roman" w:hAnsi="Times New Roman" w:eastAsia="宋体" w:cs="Times New Roman"/>
      <w:color w:val="000000"/>
      <w:sz w:val="21"/>
      <w:szCs w:val="21"/>
      <w:lang w:val="en-US" w:eastAsia="zh-CN" w:bidi="ar-SA"/>
    </w:rPr>
  </w:style>
  <w:style w:type="paragraph" w:customStyle="1" w:styleId="82">
    <w:name w:val="A正文1"/>
    <w:basedOn w:val="1"/>
    <w:autoRedefine/>
    <w:qFormat/>
    <w:uiPriority w:val="0"/>
    <w:pPr>
      <w:spacing w:line="360" w:lineRule="auto"/>
      <w:ind w:firstLine="480" w:firstLineChars="200"/>
    </w:pPr>
    <w:rPr>
      <w:sz w:val="24"/>
      <w:szCs w:val="28"/>
    </w:rPr>
  </w:style>
  <w:style w:type="paragraph" w:customStyle="1" w:styleId="83">
    <w:name w:val="表内容"/>
    <w:basedOn w:val="1"/>
    <w:autoRedefine/>
    <w:qFormat/>
    <w:uiPriority w:val="0"/>
    <w:pPr>
      <w:spacing w:line="240" w:lineRule="auto"/>
      <w:ind w:left="0" w:right="0" w:firstLine="0" w:firstLineChars="0"/>
      <w:jc w:val="both"/>
    </w:pPr>
    <w:rPr>
      <w:sz w:val="21"/>
    </w:rPr>
  </w:style>
  <w:style w:type="paragraph" w:customStyle="1" w:styleId="84">
    <w:name w:val="B表头"/>
    <w:basedOn w:val="1"/>
    <w:autoRedefine/>
    <w:qFormat/>
    <w:uiPriority w:val="0"/>
    <w:pPr>
      <w:spacing w:before="78" w:beforeLines="25" w:after="78" w:afterLines="25"/>
      <w:jc w:val="center"/>
    </w:pPr>
    <w:rPr>
      <w:b/>
      <w:bCs/>
      <w:color w:val="000000"/>
      <w:sz w:val="24"/>
      <w:szCs w:val="28"/>
      <w:lang w:bidi="en-US"/>
    </w:rPr>
  </w:style>
  <w:style w:type="paragraph" w:customStyle="1" w:styleId="85">
    <w:name w:val="表格正本"/>
    <w:basedOn w:val="1"/>
    <w:autoRedefine/>
    <w:qFormat/>
    <w:uiPriority w:val="1"/>
    <w:pPr>
      <w:spacing w:line="360" w:lineRule="auto"/>
      <w:ind w:firstLine="480" w:firstLineChars="200"/>
      <w:jc w:val="both"/>
    </w:pPr>
  </w:style>
  <w:style w:type="paragraph" w:customStyle="1" w:styleId="86">
    <w:name w:val="正文LD"/>
    <w:basedOn w:val="1"/>
    <w:autoRedefine/>
    <w:qFormat/>
    <w:uiPriority w:val="0"/>
    <w:pPr>
      <w:tabs>
        <w:tab w:val="left" w:pos="0"/>
      </w:tabs>
      <w:spacing w:line="360" w:lineRule="auto"/>
      <w:ind w:firstLine="480" w:firstLineChars="200"/>
    </w:pPr>
    <w:rPr>
      <w:rFonts w:ascii="Century Gothic" w:hAnsi="Century Gothic"/>
      <w:szCs w:val="20"/>
    </w:rPr>
  </w:style>
  <w:style w:type="paragraph" w:customStyle="1" w:styleId="87">
    <w:name w:val="表题"/>
    <w:basedOn w:val="1"/>
    <w:autoRedefine/>
    <w:qFormat/>
    <w:uiPriority w:val="0"/>
    <w:pPr>
      <w:spacing w:before="100" w:beforeLines="100" w:after="50" w:afterLines="50" w:line="240" w:lineRule="auto"/>
      <w:ind w:firstLine="0" w:firstLineChars="0"/>
      <w:jc w:val="center"/>
    </w:pPr>
    <w:rPr>
      <w:rFonts w:ascii="Times New Roman" w:hAnsi="Times New Roman"/>
      <w:b/>
      <w:sz w:val="21"/>
    </w:rPr>
  </w:style>
  <w:style w:type="paragraph" w:customStyle="1" w:styleId="88">
    <w:name w:val="【正文】"/>
    <w:basedOn w:val="1"/>
    <w:autoRedefine/>
    <w:qFormat/>
    <w:uiPriority w:val="0"/>
    <w:pPr>
      <w:spacing w:line="440" w:lineRule="exact"/>
      <w:ind w:firstLine="544" w:firstLineChars="200"/>
    </w:pPr>
    <w:rPr>
      <w:sz w:val="24"/>
      <w:szCs w:val="20"/>
    </w:rPr>
  </w:style>
  <w:style w:type="paragraph" w:customStyle="1" w:styleId="89">
    <w:name w:val="5级标题"/>
    <w:basedOn w:val="1"/>
    <w:autoRedefine/>
    <w:qFormat/>
    <w:uiPriority w:val="0"/>
    <w:pPr>
      <w:spacing w:line="360" w:lineRule="auto"/>
      <w:jc w:val="left"/>
    </w:pPr>
    <w:rPr>
      <w:rFonts w:ascii="Calibri" w:hAnsi="Calibri" w:eastAsia="宋体" w:cs="Times New Roman"/>
      <w:sz w:val="24"/>
      <w:szCs w:val="22"/>
    </w:rPr>
  </w:style>
  <w:style w:type="paragraph" w:customStyle="1" w:styleId="90">
    <w:name w:val="B正文"/>
    <w:basedOn w:val="1"/>
    <w:autoRedefine/>
    <w:qFormat/>
    <w:uiPriority w:val="0"/>
    <w:pPr>
      <w:spacing w:line="240" w:lineRule="exact"/>
      <w:jc w:val="center"/>
    </w:pPr>
    <w:rPr>
      <w:szCs w:val="28"/>
    </w:rPr>
  </w:style>
  <w:style w:type="paragraph" w:customStyle="1" w:styleId="91">
    <w:name w:val="表格内容"/>
    <w:basedOn w:val="1"/>
    <w:autoRedefine/>
    <w:qFormat/>
    <w:uiPriority w:val="0"/>
    <w:pPr>
      <w:overflowPunct w:val="0"/>
      <w:adjustRightInd w:val="0"/>
      <w:snapToGrid w:val="0"/>
      <w:jc w:val="center"/>
      <w:textAlignment w:val="baseline"/>
    </w:pPr>
    <w:rPr>
      <w:snapToGrid w:val="0"/>
      <w:kern w:val="0"/>
      <w:szCs w:val="20"/>
      <w:lang w:val="zh-CN" w:eastAsia="zh-CN"/>
    </w:rPr>
  </w:style>
  <w:style w:type="paragraph" w:customStyle="1" w:styleId="92">
    <w:name w:val="图表标题"/>
    <w:next w:val="1"/>
    <w:autoRedefine/>
    <w:qFormat/>
    <w:uiPriority w:val="0"/>
    <w:pPr>
      <w:spacing w:line="360" w:lineRule="auto"/>
      <w:jc w:val="center"/>
    </w:pPr>
    <w:rPr>
      <w:rFonts w:ascii="Times New Roman" w:hAnsi="Times New Roman" w:eastAsia="黑体" w:cs="Times New Roman"/>
      <w:kern w:val="2"/>
      <w:sz w:val="24"/>
      <w:szCs w:val="22"/>
      <w:lang w:val="en-US" w:eastAsia="zh-CN" w:bidi="ar-SA"/>
    </w:rPr>
  </w:style>
  <w:style w:type="paragraph" w:customStyle="1" w:styleId="93">
    <w:name w:val="样式 宋体 小四 行距: 固定值 26 磅"/>
    <w:basedOn w:val="1"/>
    <w:autoRedefine/>
    <w:qFormat/>
    <w:uiPriority w:val="0"/>
    <w:pPr>
      <w:spacing w:line="520" w:lineRule="exact"/>
      <w:ind w:firstLine="480" w:firstLineChars="200"/>
    </w:pPr>
    <w:rPr>
      <w:rFonts w:cs="宋体"/>
    </w:rPr>
  </w:style>
  <w:style w:type="paragraph" w:customStyle="1" w:styleId="94">
    <w:name w:val="Other|1"/>
    <w:basedOn w:val="1"/>
    <w:autoRedefine/>
    <w:qFormat/>
    <w:uiPriority w:val="0"/>
    <w:pPr>
      <w:widowControl w:val="0"/>
      <w:shd w:val="clear" w:color="auto" w:fill="auto"/>
      <w:spacing w:line="276" w:lineRule="exact"/>
    </w:pPr>
    <w:rPr>
      <w:rFonts w:ascii="宋体" w:hAnsi="宋体" w:eastAsia="宋体" w:cs="宋体"/>
      <w:sz w:val="22"/>
      <w:szCs w:val="22"/>
      <w:u w:val="none"/>
      <w:shd w:val="clear" w:color="auto" w:fill="auto"/>
      <w:lang w:val="zh-TW" w:eastAsia="zh-TW" w:bidi="zh-TW"/>
    </w:rPr>
  </w:style>
  <w:style w:type="paragraph" w:customStyle="1" w:styleId="95">
    <w:name w:val="报告正文"/>
    <w:basedOn w:val="1"/>
    <w:autoRedefine/>
    <w:qFormat/>
    <w:uiPriority w:val="0"/>
    <w:pPr>
      <w:adjustRightInd w:val="0"/>
      <w:snapToGrid w:val="0"/>
      <w:spacing w:line="360" w:lineRule="auto"/>
      <w:ind w:firstLine="200" w:firstLineChars="200"/>
    </w:pPr>
    <w:rPr>
      <w:rFonts w:ascii="Times New Roman" w:hAnsi="Times New Roman"/>
      <w:sz w:val="24"/>
    </w:rPr>
  </w:style>
  <w:style w:type="paragraph" w:customStyle="1" w:styleId="96">
    <w:name w:val="表头2"/>
    <w:basedOn w:val="71"/>
    <w:autoRedefine/>
    <w:qFormat/>
    <w:uiPriority w:val="0"/>
    <w:pPr>
      <w:spacing w:beforeLines="50" w:afterLines="50" w:line="240" w:lineRule="auto"/>
      <w:ind w:firstLine="0" w:firstLineChars="0"/>
      <w:jc w:val="center"/>
    </w:pPr>
    <w:rPr>
      <w:rFonts w:ascii="Times New Roman" w:hAnsi="Times New Roman" w:eastAsia="宋体" w:cs="Times New Roman"/>
      <w:b/>
      <w:bCs/>
      <w:sz w:val="21"/>
      <w:szCs w:val="21"/>
    </w:rPr>
  </w:style>
  <w:style w:type="paragraph" w:customStyle="1" w:styleId="97">
    <w:name w:val="表格正文"/>
    <w:next w:val="1"/>
    <w:autoRedefine/>
    <w:qFormat/>
    <w:uiPriority w:val="0"/>
    <w:pPr>
      <w:widowControl w:val="0"/>
      <w:autoSpaceDE w:val="0"/>
      <w:autoSpaceDN w:val="0"/>
      <w:adjustRightInd w:val="0"/>
      <w:snapToGrid w:val="0"/>
      <w:jc w:val="center"/>
      <w:textAlignment w:val="center"/>
    </w:pPr>
    <w:rPr>
      <w:rFonts w:ascii="Calibri" w:hAnsi="宋体" w:eastAsia="Calibri" w:cs="Times New Roman"/>
      <w:bCs/>
      <w:spacing w:val="-4"/>
      <w:sz w:val="21"/>
      <w:szCs w:val="21"/>
      <w:lang w:val="en-US" w:eastAsia="zh-CN" w:bidi="ar-SA"/>
    </w:rPr>
  </w:style>
  <w:style w:type="paragraph" w:customStyle="1" w:styleId="98">
    <w:name w:val="1表格"/>
    <w:basedOn w:val="1"/>
    <w:autoRedefine/>
    <w:qFormat/>
    <w:uiPriority w:val="0"/>
    <w:pPr>
      <w:adjustRightInd w:val="0"/>
      <w:snapToGrid w:val="0"/>
      <w:spacing w:line="240" w:lineRule="auto"/>
      <w:jc w:val="center"/>
    </w:pPr>
    <w:rPr>
      <w:rFonts w:ascii="Times New Roman" w:hAnsi="Times New Roman"/>
      <w:sz w:val="21"/>
      <w:szCs w:val="20"/>
    </w:rPr>
  </w:style>
  <w:style w:type="paragraph" w:customStyle="1" w:styleId="99">
    <w:name w:val="样式9"/>
    <w:basedOn w:val="1"/>
    <w:autoRedefine/>
    <w:qFormat/>
    <w:uiPriority w:val="0"/>
    <w:pPr>
      <w:adjustRightInd w:val="0"/>
      <w:snapToGrid w:val="0"/>
      <w:spacing w:line="460" w:lineRule="exact"/>
      <w:ind w:firstLine="520" w:firstLineChars="200"/>
    </w:pPr>
    <w:rPr>
      <w:sz w:val="26"/>
      <w:szCs w:val="26"/>
    </w:rPr>
  </w:style>
  <w:style w:type="paragraph" w:customStyle="1" w:styleId="100">
    <w:name w:val="正文古"/>
    <w:basedOn w:val="1"/>
    <w:autoRedefine/>
    <w:qFormat/>
    <w:uiPriority w:val="0"/>
    <w:pPr>
      <w:snapToGrid w:val="0"/>
      <w:ind w:firstLine="200"/>
    </w:pPr>
    <w:rPr>
      <w:rFonts w:cs="Times New Roman"/>
      <w:kern w:val="0"/>
      <w:szCs w:val="24"/>
    </w:rPr>
  </w:style>
  <w:style w:type="paragraph" w:customStyle="1" w:styleId="10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环评正文"/>
    <w:basedOn w:val="1"/>
    <w:autoRedefine/>
    <w:qFormat/>
    <w:uiPriority w:val="0"/>
    <w:pPr>
      <w:framePr w:wrap="around" w:vAnchor="text" w:hAnchor="text" w:y="1"/>
    </w:pPr>
    <w:rPr>
      <w:rFonts w:cs="Times New Roman"/>
      <w:bCs/>
    </w:rPr>
  </w:style>
  <w:style w:type="paragraph" w:customStyle="1" w:styleId="103">
    <w:name w:val="表 头"/>
    <w:basedOn w:val="1"/>
    <w:autoRedefine/>
    <w:qFormat/>
    <w:uiPriority w:val="0"/>
    <w:pPr>
      <w:spacing w:line="360" w:lineRule="auto"/>
      <w:ind w:left="0" w:firstLine="0"/>
      <w:jc w:val="center"/>
    </w:pPr>
    <w:rPr>
      <w:b/>
      <w:sz w:val="21"/>
    </w:rPr>
  </w:style>
  <w:style w:type="paragraph" w:customStyle="1" w:styleId="104">
    <w:name w:val="表头文字"/>
    <w:basedOn w:val="12"/>
    <w:autoRedefine/>
    <w:qFormat/>
    <w:uiPriority w:val="0"/>
    <w:pPr>
      <w:spacing w:after="0" w:line="240" w:lineRule="auto"/>
      <w:jc w:val="center"/>
    </w:pPr>
    <w:rPr>
      <w:rFonts w:ascii="Times New Roman" w:hAnsi="Times New Roman"/>
      <w:b/>
      <w:sz w:val="21"/>
    </w:rPr>
  </w:style>
  <w:style w:type="paragraph" w:customStyle="1" w:styleId="105">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106">
    <w:name w:val="正文_3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edri-正文"/>
    <w:basedOn w:val="1"/>
    <w:autoRedefine/>
    <w:qFormat/>
    <w:uiPriority w:val="0"/>
    <w:pPr>
      <w:adjustRightInd w:val="0"/>
      <w:jc w:val="center"/>
      <w:textAlignment w:val="baseline"/>
    </w:pPr>
    <w:rPr>
      <w:rFonts w:ascii="黑体" w:eastAsia="黑体"/>
      <w:snapToGrid w:val="0"/>
      <w:kern w:val="0"/>
      <w:szCs w:val="20"/>
    </w:rPr>
  </w:style>
  <w:style w:type="character" w:customStyle="1" w:styleId="108">
    <w:name w:val="hover27"/>
    <w:basedOn w:val="34"/>
    <w:autoRedefine/>
    <w:qFormat/>
    <w:uiPriority w:val="0"/>
  </w:style>
  <w:style w:type="character" w:customStyle="1" w:styleId="109">
    <w:name w:val="bsharetext"/>
    <w:basedOn w:val="34"/>
    <w:autoRedefine/>
    <w:qFormat/>
    <w:uiPriority w:val="0"/>
  </w:style>
  <w:style w:type="paragraph" w:customStyle="1" w:styleId="110">
    <w:name w:val="样式 正文文本缩进 3 + 12 磅 左侧:  2 字符"/>
    <w:basedOn w:val="25"/>
    <w:autoRedefine/>
    <w:qFormat/>
    <w:uiPriority w:val="0"/>
    <w:pPr>
      <w:widowControl/>
      <w:spacing w:after="120" w:line="360" w:lineRule="auto"/>
      <w:ind w:firstLine="200" w:firstLineChars="200"/>
      <w:jc w:val="left"/>
    </w:pPr>
    <w:rPr>
      <w:rFonts w:cs="PMingLiU"/>
      <w:kern w:val="0"/>
      <w:szCs w:val="20"/>
    </w:rPr>
  </w:style>
  <w:style w:type="paragraph" w:customStyle="1" w:styleId="111">
    <w:name w:val="报告表格"/>
    <w:basedOn w:val="1"/>
    <w:qFormat/>
    <w:uiPriority w:val="0"/>
    <w:pPr>
      <w:autoSpaceDE w:val="0"/>
      <w:autoSpaceDN w:val="0"/>
      <w:adjustRightInd w:val="0"/>
      <w:spacing w:before="40" w:after="40"/>
      <w:jc w:val="center"/>
      <w:textAlignment w:val="bottom"/>
    </w:pPr>
    <w:rPr>
      <w:kern w:val="0"/>
      <w:szCs w:val="20"/>
    </w:rPr>
  </w:style>
  <w:style w:type="paragraph" w:customStyle="1" w:styleId="112">
    <w:name w:val="样式 样式 (西文) Times New Roman (中文) 宋体 小四 段前: 6 磅 行距: 固定值 26 磅 + (符号..."/>
    <w:basedOn w:val="113"/>
    <w:autoRedefine/>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Times New Roman" w:eastAsia="宋体" w:cs="宋体"/>
      <w:kern w:val="0"/>
      <w:sz w:val="24"/>
      <w:szCs w:val="24"/>
      <w:lang w:val="en-US" w:eastAsia="zh-CN"/>
    </w:rPr>
  </w:style>
  <w:style w:type="paragraph" w:customStyle="1" w:styleId="113">
    <w:name w:val="样式 (西文) Times New Roman (中文) 宋体 小四 段前: 6 磅 行距: 固定值 26 磅"/>
    <w:basedOn w:val="1"/>
    <w:autoRedefine/>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宋体" w:eastAsia="宋体" w:cs="宋体"/>
      <w:kern w:val="2"/>
      <w:sz w:val="24"/>
      <w:szCs w:val="24"/>
      <w:lang w:val="en-US" w:eastAsia="zh-CN"/>
    </w:rPr>
  </w:style>
  <w:style w:type="character" w:customStyle="1" w:styleId="114">
    <w:name w:val="dropselect_box"/>
    <w:basedOn w:val="34"/>
    <w:qFormat/>
    <w:uiPriority w:val="0"/>
  </w:style>
  <w:style w:type="paragraph" w:customStyle="1" w:styleId="115">
    <w:name w:val="报告书正文"/>
    <w:basedOn w:val="1"/>
    <w:qFormat/>
    <w:uiPriority w:val="0"/>
    <w:pPr>
      <w:spacing w:line="360" w:lineRule="auto"/>
      <w:ind w:firstLine="200" w:firstLineChars="200"/>
    </w:pPr>
    <w:rPr>
      <w:rFonts w:ascii="Times New Roman" w:hAnsi="Times New Roman"/>
      <w:kern w:val="0"/>
      <w:sz w:val="24"/>
    </w:rPr>
  </w:style>
  <w:style w:type="paragraph" w:customStyle="1" w:styleId="116">
    <w:name w:val="WPSOffice手动目录 1"/>
    <w:qFormat/>
    <w:uiPriority w:val="0"/>
    <w:rPr>
      <w:rFonts w:ascii="Times New Roman" w:hAnsi="Times New Roman" w:eastAsia="宋体" w:cs="Times New Roman"/>
      <w:lang w:val="en-US" w:eastAsia="zh-CN" w:bidi="ar-SA"/>
    </w:rPr>
  </w:style>
  <w:style w:type="table" w:customStyle="1" w:styleId="117">
    <w:name w:val="样式1"/>
    <w:basedOn w:val="32"/>
    <w:qFormat/>
    <w:uiPriority w:val="99"/>
    <w:pPr>
      <w:jc w:val="center"/>
    </w:pPr>
    <w:rPr>
      <w:sz w:val="18"/>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118">
    <w:name w:val="acee正文"/>
    <w:basedOn w:val="1"/>
    <w:qFormat/>
    <w:uiPriority w:val="0"/>
    <w:pPr>
      <w:spacing w:line="480" w:lineRule="exact"/>
      <w:ind w:firstLine="640" w:firstLineChars="200"/>
    </w:pPr>
    <w:rPr>
      <w:rFonts w:ascii="仿宋_GB2312" w:hAnsi="宋体" w:eastAsia="仿宋_GB2312"/>
      <w:sz w:val="32"/>
    </w:rPr>
  </w:style>
  <w:style w:type="paragraph" w:customStyle="1" w:styleId="119">
    <w:name w:val="表名"/>
    <w:basedOn w:val="1"/>
    <w:qFormat/>
    <w:uiPriority w:val="0"/>
    <w:pPr>
      <w:spacing w:line="324" w:lineRule="auto"/>
      <w:jc w:val="center"/>
      <w:outlineLvl w:val="4"/>
    </w:pPr>
    <w:rPr>
      <w:rFonts w:hint="eastAsia"/>
      <w:b/>
      <w:sz w:val="24"/>
      <w:szCs w:val="24"/>
    </w:rPr>
  </w:style>
  <w:style w:type="paragraph" w:customStyle="1" w:styleId="120">
    <w:name w:val="表 图 单位"/>
    <w:basedOn w:val="1"/>
    <w:autoRedefine/>
    <w:qFormat/>
    <w:uiPriority w:val="0"/>
    <w:pPr>
      <w:jc w:val="right"/>
    </w:pPr>
    <w:rPr>
      <w:rFonts w:hint="default"/>
      <w:sz w:val="18"/>
      <w:szCs w:val="21"/>
    </w:rPr>
  </w:style>
  <w:style w:type="paragraph" w:customStyle="1" w:styleId="121">
    <w:name w:val="表文"/>
    <w:basedOn w:val="1"/>
    <w:qFormat/>
    <w:uiPriority w:val="0"/>
    <w:pPr>
      <w:overflowPunct w:val="0"/>
      <w:autoSpaceDE w:val="0"/>
      <w:autoSpaceDN w:val="0"/>
      <w:adjustRightInd w:val="0"/>
      <w:jc w:val="center"/>
      <w:textAlignment w:val="baseline"/>
    </w:pPr>
    <w:rPr>
      <w:rFonts w:hint="default"/>
      <w:sz w:val="20"/>
      <w:szCs w:val="21"/>
      <w:lang w:val="zh-CN"/>
    </w:rPr>
  </w:style>
  <w:style w:type="paragraph" w:customStyle="1" w:styleId="122">
    <w:name w:val="!正文"/>
    <w:basedOn w:val="1"/>
    <w:qFormat/>
    <w:uiPriority w:val="0"/>
    <w:pPr>
      <w:spacing w:line="480" w:lineRule="exact"/>
      <w:ind w:firstLine="480" w:firstLineChars="200"/>
    </w:pPr>
    <w:rPr>
      <w:rFonts w:hint="default" w:hAnsi="宋体" w:cs="宋体"/>
      <w:sz w:val="21"/>
      <w:szCs w:val="24"/>
    </w:rPr>
  </w:style>
  <w:style w:type="paragraph" w:customStyle="1" w:styleId="123">
    <w:name w:val="文本"/>
    <w:basedOn w:val="1"/>
    <w:next w:val="1"/>
    <w:qFormat/>
    <w:uiPriority w:val="0"/>
    <w:pPr>
      <w:autoSpaceDE w:val="0"/>
      <w:autoSpaceDN w:val="0"/>
      <w:ind w:firstLine="480"/>
    </w:pPr>
    <w:rPr>
      <w:rFonts w:hint="default"/>
      <w:sz w:val="21"/>
      <w:szCs w:val="24"/>
      <w:lang w:val="zh-CN"/>
    </w:rPr>
  </w:style>
  <w:style w:type="paragraph" w:customStyle="1" w:styleId="124">
    <w:name w:val="正文-易恒"/>
    <w:basedOn w:val="1"/>
    <w:qFormat/>
    <w:uiPriority w:val="0"/>
    <w:pPr>
      <w:spacing w:line="360" w:lineRule="auto"/>
    </w:pPr>
    <w:rPr>
      <w:rFonts w:ascii="Times New Roman" w:hAnsi="Times New Roman" w:eastAsia="宋体" w:cs="Times New Roman"/>
      <w:sz w:val="24"/>
      <w:szCs w:val="24"/>
    </w:rPr>
  </w:style>
  <w:style w:type="paragraph" w:customStyle="1" w:styleId="125">
    <w:name w:val="Table Text"/>
    <w:basedOn w:val="1"/>
    <w:qFormat/>
    <w:uiPriority w:val="0"/>
    <w:rPr>
      <w:rFonts w:ascii="微软雅黑" w:hAnsi="微软雅黑" w:eastAsia="微软雅黑" w:cs="微软雅黑"/>
      <w:sz w:val="22"/>
      <w:szCs w:val="22"/>
      <w:lang w:val="en-US" w:eastAsia="en-US" w:bidi="ar-SA"/>
    </w:rPr>
  </w:style>
  <w:style w:type="table" w:customStyle="1" w:styleId="126">
    <w:name w:val="Table Normal"/>
    <w:qFormat/>
    <w:uiPriority w:val="0"/>
    <w:tblPr>
      <w:tblCellMar>
        <w:top w:w="0" w:type="dxa"/>
        <w:left w:w="0" w:type="dxa"/>
        <w:bottom w:w="0" w:type="dxa"/>
        <w:right w:w="0" w:type="dxa"/>
      </w:tblCellMar>
    </w:tblPr>
  </w:style>
  <w:style w:type="paragraph" w:customStyle="1" w:styleId="127">
    <w:name w:val="表头格式"/>
    <w:basedOn w:val="1"/>
    <w:qFormat/>
    <w:uiPriority w:val="0"/>
    <w:pPr>
      <w:widowControl/>
      <w:wordWrap/>
      <w:spacing w:line="240" w:lineRule="auto"/>
      <w:ind w:firstLine="0" w:firstLineChars="0"/>
      <w:jc w:val="center"/>
    </w:pPr>
    <w:rPr>
      <w:rFonts w:ascii="宋体" w:hAnsi="宋体"/>
      <w:b/>
      <w:color w:val="000000"/>
      <w:kern w:val="0"/>
    </w:rPr>
  </w:style>
  <w:style w:type="paragraph" w:customStyle="1" w:styleId="128">
    <w:name w:val="表文字"/>
    <w:basedOn w:val="12"/>
    <w:next w:val="1"/>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129">
    <w:name w:val="表格样式"/>
    <w:basedOn w:val="1"/>
    <w:qFormat/>
    <w:uiPriority w:val="0"/>
    <w:pPr>
      <w:spacing w:line="240" w:lineRule="auto"/>
      <w:ind w:firstLine="0" w:firstLineChars="0"/>
      <w:jc w:val="center"/>
    </w:pPr>
    <w:rPr>
      <w:sz w:val="21"/>
    </w:rPr>
  </w:style>
  <w:style w:type="paragraph" w:customStyle="1" w:styleId="130">
    <w:name w:val="样式 行距: 固定值 28 磅 首行缩进: 2.08 字符"/>
    <w:basedOn w:val="1"/>
    <w:qFormat/>
    <w:uiPriority w:val="0"/>
    <w:pPr>
      <w:spacing w:line="560" w:lineRule="exact"/>
      <w:ind w:firstLine="478" w:firstLineChars="199"/>
    </w:pPr>
    <w:rPr>
      <w:rFonts w:cs="宋体"/>
      <w:sz w:val="24"/>
      <w:szCs w:val="20"/>
    </w:rPr>
  </w:style>
  <w:style w:type="paragraph" w:customStyle="1" w:styleId="131">
    <w:name w:val="正文000小四"/>
    <w:basedOn w:val="1"/>
    <w:qFormat/>
    <w:uiPriority w:val="0"/>
    <w:pPr>
      <w:spacing w:line="360" w:lineRule="auto"/>
      <w:ind w:firstLine="720" w:firstLineChars="200"/>
    </w:pPr>
    <w:rPr>
      <w:sz w:val="24"/>
      <w:szCs w:val="22"/>
    </w:rPr>
  </w:style>
  <w:style w:type="paragraph" w:customStyle="1" w:styleId="132">
    <w:name w:val="表中文字"/>
    <w:basedOn w:val="1"/>
    <w:qFormat/>
    <w:uiPriority w:val="0"/>
    <w:pPr>
      <w:adjustRightInd w:val="0"/>
      <w:snapToGrid w:val="0"/>
      <w:jc w:val="center"/>
    </w:pPr>
    <w:rPr>
      <w:bCs/>
    </w:rPr>
  </w:style>
  <w:style w:type="paragraph" w:customStyle="1" w:styleId="133">
    <w:name w:val="表字体"/>
    <w:basedOn w:val="1"/>
    <w:next w:val="1"/>
    <w:qFormat/>
    <w:uiPriority w:val="0"/>
    <w:pPr>
      <w:jc w:val="center"/>
    </w:pPr>
    <w:rPr>
      <w:rFonts w:ascii="Times New Roman" w:hAnsi="Times New Roman" w:eastAsia="宋体"/>
    </w:rPr>
  </w:style>
  <w:style w:type="paragraph" w:customStyle="1" w:styleId="134">
    <w:name w:val="正文011表格五号"/>
    <w:basedOn w:val="1"/>
    <w:qFormat/>
    <w:uiPriority w:val="0"/>
    <w:pPr>
      <w:jc w:val="center"/>
    </w:pPr>
    <w:rPr>
      <w:szCs w:val="22"/>
    </w:rPr>
  </w:style>
  <w:style w:type="character" w:customStyle="1" w:styleId="135">
    <w:name w:val="标题 2 字符"/>
    <w:link w:val="3"/>
    <w:qFormat/>
    <w:uiPriority w:val="0"/>
    <w:rPr>
      <w:b/>
      <w:bCs/>
      <w:sz w:val="32"/>
      <w:szCs w:val="32"/>
    </w:rPr>
  </w:style>
  <w:style w:type="paragraph" w:customStyle="1" w:styleId="136">
    <w:name w:val="正文00000表格"/>
    <w:basedOn w:val="1"/>
    <w:qFormat/>
    <w:uiPriority w:val="0"/>
    <w:pPr>
      <w:jc w:val="center"/>
    </w:pPr>
    <w:rPr>
      <w:rFonts w:hint="eastAsia" w:ascii="Times New Roman" w:hAnsi="Times New Roman"/>
    </w:rPr>
  </w:style>
  <w:style w:type="paragraph" w:customStyle="1" w:styleId="137">
    <w:name w:val="T表内文字"/>
    <w:basedOn w:val="1"/>
    <w:qFormat/>
    <w:uiPriority w:val="0"/>
    <w:pPr>
      <w:spacing w:line="360" w:lineRule="exact"/>
      <w:jc w:val="center"/>
    </w:pPr>
    <w:rPr>
      <w:rFonts w:ascii="Times New Roman" w:hAnsi="Times New Roman" w:eastAsia="宋体"/>
      <w:color w:val="F79646"/>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e40bc655-31e3-4d6b-881f-4ab7b57235bc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C591A0</paraID>
      <start>0</start>
      <end>2</end>
      <status>unmodified</status>
      <modifiedWord/>
      <trackRevisions>false</trackRevisions>
    </reviewItem>
    <reviewItem>
      <errorID>4a633739-b84c-41c6-8a5e-da5d8f953f20</errorID>
      <errorWord>做</errorWord>
      <group>L1_Word</group>
      <groupName>字词问题</groupName>
      <ability>L2_Typo</ability>
      <abilityName>字词错误</abilityName>
      <candidateList>
        <item>作</item>
      </candidateList>
      <explain>存在发音相同字词的误用。</explain>
      <paraID>33EF7012</paraID>
      <start>33</start>
      <end>34</end>
      <status>unmodified</status>
      <modifiedWord/>
      <trackRevisions>false</trackRevisions>
    </reviewItem>
    <reviewItem>
      <errorID>e8e55b7f-3ecf-4f79-933e-b5e559811468</errorID>
      <errorWord>可再生新能源</errorWord>
      <group>L1_Word</group>
      <groupName>字词问题</groupName>
      <ability>L2_Typo</ability>
      <abilityName>字词错误</abilityName>
      <candidateList>
        <item>可再生能源</item>
      </candidateList>
      <explain/>
      <paraID>452155E6</paraID>
      <start>18</start>
      <end>24</end>
      <status>unmodified</status>
      <modifiedWord/>
      <trackRevisions>false</trackRevisions>
    </reviewItem>
    <reviewItem>
      <errorID>71dd408a-b03e-43cd-bbbe-d8fba3cbf2dd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4D9171C4</paraID>
      <start>0</start>
      <end>2</end>
      <status>unmodified</status>
      <modifiedWord/>
      <trackRevisions>false</trackRevisions>
    </reviewItem>
    <reviewItem>
      <errorID>a7fbb6d5-3d64-4cf9-8aea-d3358c28c879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52969279</paraID>
      <start>0</start>
      <end>2</end>
      <status>unmodified</status>
      <modifiedWord/>
      <trackRevisions>false</trackRevisions>
    </reviewItem>
    <reviewItem>
      <errorID>59e401e7-1e73-400c-9025-9280fbcf2cf4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504D3414</paraID>
      <start>0</start>
      <end>2</end>
      <status>unmodified</status>
      <modifiedWord/>
      <trackRevisions>false</trackRevisions>
    </reviewItem>
    <reviewItem>
      <errorID>ed03bed9-9c7a-445f-b14f-4c4dcab030e1</errorID>
      <errorWord>》</errorWord>
      <group>L1_Word</group>
      <groupName>字词问题</groupName>
      <ability>L2_Typo</ability>
      <abilityName>字词错误</abilityName>
      <candidateList>
        <item>》等</item>
      </candidateList>
      <explain/>
      <paraID> AD93EF9</paraID>
      <start>92</start>
      <end>93</end>
      <status>unmodified</status>
      <modifiedWord/>
      <trackRevisions>false</trackRevisions>
    </reviewItem>
    <reviewItem>
      <errorID>a037469b-1f12-42db-939f-9111529de5bd</errorID>
      <errorWord>外逸</errorWord>
      <group>L1_Word</group>
      <groupName>字词问题</groupName>
      <ability>L2_Typo</ability>
      <abilityName>字词错误</abilityName>
      <candidateList>
        <item>外溢</item>
      </candidateList>
      <explain/>
      <paraID>4B261EC3</paraID>
      <start>90</start>
      <end>92</end>
      <status>unmodified</status>
      <modifiedWord/>
      <trackRevisions>false</trackRevisions>
    </reviewItem>
    <reviewItem>
      <errorID>4990607d-120e-4cde-89d9-d4bad86ddc73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6301D61D</paraID>
      <start>0</start>
      <end>2</end>
      <status>unmodified</status>
      <modifiedWord/>
      <trackRevisions>false</trackRevisions>
    </reviewItem>
    <reviewItem>
      <errorID>ae6aea45-0827-4412-abb4-318986000a87</errorID>
      <errorWord>（</errorWord>
      <group>L1_Punc</group>
      <groupName>标点问题</groupName>
      <ability>L2_Punc</ability>
      <abilityName>标点符号检查</abilityName>
      <candidateList/>
      <explain>同一形式括号套用。</explain>
      <paraID>554C0C8C</paraID>
      <start>59</start>
      <end>60</end>
      <status>unmodified</status>
      <modifiedWord/>
      <trackRevisions>false</trackRevisions>
    </reviewItem>
    <reviewItem>
      <errorID>841d7a7e-06c4-4bcd-98a2-a851188312bc</errorID>
      <errorWord>）</errorWord>
      <group>L1_Punc</group>
      <groupName>标点问题</groupName>
      <ability>L2_Punc</ability>
      <abilityName>标点符号检查</abilityName>
      <candidateList/>
      <explain>同一形式括号套用。</explain>
      <paraID>554C0C8C</paraID>
      <start>64</start>
      <end>65</end>
      <status>unmodified</status>
      <modifiedWord/>
      <trackRevisions>false</trackRevisions>
    </reviewItem>
    <reviewItem>
      <errorID>59421d04-6645-443d-8740-5a57e9514f9f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6B018190</paraID>
      <start>23</start>
      <end>24</end>
      <status>unmodified</status>
      <modifiedWord/>
      <trackRevisions>false</trackRevisions>
    </reviewItem>
    <reviewItem>
      <errorID>d94070e9-42f2-40b8-b0d3-811e19fb655c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63979319</paraID>
      <start>21</start>
      <end>22</end>
      <status>unmodified</status>
      <modifiedWord/>
      <trackRevisions>false</trackRevisions>
    </reviewItem>
    <reviewItem>
      <errorID>4c8e5d3e-e7c7-4283-ac7f-6add9cc22a54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63979319</paraID>
      <start>151</start>
      <end>152</end>
      <status>unmodified</status>
      <modifiedWord/>
      <trackRevisions>false</trackRevisions>
    </reviewItem>
    <reviewItem>
      <errorID>2c6d0562-2251-42d2-8da5-d4132596f2bf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10038CA2</paraID>
      <start>0</start>
      <end>2</end>
      <status>unmodified</status>
      <modifiedWord/>
      <trackRevisions>false</trackRevisions>
    </reviewItem>
    <reviewItem>
      <errorID>aaf7f759-17d7-437b-849e-62fbe86200af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4BE40F28</paraID>
      <start>17</start>
      <end>20</end>
      <status>unmodified</status>
      <modifiedWord/>
      <trackRevisions>false</trackRevisions>
    </reviewItem>
    <reviewItem>
      <errorID>51d45275-274e-44d1-9183-4c45a6f8f9f9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5F4A7C1</paraID>
      <start>0</start>
      <end>2</end>
      <status>unmodified</status>
      <modifiedWord/>
      <trackRevisions>false</trackRevisions>
    </reviewItem>
    <reviewItem>
      <errorID>82b0a494-fb1a-4bc1-bd11-3678d046ba5e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5B84DE4B</paraID>
      <start>0</start>
      <end>2</end>
      <status>unmodified</status>
      <modifiedWord/>
      <trackRevisions>false</trackRevisions>
    </reviewItem>
    <reviewItem>
      <errorID>4aa1aedc-e751-435d-bbc9-a368a333a798</errorID>
      <errorWord>kw/h</errorWord>
      <group>L1_Word</group>
      <groupName>字词问题</groupName>
      <ability>L2_Typo</ability>
      <abilityName>字词错误</abilityName>
      <candidateList>
        <item>kw·h(kWh)</item>
      </candidateList>
      <explain/>
      <paraID>2017C485</paraID>
      <start>7</start>
      <end>11</end>
      <status>unmodified</status>
      <modifiedWord/>
      <trackRevisions>false</trackRevisions>
    </reviewItem>
    <reviewItem>
      <errorID>6ea27c72-c724-4753-bd0c-3408cd3910d2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15B8BDF1</paraID>
      <start>0</start>
      <end>2</end>
      <status>unmodified</status>
      <modifiedWord/>
      <trackRevisions>false</trackRevisions>
    </reviewItem>
    <reviewItem>
      <errorID>2778684d-95bc-45bc-a94c-d2fcc39262ca</errorID>
      <errorWord>KW</errorWord>
      <group>L1_Word</group>
      <groupName>字词问题</groupName>
      <ability>L2_Typo</ability>
      <abilityName>字词错误</abilityName>
      <candidateList>
        <item>kW</item>
      </candidateList>
      <explain/>
      <paraID>389F3B5A</paraID>
      <start>0</start>
      <end>2</end>
      <status>unmodified</status>
      <modifiedWord/>
      <trackRevisions>false</trackRevisions>
    </reviewItem>
    <reviewItem>
      <errorID>41449348-5dbc-4497-81ad-595d06d0ecc9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6755C5BB</paraID>
      <start>0</start>
      <end>2</end>
      <status>unmodified</status>
      <modifiedWord/>
      <trackRevisions>false</trackRevisions>
    </reviewItem>
    <reviewItem>
      <errorID>9ec23163-6ffd-45a4-9a6f-1ab2201496cc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4AE704A5</paraID>
      <start>0</start>
      <end>2</end>
      <status>unmodified</status>
      <modifiedWord/>
      <trackRevisions>false</trackRevisions>
    </reviewItem>
    <reviewItem>
      <errorID>66d9fb3b-d97e-44eb-8285-21c9d03fb377</errorID>
      <errorWord>-</errorWord>
      <group>L1_Format</group>
      <groupName>格式问题</groupName>
      <ability>L2_HalfPunc</ability>
      <abilityName>全半角检查</abilityName>
      <candidateList>
        <item>－</item>
      </candidateList>
      <explain>文本全半角错误。</explain>
      <paraID>60599CCA</paraID>
      <start>84</start>
      <end>85</end>
      <status>unmodified</status>
      <modifiedWord/>
      <trackRevisions>false</trackRevisions>
    </reviewItem>
    <reviewItem>
      <errorID>377c635e-7deb-4c1d-95b5-2d63d729f38f</errorID>
      <errorWord>-</errorWord>
      <group>L1_Format</group>
      <groupName>格式问题</groupName>
      <ability>L2_HalfPunc</ability>
      <abilityName>全半角检查</abilityName>
      <candidateList>
        <item>－</item>
      </candidateList>
      <explain>文本全半角错误。</explain>
      <paraID>60599CCA</paraID>
      <start>85</start>
      <end>86</end>
      <status>unmodified</status>
      <modifiedWord/>
      <trackRevisions>false</trackRevisions>
    </reviewItem>
    <reviewItem>
      <errorID>4e739291-6fdc-4831-9ca0-3a2a202277f9</errorID>
      <errorWord>软</errorWord>
      <group>L1_Word</group>
      <groupName>字词问题</groupName>
      <ability>L2_Typo</ability>
      <abilityName>字词错误</abilityName>
      <candidateList>
        <item>软化</item>
      </candidateList>
      <explain/>
      <paraID>7F858C18</paraID>
      <start>13</start>
      <end>14</end>
      <status>unmodified</status>
      <modifiedWord/>
      <trackRevisions>false</trackRevisions>
    </reviewItem>
    <reviewItem>
      <errorID>9c8109fa-060f-4313-8f1d-61cb3dca6885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134E73CF</paraID>
      <start>0</start>
      <end>2</end>
      <status>unmodified</status>
      <modifiedWord/>
      <trackRevisions>false</trackRevisions>
    </reviewItem>
    <reviewItem>
      <errorID>80c72fcb-8a11-4269-b20f-6966dff0b5c9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2E5EC4D5</paraID>
      <start>0</start>
      <end>2</end>
      <status>unmodified</status>
      <modifiedWord/>
      <trackRevisions>false</trackRevisions>
    </reviewItem>
    <reviewItem>
      <errorID>e5f58714-9c36-4d61-b76c-c9df8b45cd9a</errorID>
      <errorWord>~</errorWord>
      <group>L1_Format</group>
      <groupName>格式问题</groupName>
      <ability>L2_HalfPunc</ability>
      <abilityName>全半角检查</abilityName>
      <candidateList>
        <item>～</item>
      </candidateList>
      <explain>文本全半角错误。</explain>
      <paraID> 9C0FA85</paraID>
      <start>31</start>
      <end>32</end>
      <status>unmodified</status>
      <modifiedWord/>
      <trackRevisions>false</trackRevisions>
    </reviewItem>
    <reviewItem>
      <errorID>5972df75-1cd7-41f5-9d1b-d9d24c22f727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7E63F958</paraID>
      <start>36</start>
      <end>37</end>
      <status>unmodified</status>
      <modifiedWord/>
      <trackRevisions>false</trackRevisions>
    </reviewItem>
    <reviewItem>
      <errorID>6859e125-c074-408c-a570-77bcc67b043a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2EAB4D4A</paraID>
      <start>0</start>
      <end>2</end>
      <status>unmodified</status>
      <modifiedWord/>
      <trackRevisions>false</trackRevisions>
    </reviewItem>
    <reviewItem>
      <errorID>37a218f7-c47e-44fa-957e-b250e3aca356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669CD547</paraID>
      <start>0</start>
      <end>2</end>
      <status>unmodified</status>
      <modifiedWord/>
      <trackRevisions>false</trackRevisions>
    </reviewItem>
    <reviewItem>
      <errorID>c34373a3-33b6-4dad-9bc1-df8c39bbf7e3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3AB9C7DC</paraID>
      <start>0</start>
      <end>2</end>
      <status>unmodified</status>
      <modifiedWord/>
      <trackRevisions>false</trackRevisions>
    </reviewItem>
    <reviewItem>
      <errorID>10023980-13f7-49b5-b413-1413a94b96d3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1FF57791</paraID>
      <start>0</start>
      <end>2</end>
      <status>unmodified</status>
      <modifiedWord/>
      <trackRevisions>false</trackRevisions>
    </reviewItem>
    <reviewItem>
      <errorID>61a1b51c-1c28-43a7-be80-11a3a482842c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40FAB2AD</paraID>
      <start>0</start>
      <end>2</end>
      <status>unmodified</status>
      <modifiedWord/>
      <trackRevisions>false</trackRevisions>
    </reviewItem>
    <reviewItem>
      <errorID>7992b91d-bb64-489c-81da-f80bb8a0ffeb</errorID>
      <errorWord>（</errorWord>
      <group>L1_Format</group>
      <groupName>格式问题</groupName>
      <ability>L2_HalfPunc</ability>
      <abilityName>全半角检查</abilityName>
      <candidateList>
        <item>(</item>
      </candidateList>
      <explain>文本全半角错误。</explain>
      <paraID>3F719E89</paraID>
      <start>0</start>
      <end>1</end>
      <status>unmodified</status>
      <modifiedWord/>
      <trackRevisions>false</trackRevisions>
    </reviewItem>
    <reviewItem>
      <errorID>2f955a9e-5a87-4313-8631-e50eab2faefe</errorID>
      <errorWord>）</errorWord>
      <group>L1_Format</group>
      <groupName>格式问题</groupName>
      <ability>L2_HalfPunc</ability>
      <abilityName>全半角检查</abilityName>
      <candidateList>
        <item>)</item>
      </candidateList>
      <explain>文本全半角错误。</explain>
      <paraID>3F719E89</paraID>
      <start>2</start>
      <end>3</end>
      <status>unmodified</status>
      <modifiedWord/>
      <trackRevisions>false</trackRevisions>
    </reviewItem>
    <reviewItem>
      <errorID>0bb3a61b-548f-442f-9478-aa5ef299bf0a</errorID>
      <errorWord>（</errorWord>
      <group>L1_Format</group>
      <groupName>格式问题</groupName>
      <ability>L2_HalfPunc</ability>
      <abilityName>全半角检查</abilityName>
      <candidateList>
        <item>(</item>
      </candidateList>
      <explain>文本全半角错误。</explain>
      <paraID>37FD5622</paraID>
      <start>1</start>
      <end>2</end>
      <status>unmodified</status>
      <modifiedWord/>
      <trackRevisions>false</trackRevisions>
    </reviewItem>
    <reviewItem>
      <errorID>290a7ee0-d397-4eeb-9c86-9a13418c4529</errorID>
      <errorWord>）</errorWord>
      <group>L1_Format</group>
      <groupName>格式问题</groupName>
      <ability>L2_HalfPunc</ability>
      <abilityName>全半角检查</abilityName>
      <candidateList>
        <item>)</item>
      </candidateList>
      <explain>文本全半角错误。</explain>
      <paraID>37FD5622</paraID>
      <start>3</start>
      <end>4</end>
      <status>unmodified</status>
      <modifiedWord/>
      <trackRevisions>false</trackRevisions>
    </reviewItem>
    <reviewItem>
      <errorID>39db65c0-c9df-4157-ab7b-e378e00cbfd4</errorID>
      <errorWord>（</errorWord>
      <group>L1_Punc</group>
      <groupName>标点问题</groupName>
      <ability>L2_Punc</ability>
      <abilityName>标点符号检查</abilityName>
      <candidateList/>
      <explain>同一形式括号套用。</explain>
      <paraID>764752C3</paraID>
      <start>20</start>
      <end>21</end>
      <status>unmodified</status>
      <modifiedWord/>
      <trackRevisions>false</trackRevisions>
    </reviewItem>
    <reviewItem>
      <errorID>6d82a415-89da-4183-85f6-c188bb1d1cb7</errorID>
      <errorWord>）</errorWord>
      <group>L1_Punc</group>
      <groupName>标点问题</groupName>
      <ability>L2_Punc</ability>
      <abilityName>标点符号检查</abilityName>
      <candidateList/>
      <explain>同一形式括号套用。</explain>
      <paraID>764752C3</paraID>
      <start>22</start>
      <end>23</end>
      <status>unmodified</status>
      <modifiedWord/>
      <trackRevisions>false</trackRevisions>
    </reviewItem>
    <reviewItem>
      <errorID>6efa5d93-14a3-4c46-ae50-ae08f03daf86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464E5415</paraID>
      <start>0</start>
      <end>2</end>
      <status>unmodified</status>
      <modifiedWord/>
      <trackRevisions>false</trackRevisions>
    </reviewItem>
    <reviewItem>
      <errorID>58536bfa-22ca-4906-8667-a4c7be964aff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1CD6CB76</paraID>
      <start>43</start>
      <end>44</end>
      <status>unmodified</status>
      <modifiedWord/>
      <trackRevisions>false</trackRevisions>
    </reviewItem>
    <reviewItem>
      <errorID>f590054e-2df8-4eae-a63b-b25695370c4e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6E80124F</paraID>
      <start>0</start>
      <end>2</end>
      <status>unmodified</status>
      <modifiedWord/>
      <trackRevisions>false</trackRevisions>
    </reviewItem>
    <reviewItem>
      <errorID>60dd0ad9-5c29-49bb-8b96-12e37bb9d213</errorID>
      <errorWord>抛洒</errorWord>
      <group>L1_Word</group>
      <groupName>字词问题</groupName>
      <ability>L2_Typo</ability>
      <abilityName>字词错误</abilityName>
      <candidateList>
        <item>抛撒</item>
      </candidateList>
      <explain/>
      <paraID>1493D566</paraID>
      <start>154</start>
      <end>156</end>
      <status>unmodified</status>
      <modifiedWord/>
      <trackRevisions>false</trackRevisions>
    </reviewItem>
    <reviewItem>
      <errorID>4190f145-a11b-46e9-93c2-6203e6752721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4BAD036E</paraID>
      <start>0</start>
      <end>2</end>
      <status>unmodified</status>
      <modifiedWord/>
      <trackRevisions>false</trackRevisions>
    </reviewItem>
    <reviewItem>
      <errorID>a8286c06-c090-4ff6-9871-aacd74660e6a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2911DDC</paraID>
      <start>0</start>
      <end>2</end>
      <status>unmodified</status>
      <modifiedWord/>
      <trackRevisions>false</trackRevisions>
    </reviewItem>
    <reviewItem>
      <errorID>47b65623-b96d-47f1-adb4-fba2106a5fb5</errorID>
      <errorWord>设</errorWord>
      <group>L1_Word</group>
      <groupName>字词问题</groupName>
      <ability>L2_Typo</ability>
      <abilityName>字词错误</abilityName>
      <candidateList>
        <item>设置</item>
      </candidateList>
      <explain>〈动〉❶设立：这座剧院是为儿童～的。❷安放；安装：～障碍。</explain>
      <paraID>29DA970C</paraID>
      <start>40</start>
      <end>41</end>
      <status>unmodified</status>
      <modifiedWord/>
      <trackRevisions>false</trackRevisions>
    </reviewItem>
    <reviewItem>
      <errorID>5b7e8e92-b5fa-4e9a-8c8f-e4e60a85935d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12191C8B</paraID>
      <start>0</start>
      <end>2</end>
      <status>unmodified</status>
      <modifiedWord/>
      <trackRevisions>false</trackRevisions>
    </reviewItem>
    <reviewItem>
      <errorID>cce71081-0645-4e8f-abe8-66947a37cf5f</errorID>
      <errorWord>~</errorWord>
      <group>L1_Format</group>
      <groupName>格式问题</groupName>
      <ability>L2_HalfPunc</ability>
      <abilityName>全半角检查</abilityName>
      <candidateList>
        <item>～</item>
      </candidateList>
      <explain>文本全半角错误。</explain>
      <paraID>76CB3C1F</paraID>
      <start>46</start>
      <end>47</end>
      <status>unmodified</status>
      <modifiedWord/>
      <trackRevisions>false</trackRevisions>
    </reviewItem>
    <reviewItem>
      <errorID>06545de3-e8a5-4cff-8432-c8595101eb1f</errorID>
      <errorWord>~</errorWord>
      <group>L1_Format</group>
      <groupName>格式问题</groupName>
      <ability>L2_HalfPunc</ability>
      <abilityName>全半角检查</abilityName>
      <candidateList>
        <item>～</item>
      </candidateList>
      <explain>文本全半角错误。</explain>
      <paraID>76CB3C1F</paraID>
      <start>64</start>
      <end>65</end>
      <status>unmodified</status>
      <modifiedWord/>
      <trackRevisions>false</trackRevisions>
    </reviewItem>
    <reviewItem>
      <errorID>fcdfbbd3-3e53-4d87-b16b-99b5a3c168f0</errorID>
      <errorWord>~</errorWord>
      <group>L1_Format</group>
      <groupName>格式问题</groupName>
      <ability>L2_HalfPunc</ability>
      <abilityName>全半角检查</abilityName>
      <candidateList>
        <item>～</item>
      </candidateList>
      <explain>文本全半角错误。</explain>
      <paraID>76CB3C1F</paraID>
      <start>103</start>
      <end>104</end>
      <status>unmodified</status>
      <modifiedWord/>
      <trackRevisions>false</trackRevisions>
    </reviewItem>
    <reviewItem>
      <errorID>7dbdbe3c-18f6-452b-84f8-838baeed2ebe</errorID>
      <errorWord>~</errorWord>
      <group>L1_Format</group>
      <groupName>格式问题</groupName>
      <ability>L2_HalfPunc</ability>
      <abilityName>全半角检查</abilityName>
      <candidateList>
        <item>～</item>
      </candidateList>
      <explain>文本全半角错误。</explain>
      <paraID>76CB3C1F</paraID>
      <start>118</start>
      <end>119</end>
      <status>unmodified</status>
      <modifiedWord/>
      <trackRevisions>false</trackRevisions>
    </reviewItem>
    <reviewItem>
      <errorID>5743a263-dc20-4812-b6f4-a53f3672af7e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4FA1587F</paraID>
      <start>0</start>
      <end>2</end>
      <status>unmodified</status>
      <modifiedWord/>
      <trackRevisions>false</trackRevisions>
    </reviewItem>
    <reviewItem>
      <errorID>e6a3f809-1ca9-4400-bb4c-c4b555f582ea</errorID>
      <errorWord>-</errorWord>
      <group>L1_Format</group>
      <groupName>格式问题</groupName>
      <ability>L2_HalfPunc</ability>
      <abilityName>全半角检查</abilityName>
      <candidateList>
        <item>－</item>
      </candidateList>
      <explain>文本全半角错误。</explain>
      <paraID> 20E829A</paraID>
      <start>6</start>
      <end>7</end>
      <status>unmodified</status>
      <modifiedWord/>
      <trackRevisions>false</trackRevisions>
    </reviewItem>
    <reviewItem>
      <errorID>4d634eae-2052-4662-a8c2-1a1d0f156e1c</errorID>
      <errorWord>~</errorWord>
      <group>L1_Format</group>
      <groupName>格式问题</groupName>
      <ability>L2_HalfPunc</ability>
      <abilityName>全半角检查</abilityName>
      <candidateList>
        <item>～</item>
      </candidateList>
      <explain>文本全半角错误。</explain>
      <paraID>2372D3B8</paraID>
      <start>18</start>
      <end>19</end>
      <status>unmodified</status>
      <modifiedWord/>
      <trackRevisions>false</trackRevisions>
    </reviewItem>
    <reviewItem>
      <errorID>6dbde0d0-cfad-46f9-aa9c-97cea870709e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24DA0EE</paraID>
      <start>0</start>
      <end>2</end>
      <status>unmodified</status>
      <modifiedWord/>
      <trackRevisions>false</trackRevisions>
    </reviewItem>
    <reviewItem>
      <errorID>a8de1567-8adf-4b97-81a0-d0fa108716db</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608DBA4A</paraID>
      <start>0</start>
      <end>1</end>
      <status>unmodified</status>
      <modifiedWord/>
      <trackRevisions>false</trackRevisions>
    </reviewItem>
    <reviewItem>
      <errorID>987e5b59-f737-4cbb-a45f-124b6c5c7525</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 7C74BE7</paraID>
      <start>0</start>
      <end>1</end>
      <status>unmodified</status>
      <modifiedWord/>
      <trackRevisions>false</trackRevisions>
    </reviewItem>
    <reviewItem>
      <errorID>9c120a3b-d576-485e-bda3-acf9d6e3f03c</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454617DE</paraID>
      <start>0</start>
      <end>1</end>
      <status>unmodified</status>
      <modifiedWord/>
      <trackRevisions>false</trackRevisions>
    </reviewItem>
    <reviewItem>
      <errorID>d01380c7-f2ff-48a0-92a0-16db30453d1a</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3634974D</paraID>
      <start>0</start>
      <end>1</end>
      <status>unmodified</status>
      <modifiedWord/>
      <trackRevisions>false</trackRevisions>
    </reviewItem>
    <reviewItem>
      <errorID>3deabd1b-bac9-425d-9627-7d229dcd19e3</errorID>
      <errorWord>（</errorWord>
      <group>L1_Punc</group>
      <groupName>标点问题</groupName>
      <ability>L2_Punc</ability>
      <abilityName>标点符号检查</abilityName>
      <candidateList/>
      <explain>同一形式括号套用。</explain>
      <paraID>23EE28F2</paraID>
      <start>6</start>
      <end>7</end>
      <status>unmodified</status>
      <modifiedWord/>
      <trackRevisions>false</trackRevisions>
    </reviewItem>
    <reviewItem>
      <errorID>a5f02211-e4ce-4e28-8fc9-90f16c10adbf</errorID>
      <errorWord>）</errorWord>
      <group>L1_Punc</group>
      <groupName>标点问题</groupName>
      <ability>L2_Punc</ability>
      <abilityName>标点符号检查</abilityName>
      <candidateList/>
      <explain>同一形式括号套用。</explain>
      <paraID>23EE28F2</paraID>
      <start>8</start>
      <end>9</end>
      <status>unmodified</status>
      <modifiedWord/>
      <trackRevisions>false</trackRevisions>
    </reviewItem>
    <reviewItem>
      <errorID>8a7669ac-935c-45db-a842-58995ad8a26e</errorID>
      <errorWord>（</errorWord>
      <group>L1_Punc</group>
      <groupName>标点问题</groupName>
      <ability>L2_Punc</ability>
      <abilityName>标点符号检查</abilityName>
      <candidateList/>
      <explain>同一形式括号套用。</explain>
      <paraID>17E4E2BC</paraID>
      <start>7</start>
      <end>8</end>
      <status>unmodified</status>
      <modifiedWord/>
      <trackRevisions>false</trackRevisions>
    </reviewItem>
    <reviewItem>
      <errorID>3121c37c-9cd7-4852-8bcb-925ac267e2a9</errorID>
      <errorWord>）</errorWord>
      <group>L1_Punc</group>
      <groupName>标点问题</groupName>
      <ability>L2_Punc</ability>
      <abilityName>标点符号检查</abilityName>
      <candidateList/>
      <explain>同一形式括号套用。</explain>
      <paraID>17E4E2BC</paraID>
      <start>9</start>
      <end>10</end>
      <status>unmodified</status>
      <modifiedWord/>
      <trackRevisions>false</trackRevisions>
    </reviewItem>
    <reviewItem>
      <errorID>3126aefd-7eea-4389-b841-2bb82fa09d7a</errorID>
      <errorWord>（</errorWord>
      <group>L1_Format</group>
      <groupName>格式问题</groupName>
      <ability>L2_HalfPunc</ability>
      <abilityName>全半角检查</abilityName>
      <candidateList>
        <item>(</item>
      </candidateList>
      <explain>文本全半角错误。</explain>
      <paraID>502B495C</paraID>
      <start>3</start>
      <end>4</end>
      <status>unmodified</status>
      <modifiedWord/>
      <trackRevisions>false</trackRevisions>
    </reviewItem>
    <reviewItem>
      <errorID>6e066a1d-0cda-41c2-8e88-a116186f69c9</errorID>
      <errorWord>）</errorWord>
      <group>L1_Format</group>
      <groupName>格式问题</groupName>
      <ability>L2_HalfPunc</ability>
      <abilityName>全半角检查</abilityName>
      <candidateList>
        <item>)</item>
      </candidateList>
      <explain>文本全半角错误。</explain>
      <paraID>502B495C</paraID>
      <start>5</start>
      <end>6</end>
      <status>unmodified</status>
      <modifiedWord/>
      <trackRevisions>false</trackRevisions>
    </reviewItem>
    <reviewItem>
      <errorID>79811b0d-7658-41ff-8f74-fccd8343405a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7C24ADCA</paraID>
      <start>0</start>
      <end>2</end>
      <status>unmodified</status>
      <modifiedWord/>
      <trackRevisions>false</trackRevisions>
    </reviewItem>
    <reviewItem>
      <errorID>9778a9e5-bcde-4aad-ad09-bd67cd54df8f</errorID>
      <errorWord>计</errorWord>
      <group>L1_Word</group>
      <groupName>字词问题</groupName>
      <ability>L2_Typo</ability>
      <abilityName>字词错误</abilityName>
      <candidateList>
        <item>计算</item>
      </candidateList>
      <explain/>
      <paraID>646A2EA4</paraID>
      <start>18</start>
      <end>19</end>
      <status>unmodified</status>
      <modifiedWord/>
      <trackRevisions>false</trackRevisions>
    </reviewItem>
    <reviewItem>
      <errorID>c6ad3c74-7eaa-42dd-b6a6-57c5504e7e42</errorID>
      <errorWord>~</errorWord>
      <group>L1_Format</group>
      <groupName>格式问题</groupName>
      <ability>L2_HalfPunc</ability>
      <abilityName>全半角检查</abilityName>
      <candidateList>
        <item>～</item>
      </candidateList>
      <explain>文本全半角错误。</explain>
      <paraID>3D77D9F4</paraID>
      <start>50</start>
      <end>51</end>
      <status>unmodified</status>
      <modifiedWord/>
      <trackRevisions>false</trackRevisions>
    </reviewItem>
    <reviewItem>
      <errorID>2cda9ab3-877a-4b99-9c88-c254b1967e18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3FADBA7D</paraID>
      <start>0</start>
      <end>2</end>
      <status>unmodified</status>
      <modifiedWord/>
      <trackRevisions>false</trackRevisions>
    </reviewItem>
    <reviewItem>
      <errorID>da287ca8-e4c8-4863-8e4d-f55dc033cf73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10592CC0</paraID>
      <start>0</start>
      <end>2</end>
      <status>unmodified</status>
      <modifiedWord/>
      <trackRevisions>false</trackRevisions>
    </reviewItem>
    <reviewItem>
      <errorID>e9903019-0f7c-49dd-93d3-8d69f2358bf7</errorID>
      <errorWord>做</errorWord>
      <group>L1_Word</group>
      <groupName>字词问题</groupName>
      <ability>L2_Typo</ability>
      <abilityName>字词错误</abilityName>
      <candidateList>
        <item>作</item>
      </candidateList>
      <explain>存在发音相同字词的误用。</explain>
      <paraID>2F831077</paraID>
      <start>258</start>
      <end>259</end>
      <status>unmodified</status>
      <modifiedWord/>
      <trackRevisions>false</trackRevisions>
    </reviewItem>
    <reviewItem>
      <errorID>0a1ec783-c901-43b3-8d61-9a7a8ad7bcf7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6A594A8D</paraID>
      <start>0</start>
      <end>2</end>
      <status>unmodified</status>
      <modifiedWord/>
      <trackRevisions>false</trackRevisions>
    </reviewItem>
    <reviewItem>
      <errorID>89f968c9-1270-49ca-97e4-5e42136bb1e1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615709E7</paraID>
      <start>0</start>
      <end>2</end>
      <status>unmodified</status>
      <modifiedWord/>
      <trackRevisions>false</trackRevisions>
    </reviewItem>
    <reviewItem>
      <errorID>c521b2de-7840-4b63-a2e4-7fd031b8c1ea</errorID>
      <errorWord>制订</errorWord>
      <group>L1_Word</group>
      <groupName>字词问题</groupName>
      <ability>L2_Typo</ability>
      <abilityName>字词错误</abilityName>
      <candidateList>
        <item>制定</item>
      </candidateList>
      <explain>〈动〉定出（法律、规程、政策等）：～宪法｜～学会章程。</explain>
      <paraID>306824BB</paraID>
      <start>63</start>
      <end>65</end>
      <status>unmodified</status>
      <modifiedWord/>
      <trackRevisions>false</trackRevisions>
    </reviewItem>
    <reviewItem>
      <errorID>0cffb2d6-204f-43a7-93b9-a294a47f49d8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14219984</paraID>
      <start>0</start>
      <end>2</end>
      <status>unmodified</status>
      <modifiedWord/>
      <trackRevisions>false</trackRevisions>
    </reviewItem>
    <reviewItem>
      <errorID>6adf7019-d608-419a-8b8e-131934a620c7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21EF5B93</paraID>
      <start>0</start>
      <end>2</end>
      <status>unmodified</status>
      <modifiedWord/>
      <trackRevisions>false</trackRevisions>
    </reviewItem>
    <reviewItem>
      <errorID>80eaa791-7b18-47dd-bb24-29703aab900c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41366CBD</paraID>
      <start>0</start>
      <end>2</end>
      <status>unmodified</status>
      <modifiedWord/>
      <trackRevisions>false</trackRevisions>
    </reviewItem>
    <reviewItem>
      <errorID>fe73523c-5bca-44d2-8b98-a9edd1ff7031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3131732C</paraID>
      <start>23</start>
      <end>24</end>
      <status>unmodified</status>
      <modifiedWord/>
      <trackRevisions>false</trackRevisions>
    </reviewItem>
    <reviewItem>
      <errorID>09377823-ab13-47af-879d-b6126a8db536</errorID>
      <errorWord>拟</errorWord>
      <group>L1_Word</group>
      <groupName>字词问题</groupName>
      <ability>L2_Typo</ability>
      <abilityName>字词错误</abilityName>
      <candidateList>
        <item>拟使</item>
      </candidateList>
      <explain/>
      <paraID>6D7710DA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40f53-f454-4512-92ca-3008603d7901}">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53</Pages>
  <Words>29756</Words>
  <Characters>34854</Characters>
  <Lines>1</Lines>
  <Paragraphs>1</Paragraphs>
  <TotalTime>1</TotalTime>
  <ScaleCrop>false</ScaleCrop>
  <LinksUpToDate>false</LinksUpToDate>
  <CharactersWithSpaces>35297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阳彦博</cp:lastModifiedBy>
  <cp:lastPrinted>2023-03-01T05:47:00Z</cp:lastPrinted>
  <dcterms:modified xsi:type="dcterms:W3CDTF">2026-04-07T01:27:34Z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51773FD84EE04B69917452BC403AF642_13</vt:lpwstr>
  </property>
  <property fmtid="{D5CDD505-2E9C-101B-9397-08002B2CF9AE}" pid="4" name="KSOTemplateDocerSaveRecord">
    <vt:lpwstr>eyJoZGlkIjoiMjZkNmJlMjM5MjA5NTEzYzc0NDZlM2YxZDg1MGY0NWQiLCJ1c2VySWQiOiIzMTIzOTY4NjcifQ==</vt:lpwstr>
  </property>
</Properties>
</file>