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82958">
      <w:pPr>
        <w:jc w:val="center"/>
        <w:rPr>
          <w:rFonts w:hint="eastAsia"/>
          <w:color w:val="auto"/>
          <w:lang w:eastAsia="zh-CN"/>
        </w:rPr>
      </w:pPr>
      <w:r>
        <w:rPr>
          <w:rFonts w:hint="eastAsia"/>
          <w:color w:val="auto"/>
          <w:lang w:eastAsia="zh-CN"/>
        </w:rPr>
        <w:drawing>
          <wp:inline distT="0" distB="0" distL="114300" distR="114300">
            <wp:extent cx="10193655" cy="7137400"/>
            <wp:effectExtent l="0" t="0" r="6350" b="17145"/>
            <wp:docPr id="56" name="图片 56" descr="0e5547ae3d0e88affb53028799403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e5547ae3d0e88affb53028799403fef"/>
                    <pic:cNvPicPr>
                      <a:picLocks noChangeAspect="1"/>
                    </pic:cNvPicPr>
                  </pic:nvPicPr>
                  <pic:blipFill>
                    <a:blip r:embed="rId7"/>
                    <a:srcRect l="487" t="796" r="631" b="1282"/>
                    <a:stretch>
                      <a:fillRect/>
                    </a:stretch>
                  </pic:blipFill>
                  <pic:spPr>
                    <a:xfrm rot="16200000">
                      <a:off x="0" y="0"/>
                      <a:ext cx="10193655" cy="7137400"/>
                    </a:xfrm>
                    <a:prstGeom prst="rect">
                      <a:avLst/>
                    </a:prstGeom>
                  </pic:spPr>
                </pic:pic>
              </a:graphicData>
            </a:graphic>
          </wp:inline>
        </w:drawing>
      </w:r>
      <w:r>
        <w:rPr>
          <w:rFonts w:hint="eastAsia"/>
          <w:color w:val="auto"/>
          <w:lang w:eastAsia="zh-CN"/>
        </w:rPr>
        <w:drawing>
          <wp:inline distT="0" distB="0" distL="114300" distR="114300">
            <wp:extent cx="7199630" cy="9890760"/>
            <wp:effectExtent l="0" t="0" r="1270" b="15240"/>
            <wp:docPr id="96" name="图片 96" descr="f6aa07c58df80acc0dc93ff3b4bb3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f6aa07c58df80acc0dc93ff3b4bb301b"/>
                    <pic:cNvPicPr>
                      <a:picLocks noChangeAspect="1"/>
                    </pic:cNvPicPr>
                  </pic:nvPicPr>
                  <pic:blipFill>
                    <a:blip r:embed="rId8"/>
                    <a:stretch>
                      <a:fillRect/>
                    </a:stretch>
                  </pic:blipFill>
                  <pic:spPr>
                    <a:xfrm>
                      <a:off x="0" y="0"/>
                      <a:ext cx="7199630" cy="9890760"/>
                    </a:xfrm>
                    <a:prstGeom prst="rect">
                      <a:avLst/>
                    </a:prstGeom>
                  </pic:spPr>
                </pic:pic>
              </a:graphicData>
            </a:graphic>
          </wp:inline>
        </w:drawing>
      </w:r>
    </w:p>
    <w:p w14:paraId="743497F3">
      <w:pPr>
        <w:rPr>
          <w:rFonts w:hint="eastAsia"/>
          <w:color w:val="auto"/>
          <w:lang w:eastAsia="zh-CN"/>
        </w:rPr>
      </w:pPr>
      <w:r>
        <w:rPr>
          <w:rFonts w:hint="eastAsia"/>
          <w:color w:val="auto"/>
          <w:lang w:eastAsia="zh-CN"/>
        </w:rPr>
        <w:br w:type="page"/>
      </w:r>
    </w:p>
    <w:p w14:paraId="10069DE9">
      <w:pPr>
        <w:pStyle w:val="3"/>
        <w:rPr>
          <w:rFonts w:hint="eastAsia"/>
          <w:color w:val="auto"/>
          <w:lang w:eastAsia="zh-CN"/>
        </w:rPr>
        <w:sectPr>
          <w:pgSz w:w="11905" w:h="16838"/>
          <w:pgMar w:top="283" w:right="283" w:bottom="283" w:left="283" w:header="851" w:footer="1077" w:gutter="0"/>
          <w:pgBorders>
            <w:top w:val="none" w:sz="0" w:space="0"/>
            <w:left w:val="none" w:sz="0" w:space="0"/>
            <w:bottom w:val="none" w:sz="0" w:space="0"/>
            <w:right w:val="none" w:sz="0" w:space="0"/>
          </w:pgBorders>
          <w:pgNumType w:start="3"/>
          <w:cols w:space="0" w:num="1"/>
          <w:rtlGutter w:val="0"/>
          <w:docGrid w:linePitch="312" w:charSpace="0"/>
        </w:sectPr>
      </w:pPr>
    </w:p>
    <w:sdt>
      <w:sdtPr>
        <w:rPr>
          <w:rFonts w:ascii="宋体" w:hAnsi="宋体" w:eastAsia="宋体" w:cs="Times New Roman"/>
          <w:color w:val="auto"/>
          <w:kern w:val="2"/>
          <w:sz w:val="21"/>
          <w:szCs w:val="24"/>
          <w:lang w:val="en-US" w:eastAsia="zh-CN" w:bidi="ar-SA"/>
        </w:rPr>
        <w:id w:val="147453853"/>
        <w15:color w:val="DBDBDB"/>
        <w:docPartObj>
          <w:docPartGallery w:val="Table of Contents"/>
          <w:docPartUnique/>
        </w:docPartObj>
      </w:sdtPr>
      <w:sdtEndPr>
        <w:rPr>
          <w:rFonts w:hint="default" w:ascii="Times New Roman" w:hAnsi="Times New Roman" w:eastAsia="宋体" w:cs="Times New Roman"/>
          <w:color w:val="auto"/>
          <w:kern w:val="2"/>
          <w:sz w:val="21"/>
          <w:szCs w:val="24"/>
          <w:lang w:val="en-US" w:eastAsia="zh-CN" w:bidi="ar-SA"/>
        </w:rPr>
      </w:sdtEndPr>
      <w:sdtContent>
        <w:p w14:paraId="34773C07">
          <w:pPr>
            <w:spacing w:before="0" w:beforeLines="0" w:after="0" w:afterLines="0" w:line="360" w:lineRule="auto"/>
            <w:ind w:left="0" w:leftChars="0" w:right="0" w:rightChars="0" w:firstLine="0" w:firstLineChars="0"/>
            <w:jc w:val="center"/>
            <w:rPr>
              <w:b/>
              <w:bCs/>
              <w:color w:val="auto"/>
              <w:sz w:val="28"/>
              <w:szCs w:val="28"/>
            </w:rPr>
          </w:pPr>
          <w:r>
            <w:rPr>
              <w:rFonts w:ascii="宋体" w:hAnsi="宋体" w:eastAsia="宋体"/>
              <w:b/>
              <w:bCs/>
              <w:color w:val="auto"/>
              <w:sz w:val="28"/>
              <w:szCs w:val="28"/>
            </w:rPr>
            <w:t>目录</w:t>
          </w:r>
        </w:p>
        <w:p w14:paraId="28FC04E6">
          <w:pPr>
            <w:pStyle w:val="25"/>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TOC \o "1-2" \h \u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_Toc19589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bCs/>
              <w:color w:val="auto"/>
              <w:sz w:val="24"/>
              <w:szCs w:val="24"/>
            </w:rPr>
            <w:t>一、建设项目基本情况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_Toc19589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50E378CC">
          <w:pPr>
            <w:pStyle w:val="25"/>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_Toc25755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bCs/>
              <w:color w:val="auto"/>
              <w:sz w:val="24"/>
              <w:szCs w:val="24"/>
            </w:rPr>
            <w:t>二、建设项目工程分析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_Toc25755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42715C3">
          <w:pPr>
            <w:pStyle w:val="25"/>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_Toc25626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bCs/>
              <w:color w:val="auto"/>
              <w:sz w:val="24"/>
              <w:szCs w:val="24"/>
            </w:rPr>
            <w:t>三、区域环境质量现状、环境保护目标及评价标准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_Toc25626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C8488D4">
          <w:pPr>
            <w:pStyle w:val="25"/>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_Toc13066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bCs/>
              <w:color w:val="auto"/>
              <w:sz w:val="24"/>
              <w:szCs w:val="24"/>
              <w:lang w:val="en-US" w:eastAsia="zh-CN"/>
            </w:rPr>
            <w:t>四、</w:t>
          </w:r>
          <w:r>
            <w:rPr>
              <w:rFonts w:hint="default" w:ascii="Times New Roman" w:hAnsi="Times New Roman" w:cs="Times New Roman" w:eastAsiaTheme="majorEastAsia"/>
              <w:bCs/>
              <w:color w:val="auto"/>
              <w:sz w:val="24"/>
              <w:szCs w:val="24"/>
            </w:rPr>
            <w:t>主要环境影响和保护措施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_Toc13066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4EBDD86">
          <w:pPr>
            <w:pStyle w:val="25"/>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_Toc12262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bCs/>
              <w:color w:val="auto"/>
              <w:sz w:val="24"/>
              <w:szCs w:val="24"/>
              <w:lang w:val="en-US" w:eastAsia="zh-CN"/>
            </w:rPr>
            <w:t>五、</w:t>
          </w:r>
          <w:r>
            <w:rPr>
              <w:rFonts w:hint="default" w:ascii="Times New Roman" w:hAnsi="Times New Roman" w:cs="Times New Roman" w:eastAsiaTheme="majorEastAsia"/>
              <w:bCs/>
              <w:color w:val="auto"/>
              <w:sz w:val="24"/>
              <w:szCs w:val="24"/>
            </w:rPr>
            <w:t>环境保护措施监督检查清单</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_Toc12262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30AE85EE">
          <w:pPr>
            <w:pStyle w:val="25"/>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_Toc18042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bCs/>
              <w:color w:val="auto"/>
              <w:sz w:val="24"/>
              <w:szCs w:val="24"/>
            </w:rPr>
            <w:t>六、结论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_Toc18042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60CAFFC7">
          <w:pPr>
            <w:pStyle w:val="25"/>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_Toc15538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bCs/>
              <w:color w:val="auto"/>
              <w:sz w:val="24"/>
              <w:szCs w:val="24"/>
              <w:lang w:val="zh-CN"/>
            </w:rPr>
            <w:t>附表</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_Toc15538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0099D1B">
          <w:pPr>
            <w:pStyle w:val="25"/>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_Toc18400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bCs/>
              <w:color w:val="auto"/>
              <w:sz w:val="24"/>
              <w:szCs w:val="24"/>
              <w:lang w:val="en-US" w:eastAsia="zh-CN"/>
            </w:rPr>
            <w:t>附件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_Toc18400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CB7B01D">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_Toc18883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rPr>
            <w:t>附件1：环评委托书</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_Toc18883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730FC1EE">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_Toc21253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zh-CN" w:eastAsia="zh-CN"/>
            </w:rPr>
            <w:t>附件</w:t>
          </w:r>
          <w:r>
            <w:rPr>
              <w:rFonts w:hint="default" w:ascii="Times New Roman" w:hAnsi="Times New Roman" w:cs="Times New Roman" w:eastAsiaTheme="majorEastAsia"/>
              <w:color w:val="auto"/>
              <w:sz w:val="24"/>
              <w:szCs w:val="24"/>
              <w:lang w:val="en-US" w:eastAsia="zh-CN"/>
            </w:rPr>
            <w:t>2</w:t>
          </w:r>
          <w:r>
            <w:rPr>
              <w:rFonts w:hint="default" w:ascii="Times New Roman" w:hAnsi="Times New Roman" w:cs="Times New Roman" w:eastAsiaTheme="majorEastAsia"/>
              <w:color w:val="auto"/>
              <w:sz w:val="24"/>
              <w:szCs w:val="24"/>
              <w:lang w:val="zh-CN" w:eastAsia="zh-CN"/>
            </w:rPr>
            <w:t>：营业执照</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_Toc21253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4D0319A">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_Toc24303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zh-CN"/>
            </w:rPr>
            <w:t>附件</w:t>
          </w:r>
          <w:r>
            <w:rPr>
              <w:rFonts w:hint="default" w:ascii="Times New Roman" w:hAnsi="Times New Roman" w:cs="Times New Roman" w:eastAsiaTheme="majorEastAsia"/>
              <w:color w:val="auto"/>
              <w:sz w:val="24"/>
              <w:szCs w:val="24"/>
              <w:lang w:val="en-US" w:eastAsia="zh-CN"/>
            </w:rPr>
            <w:t>3</w:t>
          </w:r>
          <w:r>
            <w:rPr>
              <w:rFonts w:hint="default" w:ascii="Times New Roman" w:hAnsi="Times New Roman" w:cs="Times New Roman" w:eastAsiaTheme="majorEastAsia"/>
              <w:color w:val="auto"/>
              <w:sz w:val="24"/>
              <w:szCs w:val="24"/>
              <w:lang w:eastAsia="zh-CN"/>
            </w:rPr>
            <w:t>：</w:t>
          </w:r>
          <w:r>
            <w:rPr>
              <w:rFonts w:hint="default" w:ascii="Times New Roman" w:hAnsi="Times New Roman" w:cs="Times New Roman" w:eastAsiaTheme="majorEastAsia"/>
              <w:color w:val="auto"/>
              <w:sz w:val="24"/>
              <w:szCs w:val="24"/>
              <w:lang w:val="zh-CN" w:eastAsia="zh-CN"/>
            </w:rPr>
            <w:t>备案证明</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_Toc24303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6E35A49">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_Toc1744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zh-CN" w:eastAsia="zh-CN"/>
            </w:rPr>
            <w:t>附件</w:t>
          </w:r>
          <w:r>
            <w:rPr>
              <w:rFonts w:hint="default" w:ascii="Times New Roman" w:hAnsi="Times New Roman" w:cs="Times New Roman" w:eastAsiaTheme="majorEastAsia"/>
              <w:color w:val="auto"/>
              <w:sz w:val="24"/>
              <w:szCs w:val="24"/>
              <w:lang w:val="en-US" w:eastAsia="zh-CN"/>
            </w:rPr>
            <w:t>4：厂房租赁合同</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_Toc1744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BB816CA">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_Toc9285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zh-CN"/>
            </w:rPr>
            <w:t>附件</w:t>
          </w:r>
          <w:r>
            <w:rPr>
              <w:rFonts w:hint="default" w:ascii="Times New Roman" w:hAnsi="Times New Roman" w:cs="Times New Roman" w:eastAsiaTheme="majorEastAsia"/>
              <w:color w:val="auto"/>
              <w:sz w:val="24"/>
              <w:szCs w:val="24"/>
              <w:lang w:val="en-US" w:eastAsia="zh-CN"/>
            </w:rPr>
            <w:t>5：龙潭镇人民政府同意本项目落地的情况说明</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_Toc9285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636C1D46">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_Toc25804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zh-CN"/>
            </w:rPr>
            <w:t>附件</w:t>
          </w:r>
          <w:r>
            <w:rPr>
              <w:rFonts w:hint="default" w:ascii="Times New Roman" w:hAnsi="Times New Roman" w:cs="Times New Roman" w:eastAsiaTheme="majorEastAsia"/>
              <w:color w:val="auto"/>
              <w:sz w:val="24"/>
              <w:szCs w:val="24"/>
              <w:lang w:val="en-US" w:eastAsia="zh-CN"/>
            </w:rPr>
            <w:t>6</w:t>
          </w:r>
          <w:r>
            <w:rPr>
              <w:rFonts w:hint="default" w:ascii="Times New Roman" w:hAnsi="Times New Roman" w:cs="Times New Roman" w:eastAsiaTheme="majorEastAsia"/>
              <w:color w:val="auto"/>
              <w:sz w:val="24"/>
              <w:szCs w:val="24"/>
              <w:lang w:val="zh-CN"/>
            </w:rPr>
            <w:t>：</w:t>
          </w:r>
          <w:r>
            <w:rPr>
              <w:rFonts w:hint="default" w:ascii="Times New Roman" w:hAnsi="Times New Roman" w:cs="Times New Roman" w:eastAsiaTheme="majorEastAsia"/>
              <w:color w:val="auto"/>
              <w:sz w:val="24"/>
              <w:szCs w:val="24"/>
              <w:lang w:val="en-US" w:eastAsia="zh-CN"/>
            </w:rPr>
            <w:t>龙潭镇岩板村村委会同意本项目落地的情况说明</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_Toc25804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5A33B74C">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_Toc4082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zh-CN"/>
            </w:rPr>
            <w:t>附件</w:t>
          </w:r>
          <w:r>
            <w:rPr>
              <w:rFonts w:hint="default" w:ascii="Times New Roman" w:hAnsi="Times New Roman" w:cs="Times New Roman" w:eastAsiaTheme="majorEastAsia"/>
              <w:color w:val="auto"/>
              <w:sz w:val="24"/>
              <w:szCs w:val="24"/>
              <w:lang w:val="en-US" w:eastAsia="zh-CN"/>
            </w:rPr>
            <w:t>7</w:t>
          </w:r>
          <w:r>
            <w:rPr>
              <w:rFonts w:hint="default" w:ascii="Times New Roman" w:hAnsi="Times New Roman" w:cs="Times New Roman" w:eastAsiaTheme="majorEastAsia"/>
              <w:color w:val="auto"/>
              <w:sz w:val="24"/>
              <w:szCs w:val="24"/>
              <w:lang w:val="zh-CN"/>
            </w:rPr>
            <w:t>：</w:t>
          </w:r>
          <w:r>
            <w:rPr>
              <w:rFonts w:hint="default" w:ascii="Times New Roman" w:hAnsi="Times New Roman" w:cs="Times New Roman" w:eastAsiaTheme="majorEastAsia"/>
              <w:color w:val="auto"/>
              <w:sz w:val="24"/>
              <w:szCs w:val="24"/>
              <w:lang w:val="en-US" w:eastAsia="zh-CN"/>
            </w:rPr>
            <w:t>中药尾料委托处置协议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_Toc4082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90AE758">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_Toc25087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en-US" w:eastAsia="zh-CN"/>
            </w:rPr>
            <w:t>附件8：废弃泥土资源化利用协议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_Toc25087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095CC7E">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_Toc25674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en-US" w:eastAsia="zh-CN"/>
            </w:rPr>
            <w:t>附件9：原龙成公司环保手续</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_Toc25674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2669243">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_Toc23369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en-US" w:eastAsia="zh-CN"/>
            </w:rPr>
            <w:t>附件10：环境质量现状</w:t>
          </w:r>
          <w:r>
            <w:rPr>
              <w:rFonts w:hint="default" w:ascii="Times New Roman" w:hAnsi="Times New Roman" w:cs="Times New Roman" w:eastAsiaTheme="majorEastAsia"/>
              <w:color w:val="auto"/>
              <w:sz w:val="24"/>
              <w:szCs w:val="24"/>
              <w:lang w:val="zh-CN"/>
            </w:rPr>
            <w:t>监测报告</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_Toc23369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B485609">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_Toc1820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en-US" w:eastAsia="zh-CN"/>
            </w:rPr>
            <w:t>附件11：溆浦县市场监督管理局</w:t>
          </w:r>
          <w:r>
            <w:rPr>
              <w:rFonts w:hint="eastAsia" w:cs="Times New Roman" w:eastAsiaTheme="majorEastAsia"/>
              <w:color w:val="auto"/>
              <w:sz w:val="24"/>
              <w:szCs w:val="24"/>
              <w:lang w:val="en-US" w:eastAsia="zh-CN"/>
            </w:rPr>
            <w:t>“</w:t>
          </w:r>
          <w:r>
            <w:rPr>
              <w:rFonts w:hint="default" w:ascii="Times New Roman" w:hAnsi="Times New Roman" w:cs="Times New Roman" w:eastAsiaTheme="majorEastAsia"/>
              <w:color w:val="auto"/>
              <w:sz w:val="24"/>
              <w:szCs w:val="24"/>
              <w:lang w:val="en-US" w:eastAsia="zh-CN"/>
            </w:rPr>
            <w:t>关于确定溆浦县第三批中药材产地趁鲜切制加工企业的通知</w:t>
          </w:r>
          <w:r>
            <w:rPr>
              <w:rFonts w:hint="eastAsia" w:cs="Times New Roman" w:eastAsiaTheme="majorEastAsia"/>
              <w:color w:val="auto"/>
              <w:sz w:val="24"/>
              <w:szCs w:val="24"/>
              <w:lang w:val="en-US" w:eastAsia="zh-CN"/>
            </w:rPr>
            <w:t>”</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_Toc1820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321BAE60">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_Toc29154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en-US" w:eastAsia="zh-CN"/>
            </w:rPr>
            <w:t>附件12：纳污证明</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_Toc29154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618BDA5">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_Toc17602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en-US" w:eastAsia="zh-CN"/>
            </w:rPr>
            <w:t>附件13：评审会专家意见及签到表</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_Toc17602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68793559">
          <w:pPr>
            <w:pStyle w:val="25"/>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_Toc14520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bCs/>
              <w:color w:val="auto"/>
              <w:sz w:val="24"/>
              <w:szCs w:val="24"/>
              <w:lang w:val="zh-CN" w:eastAsia="zh-CN"/>
            </w:rPr>
            <w:t>附图</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_Toc14520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2256189">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_Toc25736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zh-CN"/>
            </w:rPr>
            <w:t>附图</w:t>
          </w:r>
          <w:r>
            <w:rPr>
              <w:rFonts w:hint="default" w:ascii="Times New Roman" w:hAnsi="Times New Roman" w:cs="Times New Roman" w:eastAsiaTheme="majorEastAsia"/>
              <w:color w:val="auto"/>
              <w:sz w:val="24"/>
              <w:szCs w:val="24"/>
              <w:lang w:val="en-US" w:eastAsia="zh-CN"/>
            </w:rPr>
            <w:t>1</w:t>
          </w:r>
          <w:r>
            <w:rPr>
              <w:rFonts w:hint="default" w:ascii="Times New Roman" w:hAnsi="Times New Roman" w:cs="Times New Roman" w:eastAsiaTheme="majorEastAsia"/>
              <w:color w:val="auto"/>
              <w:sz w:val="24"/>
              <w:szCs w:val="24"/>
              <w:lang w:val="zh-CN"/>
            </w:rPr>
            <w:t>：项目区域位置图</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_Toc25736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4E46610B">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_Toc8625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zh-CN"/>
            </w:rPr>
            <w:t>附图</w:t>
          </w:r>
          <w:r>
            <w:rPr>
              <w:rFonts w:hint="default" w:ascii="Times New Roman" w:hAnsi="Times New Roman" w:cs="Times New Roman" w:eastAsiaTheme="majorEastAsia"/>
              <w:color w:val="auto"/>
              <w:sz w:val="24"/>
              <w:szCs w:val="24"/>
              <w:lang w:val="en-US" w:eastAsia="zh-CN"/>
            </w:rPr>
            <w:t>2</w:t>
          </w:r>
          <w:r>
            <w:rPr>
              <w:rFonts w:hint="default" w:ascii="Times New Roman" w:hAnsi="Times New Roman" w:cs="Times New Roman" w:eastAsiaTheme="majorEastAsia"/>
              <w:color w:val="auto"/>
              <w:sz w:val="24"/>
              <w:szCs w:val="24"/>
              <w:lang w:val="zh-CN"/>
            </w:rPr>
            <w:t>：平面布置图</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_Toc8625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526CE79">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_Toc24920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zh-CN" w:eastAsia="zh-CN"/>
            </w:rPr>
            <w:t>附图</w:t>
          </w:r>
          <w:r>
            <w:rPr>
              <w:rFonts w:hint="default" w:ascii="Times New Roman" w:hAnsi="Times New Roman" w:cs="Times New Roman" w:eastAsiaTheme="majorEastAsia"/>
              <w:color w:val="auto"/>
              <w:sz w:val="24"/>
              <w:szCs w:val="24"/>
              <w:lang w:val="en-US" w:eastAsia="zh-CN"/>
            </w:rPr>
            <w:t>3</w:t>
          </w:r>
          <w:r>
            <w:rPr>
              <w:rFonts w:hint="default" w:ascii="Times New Roman" w:hAnsi="Times New Roman" w:cs="Times New Roman" w:eastAsiaTheme="majorEastAsia"/>
              <w:color w:val="auto"/>
              <w:sz w:val="24"/>
              <w:szCs w:val="24"/>
              <w:lang w:val="zh-CN" w:eastAsia="zh-CN"/>
            </w:rPr>
            <w:t>：项目周边环境敏感目标分布图</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_Toc24920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21CF1415">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_Toc21033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zh-CN"/>
            </w:rPr>
            <w:t>附图</w:t>
          </w:r>
          <w:r>
            <w:rPr>
              <w:rFonts w:hint="default" w:ascii="Times New Roman" w:hAnsi="Times New Roman" w:cs="Times New Roman" w:eastAsiaTheme="majorEastAsia"/>
              <w:color w:val="auto"/>
              <w:sz w:val="24"/>
              <w:szCs w:val="24"/>
              <w:lang w:val="en-US" w:eastAsia="zh-CN"/>
            </w:rPr>
            <w:t>4</w:t>
          </w:r>
          <w:r>
            <w:rPr>
              <w:rFonts w:hint="default" w:ascii="Times New Roman" w:hAnsi="Times New Roman" w:cs="Times New Roman" w:eastAsiaTheme="majorEastAsia"/>
              <w:color w:val="auto"/>
              <w:sz w:val="24"/>
              <w:szCs w:val="24"/>
              <w:lang w:val="zh-CN"/>
            </w:rPr>
            <w:t>：</w:t>
          </w:r>
          <w:r>
            <w:rPr>
              <w:rFonts w:hint="default" w:ascii="Times New Roman" w:hAnsi="Times New Roman" w:cs="Times New Roman" w:eastAsiaTheme="majorEastAsia"/>
              <w:color w:val="auto"/>
              <w:sz w:val="24"/>
              <w:szCs w:val="24"/>
              <w:lang w:val="en-US" w:eastAsia="zh-CN"/>
            </w:rPr>
            <w:t>环境质量现状监测布点图</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_Toc21033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101C18F2">
          <w:pPr>
            <w:pStyle w:val="28"/>
            <w:tabs>
              <w:tab w:val="right" w:leader="dot" w:pos="8299"/>
            </w:tabs>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_Toc28888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en-US" w:eastAsia="zh-CN"/>
            </w:rPr>
            <w:t>附图5：溆浦县龙潭镇总体规划——镇区土地利用规划图</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_Toc28888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14:paraId="0A80660A">
          <w:pPr>
            <w:pStyle w:val="28"/>
            <w:tabs>
              <w:tab w:val="right" w:leader="dot" w:pos="8299"/>
            </w:tabs>
            <w:spacing w:line="360" w:lineRule="auto"/>
            <w:rPr>
              <w:rFonts w:hint="default" w:ascii="Times New Roman" w:hAnsi="Times New Roman" w:cs="Times New Roman"/>
              <w:color w:val="auto"/>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HYPERLINK \l _Toc25 </w:instrText>
          </w:r>
          <w:r>
            <w:rPr>
              <w:rFonts w:hint="default" w:ascii="Times New Roman" w:hAnsi="Times New Roman" w:cs="Times New Roman"/>
              <w:color w:val="auto"/>
              <w:sz w:val="24"/>
              <w:szCs w:val="24"/>
            </w:rPr>
            <w:fldChar w:fldCharType="separate"/>
          </w:r>
          <w:r>
            <w:rPr>
              <w:rFonts w:hint="default" w:ascii="Times New Roman" w:hAnsi="Times New Roman" w:cs="Times New Roman" w:eastAsiaTheme="majorEastAsia"/>
              <w:color w:val="auto"/>
              <w:sz w:val="24"/>
              <w:szCs w:val="24"/>
              <w:lang w:val="en-US" w:eastAsia="zh-CN"/>
            </w:rPr>
            <w:t>附图6：现场照片</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bookmarkStart w:id="0" w:name="_Toc17049"/>
        </w:p>
      </w:sdtContent>
    </w:sdt>
    <w:p w14:paraId="255660C4">
      <w:pPr>
        <w:pStyle w:val="29"/>
        <w:jc w:val="center"/>
        <w:outlineLvl w:val="0"/>
        <w:rPr>
          <w:rFonts w:hint="default" w:ascii="Times New Roman" w:hAnsi="Times New Roman" w:eastAsia="黑体" w:cs="Times New Roman"/>
          <w:snapToGrid w:val="0"/>
          <w:color w:val="auto"/>
          <w:sz w:val="30"/>
          <w:szCs w:val="30"/>
        </w:rPr>
        <w:sectPr>
          <w:footerReference r:id="rId3" w:type="default"/>
          <w:pgSz w:w="11905" w:h="16838"/>
          <w:pgMar w:top="1440" w:right="1803" w:bottom="1440" w:left="1803" w:header="851" w:footer="1077" w:gutter="0"/>
          <w:pgBorders>
            <w:top w:val="none" w:sz="0" w:space="0"/>
            <w:left w:val="none" w:sz="0" w:space="0"/>
            <w:bottom w:val="none" w:sz="0" w:space="0"/>
            <w:right w:val="none" w:sz="0" w:space="0"/>
          </w:pgBorders>
          <w:pgNumType w:fmt="decimal" w:start="1"/>
          <w:cols w:space="0" w:num="1"/>
          <w:rtlGutter w:val="0"/>
          <w:docGrid w:linePitch="312" w:charSpace="0"/>
        </w:sectPr>
      </w:pPr>
      <w:bookmarkStart w:id="1" w:name="_Toc10904"/>
    </w:p>
    <w:p w14:paraId="1F9A1D3F">
      <w:pPr>
        <w:pStyle w:val="2"/>
        <w:bidi w:val="0"/>
        <w:jc w:val="center"/>
        <w:rPr>
          <w:rFonts w:hint="default" w:asciiTheme="majorEastAsia" w:hAnsiTheme="majorEastAsia" w:eastAsiaTheme="majorEastAsia" w:cstheme="majorEastAsia"/>
          <w:b/>
          <w:bCs/>
          <w:color w:val="auto"/>
        </w:rPr>
      </w:pPr>
      <w:bookmarkStart w:id="2" w:name="_Toc19589"/>
      <w:r>
        <w:rPr>
          <w:rFonts w:hint="default" w:asciiTheme="majorEastAsia" w:hAnsiTheme="majorEastAsia" w:eastAsiaTheme="majorEastAsia" w:cstheme="majorEastAsia"/>
          <w:b/>
          <w:bCs/>
          <w:color w:val="auto"/>
        </w:rPr>
        <w:t>一、建设项目基本情况</w:t>
      </w:r>
      <w:bookmarkEnd w:id="0"/>
      <w:bookmarkEnd w:id="1"/>
      <w:bookmarkEnd w:id="2"/>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08"/>
        <w:gridCol w:w="1764"/>
        <w:gridCol w:w="1906"/>
        <w:gridCol w:w="3150"/>
      </w:tblGrid>
      <w:tr w14:paraId="4DDDB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5" w:type="pct"/>
            <w:tcMar>
              <w:top w:w="16" w:type="dxa"/>
              <w:left w:w="16" w:type="dxa"/>
              <w:right w:w="16" w:type="dxa"/>
            </w:tcMar>
            <w:vAlign w:val="center"/>
          </w:tcPr>
          <w:p w14:paraId="1D7676A7">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建设项目名称</w:t>
            </w:r>
          </w:p>
        </w:tc>
        <w:tc>
          <w:tcPr>
            <w:tcW w:w="4094" w:type="pct"/>
            <w:gridSpan w:val="3"/>
            <w:vAlign w:val="center"/>
          </w:tcPr>
          <w:p w14:paraId="00794787">
            <w:pPr>
              <w:adjustRightInd w:val="0"/>
              <w:snapToGrid w:val="0"/>
              <w:jc w:val="center"/>
              <w:rPr>
                <w:rFonts w:hint="eastAsia" w:ascii="Times New Roman" w:hAnsi="Times New Roman" w:eastAsia="宋体" w:cs="Times New Roman"/>
                <w:color w:val="auto"/>
                <w:sz w:val="24"/>
                <w:lang w:eastAsia="zh-CN"/>
              </w:rPr>
            </w:pPr>
            <w:r>
              <w:rPr>
                <w:rFonts w:hint="eastAsia" w:cs="Times New Roman"/>
                <w:color w:val="auto"/>
                <w:sz w:val="24"/>
                <w:lang w:eastAsia="zh-CN"/>
              </w:rPr>
              <w:t>怀化崇实农业开发有限公司年产800吨中药材产地趁鲜加工及药食同源食品开发项目</w:t>
            </w:r>
          </w:p>
        </w:tc>
      </w:tr>
      <w:tr w14:paraId="65755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05" w:type="pct"/>
            <w:tcMar>
              <w:top w:w="16" w:type="dxa"/>
              <w:left w:w="16" w:type="dxa"/>
              <w:right w:w="16" w:type="dxa"/>
            </w:tcMar>
            <w:vAlign w:val="center"/>
          </w:tcPr>
          <w:p w14:paraId="51CE0E7E">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项目代码</w:t>
            </w:r>
          </w:p>
        </w:tc>
        <w:tc>
          <w:tcPr>
            <w:tcW w:w="4094" w:type="pct"/>
            <w:gridSpan w:val="3"/>
            <w:vAlign w:val="center"/>
          </w:tcPr>
          <w:p w14:paraId="3A89812F">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2601-431224-04-02-362450</w:t>
            </w:r>
          </w:p>
        </w:tc>
      </w:tr>
      <w:tr w14:paraId="2F943D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5" w:type="pct"/>
            <w:tcMar>
              <w:top w:w="16" w:type="dxa"/>
              <w:left w:w="16" w:type="dxa"/>
              <w:right w:w="16" w:type="dxa"/>
            </w:tcMar>
            <w:vAlign w:val="center"/>
          </w:tcPr>
          <w:p w14:paraId="01B4D3B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建设单位联系人</w:t>
            </w:r>
          </w:p>
        </w:tc>
        <w:tc>
          <w:tcPr>
            <w:tcW w:w="1059" w:type="pct"/>
            <w:vAlign w:val="center"/>
          </w:tcPr>
          <w:p w14:paraId="7A7EA3FE">
            <w:pPr>
              <w:adjustRightInd w:val="0"/>
              <w:snapToGrid w:val="0"/>
              <w:spacing w:before="60" w:after="60"/>
              <w:jc w:val="center"/>
              <w:rPr>
                <w:rFonts w:hint="default" w:ascii="Times New Roman" w:hAnsi="Times New Roman" w:cs="Times New Roman"/>
                <w:color w:val="auto"/>
                <w:sz w:val="24"/>
              </w:rPr>
            </w:pPr>
            <w:r>
              <w:rPr>
                <w:rFonts w:hint="eastAsia" w:ascii="Times New Roman" w:hAnsi="Times New Roman" w:eastAsia="宋体" w:cs="Times New Roman"/>
                <w:color w:val="auto"/>
                <w:sz w:val="24"/>
                <w:lang w:val="en-US" w:eastAsia="zh-CN"/>
              </w:rPr>
              <w:t>韩吉</w:t>
            </w:r>
          </w:p>
        </w:tc>
        <w:tc>
          <w:tcPr>
            <w:tcW w:w="1144" w:type="pct"/>
            <w:vAlign w:val="center"/>
          </w:tcPr>
          <w:p w14:paraId="3735B1D9">
            <w:pPr>
              <w:adjustRightInd w:val="0"/>
              <w:snapToGrid w:val="0"/>
              <w:spacing w:before="60" w:after="60"/>
              <w:jc w:val="center"/>
              <w:rPr>
                <w:rFonts w:hint="default" w:ascii="Times New Roman" w:hAnsi="Times New Roman" w:cs="Times New Roman"/>
                <w:color w:val="auto"/>
                <w:sz w:val="24"/>
              </w:rPr>
            </w:pPr>
            <w:r>
              <w:rPr>
                <w:rFonts w:hint="eastAsia" w:ascii="Times New Roman" w:hAnsi="Times New Roman" w:eastAsia="宋体" w:cs="Times New Roman"/>
                <w:color w:val="auto"/>
                <w:sz w:val="24"/>
              </w:rPr>
              <w:t>联系方式</w:t>
            </w:r>
          </w:p>
        </w:tc>
        <w:tc>
          <w:tcPr>
            <w:tcW w:w="1891" w:type="pct"/>
            <w:vAlign w:val="center"/>
          </w:tcPr>
          <w:p w14:paraId="3AB6A855">
            <w:pPr>
              <w:adjustRightInd w:val="0"/>
              <w:snapToGrid w:val="0"/>
              <w:spacing w:before="60" w:after="60"/>
              <w:jc w:val="center"/>
              <w:rPr>
                <w:rFonts w:hint="default" w:ascii="Times New Roman" w:hAnsi="Times New Roman" w:cs="Times New Roman"/>
                <w:color w:val="auto"/>
                <w:sz w:val="24"/>
              </w:rPr>
            </w:pPr>
          </w:p>
        </w:tc>
      </w:tr>
      <w:tr w14:paraId="0C8AE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5" w:type="pct"/>
            <w:tcMar>
              <w:top w:w="16" w:type="dxa"/>
              <w:left w:w="16" w:type="dxa"/>
              <w:right w:w="16" w:type="dxa"/>
            </w:tcMar>
            <w:vAlign w:val="center"/>
          </w:tcPr>
          <w:p w14:paraId="6ADA9FB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建设地点</w:t>
            </w:r>
          </w:p>
        </w:tc>
        <w:tc>
          <w:tcPr>
            <w:tcW w:w="4094" w:type="pct"/>
            <w:gridSpan w:val="3"/>
            <w:vAlign w:val="center"/>
          </w:tcPr>
          <w:p w14:paraId="456B0521">
            <w:pPr>
              <w:adjustRightInd w:val="0"/>
              <w:snapToGrid w:val="0"/>
              <w:jc w:val="center"/>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湖南省怀化市溆浦县龙潭镇</w:t>
            </w:r>
            <w:r>
              <w:rPr>
                <w:rFonts w:hint="eastAsia" w:ascii="Times New Roman" w:hAnsi="Times New Roman" w:cs="Times New Roman"/>
                <w:color w:val="auto"/>
                <w:sz w:val="24"/>
                <w:lang w:eastAsia="zh-CN"/>
              </w:rPr>
              <w:t>岩板村</w:t>
            </w:r>
          </w:p>
        </w:tc>
      </w:tr>
      <w:tr w14:paraId="3BAEB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5" w:type="pct"/>
            <w:tcMar>
              <w:top w:w="16" w:type="dxa"/>
              <w:left w:w="16" w:type="dxa"/>
              <w:right w:w="16" w:type="dxa"/>
            </w:tcMar>
            <w:vAlign w:val="center"/>
          </w:tcPr>
          <w:p w14:paraId="6B946E88">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地理坐标</w:t>
            </w:r>
          </w:p>
        </w:tc>
        <w:tc>
          <w:tcPr>
            <w:tcW w:w="4094" w:type="pct"/>
            <w:gridSpan w:val="3"/>
            <w:vAlign w:val="center"/>
          </w:tcPr>
          <w:p w14:paraId="071C59A1">
            <w:pPr>
              <w:jc w:val="center"/>
              <w:rPr>
                <w:rFonts w:hint="default" w:ascii="Times New Roman" w:hAnsi="Times New Roman" w:cs="Times New Roman"/>
                <w:color w:val="auto"/>
                <w:sz w:val="24"/>
              </w:rPr>
            </w:pPr>
            <w:r>
              <w:rPr>
                <w:rFonts w:hint="eastAsia" w:ascii="Times New Roman" w:hAnsi="Times New Roman" w:cs="Times New Roman"/>
                <w:color w:val="auto"/>
                <w:sz w:val="24"/>
                <w:lang w:eastAsia="zh-CN"/>
              </w:rPr>
              <w:t>东经：</w:t>
            </w:r>
            <w:r>
              <w:rPr>
                <w:rFonts w:hint="default" w:ascii="Times New Roman" w:hAnsi="Times New Roman" w:cs="Times New Roman"/>
                <w:color w:val="auto"/>
                <w:sz w:val="24"/>
              </w:rPr>
              <w:t>110°31′54.526″，</w:t>
            </w:r>
            <w:r>
              <w:rPr>
                <w:rFonts w:hint="eastAsia" w:ascii="Times New Roman" w:hAnsi="Times New Roman" w:cs="Times New Roman"/>
                <w:color w:val="auto"/>
                <w:sz w:val="24"/>
                <w:lang w:eastAsia="zh-CN"/>
              </w:rPr>
              <w:t>北纬</w:t>
            </w:r>
            <w:r>
              <w:rPr>
                <w:rFonts w:hint="default" w:ascii="Times New Roman" w:hAnsi="Times New Roman" w:cs="Times New Roman"/>
                <w:color w:val="auto"/>
                <w:sz w:val="24"/>
              </w:rPr>
              <w:t>27°24′46.147″</w:t>
            </w:r>
          </w:p>
        </w:tc>
      </w:tr>
      <w:tr w14:paraId="1E8F7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905" w:type="pct"/>
            <w:tcMar>
              <w:top w:w="16" w:type="dxa"/>
              <w:left w:w="16" w:type="dxa"/>
              <w:right w:w="16" w:type="dxa"/>
            </w:tcMar>
            <w:vAlign w:val="center"/>
          </w:tcPr>
          <w:p w14:paraId="0E0E966D">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国民经济</w:t>
            </w:r>
          </w:p>
          <w:p w14:paraId="611514FF">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行业类别</w:t>
            </w:r>
          </w:p>
        </w:tc>
        <w:tc>
          <w:tcPr>
            <w:tcW w:w="1059" w:type="pct"/>
            <w:vAlign w:val="center"/>
          </w:tcPr>
          <w:p w14:paraId="78F4B903">
            <w:pPr>
              <w:adjustRightInd w:val="0"/>
              <w:snapToGrid w:val="0"/>
              <w:jc w:val="center"/>
              <w:rPr>
                <w:rFonts w:hint="eastAsia" w:ascii="Times New Roman" w:hAnsi="Times New Roman" w:eastAsia="宋体" w:cs="Times New Roman"/>
                <w:color w:val="auto"/>
                <w:sz w:val="24"/>
                <w:lang w:eastAsia="zh-CN"/>
              </w:rPr>
            </w:pPr>
            <w:r>
              <w:rPr>
                <w:rFonts w:hint="eastAsia" w:cs="Times New Roman"/>
                <w:color w:val="auto"/>
                <w:sz w:val="24"/>
                <w:lang w:val="en-US" w:eastAsia="zh-CN"/>
              </w:rPr>
              <w:t>C2730中药饮片加工；</w:t>
            </w:r>
            <w:r>
              <w:rPr>
                <w:rFonts w:hint="eastAsia" w:ascii="Times New Roman" w:hAnsi="Times New Roman" w:cs="Times New Roman"/>
                <w:color w:val="auto"/>
                <w:sz w:val="24"/>
                <w:lang w:val="en-US" w:eastAsia="zh-CN"/>
              </w:rPr>
              <w:t>D4430</w:t>
            </w:r>
            <w:r>
              <w:rPr>
                <w:rFonts w:hint="eastAsia" w:ascii="Times New Roman" w:hAnsi="Times New Roman" w:cs="Times New Roman"/>
                <w:color w:val="auto"/>
                <w:sz w:val="24"/>
                <w:lang w:eastAsia="zh-CN"/>
              </w:rPr>
              <w:t>热力生产和供应</w:t>
            </w:r>
          </w:p>
        </w:tc>
        <w:tc>
          <w:tcPr>
            <w:tcW w:w="1144" w:type="pct"/>
            <w:vAlign w:val="center"/>
          </w:tcPr>
          <w:p w14:paraId="13FF01EF">
            <w:pPr>
              <w:adjustRightInd w:val="0"/>
              <w:snapToGrid w:val="0"/>
              <w:jc w:val="center"/>
              <w:rPr>
                <w:rFonts w:hint="default" w:ascii="Times New Roman" w:hAnsi="Times New Roman" w:cs="Times New Roman"/>
                <w:color w:val="auto"/>
                <w:sz w:val="24"/>
                <w:u w:val="none"/>
              </w:rPr>
            </w:pPr>
            <w:bookmarkStart w:id="3" w:name="_Hlk49843745"/>
            <w:r>
              <w:rPr>
                <w:rFonts w:hint="default" w:ascii="Times New Roman" w:hAnsi="Times New Roman" w:cs="Times New Roman"/>
                <w:color w:val="auto"/>
                <w:sz w:val="24"/>
                <w:u w:val="none"/>
              </w:rPr>
              <w:t>建设项目行业类别</w:t>
            </w:r>
            <w:bookmarkEnd w:id="3"/>
          </w:p>
        </w:tc>
        <w:tc>
          <w:tcPr>
            <w:tcW w:w="1891" w:type="pct"/>
            <w:vAlign w:val="center"/>
          </w:tcPr>
          <w:p w14:paraId="3109E3BE">
            <w:pPr>
              <w:adjustRightInd w:val="0"/>
              <w:snapToGrid w:val="0"/>
              <w:jc w:val="center"/>
              <w:rPr>
                <w:rFonts w:hint="default" w:ascii="Times New Roman" w:hAnsi="Times New Roman" w:eastAsia="宋体" w:cs="Times New Roman"/>
                <w:color w:val="auto"/>
                <w:sz w:val="24"/>
                <w:u w:val="none"/>
                <w:lang w:val="en-US" w:eastAsia="zh-CN"/>
              </w:rPr>
            </w:pPr>
            <w:r>
              <w:rPr>
                <w:rFonts w:hint="eastAsia" w:cs="Times New Roman"/>
                <w:color w:val="auto"/>
                <w:sz w:val="24"/>
                <w:u w:val="none"/>
                <w:lang w:val="en-US" w:eastAsia="zh-CN"/>
              </w:rPr>
              <w:t>二十四、医药制造业27“其他（单纯切片、制干、打包的除外）”</w:t>
            </w:r>
          </w:p>
          <w:p w14:paraId="544A20B4">
            <w:pPr>
              <w:adjustRightInd w:val="0"/>
              <w:snapToGrid w:val="0"/>
              <w:jc w:val="center"/>
              <w:rPr>
                <w:rFonts w:hint="default" w:ascii="Times New Roman" w:hAnsi="Times New Roman" w:cs="Times New Roman"/>
                <w:color w:val="auto"/>
                <w:sz w:val="24"/>
                <w:u w:val="none"/>
              </w:rPr>
            </w:pPr>
            <w:r>
              <w:rPr>
                <w:rFonts w:hint="default" w:ascii="Times New Roman" w:hAnsi="Times New Roman" w:cs="Times New Roman"/>
                <w:color w:val="auto"/>
                <w:sz w:val="24"/>
                <w:u w:val="none"/>
              </w:rPr>
              <w:t>四十一、电力、热力生产和供应业</w:t>
            </w:r>
            <w:r>
              <w:rPr>
                <w:rFonts w:hint="eastAsia" w:cs="Times New Roman"/>
                <w:color w:val="auto"/>
                <w:sz w:val="24"/>
                <w:u w:val="none"/>
                <w:lang w:eastAsia="zh-CN"/>
              </w:rPr>
              <w:t>“</w:t>
            </w:r>
            <w:r>
              <w:rPr>
                <w:rFonts w:hint="default" w:ascii="Times New Roman" w:hAnsi="Times New Roman" w:cs="Times New Roman"/>
                <w:color w:val="auto"/>
                <w:sz w:val="24"/>
                <w:u w:val="none"/>
                <w:lang w:eastAsia="zh-CN"/>
              </w:rPr>
              <w:t>使用其他高污染燃料的</w:t>
            </w:r>
            <w:r>
              <w:rPr>
                <w:rFonts w:hint="eastAsia" w:cs="Times New Roman"/>
                <w:color w:val="auto"/>
                <w:sz w:val="24"/>
                <w:u w:val="none"/>
                <w:lang w:eastAsia="zh-CN"/>
              </w:rPr>
              <w:t>”</w:t>
            </w:r>
          </w:p>
        </w:tc>
      </w:tr>
      <w:tr w14:paraId="4A619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905" w:type="pct"/>
            <w:tcMar>
              <w:top w:w="16" w:type="dxa"/>
              <w:left w:w="16" w:type="dxa"/>
              <w:right w:w="16" w:type="dxa"/>
            </w:tcMar>
            <w:vAlign w:val="center"/>
          </w:tcPr>
          <w:p w14:paraId="4D43084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建设性质</w:t>
            </w:r>
          </w:p>
        </w:tc>
        <w:tc>
          <w:tcPr>
            <w:tcW w:w="1059" w:type="pct"/>
            <w:vAlign w:val="center"/>
          </w:tcPr>
          <w:p w14:paraId="37887849">
            <w:pPr>
              <w:jc w:val="left"/>
              <w:rPr>
                <w:rFonts w:hint="default" w:ascii="Times New Roman" w:hAnsi="Times New Roman" w:cs="Times New Roman"/>
                <w:color w:val="auto"/>
                <w:sz w:val="24"/>
              </w:rPr>
            </w:pPr>
            <w:r>
              <w:rPr>
                <w:rFonts w:hint="eastAsia"/>
                <w:color w:val="auto"/>
                <w:sz w:val="24"/>
                <w:lang w:eastAsia="zh-CN"/>
              </w:rPr>
              <w:t>☑</w:t>
            </w:r>
            <w:r>
              <w:rPr>
                <w:rFonts w:hint="default" w:ascii="Times New Roman" w:hAnsi="Times New Roman" w:cs="Times New Roman"/>
                <w:color w:val="auto"/>
                <w:sz w:val="24"/>
              </w:rPr>
              <w:t>新建</w:t>
            </w:r>
          </w:p>
          <w:p w14:paraId="391F3307">
            <w:pPr>
              <w:jc w:val="left"/>
              <w:rPr>
                <w:rFonts w:hint="default" w:ascii="Times New Roman" w:hAnsi="Times New Roman" w:cs="Times New Roman"/>
                <w:color w:val="auto"/>
                <w:sz w:val="24"/>
              </w:rPr>
            </w:pPr>
            <w:r>
              <w:rPr>
                <w:color w:val="auto"/>
                <w:sz w:val="24"/>
              </w:rPr>
              <w:t>□</w:t>
            </w:r>
            <w:r>
              <w:rPr>
                <w:rFonts w:hint="default" w:ascii="Times New Roman" w:hAnsi="Times New Roman" w:cs="Times New Roman"/>
                <w:color w:val="auto"/>
                <w:sz w:val="24"/>
              </w:rPr>
              <w:t>改建</w:t>
            </w:r>
          </w:p>
          <w:p w14:paraId="44D818FE">
            <w:pPr>
              <w:jc w:val="left"/>
              <w:rPr>
                <w:rFonts w:hint="default" w:ascii="Times New Roman" w:hAnsi="Times New Roman" w:cs="Times New Roman"/>
                <w:color w:val="auto"/>
                <w:sz w:val="24"/>
              </w:rPr>
            </w:pPr>
            <w:r>
              <w:rPr>
                <w:color w:val="auto"/>
                <w:sz w:val="24"/>
              </w:rPr>
              <w:t>□</w:t>
            </w:r>
            <w:r>
              <w:rPr>
                <w:rFonts w:hint="default" w:ascii="Times New Roman" w:hAnsi="Times New Roman" w:cs="Times New Roman"/>
                <w:color w:val="auto"/>
                <w:sz w:val="24"/>
              </w:rPr>
              <w:t>扩建</w:t>
            </w:r>
          </w:p>
          <w:p w14:paraId="54571051">
            <w:pPr>
              <w:jc w:val="left"/>
              <w:rPr>
                <w:rFonts w:hint="default" w:ascii="Times New Roman" w:hAnsi="Times New Roman" w:cs="Times New Roman"/>
                <w:color w:val="auto"/>
                <w:sz w:val="24"/>
              </w:rPr>
            </w:pPr>
            <w:r>
              <w:rPr>
                <w:color w:val="auto"/>
                <w:sz w:val="24"/>
              </w:rPr>
              <w:t>□</w:t>
            </w:r>
            <w:r>
              <w:rPr>
                <w:rFonts w:hint="default" w:ascii="Times New Roman" w:hAnsi="Times New Roman" w:cs="Times New Roman"/>
                <w:color w:val="auto"/>
                <w:sz w:val="24"/>
              </w:rPr>
              <w:t>技术改造</w:t>
            </w:r>
          </w:p>
        </w:tc>
        <w:tc>
          <w:tcPr>
            <w:tcW w:w="1144" w:type="pct"/>
            <w:vAlign w:val="center"/>
          </w:tcPr>
          <w:p w14:paraId="54EA094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建设项目申报情形</w:t>
            </w:r>
          </w:p>
        </w:tc>
        <w:tc>
          <w:tcPr>
            <w:tcW w:w="1891" w:type="pct"/>
            <w:vAlign w:val="center"/>
          </w:tcPr>
          <w:p w14:paraId="5E8E1B21">
            <w:pPr>
              <w:jc w:val="left"/>
              <w:rPr>
                <w:rFonts w:hint="default" w:ascii="Times New Roman" w:hAnsi="Times New Roman" w:cs="Times New Roman"/>
                <w:color w:val="auto"/>
                <w:sz w:val="24"/>
              </w:rPr>
            </w:pPr>
            <w:r>
              <w:rPr>
                <w:rFonts w:hint="eastAsia"/>
                <w:color w:val="auto"/>
                <w:sz w:val="24"/>
                <w:lang w:eastAsia="zh-CN"/>
              </w:rPr>
              <w:t>☑</w:t>
            </w:r>
            <w:r>
              <w:rPr>
                <w:rFonts w:hint="default" w:ascii="Times New Roman" w:hAnsi="Times New Roman" w:cs="Times New Roman"/>
                <w:color w:val="auto"/>
                <w:sz w:val="24"/>
              </w:rPr>
              <w:t>首次申报项目</w:t>
            </w:r>
          </w:p>
          <w:p w14:paraId="6792C17C">
            <w:pPr>
              <w:jc w:val="left"/>
              <w:rPr>
                <w:rFonts w:hint="default" w:ascii="Times New Roman" w:hAnsi="Times New Roman" w:cs="Times New Roman"/>
                <w:color w:val="auto"/>
                <w:sz w:val="24"/>
              </w:rPr>
            </w:pPr>
            <w:r>
              <w:rPr>
                <w:color w:val="auto"/>
                <w:sz w:val="24"/>
              </w:rPr>
              <w:t>□</w:t>
            </w:r>
            <w:r>
              <w:rPr>
                <w:rFonts w:hint="default" w:ascii="Times New Roman" w:hAnsi="Times New Roman" w:cs="Times New Roman"/>
                <w:color w:val="auto"/>
                <w:sz w:val="24"/>
              </w:rPr>
              <w:t>不予批准后再次申报项目</w:t>
            </w:r>
          </w:p>
          <w:p w14:paraId="487FA296">
            <w:pPr>
              <w:jc w:val="left"/>
              <w:rPr>
                <w:rFonts w:hint="default" w:ascii="Times New Roman" w:hAnsi="Times New Roman" w:cs="Times New Roman"/>
                <w:color w:val="auto"/>
                <w:sz w:val="24"/>
              </w:rPr>
            </w:pPr>
            <w:r>
              <w:rPr>
                <w:color w:val="auto"/>
                <w:sz w:val="24"/>
              </w:rPr>
              <w:t>□</w:t>
            </w:r>
            <w:r>
              <w:rPr>
                <w:rFonts w:hint="default" w:ascii="Times New Roman" w:hAnsi="Times New Roman" w:cs="Times New Roman"/>
                <w:color w:val="auto"/>
                <w:sz w:val="24"/>
              </w:rPr>
              <w:t>超五年重新审核项目</w:t>
            </w:r>
          </w:p>
          <w:p w14:paraId="342B5161">
            <w:pPr>
              <w:jc w:val="left"/>
              <w:rPr>
                <w:rFonts w:hint="default" w:ascii="Times New Roman" w:hAnsi="Times New Roman" w:cs="Times New Roman"/>
                <w:color w:val="auto"/>
                <w:sz w:val="24"/>
              </w:rPr>
            </w:pPr>
            <w:r>
              <w:rPr>
                <w:color w:val="auto"/>
                <w:sz w:val="24"/>
              </w:rPr>
              <w:t>□</w:t>
            </w:r>
            <w:r>
              <w:rPr>
                <w:rFonts w:hint="default" w:ascii="Times New Roman" w:hAnsi="Times New Roman" w:cs="Times New Roman"/>
                <w:color w:val="auto"/>
                <w:sz w:val="24"/>
              </w:rPr>
              <w:t>重大变动重新报批项目</w:t>
            </w:r>
          </w:p>
        </w:tc>
      </w:tr>
      <w:tr w14:paraId="47EE45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905" w:type="pct"/>
            <w:tcMar>
              <w:top w:w="16" w:type="dxa"/>
              <w:left w:w="16" w:type="dxa"/>
              <w:right w:w="16" w:type="dxa"/>
            </w:tcMar>
            <w:vAlign w:val="center"/>
          </w:tcPr>
          <w:p w14:paraId="2B46D063">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项目审批（核准/备案）部门（选填）</w:t>
            </w:r>
          </w:p>
        </w:tc>
        <w:tc>
          <w:tcPr>
            <w:tcW w:w="1059" w:type="pct"/>
            <w:vAlign w:val="center"/>
          </w:tcPr>
          <w:p w14:paraId="056CA52D">
            <w:pPr>
              <w:adjustRightInd w:val="0"/>
              <w:snapToGrid w:val="0"/>
              <w:jc w:val="center"/>
              <w:rPr>
                <w:rFonts w:hint="eastAsia" w:ascii="Times New Roman" w:hAnsi="Times New Roman" w:eastAsia="宋体" w:cs="Times New Roman"/>
                <w:color w:val="auto"/>
                <w:sz w:val="24"/>
                <w:lang w:eastAsia="zh-CN"/>
              </w:rPr>
            </w:pPr>
            <w:r>
              <w:rPr>
                <w:rFonts w:hint="eastAsia" w:cs="Times New Roman"/>
                <w:color w:val="auto"/>
                <w:sz w:val="24"/>
                <w:lang w:eastAsia="zh-CN"/>
              </w:rPr>
              <w:t>溆浦县发展和改革局</w:t>
            </w:r>
          </w:p>
        </w:tc>
        <w:tc>
          <w:tcPr>
            <w:tcW w:w="1144" w:type="pct"/>
            <w:vAlign w:val="center"/>
          </w:tcPr>
          <w:p w14:paraId="2258D713">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项目审批（核准/备案）文号（选填）</w:t>
            </w:r>
          </w:p>
        </w:tc>
        <w:tc>
          <w:tcPr>
            <w:tcW w:w="1891" w:type="pct"/>
            <w:vAlign w:val="center"/>
          </w:tcPr>
          <w:p w14:paraId="64833A5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溆发改备案﹝202</w:t>
            </w:r>
            <w:r>
              <w:rPr>
                <w:rFonts w:hint="eastAsia" w:cs="Times New Roman"/>
                <w:color w:val="auto"/>
                <w:sz w:val="24"/>
                <w:lang w:val="en-US" w:eastAsia="zh-CN"/>
              </w:rPr>
              <w:t>6</w:t>
            </w:r>
            <w:r>
              <w:rPr>
                <w:rFonts w:hint="default" w:ascii="Times New Roman" w:hAnsi="Times New Roman" w:cs="Times New Roman"/>
                <w:color w:val="auto"/>
                <w:sz w:val="24"/>
              </w:rPr>
              <w:t>﹞0</w:t>
            </w:r>
            <w:r>
              <w:rPr>
                <w:rFonts w:hint="eastAsia" w:cs="Times New Roman"/>
                <w:color w:val="auto"/>
                <w:sz w:val="24"/>
                <w:lang w:val="en-US" w:eastAsia="zh-CN"/>
              </w:rPr>
              <w:t>5</w:t>
            </w:r>
            <w:r>
              <w:rPr>
                <w:rFonts w:hint="default" w:ascii="Times New Roman" w:hAnsi="Times New Roman" w:cs="Times New Roman"/>
                <w:color w:val="auto"/>
                <w:sz w:val="24"/>
              </w:rPr>
              <w:t>号</w:t>
            </w:r>
          </w:p>
        </w:tc>
      </w:tr>
      <w:tr w14:paraId="0D8FA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5" w:type="pct"/>
            <w:tcMar>
              <w:top w:w="16" w:type="dxa"/>
              <w:left w:w="16" w:type="dxa"/>
              <w:right w:w="16" w:type="dxa"/>
            </w:tcMar>
            <w:vAlign w:val="center"/>
          </w:tcPr>
          <w:p w14:paraId="0ACDAA34">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总投资（万元）</w:t>
            </w:r>
          </w:p>
        </w:tc>
        <w:tc>
          <w:tcPr>
            <w:tcW w:w="1059" w:type="pct"/>
            <w:vAlign w:val="center"/>
          </w:tcPr>
          <w:p w14:paraId="1DE81768">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kern w:val="44"/>
                <w:sz w:val="24"/>
                <w:lang w:val="en-US" w:eastAsia="zh-CN"/>
              </w:rPr>
              <w:t>2000</w:t>
            </w:r>
          </w:p>
        </w:tc>
        <w:tc>
          <w:tcPr>
            <w:tcW w:w="1144" w:type="pct"/>
            <w:tcMar>
              <w:top w:w="16" w:type="dxa"/>
              <w:left w:w="16" w:type="dxa"/>
              <w:right w:w="16" w:type="dxa"/>
            </w:tcMar>
            <w:vAlign w:val="center"/>
          </w:tcPr>
          <w:p w14:paraId="7B9D225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1891" w:type="pct"/>
            <w:vAlign w:val="center"/>
          </w:tcPr>
          <w:p w14:paraId="6D5DA851">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kern w:val="44"/>
                <w:sz w:val="24"/>
                <w:highlight w:val="none"/>
                <w:lang w:val="en-US" w:eastAsia="zh-CN"/>
              </w:rPr>
              <w:t>20</w:t>
            </w:r>
          </w:p>
        </w:tc>
      </w:tr>
      <w:tr w14:paraId="1F4EC3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5" w:type="pct"/>
            <w:tcMar>
              <w:top w:w="16" w:type="dxa"/>
              <w:left w:w="16" w:type="dxa"/>
              <w:right w:w="16" w:type="dxa"/>
            </w:tcMar>
            <w:vAlign w:val="center"/>
          </w:tcPr>
          <w:p w14:paraId="3F7DF050">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环保投资占比（%）</w:t>
            </w:r>
          </w:p>
        </w:tc>
        <w:tc>
          <w:tcPr>
            <w:tcW w:w="1059" w:type="pct"/>
            <w:vAlign w:val="center"/>
          </w:tcPr>
          <w:p w14:paraId="18A8C007">
            <w:pPr>
              <w:adjustRightInd w:val="0"/>
              <w:snapToGrid w:val="0"/>
              <w:jc w:val="center"/>
              <w:rPr>
                <w:rFonts w:hint="default" w:ascii="Times New Roman" w:hAnsi="Times New Roman" w:cs="Times New Roman"/>
                <w:color w:val="auto"/>
                <w:sz w:val="24"/>
              </w:rPr>
            </w:pPr>
            <w:r>
              <w:rPr>
                <w:rFonts w:hint="eastAsia" w:cs="Times New Roman"/>
                <w:color w:val="auto"/>
                <w:sz w:val="24"/>
                <w:highlight w:val="none"/>
                <w:lang w:val="en-US" w:eastAsia="zh-CN"/>
              </w:rPr>
              <w:t>1</w:t>
            </w:r>
          </w:p>
        </w:tc>
        <w:tc>
          <w:tcPr>
            <w:tcW w:w="1144" w:type="pct"/>
            <w:tcMar>
              <w:top w:w="16" w:type="dxa"/>
              <w:left w:w="16" w:type="dxa"/>
              <w:right w:w="16" w:type="dxa"/>
            </w:tcMar>
            <w:vAlign w:val="center"/>
          </w:tcPr>
          <w:p w14:paraId="06EF5DC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1891" w:type="pct"/>
            <w:vAlign w:val="center"/>
          </w:tcPr>
          <w:p w14:paraId="0EA6AE02">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2个月</w:t>
            </w:r>
          </w:p>
        </w:tc>
      </w:tr>
      <w:tr w14:paraId="1B503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905" w:type="pct"/>
            <w:tcMar>
              <w:top w:w="16" w:type="dxa"/>
              <w:left w:w="16" w:type="dxa"/>
              <w:right w:w="16" w:type="dxa"/>
            </w:tcMar>
            <w:vAlign w:val="center"/>
          </w:tcPr>
          <w:p w14:paraId="5E1DFCBA">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是否开工建设</w:t>
            </w:r>
          </w:p>
        </w:tc>
        <w:tc>
          <w:tcPr>
            <w:tcW w:w="1059" w:type="pct"/>
            <w:vAlign w:val="center"/>
          </w:tcPr>
          <w:p w14:paraId="2D7FF00C">
            <w:pPr>
              <w:adjustRightInd w:val="0"/>
              <w:snapToGrid w:val="0"/>
              <w:rPr>
                <w:rFonts w:hint="default" w:ascii="Times New Roman" w:hAnsi="Times New Roman" w:cs="Times New Roman"/>
                <w:color w:val="auto"/>
                <w:sz w:val="24"/>
              </w:rPr>
            </w:pPr>
            <w:r>
              <w:rPr>
                <w:rFonts w:hint="eastAsia"/>
                <w:color w:val="auto"/>
                <w:sz w:val="24"/>
                <w:lang w:eastAsia="zh-CN"/>
              </w:rPr>
              <w:t>☑</w:t>
            </w:r>
            <w:r>
              <w:rPr>
                <w:rFonts w:hint="default" w:ascii="Times New Roman" w:hAnsi="Times New Roman" w:cs="Times New Roman"/>
                <w:color w:val="auto"/>
                <w:sz w:val="24"/>
              </w:rPr>
              <w:t>否</w:t>
            </w:r>
          </w:p>
          <w:p w14:paraId="67EDAE42">
            <w:pPr>
              <w:adjustRightInd w:val="0"/>
              <w:snapToGrid w:val="0"/>
              <w:rPr>
                <w:rFonts w:hint="default" w:ascii="Times New Roman" w:hAnsi="Times New Roman" w:cs="Times New Roman"/>
                <w:color w:val="auto"/>
                <w:sz w:val="24"/>
              </w:rPr>
            </w:pPr>
            <w:r>
              <w:rPr>
                <w:color w:val="auto"/>
                <w:sz w:val="24"/>
              </w:rPr>
              <w:t>□</w:t>
            </w:r>
            <w:r>
              <w:rPr>
                <w:rFonts w:hint="default" w:ascii="Times New Roman" w:hAnsi="Times New Roman" w:cs="Times New Roman"/>
                <w:color w:val="auto"/>
                <w:sz w:val="24"/>
              </w:rPr>
              <w:t>是：</w:t>
            </w:r>
            <w:r>
              <w:rPr>
                <w:rFonts w:hint="default" w:ascii="Times New Roman" w:hAnsi="Times New Roman" w:cs="Times New Roman"/>
                <w:color w:val="auto"/>
                <w:sz w:val="24"/>
                <w:u w:val="single"/>
              </w:rPr>
              <w:t xml:space="preserve">       </w:t>
            </w:r>
          </w:p>
        </w:tc>
        <w:tc>
          <w:tcPr>
            <w:tcW w:w="1144" w:type="pct"/>
            <w:tcMar>
              <w:top w:w="16" w:type="dxa"/>
              <w:left w:w="16" w:type="dxa"/>
              <w:right w:w="16" w:type="dxa"/>
            </w:tcMar>
            <w:vAlign w:val="center"/>
          </w:tcPr>
          <w:p w14:paraId="7C620A95">
            <w:pPr>
              <w:adjustRightInd w:val="0"/>
              <w:snapToGrid w:val="0"/>
              <w:jc w:val="center"/>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用地（用海）</w:t>
            </w:r>
          </w:p>
          <w:p w14:paraId="27D232B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pacing w:val="-6"/>
                <w:sz w:val="24"/>
              </w:rPr>
              <w:t>面积（m</w:t>
            </w:r>
            <w:r>
              <w:rPr>
                <w:rFonts w:hint="default" w:ascii="Times New Roman" w:hAnsi="Times New Roman" w:cs="Times New Roman"/>
                <w:color w:val="auto"/>
                <w:spacing w:val="-6"/>
                <w:sz w:val="24"/>
                <w:vertAlign w:val="superscript"/>
              </w:rPr>
              <w:t>2</w:t>
            </w:r>
            <w:r>
              <w:rPr>
                <w:rFonts w:hint="default" w:ascii="Times New Roman" w:hAnsi="Times New Roman" w:cs="Times New Roman"/>
                <w:color w:val="auto"/>
                <w:spacing w:val="-6"/>
                <w:sz w:val="24"/>
              </w:rPr>
              <w:t>）</w:t>
            </w:r>
          </w:p>
        </w:tc>
        <w:tc>
          <w:tcPr>
            <w:tcW w:w="1891" w:type="pct"/>
            <w:vAlign w:val="center"/>
          </w:tcPr>
          <w:p w14:paraId="4C956304">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6667</w:t>
            </w:r>
          </w:p>
        </w:tc>
      </w:tr>
      <w:tr w14:paraId="5BADA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pct"/>
            <w:vAlign w:val="center"/>
          </w:tcPr>
          <w:p w14:paraId="1CB6B9F4">
            <w:pPr>
              <w:autoSpaceDE w:val="0"/>
              <w:autoSpaceDN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专项评价设置情况</w:t>
            </w:r>
          </w:p>
        </w:tc>
        <w:tc>
          <w:tcPr>
            <w:tcW w:w="4094" w:type="pct"/>
            <w:gridSpan w:val="3"/>
            <w:vAlign w:val="center"/>
          </w:tcPr>
          <w:p w14:paraId="69A889BF">
            <w:pPr>
              <w:autoSpaceDE w:val="0"/>
              <w:autoSpaceDN w:val="0"/>
              <w:adjustRightInd w:val="0"/>
              <w:snapToGrid w:val="0"/>
              <w:spacing w:before="120" w:beforeLines="50"/>
              <w:jc w:val="center"/>
              <w:rPr>
                <w:b/>
                <w:bCs/>
                <w:color w:val="auto"/>
                <w:kern w:val="0"/>
                <w:sz w:val="24"/>
              </w:rPr>
            </w:pPr>
            <w:r>
              <w:rPr>
                <w:b/>
                <w:bCs/>
                <w:color w:val="auto"/>
                <w:kern w:val="0"/>
                <w:sz w:val="24"/>
              </w:rPr>
              <w:t xml:space="preserve">表1-1 </w:t>
            </w:r>
            <w:r>
              <w:rPr>
                <w:rFonts w:hint="eastAsia"/>
                <w:b/>
                <w:bCs/>
                <w:color w:val="auto"/>
                <w:kern w:val="0"/>
                <w:sz w:val="24"/>
              </w:rPr>
              <w:t xml:space="preserve"> </w:t>
            </w:r>
            <w:r>
              <w:rPr>
                <w:b/>
                <w:bCs/>
                <w:color w:val="auto"/>
                <w:kern w:val="0"/>
                <w:sz w:val="24"/>
              </w:rPr>
              <w:t xml:space="preserve"> 专项评价设置原则表</w:t>
            </w:r>
          </w:p>
          <w:tbl>
            <w:tblPr>
              <w:tblStyle w:val="32"/>
              <w:tblW w:w="6739" w:type="dxa"/>
              <w:tblInd w:w="-8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3004"/>
              <w:gridCol w:w="2178"/>
              <w:gridCol w:w="641"/>
            </w:tblGrid>
            <w:tr w14:paraId="388EF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16" w:type="dxa"/>
                  <w:noWrap w:val="0"/>
                  <w:vAlign w:val="center"/>
                </w:tcPr>
                <w:p w14:paraId="15E55099">
                  <w:pPr>
                    <w:autoSpaceDE w:val="0"/>
                    <w:autoSpaceDN w:val="0"/>
                    <w:adjustRightInd w:val="0"/>
                    <w:snapToGrid w:val="0"/>
                    <w:jc w:val="center"/>
                    <w:rPr>
                      <w:b/>
                      <w:bCs/>
                      <w:color w:val="auto"/>
                      <w:kern w:val="0"/>
                      <w:szCs w:val="21"/>
                    </w:rPr>
                  </w:pPr>
                  <w:r>
                    <w:rPr>
                      <w:b/>
                      <w:bCs/>
                      <w:color w:val="auto"/>
                      <w:kern w:val="0"/>
                      <w:szCs w:val="21"/>
                    </w:rPr>
                    <w:t>专项评价类别</w:t>
                  </w:r>
                </w:p>
              </w:tc>
              <w:tc>
                <w:tcPr>
                  <w:tcW w:w="3004" w:type="dxa"/>
                  <w:noWrap w:val="0"/>
                  <w:vAlign w:val="center"/>
                </w:tcPr>
                <w:p w14:paraId="56B3A344">
                  <w:pPr>
                    <w:autoSpaceDE w:val="0"/>
                    <w:autoSpaceDN w:val="0"/>
                    <w:adjustRightInd w:val="0"/>
                    <w:snapToGrid w:val="0"/>
                    <w:jc w:val="center"/>
                    <w:rPr>
                      <w:b/>
                      <w:bCs/>
                      <w:color w:val="auto"/>
                      <w:kern w:val="0"/>
                      <w:szCs w:val="21"/>
                    </w:rPr>
                  </w:pPr>
                  <w:r>
                    <w:rPr>
                      <w:b/>
                      <w:bCs/>
                      <w:color w:val="auto"/>
                      <w:kern w:val="0"/>
                      <w:szCs w:val="21"/>
                    </w:rPr>
                    <w:t>设置原则</w:t>
                  </w:r>
                </w:p>
              </w:tc>
              <w:tc>
                <w:tcPr>
                  <w:tcW w:w="2178" w:type="dxa"/>
                  <w:noWrap w:val="0"/>
                  <w:vAlign w:val="center"/>
                </w:tcPr>
                <w:p w14:paraId="3313FB70">
                  <w:pPr>
                    <w:autoSpaceDE w:val="0"/>
                    <w:autoSpaceDN w:val="0"/>
                    <w:adjustRightInd w:val="0"/>
                    <w:snapToGrid w:val="0"/>
                    <w:jc w:val="center"/>
                    <w:rPr>
                      <w:b/>
                      <w:bCs/>
                      <w:color w:val="auto"/>
                      <w:kern w:val="0"/>
                      <w:szCs w:val="21"/>
                    </w:rPr>
                  </w:pPr>
                  <w:r>
                    <w:rPr>
                      <w:b/>
                      <w:bCs/>
                      <w:color w:val="auto"/>
                      <w:kern w:val="0"/>
                      <w:szCs w:val="21"/>
                    </w:rPr>
                    <w:t>本项目情况</w:t>
                  </w:r>
                </w:p>
              </w:tc>
              <w:tc>
                <w:tcPr>
                  <w:tcW w:w="641" w:type="dxa"/>
                  <w:noWrap w:val="0"/>
                  <w:vAlign w:val="center"/>
                </w:tcPr>
                <w:p w14:paraId="0CAFBF01">
                  <w:pPr>
                    <w:autoSpaceDE w:val="0"/>
                    <w:autoSpaceDN w:val="0"/>
                    <w:adjustRightInd w:val="0"/>
                    <w:snapToGrid w:val="0"/>
                    <w:jc w:val="center"/>
                    <w:rPr>
                      <w:b/>
                      <w:bCs/>
                      <w:color w:val="auto"/>
                      <w:kern w:val="0"/>
                      <w:szCs w:val="21"/>
                    </w:rPr>
                  </w:pPr>
                  <w:r>
                    <w:rPr>
                      <w:b/>
                      <w:bCs/>
                      <w:color w:val="auto"/>
                      <w:kern w:val="0"/>
                      <w:szCs w:val="21"/>
                    </w:rPr>
                    <w:t>判定结果</w:t>
                  </w:r>
                </w:p>
              </w:tc>
            </w:tr>
            <w:tr w14:paraId="2FF66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916" w:type="dxa"/>
                  <w:noWrap w:val="0"/>
                  <w:vAlign w:val="center"/>
                </w:tcPr>
                <w:p w14:paraId="6EB47E5B">
                  <w:pPr>
                    <w:autoSpaceDE w:val="0"/>
                    <w:autoSpaceDN w:val="0"/>
                    <w:adjustRightInd w:val="0"/>
                    <w:snapToGrid w:val="0"/>
                    <w:jc w:val="center"/>
                    <w:rPr>
                      <w:color w:val="auto"/>
                      <w:kern w:val="0"/>
                      <w:szCs w:val="21"/>
                    </w:rPr>
                  </w:pPr>
                  <w:r>
                    <w:rPr>
                      <w:color w:val="auto"/>
                      <w:kern w:val="0"/>
                      <w:szCs w:val="21"/>
                    </w:rPr>
                    <w:t>大气</w:t>
                  </w:r>
                </w:p>
              </w:tc>
              <w:tc>
                <w:tcPr>
                  <w:tcW w:w="3004" w:type="dxa"/>
                  <w:noWrap w:val="0"/>
                  <w:vAlign w:val="center"/>
                </w:tcPr>
                <w:p w14:paraId="7AA13E23">
                  <w:pPr>
                    <w:autoSpaceDE w:val="0"/>
                    <w:autoSpaceDN w:val="0"/>
                    <w:adjustRightInd w:val="0"/>
                    <w:snapToGrid w:val="0"/>
                    <w:rPr>
                      <w:color w:val="auto"/>
                      <w:kern w:val="0"/>
                      <w:szCs w:val="21"/>
                    </w:rPr>
                  </w:pPr>
                  <w:r>
                    <w:rPr>
                      <w:color w:val="auto"/>
                      <w:kern w:val="0"/>
                      <w:szCs w:val="21"/>
                    </w:rPr>
                    <w:t>排放废气含有毒有害污染物、二噁英、苯并</w:t>
                  </w:r>
                  <w:r>
                    <w:rPr>
                      <w:rFonts w:hint="eastAsia"/>
                      <w:color w:val="auto"/>
                      <w:kern w:val="0"/>
                      <w:szCs w:val="21"/>
                    </w:rPr>
                    <w:t>〔</w:t>
                  </w:r>
                  <w:r>
                    <w:rPr>
                      <w:color w:val="auto"/>
                      <w:kern w:val="0"/>
                      <w:szCs w:val="21"/>
                    </w:rPr>
                    <w:t>a</w:t>
                  </w:r>
                  <w:r>
                    <w:rPr>
                      <w:rFonts w:hint="eastAsia"/>
                      <w:color w:val="auto"/>
                      <w:kern w:val="0"/>
                      <w:szCs w:val="21"/>
                    </w:rPr>
                    <w:t>〕</w:t>
                  </w:r>
                  <w:r>
                    <w:rPr>
                      <w:color w:val="auto"/>
                      <w:kern w:val="0"/>
                      <w:szCs w:val="21"/>
                    </w:rPr>
                    <w:t>芘、氰化物、氯气且厂界外500米范围内有环境空气保护目标的建设项目</w:t>
                  </w:r>
                </w:p>
              </w:tc>
              <w:tc>
                <w:tcPr>
                  <w:tcW w:w="2178" w:type="dxa"/>
                  <w:noWrap w:val="0"/>
                  <w:vAlign w:val="center"/>
                </w:tcPr>
                <w:p w14:paraId="050CAF29">
                  <w:pPr>
                    <w:autoSpaceDE w:val="0"/>
                    <w:autoSpaceDN w:val="0"/>
                    <w:adjustRightInd w:val="0"/>
                    <w:snapToGrid w:val="0"/>
                    <w:rPr>
                      <w:color w:val="auto"/>
                      <w:kern w:val="0"/>
                      <w:szCs w:val="21"/>
                      <w:u w:val="single"/>
                    </w:rPr>
                  </w:pPr>
                  <w:r>
                    <w:rPr>
                      <w:rFonts w:hint="eastAsia"/>
                      <w:color w:val="auto"/>
                      <w:kern w:val="0"/>
                      <w:szCs w:val="21"/>
                      <w:u w:val="none"/>
                      <w:lang w:val="en-US" w:eastAsia="zh-CN"/>
                    </w:rPr>
                    <w:t>本</w:t>
                  </w:r>
                  <w:r>
                    <w:rPr>
                      <w:color w:val="auto"/>
                      <w:kern w:val="0"/>
                      <w:szCs w:val="21"/>
                      <w:u w:val="none"/>
                    </w:rPr>
                    <w:t>项目</w:t>
                  </w:r>
                  <w:r>
                    <w:rPr>
                      <w:rFonts w:hint="eastAsia"/>
                      <w:color w:val="auto"/>
                      <w:kern w:val="0"/>
                      <w:szCs w:val="21"/>
                      <w:u w:val="none"/>
                      <w:lang w:val="en-US" w:eastAsia="zh-CN"/>
                    </w:rPr>
                    <w:t>排放废气主要为</w:t>
                  </w:r>
                  <w:r>
                    <w:rPr>
                      <w:rFonts w:ascii="Times New Roman" w:hAnsi="Times New Roman" w:eastAsia="宋体" w:cs="Times New Roman"/>
                      <w:color w:val="auto"/>
                      <w:kern w:val="0"/>
                      <w:szCs w:val="21"/>
                      <w:u w:val="none"/>
                    </w:rPr>
                    <w:t>颗粒物、二氧化硫、氮氧化物</w:t>
                  </w:r>
                  <w:r>
                    <w:rPr>
                      <w:rFonts w:hint="eastAsia"/>
                      <w:color w:val="auto"/>
                      <w:kern w:val="0"/>
                      <w:szCs w:val="21"/>
                      <w:u w:val="none"/>
                      <w:lang w:val="en-US" w:eastAsia="zh-CN"/>
                    </w:rPr>
                    <w:t>，</w:t>
                  </w:r>
                  <w:r>
                    <w:rPr>
                      <w:color w:val="auto"/>
                      <w:kern w:val="0"/>
                      <w:szCs w:val="21"/>
                      <w:u w:val="none"/>
                    </w:rPr>
                    <w:t>不涉及排放有毒有害污染物、二噁英、苯并</w:t>
                  </w:r>
                  <w:r>
                    <w:rPr>
                      <w:rFonts w:hint="eastAsia"/>
                      <w:color w:val="auto"/>
                      <w:kern w:val="0"/>
                      <w:szCs w:val="21"/>
                      <w:u w:val="none"/>
                    </w:rPr>
                    <w:t>〔</w:t>
                  </w:r>
                  <w:r>
                    <w:rPr>
                      <w:color w:val="auto"/>
                      <w:kern w:val="0"/>
                      <w:szCs w:val="21"/>
                      <w:u w:val="none"/>
                    </w:rPr>
                    <w:t>a</w:t>
                  </w:r>
                  <w:r>
                    <w:rPr>
                      <w:rFonts w:hint="eastAsia"/>
                      <w:color w:val="auto"/>
                      <w:kern w:val="0"/>
                      <w:szCs w:val="21"/>
                      <w:u w:val="none"/>
                    </w:rPr>
                    <w:t>〕</w:t>
                  </w:r>
                  <w:r>
                    <w:rPr>
                      <w:color w:val="auto"/>
                      <w:kern w:val="0"/>
                      <w:szCs w:val="21"/>
                      <w:u w:val="none"/>
                    </w:rPr>
                    <w:t>芘、氰化物、氯气</w:t>
                  </w:r>
                  <w:r>
                    <w:rPr>
                      <w:rFonts w:hint="eastAsia" w:cs="Times New Roman"/>
                      <w:bCs/>
                      <w:color w:val="auto"/>
                      <w:kern w:val="2"/>
                      <w:sz w:val="21"/>
                      <w:szCs w:val="21"/>
                      <w:highlight w:val="none"/>
                      <w:u w:val="none"/>
                      <w:lang w:val="en-US" w:eastAsia="zh-CN" w:bidi="ar-SA"/>
                    </w:rPr>
                    <w:t>等</w:t>
                  </w:r>
                  <w:r>
                    <w:rPr>
                      <w:color w:val="auto"/>
                      <w:kern w:val="0"/>
                      <w:szCs w:val="21"/>
                      <w:u w:val="none"/>
                    </w:rPr>
                    <w:t>。</w:t>
                  </w:r>
                </w:p>
              </w:tc>
              <w:tc>
                <w:tcPr>
                  <w:tcW w:w="641" w:type="dxa"/>
                  <w:noWrap w:val="0"/>
                  <w:vAlign w:val="center"/>
                </w:tcPr>
                <w:p w14:paraId="6E1E111B">
                  <w:pPr>
                    <w:autoSpaceDE w:val="0"/>
                    <w:autoSpaceDN w:val="0"/>
                    <w:adjustRightInd w:val="0"/>
                    <w:snapToGrid w:val="0"/>
                    <w:jc w:val="center"/>
                    <w:rPr>
                      <w:color w:val="auto"/>
                      <w:kern w:val="0"/>
                      <w:szCs w:val="21"/>
                      <w:u w:val="single"/>
                    </w:rPr>
                  </w:pPr>
                  <w:r>
                    <w:rPr>
                      <w:color w:val="auto"/>
                      <w:kern w:val="0"/>
                      <w:szCs w:val="21"/>
                      <w:u w:val="single"/>
                    </w:rPr>
                    <w:t>无须设置</w:t>
                  </w:r>
                </w:p>
              </w:tc>
            </w:tr>
            <w:tr w14:paraId="25413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916" w:type="dxa"/>
                  <w:noWrap w:val="0"/>
                  <w:vAlign w:val="center"/>
                </w:tcPr>
                <w:p w14:paraId="2AD85A5C">
                  <w:pPr>
                    <w:autoSpaceDE w:val="0"/>
                    <w:autoSpaceDN w:val="0"/>
                    <w:adjustRightInd w:val="0"/>
                    <w:snapToGrid w:val="0"/>
                    <w:jc w:val="center"/>
                    <w:rPr>
                      <w:color w:val="auto"/>
                      <w:kern w:val="0"/>
                      <w:szCs w:val="21"/>
                    </w:rPr>
                  </w:pPr>
                  <w:r>
                    <w:rPr>
                      <w:color w:val="auto"/>
                      <w:kern w:val="0"/>
                      <w:szCs w:val="21"/>
                    </w:rPr>
                    <w:t>地表水</w:t>
                  </w:r>
                </w:p>
              </w:tc>
              <w:tc>
                <w:tcPr>
                  <w:tcW w:w="3004" w:type="dxa"/>
                  <w:noWrap w:val="0"/>
                  <w:vAlign w:val="center"/>
                </w:tcPr>
                <w:p w14:paraId="48592490">
                  <w:pPr>
                    <w:autoSpaceDE w:val="0"/>
                    <w:autoSpaceDN w:val="0"/>
                    <w:adjustRightInd w:val="0"/>
                    <w:snapToGrid w:val="0"/>
                    <w:rPr>
                      <w:color w:val="auto"/>
                      <w:kern w:val="0"/>
                      <w:szCs w:val="21"/>
                    </w:rPr>
                  </w:pPr>
                  <w:r>
                    <w:rPr>
                      <w:color w:val="auto"/>
                      <w:kern w:val="0"/>
                      <w:szCs w:val="21"/>
                    </w:rPr>
                    <w:t>新增工业废水直排建设项目（槽罐车外送污水处理厂的除外）；新增废水直排的污水集中处理厂</w:t>
                  </w:r>
                </w:p>
              </w:tc>
              <w:tc>
                <w:tcPr>
                  <w:tcW w:w="2178" w:type="dxa"/>
                  <w:noWrap w:val="0"/>
                  <w:vAlign w:val="center"/>
                </w:tcPr>
                <w:p w14:paraId="643B946A">
                  <w:pPr>
                    <w:autoSpaceDE w:val="0"/>
                    <w:autoSpaceDN w:val="0"/>
                    <w:adjustRightInd w:val="0"/>
                    <w:snapToGrid w:val="0"/>
                    <w:jc w:val="center"/>
                    <w:rPr>
                      <w:color w:val="auto"/>
                      <w:kern w:val="0"/>
                      <w:szCs w:val="21"/>
                    </w:rPr>
                  </w:pPr>
                  <w:r>
                    <w:rPr>
                      <w:color w:val="auto"/>
                      <w:kern w:val="0"/>
                      <w:szCs w:val="21"/>
                    </w:rPr>
                    <w:t>不涉及</w:t>
                  </w:r>
                </w:p>
              </w:tc>
              <w:tc>
                <w:tcPr>
                  <w:tcW w:w="641" w:type="dxa"/>
                  <w:noWrap w:val="0"/>
                  <w:vAlign w:val="center"/>
                </w:tcPr>
                <w:p w14:paraId="03C106E6">
                  <w:pPr>
                    <w:autoSpaceDE w:val="0"/>
                    <w:autoSpaceDN w:val="0"/>
                    <w:adjustRightInd w:val="0"/>
                    <w:snapToGrid w:val="0"/>
                    <w:jc w:val="center"/>
                    <w:rPr>
                      <w:color w:val="auto"/>
                      <w:kern w:val="0"/>
                      <w:szCs w:val="21"/>
                    </w:rPr>
                  </w:pPr>
                  <w:r>
                    <w:rPr>
                      <w:color w:val="auto"/>
                      <w:kern w:val="0"/>
                      <w:szCs w:val="21"/>
                    </w:rPr>
                    <w:t>无须设置</w:t>
                  </w:r>
                </w:p>
              </w:tc>
            </w:tr>
            <w:tr w14:paraId="2ECF0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916" w:type="dxa"/>
                  <w:noWrap w:val="0"/>
                  <w:vAlign w:val="center"/>
                </w:tcPr>
                <w:p w14:paraId="1FF62579">
                  <w:pPr>
                    <w:autoSpaceDE w:val="0"/>
                    <w:autoSpaceDN w:val="0"/>
                    <w:adjustRightInd w:val="0"/>
                    <w:snapToGrid w:val="0"/>
                    <w:jc w:val="center"/>
                    <w:rPr>
                      <w:color w:val="auto"/>
                      <w:kern w:val="0"/>
                      <w:szCs w:val="21"/>
                    </w:rPr>
                  </w:pPr>
                  <w:r>
                    <w:rPr>
                      <w:color w:val="auto"/>
                      <w:kern w:val="0"/>
                      <w:szCs w:val="21"/>
                    </w:rPr>
                    <w:t>环境风险</w:t>
                  </w:r>
                </w:p>
              </w:tc>
              <w:tc>
                <w:tcPr>
                  <w:tcW w:w="3004" w:type="dxa"/>
                  <w:noWrap w:val="0"/>
                  <w:vAlign w:val="center"/>
                </w:tcPr>
                <w:p w14:paraId="388A8EDA">
                  <w:pPr>
                    <w:autoSpaceDE w:val="0"/>
                    <w:autoSpaceDN w:val="0"/>
                    <w:adjustRightInd w:val="0"/>
                    <w:snapToGrid w:val="0"/>
                    <w:rPr>
                      <w:color w:val="auto"/>
                      <w:kern w:val="0"/>
                      <w:szCs w:val="21"/>
                    </w:rPr>
                  </w:pPr>
                  <w:r>
                    <w:rPr>
                      <w:color w:val="auto"/>
                      <w:kern w:val="0"/>
                      <w:szCs w:val="21"/>
                    </w:rPr>
                    <w:t>有毒有害和易燃易爆危险物质存储量超过临界量的建设项目</w:t>
                  </w:r>
                </w:p>
              </w:tc>
              <w:tc>
                <w:tcPr>
                  <w:tcW w:w="2178" w:type="dxa"/>
                  <w:noWrap w:val="0"/>
                  <w:vAlign w:val="center"/>
                </w:tcPr>
                <w:p w14:paraId="36AA6D68">
                  <w:pPr>
                    <w:autoSpaceDE w:val="0"/>
                    <w:autoSpaceDN w:val="0"/>
                    <w:adjustRightInd w:val="0"/>
                    <w:snapToGrid w:val="0"/>
                    <w:rPr>
                      <w:color w:val="auto"/>
                      <w:kern w:val="0"/>
                      <w:szCs w:val="21"/>
                    </w:rPr>
                  </w:pPr>
                  <w:r>
                    <w:rPr>
                      <w:color w:val="auto"/>
                      <w:kern w:val="0"/>
                      <w:szCs w:val="21"/>
                    </w:rPr>
                    <w:t>涉及有毒有害和易燃易爆危险物质</w:t>
                  </w:r>
                  <w:r>
                    <w:rPr>
                      <w:rFonts w:hint="eastAsia"/>
                      <w:color w:val="auto"/>
                      <w:kern w:val="0"/>
                      <w:szCs w:val="21"/>
                    </w:rPr>
                    <w:t>最大</w:t>
                  </w:r>
                  <w:r>
                    <w:rPr>
                      <w:color w:val="auto"/>
                      <w:kern w:val="0"/>
                      <w:szCs w:val="21"/>
                    </w:rPr>
                    <w:t>储</w:t>
                  </w:r>
                  <w:r>
                    <w:rPr>
                      <w:rFonts w:hint="eastAsia"/>
                      <w:color w:val="auto"/>
                      <w:kern w:val="0"/>
                      <w:szCs w:val="21"/>
                    </w:rPr>
                    <w:t>存</w:t>
                  </w:r>
                  <w:r>
                    <w:rPr>
                      <w:color w:val="auto"/>
                      <w:kern w:val="0"/>
                      <w:szCs w:val="21"/>
                    </w:rPr>
                    <w:t>量未超过临界量</w:t>
                  </w:r>
                </w:p>
              </w:tc>
              <w:tc>
                <w:tcPr>
                  <w:tcW w:w="641" w:type="dxa"/>
                  <w:noWrap w:val="0"/>
                  <w:vAlign w:val="center"/>
                </w:tcPr>
                <w:p w14:paraId="17FEF6C1">
                  <w:pPr>
                    <w:autoSpaceDE w:val="0"/>
                    <w:autoSpaceDN w:val="0"/>
                    <w:adjustRightInd w:val="0"/>
                    <w:snapToGrid w:val="0"/>
                    <w:jc w:val="center"/>
                    <w:rPr>
                      <w:color w:val="auto"/>
                      <w:kern w:val="0"/>
                      <w:szCs w:val="21"/>
                    </w:rPr>
                  </w:pPr>
                  <w:r>
                    <w:rPr>
                      <w:color w:val="auto"/>
                      <w:kern w:val="0"/>
                      <w:szCs w:val="21"/>
                    </w:rPr>
                    <w:t>无须设置</w:t>
                  </w:r>
                </w:p>
              </w:tc>
            </w:tr>
            <w:tr w14:paraId="67EDD6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1" w:hRule="atLeast"/>
              </w:trPr>
              <w:tc>
                <w:tcPr>
                  <w:tcW w:w="916" w:type="dxa"/>
                  <w:noWrap w:val="0"/>
                  <w:vAlign w:val="center"/>
                </w:tcPr>
                <w:p w14:paraId="5995B1C1">
                  <w:pPr>
                    <w:autoSpaceDE w:val="0"/>
                    <w:autoSpaceDN w:val="0"/>
                    <w:adjustRightInd w:val="0"/>
                    <w:snapToGrid w:val="0"/>
                    <w:jc w:val="center"/>
                    <w:rPr>
                      <w:color w:val="auto"/>
                      <w:kern w:val="0"/>
                      <w:szCs w:val="21"/>
                    </w:rPr>
                  </w:pPr>
                  <w:r>
                    <w:rPr>
                      <w:color w:val="auto"/>
                      <w:kern w:val="0"/>
                      <w:szCs w:val="21"/>
                    </w:rPr>
                    <w:t>生态</w:t>
                  </w:r>
                </w:p>
              </w:tc>
              <w:tc>
                <w:tcPr>
                  <w:tcW w:w="3004" w:type="dxa"/>
                  <w:noWrap w:val="0"/>
                  <w:vAlign w:val="center"/>
                </w:tcPr>
                <w:p w14:paraId="2B937637">
                  <w:pPr>
                    <w:autoSpaceDE w:val="0"/>
                    <w:autoSpaceDN w:val="0"/>
                    <w:adjustRightInd w:val="0"/>
                    <w:snapToGrid w:val="0"/>
                    <w:rPr>
                      <w:color w:val="auto"/>
                      <w:kern w:val="0"/>
                      <w:szCs w:val="21"/>
                    </w:rPr>
                  </w:pPr>
                  <w:r>
                    <w:rPr>
                      <w:color w:val="auto"/>
                      <w:kern w:val="0"/>
                      <w:szCs w:val="21"/>
                    </w:rPr>
                    <w:t>取水口下游500米范围内有重要水生生物的自然产卵场、索饵场、越冬场和洄游通道的新增河道取水的污染类建设项目</w:t>
                  </w:r>
                </w:p>
              </w:tc>
              <w:tc>
                <w:tcPr>
                  <w:tcW w:w="2178" w:type="dxa"/>
                  <w:noWrap w:val="0"/>
                  <w:vAlign w:val="center"/>
                </w:tcPr>
                <w:p w14:paraId="76B88FF2">
                  <w:pPr>
                    <w:autoSpaceDE w:val="0"/>
                    <w:autoSpaceDN w:val="0"/>
                    <w:adjustRightInd w:val="0"/>
                    <w:snapToGrid w:val="0"/>
                    <w:jc w:val="center"/>
                    <w:rPr>
                      <w:color w:val="auto"/>
                      <w:kern w:val="0"/>
                      <w:szCs w:val="21"/>
                    </w:rPr>
                  </w:pPr>
                  <w:r>
                    <w:rPr>
                      <w:color w:val="auto"/>
                      <w:kern w:val="0"/>
                      <w:szCs w:val="21"/>
                    </w:rPr>
                    <w:t>不涉及</w:t>
                  </w:r>
                </w:p>
              </w:tc>
              <w:tc>
                <w:tcPr>
                  <w:tcW w:w="641" w:type="dxa"/>
                  <w:noWrap w:val="0"/>
                  <w:vAlign w:val="center"/>
                </w:tcPr>
                <w:p w14:paraId="51BDA4D1">
                  <w:pPr>
                    <w:autoSpaceDE w:val="0"/>
                    <w:autoSpaceDN w:val="0"/>
                    <w:adjustRightInd w:val="0"/>
                    <w:snapToGrid w:val="0"/>
                    <w:jc w:val="center"/>
                    <w:rPr>
                      <w:color w:val="auto"/>
                      <w:kern w:val="0"/>
                      <w:szCs w:val="21"/>
                    </w:rPr>
                  </w:pPr>
                  <w:r>
                    <w:rPr>
                      <w:color w:val="auto"/>
                      <w:kern w:val="0"/>
                      <w:szCs w:val="21"/>
                    </w:rPr>
                    <w:t>无须设置</w:t>
                  </w:r>
                </w:p>
              </w:tc>
            </w:tr>
            <w:tr w14:paraId="38C84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16" w:type="dxa"/>
                  <w:noWrap w:val="0"/>
                  <w:vAlign w:val="center"/>
                </w:tcPr>
                <w:p w14:paraId="4712074B">
                  <w:pPr>
                    <w:autoSpaceDE w:val="0"/>
                    <w:autoSpaceDN w:val="0"/>
                    <w:adjustRightInd w:val="0"/>
                    <w:snapToGrid w:val="0"/>
                    <w:jc w:val="center"/>
                    <w:rPr>
                      <w:color w:val="auto"/>
                      <w:kern w:val="0"/>
                      <w:szCs w:val="21"/>
                    </w:rPr>
                  </w:pPr>
                  <w:r>
                    <w:rPr>
                      <w:color w:val="auto"/>
                      <w:kern w:val="0"/>
                      <w:szCs w:val="21"/>
                    </w:rPr>
                    <w:t>海洋</w:t>
                  </w:r>
                </w:p>
              </w:tc>
              <w:tc>
                <w:tcPr>
                  <w:tcW w:w="3004" w:type="dxa"/>
                  <w:noWrap w:val="0"/>
                  <w:vAlign w:val="center"/>
                </w:tcPr>
                <w:p w14:paraId="4BA9D0A3">
                  <w:pPr>
                    <w:autoSpaceDE w:val="0"/>
                    <w:autoSpaceDN w:val="0"/>
                    <w:adjustRightInd w:val="0"/>
                    <w:snapToGrid w:val="0"/>
                    <w:rPr>
                      <w:color w:val="auto"/>
                      <w:kern w:val="0"/>
                      <w:szCs w:val="21"/>
                    </w:rPr>
                  </w:pPr>
                  <w:r>
                    <w:rPr>
                      <w:color w:val="auto"/>
                      <w:kern w:val="0"/>
                      <w:szCs w:val="21"/>
                    </w:rPr>
                    <w:t>直接向海排放污染物的海洋工程建设项目</w:t>
                  </w:r>
                </w:p>
              </w:tc>
              <w:tc>
                <w:tcPr>
                  <w:tcW w:w="2178" w:type="dxa"/>
                  <w:noWrap w:val="0"/>
                  <w:vAlign w:val="center"/>
                </w:tcPr>
                <w:p w14:paraId="2DA60910">
                  <w:pPr>
                    <w:autoSpaceDE w:val="0"/>
                    <w:autoSpaceDN w:val="0"/>
                    <w:adjustRightInd w:val="0"/>
                    <w:snapToGrid w:val="0"/>
                    <w:jc w:val="center"/>
                    <w:rPr>
                      <w:color w:val="auto"/>
                      <w:kern w:val="0"/>
                      <w:szCs w:val="21"/>
                    </w:rPr>
                  </w:pPr>
                  <w:r>
                    <w:rPr>
                      <w:color w:val="auto"/>
                      <w:kern w:val="0"/>
                      <w:szCs w:val="21"/>
                    </w:rPr>
                    <w:t>不涉及</w:t>
                  </w:r>
                </w:p>
              </w:tc>
              <w:tc>
                <w:tcPr>
                  <w:tcW w:w="641" w:type="dxa"/>
                  <w:noWrap w:val="0"/>
                  <w:vAlign w:val="center"/>
                </w:tcPr>
                <w:p w14:paraId="446D3568">
                  <w:pPr>
                    <w:autoSpaceDE w:val="0"/>
                    <w:autoSpaceDN w:val="0"/>
                    <w:adjustRightInd w:val="0"/>
                    <w:snapToGrid w:val="0"/>
                    <w:jc w:val="center"/>
                    <w:rPr>
                      <w:color w:val="auto"/>
                      <w:kern w:val="0"/>
                      <w:szCs w:val="21"/>
                    </w:rPr>
                  </w:pPr>
                  <w:r>
                    <w:rPr>
                      <w:color w:val="auto"/>
                      <w:kern w:val="0"/>
                      <w:szCs w:val="21"/>
                    </w:rPr>
                    <w:t>无须设置</w:t>
                  </w:r>
                </w:p>
              </w:tc>
            </w:tr>
          </w:tbl>
          <w:p w14:paraId="3B3294BD">
            <w:pPr>
              <w:pStyle w:val="131"/>
              <w:keepNext w:val="0"/>
              <w:keepLines w:val="0"/>
              <w:pageBreakBefore w:val="0"/>
              <w:widowControl w:val="0"/>
              <w:kinsoku/>
              <w:wordWrap/>
              <w:overflowPunct/>
              <w:topLinePunct w:val="0"/>
              <w:autoSpaceDE/>
              <w:autoSpaceDN/>
              <w:bidi w:val="0"/>
              <w:adjustRightInd/>
              <w:snapToGrid/>
              <w:spacing w:before="63" w:beforeLines="20" w:line="360" w:lineRule="auto"/>
              <w:ind w:firstLine="422"/>
              <w:textAlignment w:val="auto"/>
              <w:rPr>
                <w:b/>
                <w:bCs/>
                <w:color w:val="auto"/>
                <w:sz w:val="21"/>
                <w:szCs w:val="21"/>
              </w:rPr>
            </w:pPr>
            <w:r>
              <w:rPr>
                <w:b/>
                <w:bCs/>
                <w:color w:val="auto"/>
                <w:sz w:val="21"/>
                <w:szCs w:val="21"/>
              </w:rPr>
              <w:t>注：1.废气中有毒有害污染物指纳入《有毒有害大气污染物名录》的污染物（不包括无排放标准的污染物）。</w:t>
            </w:r>
          </w:p>
          <w:p w14:paraId="6BC9E6CC">
            <w:pPr>
              <w:pStyle w:val="131"/>
              <w:keepNext w:val="0"/>
              <w:keepLines w:val="0"/>
              <w:pageBreakBefore w:val="0"/>
              <w:widowControl w:val="0"/>
              <w:kinsoku/>
              <w:wordWrap/>
              <w:overflowPunct/>
              <w:topLinePunct w:val="0"/>
              <w:bidi w:val="0"/>
              <w:spacing w:line="360" w:lineRule="auto"/>
              <w:ind w:firstLine="422"/>
              <w:textAlignment w:val="auto"/>
              <w:rPr>
                <w:b/>
                <w:bCs/>
                <w:color w:val="auto"/>
                <w:sz w:val="21"/>
                <w:szCs w:val="21"/>
              </w:rPr>
            </w:pPr>
            <w:r>
              <w:rPr>
                <w:b/>
                <w:bCs/>
                <w:color w:val="auto"/>
                <w:sz w:val="21"/>
                <w:szCs w:val="21"/>
              </w:rPr>
              <w:t>2.环境空气保护目标指自然保护区、风景名胜区、居住区、文化区和农村地区中人群较集中的区域。</w:t>
            </w:r>
          </w:p>
          <w:p w14:paraId="3217EB99">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hint="eastAsia"/>
                <w:color w:val="auto"/>
                <w:kern w:val="0"/>
                <w:sz w:val="21"/>
                <w:szCs w:val="21"/>
              </w:rPr>
            </w:pPr>
            <w:r>
              <w:rPr>
                <w:b/>
                <w:bCs/>
                <w:color w:val="auto"/>
                <w:sz w:val="21"/>
                <w:szCs w:val="21"/>
              </w:rPr>
              <w:t>3.临界量及其计算方法可参考《建设项目环境风险技术导则》（HJ169）附录B、附录C</w:t>
            </w:r>
            <w:r>
              <w:rPr>
                <w:rFonts w:hint="eastAsia"/>
                <w:b/>
                <w:bCs/>
                <w:color w:val="auto"/>
                <w:sz w:val="21"/>
                <w:szCs w:val="21"/>
              </w:rPr>
              <w:t>。</w:t>
            </w:r>
          </w:p>
          <w:p w14:paraId="0247FDC2">
            <w:pPr>
              <w:keepNext w:val="0"/>
              <w:keepLines w:val="0"/>
              <w:pageBreakBefore w:val="0"/>
              <w:widowControl w:val="0"/>
              <w:kinsoku/>
              <w:wordWrap/>
              <w:overflowPunct/>
              <w:topLinePunct w:val="0"/>
              <w:autoSpaceDE w:val="0"/>
              <w:autoSpaceDN w:val="0"/>
              <w:bidi w:val="0"/>
              <w:adjustRightInd/>
              <w:snapToGrid/>
              <w:spacing w:line="240" w:lineRule="atLeast"/>
              <w:ind w:firstLine="456" w:firstLineChars="200"/>
              <w:jc w:val="left"/>
              <w:textAlignment w:val="auto"/>
              <w:rPr>
                <w:rFonts w:hint="eastAsia" w:ascii="Times New Roman" w:hAnsi="Times New Roman" w:eastAsia="宋体" w:cs="Times New Roman"/>
                <w:color w:val="auto"/>
                <w:kern w:val="0"/>
                <w:sz w:val="24"/>
                <w:lang w:eastAsia="zh-CN"/>
              </w:rPr>
            </w:pPr>
            <w:r>
              <w:rPr>
                <w:rFonts w:hint="default" w:ascii="Times New Roman" w:hAnsi="Times New Roman" w:cs="Times New Roman"/>
                <w:color w:val="auto"/>
                <w:spacing w:val="-6"/>
                <w:sz w:val="24"/>
                <w:u w:val="none"/>
              </w:rPr>
              <w:t>综上，本项目无须设置专项评价章节。</w:t>
            </w:r>
          </w:p>
        </w:tc>
      </w:tr>
      <w:tr w14:paraId="456A7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905" w:type="pct"/>
            <w:vAlign w:val="center"/>
          </w:tcPr>
          <w:p w14:paraId="37D041EB">
            <w:pPr>
              <w:autoSpaceDE w:val="0"/>
              <w:autoSpaceDN w:val="0"/>
              <w:spacing w:line="240" w:lineRule="atLeast"/>
              <w:jc w:val="center"/>
              <w:rPr>
                <w:rFonts w:hint="default" w:ascii="Times New Roman" w:hAnsi="Times New Roman" w:cs="Times New Roman"/>
                <w:b/>
                <w:bCs/>
                <w:color w:val="auto"/>
                <w:kern w:val="0"/>
                <w:sz w:val="24"/>
              </w:rPr>
            </w:pPr>
            <w:r>
              <w:rPr>
                <w:rFonts w:hint="default" w:ascii="Times New Roman" w:hAnsi="Times New Roman" w:cs="Times New Roman"/>
                <w:b/>
                <w:bCs/>
                <w:color w:val="auto"/>
                <w:sz w:val="24"/>
              </w:rPr>
              <w:t>规划情况</w:t>
            </w:r>
          </w:p>
        </w:tc>
        <w:tc>
          <w:tcPr>
            <w:tcW w:w="4094" w:type="pct"/>
            <w:gridSpan w:val="3"/>
            <w:vAlign w:val="center"/>
          </w:tcPr>
          <w:p w14:paraId="35C6BDD0">
            <w:pPr>
              <w:autoSpaceDE w:val="0"/>
              <w:autoSpaceDN w:val="0"/>
              <w:spacing w:line="240" w:lineRule="atLeast"/>
              <w:jc w:val="center"/>
              <w:rPr>
                <w:rFonts w:hint="default" w:ascii="Times New Roman" w:hAnsi="Times New Roman" w:eastAsia="宋体" w:cs="Times New Roman"/>
                <w:color w:val="auto"/>
                <w:kern w:val="0"/>
                <w:sz w:val="24"/>
                <w:u w:val="none"/>
                <w:lang w:eastAsia="zh-CN"/>
              </w:rPr>
            </w:pPr>
            <w:r>
              <w:rPr>
                <w:rFonts w:hint="default" w:ascii="Times New Roman" w:hAnsi="Times New Roman" w:cs="Times New Roman"/>
                <w:color w:val="auto"/>
                <w:spacing w:val="-6"/>
                <w:sz w:val="24"/>
                <w:u w:val="none"/>
              </w:rPr>
              <w:t>《怀化市中医药健康产业发展规划（2020-2030）》</w:t>
            </w:r>
          </w:p>
        </w:tc>
      </w:tr>
      <w:tr w14:paraId="13A9E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05" w:type="pct"/>
            <w:vAlign w:val="center"/>
          </w:tcPr>
          <w:p w14:paraId="5953FFD5">
            <w:pPr>
              <w:spacing w:line="240" w:lineRule="atLeast"/>
              <w:jc w:val="center"/>
              <w:rPr>
                <w:rFonts w:hint="default" w:ascii="Times New Roman" w:hAnsi="Times New Roman" w:cs="Times New Roman"/>
                <w:b/>
                <w:bCs/>
                <w:color w:val="auto"/>
                <w:kern w:val="0"/>
                <w:sz w:val="24"/>
              </w:rPr>
            </w:pPr>
            <w:r>
              <w:rPr>
                <w:rFonts w:hint="default" w:ascii="Times New Roman" w:hAnsi="Times New Roman" w:cs="Times New Roman"/>
                <w:b/>
                <w:bCs/>
                <w:color w:val="auto"/>
                <w:sz w:val="24"/>
              </w:rPr>
              <w:t>规划环境影响评价情况</w:t>
            </w:r>
          </w:p>
        </w:tc>
        <w:tc>
          <w:tcPr>
            <w:tcW w:w="4094" w:type="pct"/>
            <w:gridSpan w:val="3"/>
            <w:vAlign w:val="center"/>
          </w:tcPr>
          <w:p w14:paraId="7B3C81E6">
            <w:pPr>
              <w:autoSpaceDE w:val="0"/>
              <w:autoSpaceDN w:val="0"/>
              <w:spacing w:line="360" w:lineRule="auto"/>
              <w:jc w:val="center"/>
              <w:rPr>
                <w:rFonts w:hint="default" w:ascii="Times New Roman" w:hAnsi="Times New Roman" w:cs="Times New Roman"/>
                <w:color w:val="auto"/>
                <w:kern w:val="0"/>
                <w:sz w:val="24"/>
                <w:u w:val="none"/>
              </w:rPr>
            </w:pPr>
            <w:r>
              <w:rPr>
                <w:rFonts w:hint="default" w:ascii="Times New Roman" w:hAnsi="Times New Roman" w:cs="Times New Roman"/>
                <w:color w:val="auto"/>
                <w:kern w:val="0"/>
                <w:sz w:val="24"/>
                <w:u w:val="none"/>
              </w:rPr>
              <w:t>无</w:t>
            </w:r>
          </w:p>
        </w:tc>
      </w:tr>
      <w:tr w14:paraId="0D82B9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905" w:type="pct"/>
            <w:vAlign w:val="center"/>
          </w:tcPr>
          <w:p w14:paraId="4BA35A63">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规划及规划环境影响评价符合性分析</w:t>
            </w:r>
          </w:p>
        </w:tc>
        <w:tc>
          <w:tcPr>
            <w:tcW w:w="4094" w:type="pct"/>
            <w:gridSpan w:val="3"/>
            <w:vAlign w:val="center"/>
          </w:tcPr>
          <w:p w14:paraId="59BBA0C5">
            <w:pPr>
              <w:keepNext w:val="0"/>
              <w:keepLines w:val="0"/>
              <w:pageBreakBefore w:val="0"/>
              <w:widowControl w:val="0"/>
              <w:kinsoku/>
              <w:wordWrap/>
              <w:overflowPunct/>
              <w:topLinePunct w:val="0"/>
              <w:autoSpaceDE w:val="0"/>
              <w:autoSpaceDN w:val="0"/>
              <w:bidi w:val="0"/>
              <w:adjustRightInd w:val="0"/>
              <w:snapToGrid w:val="0"/>
              <w:spacing w:line="360" w:lineRule="auto"/>
              <w:ind w:firstLine="456" w:firstLineChars="200"/>
              <w:jc w:val="left"/>
              <w:textAlignment w:val="auto"/>
              <w:rPr>
                <w:rFonts w:hint="eastAsia" w:ascii="Times New Roman" w:hAnsi="Times New Roman" w:eastAsia="宋体" w:cs="Times New Roman"/>
                <w:color w:val="auto"/>
                <w:kern w:val="0"/>
                <w:sz w:val="24"/>
                <w:u w:val="none"/>
                <w:lang w:eastAsia="zh-CN"/>
              </w:rPr>
            </w:pPr>
            <w:r>
              <w:rPr>
                <w:rFonts w:hint="eastAsia" w:ascii="Times New Roman" w:hAnsi="Times New Roman" w:cs="Times New Roman"/>
                <w:color w:val="auto"/>
                <w:spacing w:val="-6"/>
                <w:sz w:val="24"/>
                <w:u w:val="none"/>
                <w:lang w:eastAsia="zh-CN"/>
              </w:rPr>
              <w:t>本项目为</w:t>
            </w:r>
            <w:r>
              <w:rPr>
                <w:rFonts w:hint="eastAsia" w:cs="Times New Roman"/>
                <w:color w:val="auto"/>
                <w:spacing w:val="-6"/>
                <w:sz w:val="24"/>
                <w:u w:val="none"/>
                <w:lang w:val="en-US" w:eastAsia="zh-CN"/>
              </w:rPr>
              <w:t>中药饮片加工</w:t>
            </w:r>
            <w:r>
              <w:rPr>
                <w:rFonts w:hint="eastAsia" w:ascii="Times New Roman" w:hAnsi="Times New Roman" w:cs="Times New Roman"/>
                <w:color w:val="auto"/>
                <w:spacing w:val="-6"/>
                <w:sz w:val="24"/>
                <w:u w:val="none"/>
                <w:lang w:eastAsia="zh-CN"/>
              </w:rPr>
              <w:t>项目，符合</w:t>
            </w:r>
            <w:r>
              <w:rPr>
                <w:rFonts w:hint="default" w:ascii="Times New Roman" w:hAnsi="Times New Roman" w:cs="Times New Roman"/>
                <w:color w:val="auto"/>
                <w:spacing w:val="-6"/>
                <w:sz w:val="24"/>
                <w:u w:val="none"/>
              </w:rPr>
              <w:t>《怀化市中医药健康产业发展规划（2020-2030）》</w:t>
            </w:r>
            <w:r>
              <w:rPr>
                <w:rFonts w:hint="eastAsia" w:ascii="Times New Roman" w:hAnsi="Times New Roman" w:cs="Times New Roman"/>
                <w:color w:val="auto"/>
                <w:spacing w:val="-6"/>
                <w:sz w:val="24"/>
                <w:u w:val="none"/>
                <w:lang w:eastAsia="zh-CN"/>
              </w:rPr>
              <w:t>中大力发展山银花种植及加工，使为</w:t>
            </w:r>
            <w:r>
              <w:rPr>
                <w:rFonts w:hint="eastAsia" w:cs="Times New Roman"/>
                <w:color w:val="auto"/>
                <w:spacing w:val="-6"/>
                <w:sz w:val="24"/>
                <w:u w:val="none"/>
                <w:lang w:eastAsia="zh-CN"/>
              </w:rPr>
              <w:t>“</w:t>
            </w:r>
            <w:r>
              <w:rPr>
                <w:rFonts w:hint="eastAsia" w:ascii="Times New Roman" w:hAnsi="Times New Roman" w:cs="Times New Roman"/>
                <w:color w:val="auto"/>
                <w:spacing w:val="-6"/>
                <w:sz w:val="24"/>
                <w:u w:val="none"/>
                <w:lang w:eastAsia="zh-CN"/>
              </w:rPr>
              <w:t>怀六药</w:t>
            </w:r>
            <w:r>
              <w:rPr>
                <w:rFonts w:hint="eastAsia" w:cs="Times New Roman"/>
                <w:color w:val="auto"/>
                <w:spacing w:val="-6"/>
                <w:sz w:val="24"/>
                <w:u w:val="none"/>
                <w:lang w:eastAsia="zh-CN"/>
              </w:rPr>
              <w:t>”</w:t>
            </w:r>
            <w:r>
              <w:rPr>
                <w:rFonts w:hint="eastAsia" w:ascii="Times New Roman" w:hAnsi="Times New Roman" w:cs="Times New Roman"/>
                <w:color w:val="auto"/>
                <w:spacing w:val="-6"/>
                <w:sz w:val="24"/>
                <w:u w:val="none"/>
                <w:lang w:eastAsia="zh-CN"/>
              </w:rPr>
              <w:t>之一的山银花中药材产业在高质量发展中实现新突破</w:t>
            </w:r>
            <w:r>
              <w:rPr>
                <w:rFonts w:hint="eastAsia" w:cs="Times New Roman"/>
                <w:color w:val="auto"/>
                <w:spacing w:val="-6"/>
                <w:sz w:val="24"/>
                <w:u w:val="none"/>
                <w:lang w:eastAsia="zh-CN"/>
              </w:rPr>
              <w:t>的要求</w:t>
            </w:r>
            <w:r>
              <w:rPr>
                <w:rFonts w:hint="eastAsia" w:ascii="Times New Roman" w:hAnsi="Times New Roman" w:cs="Times New Roman"/>
                <w:color w:val="auto"/>
                <w:spacing w:val="-6"/>
                <w:sz w:val="24"/>
                <w:u w:val="none"/>
                <w:lang w:eastAsia="zh-CN"/>
              </w:rPr>
              <w:t>。</w:t>
            </w:r>
          </w:p>
        </w:tc>
      </w:tr>
      <w:tr w14:paraId="00773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5" w:type="pct"/>
            <w:vAlign w:val="center"/>
          </w:tcPr>
          <w:p w14:paraId="481E243A">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tc>
        <w:tc>
          <w:tcPr>
            <w:tcW w:w="4094" w:type="pct"/>
            <w:gridSpan w:val="3"/>
            <w:vAlign w:val="center"/>
          </w:tcPr>
          <w:p w14:paraId="00C591A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u w:val="none" w:color="auto"/>
                <w:lang w:val="en-US" w:eastAsia="zh-CN"/>
              </w:rPr>
            </w:pPr>
            <w:r>
              <w:rPr>
                <w:rFonts w:hint="default" w:ascii="Times New Roman" w:hAnsi="Times New Roman" w:cs="Times New Roman"/>
                <w:b/>
                <w:bCs/>
                <w:color w:val="auto"/>
                <w:sz w:val="24"/>
                <w:szCs w:val="24"/>
                <w:highlight w:val="none"/>
                <w:u w:val="none" w:color="auto"/>
                <w:lang w:val="en-US" w:eastAsia="zh-CN"/>
              </w:rPr>
              <w:t>1</w:t>
            </w:r>
            <w:r>
              <w:rPr>
                <w:rFonts w:hint="eastAsia" w:cs="Times New Roman"/>
                <w:b/>
                <w:bCs/>
                <w:color w:val="auto"/>
                <w:sz w:val="24"/>
                <w:szCs w:val="24"/>
                <w:highlight w:val="none"/>
                <w:u w:val="none" w:color="auto"/>
                <w:lang w:val="en-US" w:eastAsia="zh-CN"/>
              </w:rPr>
              <w:t>、生态分区管控</w:t>
            </w:r>
            <w:r>
              <w:rPr>
                <w:rFonts w:hint="default" w:ascii="Times New Roman" w:hAnsi="Times New Roman" w:cs="Times New Roman"/>
                <w:b/>
                <w:bCs/>
                <w:color w:val="auto"/>
                <w:sz w:val="24"/>
                <w:szCs w:val="24"/>
                <w:highlight w:val="none"/>
                <w:u w:val="none" w:color="auto"/>
                <w:lang w:val="en-US" w:eastAsia="zh-CN"/>
              </w:rPr>
              <w:t>符合性分析</w:t>
            </w:r>
          </w:p>
          <w:p w14:paraId="74E67571">
            <w:pPr>
              <w:pStyle w:val="10"/>
              <w:adjustRightInd w:val="0"/>
              <w:spacing w:before="0" w:after="0" w:line="360" w:lineRule="auto"/>
              <w:ind w:right="0" w:firstLine="480" w:firstLineChars="200"/>
              <w:rPr>
                <w:color w:val="auto"/>
                <w:sz w:val="24"/>
                <w:szCs w:val="24"/>
                <w:lang w:val="zh-CN"/>
              </w:rPr>
            </w:pPr>
            <w:r>
              <w:rPr>
                <w:rFonts w:hint="eastAsia"/>
                <w:color w:val="auto"/>
                <w:sz w:val="24"/>
                <w:szCs w:val="24"/>
                <w:lang w:val="zh-CN"/>
              </w:rPr>
              <w:t>（</w:t>
            </w:r>
            <w:r>
              <w:rPr>
                <w:rFonts w:hint="eastAsia"/>
                <w:color w:val="auto"/>
                <w:sz w:val="24"/>
                <w:szCs w:val="24"/>
              </w:rPr>
              <w:t>1</w:t>
            </w:r>
            <w:r>
              <w:rPr>
                <w:rFonts w:hint="eastAsia"/>
                <w:color w:val="auto"/>
                <w:sz w:val="24"/>
                <w:szCs w:val="24"/>
                <w:lang w:val="zh-CN"/>
              </w:rPr>
              <w:t>）</w:t>
            </w:r>
            <w:r>
              <w:rPr>
                <w:color w:val="auto"/>
                <w:sz w:val="24"/>
                <w:szCs w:val="24"/>
                <w:lang w:val="zh-CN"/>
              </w:rPr>
              <w:t>生态红线</w:t>
            </w:r>
          </w:p>
          <w:p w14:paraId="3BC585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color w:val="auto"/>
                <w:sz w:val="24"/>
              </w:rPr>
              <w:t>本项目建设地点位于</w:t>
            </w:r>
            <w:r>
              <w:rPr>
                <w:rFonts w:hint="default" w:ascii="Times New Roman" w:hAnsi="Times New Roman" w:cs="Times New Roman"/>
                <w:color w:val="auto"/>
                <w:sz w:val="24"/>
              </w:rPr>
              <w:t>湖南省怀化市溆浦县龙潭镇</w:t>
            </w:r>
            <w:r>
              <w:rPr>
                <w:rFonts w:hint="eastAsia" w:ascii="Times New Roman" w:hAnsi="Times New Roman" w:cs="Times New Roman"/>
                <w:color w:val="auto"/>
                <w:sz w:val="24"/>
                <w:lang w:eastAsia="zh-CN"/>
              </w:rPr>
              <w:t>岩板村</w:t>
            </w:r>
            <w:r>
              <w:rPr>
                <w:rFonts w:hint="eastAsia"/>
                <w:color w:val="auto"/>
                <w:sz w:val="24"/>
              </w:rPr>
              <w:t>，</w:t>
            </w:r>
            <w:r>
              <w:rPr>
                <w:rFonts w:hint="eastAsia" w:cs="Times New Roman"/>
                <w:color w:val="auto"/>
                <w:sz w:val="24"/>
                <w:u w:val="none"/>
                <w:lang w:val="en-US" w:eastAsia="zh-CN"/>
              </w:rPr>
              <w:t>选址原为</w:t>
            </w:r>
            <w:r>
              <w:rPr>
                <w:rFonts w:hint="eastAsia" w:ascii="Times New Roman" w:hAnsi="Times New Roman" w:cs="Times New Roman"/>
                <w:color w:val="auto"/>
                <w:sz w:val="24"/>
                <w:lang w:val="en-US" w:eastAsia="zh-CN"/>
              </w:rPr>
              <w:t>原湖南怀化龙成中药饮片有限责任公司年产300吨中药饮片GMP加工建设项目用地，本项目建设未改变用地原有用途</w:t>
            </w:r>
            <w:r>
              <w:rPr>
                <w:color w:val="auto"/>
                <w:sz w:val="24"/>
              </w:rPr>
              <w:t>，</w:t>
            </w:r>
            <w:r>
              <w:rPr>
                <w:rFonts w:hint="eastAsia"/>
                <w:color w:val="auto"/>
                <w:sz w:val="24"/>
              </w:rPr>
              <w:t>项目</w:t>
            </w:r>
            <w:r>
              <w:rPr>
                <w:rFonts w:hint="eastAsia"/>
                <w:color w:val="auto"/>
                <w:sz w:val="24"/>
                <w:lang w:val="en-US" w:eastAsia="zh-CN"/>
              </w:rPr>
              <w:t>用地</w:t>
            </w:r>
            <w:r>
              <w:rPr>
                <w:rFonts w:hint="eastAsia"/>
                <w:color w:val="auto"/>
                <w:sz w:val="24"/>
              </w:rPr>
              <w:t>范围在城镇开发边界内，</w:t>
            </w:r>
            <w:r>
              <w:rPr>
                <w:color w:val="auto"/>
                <w:sz w:val="24"/>
              </w:rPr>
              <w:t>不涉及生态保护红线</w:t>
            </w:r>
            <w:r>
              <w:rPr>
                <w:rFonts w:hint="eastAsia"/>
                <w:color w:val="auto"/>
                <w:sz w:val="24"/>
              </w:rPr>
              <w:t>。</w:t>
            </w:r>
          </w:p>
          <w:p w14:paraId="634FCA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val="en-US" w:eastAsia="zh-CN"/>
              </w:rPr>
              <w:t>环境质量底线</w:t>
            </w:r>
          </w:p>
          <w:p w14:paraId="7D5029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lang w:val="en-US" w:eastAsia="zh-CN"/>
              </w:rPr>
              <w:t>区域环境空气属于《环境空气质量标准》（GB3095-2012）中二类功能区、地表水环境功能属于《地表水环境质量标准》（GB3838-2002）中Ⅲ类功能区、区域声环境属于《声环境质量标准》（GB3096-2008）中</w:t>
            </w:r>
            <w:r>
              <w:rPr>
                <w:rFonts w:hint="eastAsia" w:cs="Times New Roman"/>
                <w:color w:val="auto"/>
                <w:sz w:val="24"/>
                <w:szCs w:val="24"/>
                <w:u w:val="none" w:color="auto"/>
                <w:lang w:val="en-US" w:eastAsia="zh-CN"/>
              </w:rPr>
              <w:t>2类</w:t>
            </w:r>
            <w:r>
              <w:rPr>
                <w:rFonts w:hint="default" w:ascii="Times New Roman" w:hAnsi="Times New Roman" w:eastAsia="宋体" w:cs="Times New Roman"/>
                <w:color w:val="auto"/>
                <w:sz w:val="24"/>
                <w:szCs w:val="24"/>
                <w:u w:val="none" w:color="auto"/>
                <w:lang w:val="en-US" w:eastAsia="zh-CN"/>
              </w:rPr>
              <w:t>功能区。本项目产生的三废均能有效处理，采取相应治理措施后可达标排放</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不会对当地环境质量底线造成冲击</w:t>
            </w:r>
            <w:r>
              <w:rPr>
                <w:rFonts w:hint="eastAsia" w:ascii="Times New Roman" w:hAnsi="Times New Roman" w:eastAsia="宋体" w:cs="Times New Roman"/>
                <w:color w:val="auto"/>
                <w:sz w:val="24"/>
                <w:szCs w:val="24"/>
                <w:u w:val="none" w:color="auto"/>
                <w:lang w:val="en-US" w:eastAsia="zh-CN"/>
              </w:rPr>
              <w:t>。</w:t>
            </w:r>
          </w:p>
          <w:p w14:paraId="23FD86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lang w:val="en-US" w:eastAsia="zh-CN"/>
              </w:rPr>
              <w:t>资源利用上线</w:t>
            </w:r>
          </w:p>
          <w:p w14:paraId="0B603386">
            <w:pPr>
              <w:pStyle w:val="9"/>
              <w:adjustRightInd w:val="0"/>
              <w:snapToGrid w:val="0"/>
              <w:spacing w:after="0" w:line="360" w:lineRule="auto"/>
              <w:ind w:firstLine="480" w:firstLineChars="200"/>
              <w:rPr>
                <w:color w:val="auto"/>
                <w:sz w:val="24"/>
              </w:rPr>
            </w:pPr>
            <w:r>
              <w:rPr>
                <w:color w:val="auto"/>
                <w:sz w:val="24"/>
              </w:rPr>
              <w:t>项目用水量、用电量</w:t>
            </w:r>
            <w:r>
              <w:rPr>
                <w:rFonts w:hint="eastAsia"/>
                <w:color w:val="auto"/>
                <w:sz w:val="24"/>
                <w:lang w:eastAsia="zh-CN"/>
              </w:rPr>
              <w:t>、</w:t>
            </w:r>
            <w:r>
              <w:rPr>
                <w:rFonts w:hint="eastAsia"/>
                <w:color w:val="auto"/>
                <w:sz w:val="24"/>
                <w:lang w:val="en-US" w:eastAsia="zh-CN"/>
              </w:rPr>
              <w:t>用生物质燃料量</w:t>
            </w:r>
            <w:r>
              <w:rPr>
                <w:color w:val="auto"/>
                <w:sz w:val="24"/>
              </w:rPr>
              <w:t>相对较少</w:t>
            </w:r>
            <w:r>
              <w:rPr>
                <w:rFonts w:hint="eastAsia"/>
                <w:color w:val="auto"/>
                <w:sz w:val="24"/>
              </w:rPr>
              <w:t>，</w:t>
            </w:r>
            <w:r>
              <w:rPr>
                <w:color w:val="auto"/>
                <w:sz w:val="24"/>
              </w:rPr>
              <w:t>项目用水由</w:t>
            </w:r>
            <w:r>
              <w:rPr>
                <w:rFonts w:hint="eastAsia"/>
                <w:color w:val="auto"/>
                <w:sz w:val="24"/>
              </w:rPr>
              <w:t>市政自来水管网</w:t>
            </w:r>
            <w:r>
              <w:rPr>
                <w:color w:val="auto"/>
                <w:sz w:val="24"/>
              </w:rPr>
              <w:t>提供</w:t>
            </w:r>
            <w:r>
              <w:rPr>
                <w:rFonts w:hint="eastAsia"/>
                <w:color w:val="auto"/>
                <w:sz w:val="24"/>
              </w:rPr>
              <w:t>，用电由市政电网供电</w:t>
            </w:r>
            <w:r>
              <w:rPr>
                <w:color w:val="auto"/>
                <w:sz w:val="24"/>
              </w:rPr>
              <w:t>。项目建设土地不涉及基本农田，土地资源消耗符合要求。</w:t>
            </w:r>
          </w:p>
          <w:p w14:paraId="742A6B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color w:val="auto"/>
                <w:sz w:val="24"/>
              </w:rPr>
              <w:t>因此，项目资源利用满足要求。</w:t>
            </w:r>
          </w:p>
          <w:p w14:paraId="763231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（4）</w:t>
            </w:r>
            <w:r>
              <w:rPr>
                <w:rFonts w:hint="default" w:ascii="Times New Roman" w:hAnsi="Times New Roman" w:eastAsia="宋体" w:cs="Times New Roman"/>
                <w:color w:val="auto"/>
                <w:sz w:val="24"/>
                <w:szCs w:val="24"/>
                <w:u w:val="none" w:color="auto"/>
                <w:lang w:val="en-US" w:eastAsia="zh-CN"/>
              </w:rPr>
              <w:t>生态环境准入清单</w:t>
            </w:r>
          </w:p>
          <w:p w14:paraId="52288407">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u w:val="none" w:color="auto"/>
                <w:lang w:val="en-US" w:eastAsia="zh-CN"/>
              </w:rPr>
            </w:pPr>
            <w:r>
              <w:rPr>
                <w:rFonts w:hint="eastAsia" w:ascii="Times New Roman" w:hAnsi="Times New Roman" w:eastAsia="宋体" w:cs="Times New Roman"/>
                <w:color w:val="auto"/>
                <w:kern w:val="0"/>
                <w:sz w:val="24"/>
                <w:szCs w:val="24"/>
                <w:highlight w:val="none"/>
                <w:u w:val="none" w:color="auto"/>
                <w:lang w:val="en-US" w:eastAsia="zh-CN"/>
              </w:rPr>
              <w:t>根据</w:t>
            </w:r>
            <w:r>
              <w:rPr>
                <w:rFonts w:hint="default" w:ascii="Times New Roman" w:hAnsi="Times New Roman" w:eastAsia="宋体" w:cs="Times New Roman"/>
                <w:color w:val="auto"/>
                <w:kern w:val="0"/>
                <w:sz w:val="24"/>
                <w:szCs w:val="24"/>
                <w:highlight w:val="none"/>
                <w:u w:val="none" w:color="auto"/>
                <w:lang w:val="en-US" w:eastAsia="zh-CN"/>
              </w:rPr>
              <w:t>怀化市</w:t>
            </w:r>
            <w:r>
              <w:rPr>
                <w:rFonts w:hint="eastAsia" w:ascii="Times New Roman" w:hAnsi="Times New Roman" w:eastAsia="宋体" w:cs="Times New Roman"/>
                <w:color w:val="auto"/>
                <w:kern w:val="0"/>
                <w:sz w:val="24"/>
                <w:szCs w:val="24"/>
                <w:highlight w:val="none"/>
                <w:u w:val="none" w:color="auto"/>
                <w:lang w:val="en-US" w:eastAsia="zh-CN"/>
              </w:rPr>
              <w:t>生态环境局</w:t>
            </w:r>
            <w:r>
              <w:rPr>
                <w:rFonts w:hint="default" w:ascii="Times New Roman" w:hAnsi="Times New Roman" w:eastAsia="宋体" w:cs="Times New Roman"/>
                <w:color w:val="auto"/>
                <w:kern w:val="0"/>
                <w:sz w:val="24"/>
                <w:szCs w:val="24"/>
                <w:highlight w:val="none"/>
                <w:u w:val="none" w:color="auto"/>
                <w:lang w:val="en-US" w:eastAsia="zh-CN"/>
              </w:rPr>
              <w:t>关于发布</w:t>
            </w:r>
            <w:r>
              <w:rPr>
                <w:rFonts w:hint="eastAsia" w:ascii="Times New Roman" w:hAnsi="Times New Roman" w:eastAsia="宋体" w:cs="Times New Roman"/>
                <w:color w:val="auto"/>
                <w:kern w:val="0"/>
                <w:sz w:val="24"/>
                <w:szCs w:val="24"/>
                <w:highlight w:val="none"/>
                <w:u w:val="none" w:color="auto"/>
                <w:lang w:val="en-US" w:eastAsia="zh-CN"/>
              </w:rPr>
              <w:t>《怀化市生态环境分区管控基本要求暨环境管控单元（省级以上产业园区除外）生态环境准入清单（2023版）》</w:t>
            </w:r>
            <w:r>
              <w:rPr>
                <w:rFonts w:hint="default" w:ascii="Times New Roman" w:hAnsi="Times New Roman" w:eastAsia="宋体" w:cs="Times New Roman"/>
                <w:color w:val="auto"/>
                <w:kern w:val="0"/>
                <w:sz w:val="24"/>
                <w:szCs w:val="24"/>
                <w:highlight w:val="none"/>
                <w:u w:val="none" w:color="auto"/>
                <w:lang w:val="en-US" w:eastAsia="zh-CN"/>
              </w:rPr>
              <w:t>的通知</w:t>
            </w:r>
            <w:r>
              <w:rPr>
                <w:rFonts w:hint="eastAsia" w:ascii="Times New Roman" w:hAnsi="Times New Roman" w:eastAsia="宋体" w:cs="Times New Roman"/>
                <w:color w:val="auto"/>
                <w:kern w:val="0"/>
                <w:sz w:val="24"/>
                <w:szCs w:val="24"/>
                <w:highlight w:val="none"/>
                <w:u w:val="none" w:color="auto"/>
                <w:lang w:val="en-US" w:eastAsia="zh-CN"/>
              </w:rPr>
              <w:t>，项目与其符合性分析详细情况见</w:t>
            </w:r>
            <w:r>
              <w:rPr>
                <w:rFonts w:hint="eastAsia" w:cs="Times New Roman"/>
                <w:color w:val="auto"/>
                <w:kern w:val="0"/>
                <w:sz w:val="24"/>
                <w:szCs w:val="24"/>
                <w:highlight w:val="none"/>
                <w:u w:val="none" w:color="auto"/>
                <w:lang w:val="en-US" w:eastAsia="zh-CN"/>
              </w:rPr>
              <w:t>下</w:t>
            </w:r>
            <w:r>
              <w:rPr>
                <w:rFonts w:hint="eastAsia" w:ascii="Times New Roman" w:hAnsi="Times New Roman" w:eastAsia="宋体" w:cs="Times New Roman"/>
                <w:color w:val="auto"/>
                <w:kern w:val="0"/>
                <w:sz w:val="24"/>
                <w:szCs w:val="24"/>
                <w:highlight w:val="none"/>
                <w:u w:val="none" w:color="auto"/>
                <w:lang w:val="en-US" w:eastAsia="zh-CN"/>
              </w:rPr>
              <w:t>表。</w:t>
            </w:r>
          </w:p>
          <w:p w14:paraId="7D4635AE">
            <w:pPr>
              <w:spacing w:line="240" w:lineRule="auto"/>
              <w:jc w:val="center"/>
              <w:rPr>
                <w:rFonts w:hint="default" w:ascii="Times New Roman" w:hAnsi="Times New Roman" w:eastAsia="宋体" w:cs="Times New Roman"/>
                <w:b/>
                <w:bCs/>
                <w:color w:val="auto"/>
                <w:kern w:val="2"/>
                <w:sz w:val="24"/>
                <w:szCs w:val="24"/>
                <w:u w:val="none" w:color="auto"/>
                <w:lang w:val="en-US" w:eastAsia="zh-CN" w:bidi="ar-SA"/>
              </w:rPr>
            </w:pPr>
            <w:r>
              <w:rPr>
                <w:rFonts w:hint="default" w:ascii="Times New Roman" w:hAnsi="Times New Roman" w:eastAsia="宋体" w:cs="Times New Roman"/>
                <w:b/>
                <w:bCs/>
                <w:color w:val="auto"/>
                <w:kern w:val="2"/>
                <w:sz w:val="24"/>
                <w:szCs w:val="24"/>
                <w:u w:val="none" w:color="auto"/>
                <w:lang w:val="en-US" w:eastAsia="zh-CN" w:bidi="ar-SA"/>
              </w:rPr>
              <w:t>表1-</w:t>
            </w:r>
            <w:r>
              <w:rPr>
                <w:rFonts w:hint="eastAsia" w:cs="Times New Roman"/>
                <w:b/>
                <w:bCs/>
                <w:color w:val="auto"/>
                <w:kern w:val="2"/>
                <w:sz w:val="24"/>
                <w:szCs w:val="24"/>
                <w:u w:val="none" w:color="auto"/>
                <w:lang w:val="en-US" w:eastAsia="zh-CN" w:bidi="ar-SA"/>
              </w:rPr>
              <w:t>2</w:t>
            </w:r>
            <w:r>
              <w:rPr>
                <w:rFonts w:hint="eastAsia" w:ascii="Times New Roman" w:hAnsi="Times New Roman" w:eastAsia="宋体" w:cs="Times New Roman"/>
                <w:b/>
                <w:bCs/>
                <w:color w:val="auto"/>
                <w:kern w:val="2"/>
                <w:sz w:val="24"/>
                <w:szCs w:val="24"/>
                <w:u w:val="none" w:color="auto"/>
                <w:lang w:val="en-US" w:eastAsia="zh-CN" w:bidi="ar-SA"/>
              </w:rPr>
              <w:t xml:space="preserve"> </w:t>
            </w:r>
            <w:r>
              <w:rPr>
                <w:rFonts w:hint="eastAsia" w:cs="Times New Roman"/>
                <w:b/>
                <w:bCs/>
                <w:color w:val="auto"/>
                <w:kern w:val="2"/>
                <w:sz w:val="24"/>
                <w:szCs w:val="24"/>
                <w:u w:val="none" w:color="auto"/>
                <w:lang w:val="en-US" w:eastAsia="zh-CN" w:bidi="ar-SA"/>
              </w:rPr>
              <w:t xml:space="preserve"> </w:t>
            </w:r>
            <w:r>
              <w:rPr>
                <w:rFonts w:hint="default" w:ascii="Times New Roman" w:hAnsi="Times New Roman" w:eastAsia="宋体" w:cs="Times New Roman"/>
                <w:b/>
                <w:bCs/>
                <w:color w:val="auto"/>
                <w:kern w:val="2"/>
                <w:sz w:val="24"/>
                <w:szCs w:val="24"/>
                <w:u w:val="none" w:color="auto"/>
                <w:lang w:val="en-US" w:eastAsia="zh-CN" w:bidi="ar-SA"/>
              </w:rPr>
              <w:t>与</w:t>
            </w:r>
            <w:r>
              <w:rPr>
                <w:rFonts w:hint="eastAsia" w:ascii="Times New Roman" w:hAnsi="Times New Roman" w:eastAsia="宋体" w:cs="Times New Roman"/>
                <w:b/>
                <w:bCs/>
                <w:color w:val="auto"/>
                <w:kern w:val="2"/>
                <w:sz w:val="24"/>
                <w:szCs w:val="24"/>
                <w:u w:val="none" w:color="auto"/>
                <w:lang w:val="en-US" w:eastAsia="zh-CN" w:bidi="ar-SA"/>
              </w:rPr>
              <w:t>《怀化市生态环境分区管控基本要求暨环境管控单元（省级以上产业园区除外）生态环境准入清单（2023版）》</w:t>
            </w:r>
            <w:r>
              <w:rPr>
                <w:rFonts w:hint="default" w:ascii="Times New Roman" w:hAnsi="Times New Roman" w:eastAsia="宋体" w:cs="Times New Roman"/>
                <w:b/>
                <w:bCs/>
                <w:color w:val="auto"/>
                <w:kern w:val="2"/>
                <w:sz w:val="24"/>
                <w:szCs w:val="24"/>
                <w:u w:val="none" w:color="auto"/>
                <w:lang w:val="en-US" w:eastAsia="zh-CN" w:bidi="ar-SA"/>
              </w:rPr>
              <w:t>符合性</w:t>
            </w:r>
          </w:p>
          <w:tbl>
            <w:tblPr>
              <w:tblStyle w:val="32"/>
              <w:tblW w:w="6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500"/>
              <w:gridCol w:w="1529"/>
              <w:gridCol w:w="1243"/>
              <w:gridCol w:w="630"/>
              <w:gridCol w:w="744"/>
            </w:tblGrid>
            <w:tr w14:paraId="0936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7C6F570D">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环境管控单元编码</w:t>
                  </w:r>
                </w:p>
              </w:tc>
              <w:tc>
                <w:tcPr>
                  <w:tcW w:w="1500" w:type="dxa"/>
                  <w:noWrap w:val="0"/>
                  <w:vAlign w:val="center"/>
                </w:tcPr>
                <w:p w14:paraId="1E6B0A30">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单元分类</w:t>
                  </w:r>
                </w:p>
              </w:tc>
              <w:tc>
                <w:tcPr>
                  <w:tcW w:w="1529" w:type="dxa"/>
                  <w:noWrap w:val="0"/>
                  <w:vAlign w:val="center"/>
                </w:tcPr>
                <w:p w14:paraId="1F0499A3">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单元面积（km</w:t>
                  </w:r>
                  <w:r>
                    <w:rPr>
                      <w:rFonts w:hint="default" w:ascii="Times New Roman" w:hAnsi="Times New Roman" w:eastAsia="宋体" w:cs="Times New Roman"/>
                      <w:color w:val="auto"/>
                      <w:sz w:val="21"/>
                      <w:szCs w:val="21"/>
                      <w:highlight w:val="none"/>
                      <w:u w:val="none" w:color="auto"/>
                      <w:vertAlign w:val="superscript"/>
                      <w:lang w:val="en-US" w:eastAsia="zh-CN"/>
                    </w:rPr>
                    <w:t>2</w:t>
                  </w:r>
                  <w:r>
                    <w:rPr>
                      <w:rFonts w:hint="default" w:ascii="Times New Roman" w:hAnsi="Times New Roman" w:eastAsia="宋体" w:cs="Times New Roman"/>
                      <w:color w:val="auto"/>
                      <w:sz w:val="21"/>
                      <w:szCs w:val="21"/>
                      <w:highlight w:val="none"/>
                      <w:u w:val="none" w:color="auto"/>
                      <w:lang w:val="en-US" w:eastAsia="zh-CN"/>
                    </w:rPr>
                    <w:t>）</w:t>
                  </w:r>
                </w:p>
              </w:tc>
              <w:tc>
                <w:tcPr>
                  <w:tcW w:w="1243" w:type="dxa"/>
                  <w:noWrap w:val="0"/>
                  <w:vAlign w:val="center"/>
                </w:tcPr>
                <w:p w14:paraId="4A0C4227">
                  <w:pPr>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涉及乡镇</w:t>
                  </w:r>
                </w:p>
                <w:p w14:paraId="7237FEEE">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（街道）</w:t>
                  </w:r>
                </w:p>
              </w:tc>
              <w:tc>
                <w:tcPr>
                  <w:tcW w:w="1374" w:type="dxa"/>
                  <w:gridSpan w:val="2"/>
                  <w:noWrap w:val="0"/>
                  <w:vAlign w:val="center"/>
                </w:tcPr>
                <w:p w14:paraId="5B2F96E1">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主体功能定位</w:t>
                  </w:r>
                </w:p>
              </w:tc>
            </w:tr>
            <w:tr w14:paraId="7B0F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359237D8">
                  <w:pPr>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ZH43122410001</w:t>
                  </w:r>
                </w:p>
              </w:tc>
              <w:tc>
                <w:tcPr>
                  <w:tcW w:w="1500" w:type="dxa"/>
                  <w:noWrap w:val="0"/>
                  <w:vAlign w:val="center"/>
                </w:tcPr>
                <w:p w14:paraId="4BDA49CE">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优先保护单元</w:t>
                  </w:r>
                </w:p>
              </w:tc>
              <w:tc>
                <w:tcPr>
                  <w:tcW w:w="1529" w:type="dxa"/>
                  <w:noWrap w:val="0"/>
                  <w:vAlign w:val="center"/>
                </w:tcPr>
                <w:p w14:paraId="357F2BB5">
                  <w:pPr>
                    <w:spacing w:line="240" w:lineRule="auto"/>
                    <w:ind w:left="0" w:leftChars="0" w:firstLine="0" w:firstLineChars="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380.77</w:t>
                  </w:r>
                </w:p>
              </w:tc>
              <w:tc>
                <w:tcPr>
                  <w:tcW w:w="1243" w:type="dxa"/>
                  <w:noWrap w:val="0"/>
                  <w:vAlign w:val="center"/>
                </w:tcPr>
                <w:p w14:paraId="79678310">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龙潭镇</w:t>
                  </w:r>
                </w:p>
              </w:tc>
              <w:tc>
                <w:tcPr>
                  <w:tcW w:w="1374" w:type="dxa"/>
                  <w:gridSpan w:val="2"/>
                  <w:noWrap w:val="0"/>
                  <w:vAlign w:val="center"/>
                </w:tcPr>
                <w:p w14:paraId="18C48071">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龙潭镇：重点生态功能区</w:t>
                  </w:r>
                </w:p>
              </w:tc>
            </w:tr>
            <w:tr w14:paraId="0AE8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0" w:type="dxa"/>
                  <w:gridSpan w:val="3"/>
                  <w:noWrap w:val="0"/>
                  <w:vAlign w:val="center"/>
                </w:tcPr>
                <w:p w14:paraId="41D0C896">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具体要求</w:t>
                  </w:r>
                </w:p>
              </w:tc>
              <w:tc>
                <w:tcPr>
                  <w:tcW w:w="1873" w:type="dxa"/>
                  <w:gridSpan w:val="2"/>
                  <w:noWrap w:val="0"/>
                  <w:vAlign w:val="center"/>
                </w:tcPr>
                <w:p w14:paraId="7D21EBA7">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本项目情况</w:t>
                  </w:r>
                </w:p>
              </w:tc>
              <w:tc>
                <w:tcPr>
                  <w:tcW w:w="744" w:type="dxa"/>
                  <w:noWrap w:val="0"/>
                  <w:vAlign w:val="center"/>
                </w:tcPr>
                <w:p w14:paraId="71E2154D">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符合性</w:t>
                  </w:r>
                </w:p>
              </w:tc>
            </w:tr>
            <w:tr w14:paraId="6DCE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34D96C88">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空间布局约束</w:t>
                  </w:r>
                </w:p>
              </w:tc>
              <w:tc>
                <w:tcPr>
                  <w:tcW w:w="3029" w:type="dxa"/>
                  <w:gridSpan w:val="2"/>
                  <w:noWrap w:val="0"/>
                  <w:vAlign w:val="center"/>
                </w:tcPr>
                <w:p w14:paraId="06BCD526">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（1.1）禁止占用耕地建窑、建坟或者擅自在耕地上挖砂、采石、采矿等。</w:t>
                  </w:r>
                </w:p>
                <w:p w14:paraId="3030E060">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（1.2）非农建设必须节约使用土地，可以利用荒地的，不得占用耕地；可以利用劣地的，不得占用好地。</w:t>
                  </w:r>
                </w:p>
                <w:p w14:paraId="1B5379E2">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（1.3）禁养区内不得新建、扩建和改建各类畜禽养殖场及畜禽养殖户。</w:t>
                  </w:r>
                </w:p>
                <w:p w14:paraId="249E44C8">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（1.4）饮用水源一级保护区内禁止建设养殖场，饮用水源二级保护区禁止建设有污染排放的养殖场。</w:t>
                  </w:r>
                </w:p>
                <w:p w14:paraId="3EB111CC">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（1.5）严格控制建设项目使用国家级森林公园林地，确需使用国家级森林公园林地的，应当避免或者减少对森林景观、生态以及旅游活动的影响，并依法办理林地占用、征收审核审批手续。</w:t>
                  </w:r>
                </w:p>
              </w:tc>
              <w:tc>
                <w:tcPr>
                  <w:tcW w:w="1873" w:type="dxa"/>
                  <w:gridSpan w:val="2"/>
                  <w:noWrap w:val="0"/>
                  <w:vAlign w:val="center"/>
                </w:tcPr>
                <w:p w14:paraId="13D0D1E8">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（1）本项目不涉及；</w:t>
                  </w:r>
                </w:p>
                <w:p w14:paraId="33EF7012">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（2）本项目不占用耕地、林地等；</w:t>
                  </w:r>
                </w:p>
                <w:p w14:paraId="5A1B5B04">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（3）本项目不涉及；</w:t>
                  </w:r>
                </w:p>
                <w:p w14:paraId="3C23780B">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（4）本项目位于溆浦县龙潭镇，不涉及饮用水源保护区；</w:t>
                  </w:r>
                </w:p>
                <w:p w14:paraId="3C87504B">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（5）本项目不涉及。</w:t>
                  </w:r>
                </w:p>
              </w:tc>
              <w:tc>
                <w:tcPr>
                  <w:tcW w:w="744" w:type="dxa"/>
                  <w:noWrap w:val="0"/>
                  <w:vAlign w:val="center"/>
                </w:tcPr>
                <w:p w14:paraId="51B16A02">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4807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4C79A020">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污染物排放管控</w:t>
                  </w:r>
                </w:p>
              </w:tc>
              <w:tc>
                <w:tcPr>
                  <w:tcW w:w="3029" w:type="dxa"/>
                  <w:gridSpan w:val="2"/>
                  <w:noWrap w:val="0"/>
                  <w:vAlign w:val="center"/>
                </w:tcPr>
                <w:p w14:paraId="3D5161D0">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2.1）废水</w:t>
                  </w:r>
                </w:p>
                <w:p w14:paraId="587300D3">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（2.1.1）统筹推进人居环境综合治理，因地制宜推进农村改厕、污水处理和农业面源污染治理。</w:t>
                  </w:r>
                </w:p>
                <w:p w14:paraId="6693A5C8">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（2.1.2）加快实施现有管网雨污分流改造。城镇新区建设严格实施雨污分流，配套管网同步设计、同步建设、同步投运。城镇污水处理设施污水收集率在90%以上</w:t>
                  </w:r>
                </w:p>
                <w:p w14:paraId="34B129F4">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（2.1.3）推进中小企业入园，加快完善污水收集、处理、排放设施设备，加大环境污染综合治理和重点污染源监控。</w:t>
                  </w:r>
                </w:p>
                <w:p w14:paraId="0AC96BC4">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（2.1.4）优化肥料结构与施肥方式，削减养殖业和种植业污染负荷，促进农业面源污染防治。</w:t>
                  </w:r>
                </w:p>
                <w:p w14:paraId="2842F73F">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（2.2）废气</w:t>
                  </w:r>
                </w:p>
                <w:p w14:paraId="409325DA">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（2.2.1）推进大气污染防治，加强工业源污染治理，强化燃煤锅炉烟气排放监管，对重点行业、重点企业开展监督管理，加快推进中小企业入园。</w:t>
                  </w:r>
                </w:p>
                <w:p w14:paraId="2A27295C">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（2.2.2）加强施工扬尘综合整治，控制道路扬尘污染。</w:t>
                  </w:r>
                </w:p>
                <w:p w14:paraId="3066086B">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（2.2.3）推进秸秆资源化利用，禁止露天焚烧秸秆。</w:t>
                  </w:r>
                </w:p>
                <w:p w14:paraId="6274CC02">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（2.3）固体废物</w:t>
                  </w:r>
                </w:p>
                <w:p w14:paraId="4EDC9D4E">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（2.3.1）加强工矿企业污染治理，强化固体废物、危险废物管控，加强医疗废物监管，实现村卫生所医疗垃圾统一处理。</w:t>
                  </w:r>
                </w:p>
                <w:p w14:paraId="2392247F">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（2.3.2）深入推进城乡垃圾减量分类、收集、转运及处理处置设施建设，推动形成绿色发展方式和生活方式。</w:t>
                  </w:r>
                </w:p>
              </w:tc>
              <w:tc>
                <w:tcPr>
                  <w:tcW w:w="1873" w:type="dxa"/>
                  <w:gridSpan w:val="2"/>
                  <w:noWrap w:val="0"/>
                  <w:vAlign w:val="center"/>
                </w:tcPr>
                <w:p w14:paraId="1D2943A9">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（1）本项目位于溆浦县龙潭镇岩板村，项目生活污水经隔油池和化粪池处理后排入龙潭镇污水处理厂综合处理；生产废水循环使用，</w:t>
                  </w:r>
                  <w:r>
                    <w:rPr>
                      <w:rFonts w:hint="eastAsia"/>
                      <w:color w:val="auto"/>
                      <w:kern w:val="0"/>
                      <w:sz w:val="21"/>
                      <w:szCs w:val="21"/>
                      <w:u w:val="single"/>
                      <w:lang w:val="en-US" w:eastAsia="zh-CN" w:bidi="ar-SA"/>
                    </w:rPr>
                    <w:t>通过市政污水管网排入龙潭镇污水处理厂综合处理</w:t>
                  </w:r>
                  <w:r>
                    <w:rPr>
                      <w:rFonts w:hint="eastAsia" w:ascii="Times New Roman" w:hAnsi="Times New Roman" w:eastAsia="宋体" w:cs="Times New Roman"/>
                      <w:color w:val="auto"/>
                      <w:sz w:val="21"/>
                      <w:szCs w:val="21"/>
                      <w:highlight w:val="none"/>
                      <w:u w:val="none" w:color="auto"/>
                      <w:lang w:val="en-US" w:eastAsia="zh-CN"/>
                    </w:rPr>
                    <w:t>。</w:t>
                  </w:r>
                </w:p>
                <w:p w14:paraId="5CAE9FAA">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（2）本项目</w:t>
                  </w:r>
                  <w:r>
                    <w:rPr>
                      <w:rFonts w:hint="eastAsia" w:cs="Times New Roman"/>
                      <w:color w:val="auto"/>
                      <w:sz w:val="21"/>
                      <w:szCs w:val="21"/>
                      <w:highlight w:val="none"/>
                      <w:u w:val="none" w:color="auto"/>
                      <w:lang w:val="en-US" w:eastAsia="zh-CN"/>
                    </w:rPr>
                    <w:t>不设锅炉，蒸汽发生器的</w:t>
                  </w:r>
                  <w:r>
                    <w:rPr>
                      <w:rFonts w:hint="eastAsia" w:ascii="Times New Roman" w:hAnsi="Times New Roman" w:eastAsia="宋体" w:cs="Times New Roman"/>
                      <w:color w:val="auto"/>
                      <w:sz w:val="21"/>
                      <w:szCs w:val="21"/>
                      <w:highlight w:val="none"/>
                      <w:u w:val="none" w:color="auto"/>
                      <w:lang w:val="en-US" w:eastAsia="zh-CN"/>
                    </w:rPr>
                    <w:t>生物质</w:t>
                  </w:r>
                  <w:r>
                    <w:rPr>
                      <w:rFonts w:hint="eastAsia" w:eastAsia="宋体"/>
                      <w:color w:val="auto"/>
                      <w:sz w:val="21"/>
                      <w:szCs w:val="21"/>
                      <w:lang w:val="en-US" w:eastAsia="zh-CN"/>
                    </w:rPr>
                    <w:t>燃烧</w:t>
                  </w:r>
                  <w:r>
                    <w:rPr>
                      <w:rFonts w:hint="eastAsia"/>
                      <w:color w:val="auto"/>
                      <w:sz w:val="21"/>
                      <w:szCs w:val="21"/>
                      <w:lang w:val="en-US" w:eastAsia="zh-CN"/>
                    </w:rPr>
                    <w:t>废气经</w:t>
                  </w:r>
                  <w:r>
                    <w:rPr>
                      <w:rFonts w:hint="eastAsia"/>
                      <w:color w:val="auto"/>
                      <w:u w:val="none"/>
                      <w:lang w:eastAsia="zh-CN"/>
                    </w:rPr>
                    <w:t>布袋除尘处理后由</w:t>
                  </w:r>
                  <w:r>
                    <w:rPr>
                      <w:rFonts w:hint="eastAsia"/>
                      <w:color w:val="auto"/>
                      <w:u w:val="none"/>
                      <w:lang w:val="en-US" w:eastAsia="zh-CN"/>
                    </w:rPr>
                    <w:t>15米高排气筒排放</w:t>
                  </w:r>
                  <w:r>
                    <w:rPr>
                      <w:rFonts w:hint="eastAsia"/>
                      <w:color w:val="auto"/>
                      <w:sz w:val="21"/>
                      <w:szCs w:val="21"/>
                      <w:lang w:val="en-US" w:eastAsia="zh-CN"/>
                    </w:rPr>
                    <w:t>，破碎粉尘</w:t>
                  </w:r>
                  <w:r>
                    <w:rPr>
                      <w:rFonts w:hint="eastAsia" w:hAnsi="宋体"/>
                      <w:color w:val="auto"/>
                      <w:sz w:val="21"/>
                      <w:szCs w:val="21"/>
                      <w:lang w:val="en-US" w:eastAsia="zh-CN"/>
                    </w:rPr>
                    <w:t>布袋除尘器处理后排放，</w:t>
                  </w:r>
                  <w:r>
                    <w:rPr>
                      <w:rFonts w:hint="eastAsia"/>
                      <w:color w:val="auto"/>
                      <w:sz w:val="21"/>
                      <w:szCs w:val="21"/>
                      <w:lang w:val="en-US" w:eastAsia="zh-CN"/>
                    </w:rPr>
                    <w:t>食堂油烟</w:t>
                  </w:r>
                  <w:r>
                    <w:rPr>
                      <w:rFonts w:hint="eastAsia" w:hAnsi="宋体"/>
                      <w:color w:val="auto"/>
                      <w:sz w:val="21"/>
                      <w:szCs w:val="21"/>
                      <w:lang w:val="en-US" w:eastAsia="zh-CN"/>
                    </w:rPr>
                    <w:t>经油烟净化装置处理后通过专用排气筒引至屋顶高空排放</w:t>
                  </w:r>
                  <w:r>
                    <w:rPr>
                      <w:rFonts w:hint="eastAsia" w:ascii="Times New Roman" w:hAnsi="Times New Roman" w:eastAsia="宋体" w:cs="Times New Roman"/>
                      <w:color w:val="auto"/>
                      <w:sz w:val="21"/>
                      <w:szCs w:val="21"/>
                      <w:highlight w:val="none"/>
                      <w:u w:val="none" w:color="auto"/>
                      <w:lang w:val="en-US" w:eastAsia="zh-CN"/>
                    </w:rPr>
                    <w:t>。</w:t>
                  </w:r>
                </w:p>
                <w:p w14:paraId="778E0F2E">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w:t>
                  </w:r>
                  <w:r>
                    <w:rPr>
                      <w:rFonts w:hint="default" w:ascii="Times New Roman" w:hAnsi="Times New Roman" w:cs="Times New Roman"/>
                      <w:color w:val="auto"/>
                      <w:kern w:val="0"/>
                      <w:sz w:val="21"/>
                      <w:szCs w:val="21"/>
                      <w:u w:val="none"/>
                    </w:rPr>
                    <w:t>生活垃圾交环卫部门统一处置</w:t>
                  </w:r>
                  <w:r>
                    <w:rPr>
                      <w:rFonts w:hint="eastAsia" w:ascii="Times New Roman" w:hAnsi="Times New Roman" w:cs="Times New Roman"/>
                      <w:color w:val="auto"/>
                      <w:kern w:val="0"/>
                      <w:sz w:val="21"/>
                      <w:szCs w:val="21"/>
                      <w:u w:val="none"/>
                      <w:lang w:eastAsia="zh-CN"/>
                    </w:rPr>
                    <w:t>；</w:t>
                  </w:r>
                  <w:r>
                    <w:rPr>
                      <w:rFonts w:hint="eastAsia" w:ascii="Times New Roman" w:hAnsi="Times New Roman" w:cs="Times New Roman"/>
                      <w:color w:val="auto"/>
                      <w:kern w:val="0"/>
                      <w:sz w:val="21"/>
                      <w:szCs w:val="21"/>
                      <w:u w:val="none"/>
                      <w:lang w:val="en-US" w:eastAsia="zh-CN"/>
                    </w:rPr>
                    <w:t>工业固废分类收集后外售给物资公司或委托其他公司资源化利用</w:t>
                  </w:r>
                  <w:r>
                    <w:rPr>
                      <w:rFonts w:hint="eastAsia" w:ascii="Times New Roman" w:hAnsi="Times New Roman" w:eastAsia="宋体" w:cs="Times New Roman"/>
                      <w:color w:val="auto"/>
                      <w:sz w:val="21"/>
                      <w:szCs w:val="21"/>
                      <w:highlight w:val="none"/>
                      <w:u w:val="none" w:color="auto"/>
                      <w:lang w:val="en-US" w:eastAsia="zh-CN"/>
                    </w:rPr>
                    <w:t>。</w:t>
                  </w:r>
                </w:p>
              </w:tc>
              <w:tc>
                <w:tcPr>
                  <w:tcW w:w="744" w:type="dxa"/>
                  <w:noWrap w:val="0"/>
                  <w:vAlign w:val="center"/>
                </w:tcPr>
                <w:p w14:paraId="4622D50A">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3B8F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641162CE">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环境风险防控</w:t>
                  </w:r>
                </w:p>
              </w:tc>
              <w:tc>
                <w:tcPr>
                  <w:tcW w:w="3029" w:type="dxa"/>
                  <w:gridSpan w:val="2"/>
                  <w:noWrap w:val="0"/>
                  <w:vAlign w:val="center"/>
                </w:tcPr>
                <w:p w14:paraId="7CF47361">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（3.1）完善风险防控体系建设，落实《溆浦县突发环境事件应急预案》的相关要求，严防环境风险事故发生，提高应急处置能力。</w:t>
                  </w:r>
                </w:p>
                <w:p w14:paraId="6B972753">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（3.2）加强村镇饮用水源地保护，有效防范水源地环境风险。</w:t>
                  </w:r>
                </w:p>
                <w:p w14:paraId="6299BA57">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（3.3）严格落实《农用地土壤环境管理办法》相关要求，强化农用地土壤环境保护监督管理，保护农用地土壤环境，管控农用地土壤环境风险。</w:t>
                  </w:r>
                </w:p>
                <w:p w14:paraId="61A79E58">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（3.4）开展矿山地质环境整治、矿山</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三废</w:t>
                  </w:r>
                  <w:r>
                    <w:rPr>
                      <w:rFonts w:hint="eastAsia" w:cs="Times New Roman"/>
                      <w:color w:val="auto"/>
                      <w:sz w:val="21"/>
                      <w:szCs w:val="21"/>
                      <w:highlight w:val="none"/>
                      <w:u w:val="none" w:color="auto"/>
                      <w:lang w:val="en-US" w:eastAsia="zh-CN"/>
                    </w:rPr>
                    <w:t>”</w:t>
                  </w:r>
                  <w:r>
                    <w:rPr>
                      <w:rFonts w:hint="eastAsia" w:ascii="Times New Roman" w:hAnsi="Times New Roman" w:eastAsia="宋体" w:cs="Times New Roman"/>
                      <w:color w:val="auto"/>
                      <w:sz w:val="21"/>
                      <w:szCs w:val="21"/>
                      <w:highlight w:val="none"/>
                      <w:u w:val="none" w:color="auto"/>
                      <w:lang w:val="en-US" w:eastAsia="zh-CN"/>
                    </w:rPr>
                    <w:t>治理、退役矿山综合整治、土地复垦还绿专项整治，促进产业空间整合，推动矿山恢复治理及综合利用。</w:t>
                  </w:r>
                </w:p>
              </w:tc>
              <w:tc>
                <w:tcPr>
                  <w:tcW w:w="1873" w:type="dxa"/>
                  <w:gridSpan w:val="2"/>
                  <w:noWrap w:val="0"/>
                  <w:vAlign w:val="center"/>
                </w:tcPr>
                <w:p w14:paraId="145A64FE">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（1）本项目运营期，建设单位需建立风险防控体系，落实《溆浦县突发环境事件应急预案》的相关要求，严防环境风险事故发生，提高应急处置能力；</w:t>
                  </w:r>
                </w:p>
                <w:p w14:paraId="74B70037">
                  <w:pPr>
                    <w:spacing w:line="240" w:lineRule="auto"/>
                    <w:ind w:left="0" w:leftChars="0" w:firstLine="0" w:firstLineChars="0"/>
                    <w:jc w:val="left"/>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（2）本项目不涉及饮用水源地保护；</w:t>
                  </w:r>
                </w:p>
                <w:p w14:paraId="37A2D265">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（3）项目不涉农用地；</w:t>
                  </w:r>
                </w:p>
                <w:p w14:paraId="274DBFD4">
                  <w:pPr>
                    <w:spacing w:line="240" w:lineRule="auto"/>
                    <w:ind w:left="0" w:leftChars="0" w:firstLine="0" w:firstLineChars="0"/>
                    <w:jc w:val="left"/>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（4）本项目</w:t>
                  </w:r>
                  <w:r>
                    <w:rPr>
                      <w:rFonts w:hint="eastAsia" w:cs="Times New Roman"/>
                      <w:color w:val="auto"/>
                      <w:sz w:val="21"/>
                      <w:szCs w:val="21"/>
                      <w:highlight w:val="none"/>
                      <w:u w:val="none" w:color="auto"/>
                      <w:lang w:val="en-US" w:eastAsia="zh-CN"/>
                    </w:rPr>
                    <w:t>不涉及</w:t>
                  </w:r>
                  <w:r>
                    <w:rPr>
                      <w:rFonts w:hint="eastAsia" w:ascii="Times New Roman" w:hAnsi="Times New Roman" w:eastAsia="宋体" w:cs="Times New Roman"/>
                      <w:color w:val="auto"/>
                      <w:sz w:val="21"/>
                      <w:szCs w:val="21"/>
                      <w:highlight w:val="none"/>
                      <w:u w:val="none" w:color="auto"/>
                      <w:lang w:val="en-US" w:eastAsia="zh-CN"/>
                    </w:rPr>
                    <w:t>。</w:t>
                  </w:r>
                </w:p>
              </w:tc>
              <w:tc>
                <w:tcPr>
                  <w:tcW w:w="744" w:type="dxa"/>
                  <w:noWrap w:val="0"/>
                  <w:vAlign w:val="center"/>
                </w:tcPr>
                <w:p w14:paraId="0637A17C">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r w14:paraId="3F41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1" w:type="dxa"/>
                  <w:noWrap w:val="0"/>
                  <w:vAlign w:val="center"/>
                </w:tcPr>
                <w:p w14:paraId="111634FC">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资源开发频率要求</w:t>
                  </w:r>
                </w:p>
              </w:tc>
              <w:tc>
                <w:tcPr>
                  <w:tcW w:w="3029" w:type="dxa"/>
                  <w:gridSpan w:val="2"/>
                  <w:noWrap w:val="0"/>
                  <w:vAlign w:val="center"/>
                </w:tcPr>
                <w:p w14:paraId="622E2F63">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（4.1）能源</w:t>
                  </w:r>
                </w:p>
                <w:p w14:paraId="452155E6">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（4.1.1）科学开发利用清洁能源与可再生新能源，优化能源结构。</w:t>
                  </w:r>
                </w:p>
                <w:p w14:paraId="02EAE57C">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（4.1.2）加快开发秸秆废弃物、城市垃圾等生物质资源能源化利用，推进清洁能源产业化进程。</w:t>
                  </w:r>
                </w:p>
                <w:p w14:paraId="688E8DFB">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（4.2）水资源</w:t>
                  </w:r>
                </w:p>
                <w:p w14:paraId="1F0F573E">
                  <w:pPr>
                    <w:spacing w:line="240" w:lineRule="auto"/>
                    <w:ind w:left="0" w:leftChars="0" w:firstLine="0" w:firstLineChars="0"/>
                    <w:jc w:val="both"/>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到2025年，溆浦县用水总量21952万立方米，万元地区生产总值用水量比2020年下降21.86%，万元工业增加值用水量比2020年下降10.80%，农田灌溉水有效利用系数0.571。</w:t>
                  </w:r>
                </w:p>
                <w:p w14:paraId="1095C41D">
                  <w:pPr>
                    <w:spacing w:line="240" w:lineRule="auto"/>
                    <w:ind w:left="0" w:leftChars="0" w:firstLine="0" w:firstLineChars="0"/>
                    <w:jc w:val="left"/>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（4.3）土地资源</w:t>
                  </w:r>
                </w:p>
                <w:p w14:paraId="343C4CB2">
                  <w:pPr>
                    <w:spacing w:line="240" w:lineRule="auto"/>
                    <w:ind w:left="0" w:leftChars="0" w:firstLine="0" w:firstLineChars="0"/>
                    <w:jc w:val="both"/>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到2025年，溆浦县耕地保有量为67.26万亩，永久基本农田保护面积为59.34万亩，生态保护红线面积为1181.93万亩，城镇开发边界规模为30.77万亩。</w:t>
                  </w:r>
                </w:p>
              </w:tc>
              <w:tc>
                <w:tcPr>
                  <w:tcW w:w="1873" w:type="dxa"/>
                  <w:gridSpan w:val="2"/>
                  <w:noWrap w:val="0"/>
                  <w:vAlign w:val="center"/>
                </w:tcPr>
                <w:p w14:paraId="3E68018A">
                  <w:pPr>
                    <w:spacing w:line="240" w:lineRule="auto"/>
                    <w:ind w:left="0" w:leftChars="0" w:firstLine="0" w:firstLineChars="0"/>
                    <w:jc w:val="both"/>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w:t>
                  </w:r>
                  <w:r>
                    <w:rPr>
                      <w:rFonts w:hint="default" w:ascii="Times New Roman" w:hAnsi="Times New Roman" w:cs="Times New Roman"/>
                      <w:color w:val="auto"/>
                      <w:kern w:val="0"/>
                      <w:sz w:val="21"/>
                      <w:szCs w:val="21"/>
                      <w:u w:val="none"/>
                    </w:rPr>
                    <w:t>本项目使用电能、生物质颗粒</w:t>
                  </w:r>
                  <w:r>
                    <w:rPr>
                      <w:rFonts w:hint="eastAsia" w:ascii="Times New Roman" w:hAnsi="Times New Roman" w:cs="Times New Roman"/>
                      <w:color w:val="auto"/>
                      <w:kern w:val="0"/>
                      <w:sz w:val="21"/>
                      <w:szCs w:val="21"/>
                      <w:u w:val="none"/>
                      <w:lang w:eastAsia="zh-CN"/>
                    </w:rPr>
                    <w:t>，</w:t>
                  </w:r>
                  <w:r>
                    <w:rPr>
                      <w:rFonts w:hint="eastAsia"/>
                      <w:color w:val="auto"/>
                      <w:u w:val="none"/>
                      <w:lang w:val="en-US" w:eastAsia="zh-CN"/>
                    </w:rPr>
                    <w:t>生物质燃烧</w:t>
                  </w:r>
                  <w:r>
                    <w:rPr>
                      <w:rFonts w:hint="eastAsia"/>
                      <w:color w:val="auto"/>
                      <w:u w:val="none"/>
                      <w:lang w:eastAsia="zh-CN"/>
                    </w:rPr>
                    <w:t>废气经布袋除尘处理后由</w:t>
                  </w:r>
                  <w:r>
                    <w:rPr>
                      <w:rFonts w:hint="eastAsia"/>
                      <w:color w:val="auto"/>
                      <w:u w:val="none"/>
                      <w:lang w:val="en-US" w:eastAsia="zh-CN"/>
                    </w:rPr>
                    <w:t>15米高排气筒排放</w:t>
                  </w:r>
                  <w:r>
                    <w:rPr>
                      <w:rFonts w:hint="eastAsia" w:ascii="Times New Roman" w:hAnsi="Times New Roman" w:eastAsia="宋体" w:cs="Times New Roman"/>
                      <w:color w:val="auto"/>
                      <w:sz w:val="21"/>
                      <w:szCs w:val="21"/>
                      <w:highlight w:val="none"/>
                      <w:u w:val="none" w:color="auto"/>
                      <w:lang w:val="en-US" w:eastAsia="zh-CN"/>
                    </w:rPr>
                    <w:t>；</w:t>
                  </w:r>
                </w:p>
                <w:p w14:paraId="40688E3C">
                  <w:pPr>
                    <w:spacing w:line="240" w:lineRule="auto"/>
                    <w:ind w:left="0" w:leftChars="0" w:firstLine="0" w:firstLineChars="0"/>
                    <w:jc w:val="both"/>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（2）项</w:t>
                  </w:r>
                  <w:r>
                    <w:rPr>
                      <w:rFonts w:hint="eastAsia" w:cs="Times New Roman"/>
                      <w:color w:val="auto"/>
                      <w:sz w:val="21"/>
                      <w:szCs w:val="21"/>
                      <w:highlight w:val="none"/>
                      <w:u w:val="none" w:color="auto"/>
                      <w:lang w:val="en-US" w:eastAsia="zh-CN"/>
                    </w:rPr>
                    <w:t>生产、</w:t>
                  </w:r>
                  <w:r>
                    <w:rPr>
                      <w:rFonts w:hint="eastAsia" w:ascii="Times New Roman" w:hAnsi="Times New Roman" w:eastAsia="宋体" w:cs="Times New Roman"/>
                      <w:color w:val="auto"/>
                      <w:sz w:val="21"/>
                      <w:szCs w:val="21"/>
                      <w:u w:val="none" w:color="auto"/>
                      <w:lang w:val="en-US" w:eastAsia="zh-CN"/>
                    </w:rPr>
                    <w:t>生活</w:t>
                  </w:r>
                  <w:r>
                    <w:rPr>
                      <w:rFonts w:hint="eastAsia" w:cs="Times New Roman"/>
                      <w:color w:val="auto"/>
                      <w:sz w:val="21"/>
                      <w:szCs w:val="21"/>
                      <w:u w:val="none" w:color="auto"/>
                      <w:lang w:val="en-US" w:eastAsia="zh-CN"/>
                    </w:rPr>
                    <w:t>用水均由市政自来水供应</w:t>
                  </w:r>
                  <w:r>
                    <w:rPr>
                      <w:rFonts w:hint="eastAsia" w:ascii="Times New Roman" w:hAnsi="Times New Roman" w:eastAsia="宋体" w:cs="Times New Roman"/>
                      <w:color w:val="auto"/>
                      <w:sz w:val="21"/>
                      <w:szCs w:val="21"/>
                      <w:highlight w:val="none"/>
                      <w:u w:val="none" w:color="auto"/>
                      <w:lang w:val="en-US" w:eastAsia="zh-CN"/>
                    </w:rPr>
                    <w:t>；</w:t>
                  </w:r>
                </w:p>
                <w:p w14:paraId="672524CB">
                  <w:pPr>
                    <w:spacing w:line="240" w:lineRule="auto"/>
                    <w:ind w:left="0" w:leftChars="0" w:firstLine="0" w:firstLineChars="0"/>
                    <w:jc w:val="both"/>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（3）项目不涉及公益林、耕地、永久基本农田、生态保护红线等。</w:t>
                  </w:r>
                </w:p>
              </w:tc>
              <w:tc>
                <w:tcPr>
                  <w:tcW w:w="744" w:type="dxa"/>
                  <w:noWrap w:val="0"/>
                  <w:vAlign w:val="center"/>
                </w:tcPr>
                <w:p w14:paraId="1E8AFB52">
                  <w:pPr>
                    <w:spacing w:line="240" w:lineRule="auto"/>
                    <w:ind w:left="0" w:leftChars="0"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符合</w:t>
                  </w:r>
                </w:p>
              </w:tc>
            </w:tr>
          </w:tbl>
          <w:p w14:paraId="4D9171C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宋体" w:cs="Times New Roman"/>
                <w:b/>
                <w:snapToGrid w:val="0"/>
                <w:color w:val="auto"/>
                <w:spacing w:val="4"/>
                <w:kern w:val="0"/>
                <w:sz w:val="24"/>
                <w:szCs w:val="24"/>
                <w:u w:val="none" w:color="auto"/>
                <w:lang w:val="en-US" w:eastAsia="zh-CN"/>
              </w:rPr>
            </w:pPr>
            <w:r>
              <w:rPr>
                <w:rFonts w:hint="eastAsia" w:cs="Times New Roman"/>
                <w:b/>
                <w:bCs/>
                <w:color w:val="auto"/>
                <w:kern w:val="0"/>
                <w:sz w:val="24"/>
                <w:u w:val="none" w:color="auto"/>
                <w:lang w:val="en-US" w:eastAsia="zh-CN"/>
              </w:rPr>
              <w:t>2、</w:t>
            </w:r>
            <w:r>
              <w:rPr>
                <w:rFonts w:hint="eastAsia" w:ascii="Times New Roman" w:hAnsi="Times New Roman" w:eastAsia="宋体" w:cs="Times New Roman"/>
                <w:b/>
                <w:snapToGrid w:val="0"/>
                <w:color w:val="auto"/>
                <w:spacing w:val="4"/>
                <w:kern w:val="0"/>
                <w:sz w:val="24"/>
                <w:szCs w:val="24"/>
                <w:u w:val="none" w:color="auto"/>
                <w:lang w:val="en-US" w:eastAsia="zh-CN"/>
              </w:rPr>
              <w:t>与</w:t>
            </w:r>
            <w:r>
              <w:rPr>
                <w:rFonts w:hint="eastAsia" w:ascii="Times New Roman" w:hAnsi="Times New Roman" w:eastAsia="宋体" w:cs="Times New Roman"/>
                <w:b/>
                <w:snapToGrid w:val="0"/>
                <w:color w:val="auto"/>
                <w:spacing w:val="4"/>
                <w:kern w:val="0"/>
                <w:sz w:val="24"/>
                <w:szCs w:val="24"/>
                <w:u w:val="none" w:color="auto"/>
              </w:rPr>
              <w:t>《湖南省</w:t>
            </w:r>
            <w:r>
              <w:rPr>
                <w:rFonts w:hint="eastAsia" w:cs="Times New Roman"/>
                <w:b/>
                <w:snapToGrid w:val="0"/>
                <w:color w:val="auto"/>
                <w:spacing w:val="4"/>
                <w:kern w:val="0"/>
                <w:sz w:val="24"/>
                <w:szCs w:val="24"/>
                <w:u w:val="none" w:color="auto"/>
                <w:lang w:eastAsia="zh-CN"/>
              </w:rPr>
              <w:t>“</w:t>
            </w:r>
            <w:r>
              <w:rPr>
                <w:rFonts w:hint="eastAsia" w:ascii="Times New Roman" w:hAnsi="Times New Roman" w:eastAsia="宋体" w:cs="Times New Roman"/>
                <w:b/>
                <w:snapToGrid w:val="0"/>
                <w:color w:val="auto"/>
                <w:spacing w:val="4"/>
                <w:kern w:val="0"/>
                <w:sz w:val="24"/>
                <w:szCs w:val="24"/>
                <w:u w:val="none" w:color="auto"/>
              </w:rPr>
              <w:t>十四五</w:t>
            </w:r>
            <w:r>
              <w:rPr>
                <w:rFonts w:hint="eastAsia" w:cs="Times New Roman"/>
                <w:b/>
                <w:snapToGrid w:val="0"/>
                <w:color w:val="auto"/>
                <w:spacing w:val="4"/>
                <w:kern w:val="0"/>
                <w:sz w:val="24"/>
                <w:szCs w:val="24"/>
                <w:u w:val="none" w:color="auto"/>
                <w:lang w:eastAsia="zh-CN"/>
              </w:rPr>
              <w:t>”</w:t>
            </w:r>
            <w:r>
              <w:rPr>
                <w:rFonts w:hint="eastAsia" w:ascii="Times New Roman" w:hAnsi="Times New Roman" w:eastAsia="宋体" w:cs="Times New Roman"/>
                <w:b/>
                <w:snapToGrid w:val="0"/>
                <w:color w:val="auto"/>
                <w:spacing w:val="4"/>
                <w:kern w:val="0"/>
                <w:sz w:val="24"/>
                <w:szCs w:val="24"/>
                <w:u w:val="none" w:color="auto"/>
              </w:rPr>
              <w:t>生态环境保护规划》</w:t>
            </w:r>
            <w:r>
              <w:rPr>
                <w:rFonts w:hint="eastAsia" w:ascii="Times New Roman" w:hAnsi="Times New Roman" w:eastAsia="宋体" w:cs="Times New Roman"/>
                <w:b/>
                <w:snapToGrid w:val="0"/>
                <w:color w:val="auto"/>
                <w:spacing w:val="4"/>
                <w:kern w:val="0"/>
                <w:sz w:val="24"/>
                <w:szCs w:val="24"/>
                <w:u w:val="none" w:color="auto"/>
                <w:lang w:val="en-US" w:eastAsia="zh-CN"/>
              </w:rPr>
              <w:t>相符性分析</w:t>
            </w:r>
          </w:p>
          <w:p w14:paraId="69981D6F">
            <w:pPr>
              <w:pStyle w:val="9"/>
              <w:spacing w:line="360" w:lineRule="auto"/>
              <w:ind w:firstLine="480" w:firstLineChars="200"/>
              <w:jc w:val="left"/>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查阅湖南省人民政府办公厅于2021年9月30日发布的《湖南省</w:t>
            </w:r>
            <w:r>
              <w:rPr>
                <w:rFonts w:hint="eastAsia"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十四五</w:t>
            </w:r>
            <w:r>
              <w:rPr>
                <w:rFonts w:hint="eastAsia"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生</w:t>
            </w:r>
            <w:r>
              <w:rPr>
                <w:rFonts w:hint="eastAsia" w:ascii="Times New Roman" w:hAnsi="Times New Roman" w:eastAsia="宋体" w:cs="Times New Roman"/>
                <w:b w:val="0"/>
                <w:color w:val="auto"/>
                <w:kern w:val="2"/>
                <w:sz w:val="24"/>
                <w:szCs w:val="24"/>
                <w:highlight w:val="none"/>
                <w:u w:val="none" w:color="auto"/>
                <w:lang w:val="en-US" w:eastAsia="zh-CN" w:bidi="ar-SA"/>
              </w:rPr>
              <w:t>态环境保护规划》，项目产生的废水、废气、固废及噪声采用的处理措施属于可行技术、处理后可做到达标排放</w:t>
            </w:r>
            <w:r>
              <w:rPr>
                <w:rFonts w:hint="eastAsia" w:ascii="Times New Roman" w:hAnsi="Times New Roman" w:eastAsia="宋体" w:cs="Times New Roman"/>
                <w:color w:val="auto"/>
                <w:kern w:val="2"/>
                <w:sz w:val="24"/>
                <w:szCs w:val="24"/>
                <w:highlight w:val="none"/>
                <w:u w:val="none" w:color="auto"/>
                <w:lang w:val="en-US" w:eastAsia="zh-CN" w:bidi="ar-SA"/>
              </w:rPr>
              <w:t>，项目的建设符合《湖南省</w:t>
            </w:r>
            <w:r>
              <w:rPr>
                <w:rFonts w:hint="eastAsia"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十四五</w:t>
            </w:r>
            <w:r>
              <w:rPr>
                <w:rFonts w:hint="eastAsia"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生态环境保护规划》要求。</w:t>
            </w:r>
          </w:p>
          <w:p w14:paraId="52969279">
            <w:pPr>
              <w:pStyle w:val="124"/>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kern w:val="0"/>
                <w:sz w:val="24"/>
                <w:szCs w:val="24"/>
                <w:u w:val="none"/>
                <w:lang w:val="en-US" w:eastAsia="zh-CN"/>
              </w:rPr>
            </w:pPr>
            <w:r>
              <w:rPr>
                <w:rFonts w:hint="eastAsia" w:cs="Times New Roman"/>
                <w:b/>
                <w:bCs/>
                <w:color w:val="auto"/>
                <w:kern w:val="0"/>
                <w:sz w:val="24"/>
                <w:szCs w:val="24"/>
                <w:u w:val="none"/>
                <w:lang w:val="en-US" w:eastAsia="zh-CN"/>
              </w:rPr>
              <w:t>3、</w:t>
            </w:r>
            <w:r>
              <w:rPr>
                <w:rFonts w:hint="default" w:ascii="Times New Roman" w:hAnsi="Times New Roman" w:eastAsia="宋体" w:cs="Times New Roman"/>
                <w:b/>
                <w:bCs/>
                <w:color w:val="auto"/>
                <w:kern w:val="0"/>
                <w:sz w:val="24"/>
                <w:szCs w:val="24"/>
                <w:u w:val="none"/>
                <w:lang w:val="en-US" w:eastAsia="zh-CN"/>
              </w:rPr>
              <w:t>与《</w:t>
            </w:r>
            <w:r>
              <w:rPr>
                <w:rFonts w:hint="eastAsia" w:ascii="Times New Roman" w:hAnsi="Times New Roman" w:eastAsia="宋体" w:cs="Times New Roman"/>
                <w:b/>
                <w:bCs/>
                <w:color w:val="auto"/>
                <w:kern w:val="0"/>
                <w:sz w:val="24"/>
                <w:szCs w:val="24"/>
                <w:u w:val="none"/>
                <w:lang w:val="en-US" w:eastAsia="zh-CN"/>
              </w:rPr>
              <w:t>怀化市</w:t>
            </w:r>
            <w:r>
              <w:rPr>
                <w:rFonts w:hint="eastAsia" w:cs="Times New Roman"/>
                <w:b/>
                <w:bCs/>
                <w:color w:val="auto"/>
                <w:kern w:val="0"/>
                <w:sz w:val="24"/>
                <w:szCs w:val="24"/>
                <w:u w:val="none"/>
                <w:lang w:val="en-US" w:eastAsia="zh-CN"/>
              </w:rPr>
              <w:t>“</w:t>
            </w:r>
            <w:r>
              <w:rPr>
                <w:rFonts w:hint="eastAsia" w:ascii="Times New Roman" w:hAnsi="Times New Roman" w:eastAsia="宋体" w:cs="Times New Roman"/>
                <w:b/>
                <w:bCs/>
                <w:color w:val="auto"/>
                <w:kern w:val="0"/>
                <w:sz w:val="24"/>
                <w:szCs w:val="24"/>
                <w:u w:val="none"/>
                <w:lang w:val="en-US" w:eastAsia="zh-CN"/>
              </w:rPr>
              <w:t>十四五</w:t>
            </w:r>
            <w:r>
              <w:rPr>
                <w:rFonts w:hint="eastAsia" w:cs="Times New Roman"/>
                <w:b/>
                <w:bCs/>
                <w:color w:val="auto"/>
                <w:kern w:val="0"/>
                <w:sz w:val="24"/>
                <w:szCs w:val="24"/>
                <w:u w:val="none"/>
                <w:lang w:val="en-US" w:eastAsia="zh-CN"/>
              </w:rPr>
              <w:t>”</w:t>
            </w:r>
            <w:r>
              <w:rPr>
                <w:rFonts w:hint="eastAsia" w:ascii="Times New Roman" w:hAnsi="Times New Roman" w:eastAsia="宋体" w:cs="Times New Roman"/>
                <w:b/>
                <w:bCs/>
                <w:color w:val="auto"/>
                <w:kern w:val="0"/>
                <w:sz w:val="24"/>
                <w:szCs w:val="24"/>
                <w:u w:val="none"/>
                <w:lang w:val="en-US" w:eastAsia="zh-CN"/>
              </w:rPr>
              <w:t>生态环境保护规划</w:t>
            </w:r>
            <w:r>
              <w:rPr>
                <w:rFonts w:hint="default" w:ascii="Times New Roman" w:hAnsi="Times New Roman" w:eastAsia="宋体" w:cs="Times New Roman"/>
                <w:b/>
                <w:bCs/>
                <w:color w:val="auto"/>
                <w:kern w:val="0"/>
                <w:sz w:val="24"/>
                <w:szCs w:val="24"/>
                <w:u w:val="none"/>
                <w:lang w:val="en-US" w:eastAsia="zh-CN"/>
              </w:rPr>
              <w:t>》符合性分析</w:t>
            </w:r>
          </w:p>
          <w:p w14:paraId="6B5214AC">
            <w:pPr>
              <w:pStyle w:val="124"/>
              <w:keepNext w:val="0"/>
              <w:keepLines w:val="0"/>
              <w:pageBreakBefore w:val="0"/>
              <w:widowControl w:val="0"/>
              <w:kinsoku/>
              <w:wordWrap/>
              <w:overflowPunct/>
              <w:topLinePunct w:val="0"/>
              <w:autoSpaceDE/>
              <w:autoSpaceDN/>
              <w:bidi w:val="0"/>
              <w:adjustRightInd/>
              <w:snapToGrid/>
              <w:spacing w:beforeAutospacing="0" w:afterAutospacing="0"/>
              <w:ind w:firstLine="480" w:firstLineChars="200"/>
              <w:textAlignment w:val="auto"/>
              <w:rPr>
                <w:color w:val="auto"/>
                <w:u w:val="none"/>
              </w:rPr>
            </w:pPr>
            <w:r>
              <w:rPr>
                <w:color w:val="auto"/>
                <w:u w:val="none"/>
              </w:rPr>
              <w:t>根据《</w:t>
            </w:r>
            <w:r>
              <w:rPr>
                <w:rFonts w:hint="eastAsia"/>
                <w:color w:val="auto"/>
                <w:u w:val="none"/>
              </w:rPr>
              <w:t>怀化市</w:t>
            </w:r>
            <w:r>
              <w:rPr>
                <w:rFonts w:hint="eastAsia"/>
                <w:color w:val="auto"/>
                <w:u w:val="none"/>
                <w:lang w:eastAsia="zh-CN"/>
              </w:rPr>
              <w:t>“</w:t>
            </w:r>
            <w:r>
              <w:rPr>
                <w:rFonts w:hint="eastAsia"/>
                <w:color w:val="auto"/>
                <w:u w:val="none"/>
              </w:rPr>
              <w:t>十四五</w:t>
            </w:r>
            <w:r>
              <w:rPr>
                <w:rFonts w:hint="eastAsia"/>
                <w:color w:val="auto"/>
                <w:u w:val="none"/>
                <w:lang w:eastAsia="zh-CN"/>
              </w:rPr>
              <w:t>”</w:t>
            </w:r>
            <w:r>
              <w:rPr>
                <w:rFonts w:hint="eastAsia"/>
                <w:color w:val="auto"/>
                <w:u w:val="none"/>
              </w:rPr>
              <w:t>生态环境保护规划</w:t>
            </w:r>
            <w:r>
              <w:rPr>
                <w:color w:val="auto"/>
                <w:u w:val="none"/>
              </w:rPr>
              <w:t>》：</w:t>
            </w:r>
            <w:r>
              <w:rPr>
                <w:rFonts w:hint="eastAsia"/>
                <w:color w:val="auto"/>
                <w:u w:val="none"/>
                <w:lang w:eastAsia="zh-CN"/>
              </w:rPr>
              <w:t>提</w:t>
            </w:r>
            <w:r>
              <w:rPr>
                <w:rFonts w:hint="eastAsia"/>
                <w:color w:val="auto"/>
                <w:u w:val="none"/>
              </w:rPr>
              <w:t>出</w:t>
            </w:r>
            <w:r>
              <w:rPr>
                <w:rFonts w:hint="eastAsia"/>
                <w:color w:val="auto"/>
                <w:u w:val="none"/>
                <w:lang w:eastAsia="zh-CN"/>
              </w:rPr>
              <w:t>怀化</w:t>
            </w:r>
            <w:r>
              <w:rPr>
                <w:rFonts w:hint="eastAsia"/>
                <w:color w:val="auto"/>
                <w:u w:val="none"/>
              </w:rPr>
              <w:t>市</w:t>
            </w:r>
            <w:r>
              <w:rPr>
                <w:rFonts w:hint="eastAsia"/>
                <w:color w:val="auto"/>
                <w:u w:val="none"/>
                <w:lang w:eastAsia="zh-CN"/>
              </w:rPr>
              <w:t>“</w:t>
            </w:r>
            <w:r>
              <w:rPr>
                <w:rFonts w:hint="eastAsia"/>
                <w:color w:val="auto"/>
                <w:u w:val="none"/>
              </w:rPr>
              <w:t>十四五</w:t>
            </w:r>
            <w:r>
              <w:rPr>
                <w:rFonts w:hint="eastAsia"/>
                <w:color w:val="auto"/>
                <w:u w:val="none"/>
                <w:lang w:eastAsia="zh-CN"/>
              </w:rPr>
              <w:t>”</w:t>
            </w:r>
            <w:r>
              <w:rPr>
                <w:rFonts w:hint="eastAsia"/>
                <w:color w:val="auto"/>
                <w:u w:val="none"/>
              </w:rPr>
              <w:t>生态环境保护</w:t>
            </w:r>
            <w:r>
              <w:rPr>
                <w:rFonts w:hint="eastAsia"/>
                <w:color w:val="auto"/>
                <w:u w:val="none"/>
                <w:lang w:eastAsia="zh-CN"/>
              </w:rPr>
              <w:t>“</w:t>
            </w:r>
            <w:r>
              <w:rPr>
                <w:rFonts w:hint="eastAsia"/>
                <w:color w:val="auto"/>
                <w:u w:val="none"/>
              </w:rPr>
              <w:t>六项重点任务</w:t>
            </w:r>
            <w:r>
              <w:rPr>
                <w:rFonts w:hint="eastAsia"/>
                <w:color w:val="auto"/>
                <w:u w:val="none"/>
                <w:lang w:eastAsia="zh-CN"/>
              </w:rPr>
              <w:t>”</w:t>
            </w:r>
            <w:r>
              <w:rPr>
                <w:rFonts w:hint="eastAsia"/>
                <w:color w:val="auto"/>
                <w:u w:val="none"/>
              </w:rPr>
              <w:t>。一是加快高质量低碳发展，推动经济社会绿色转型；二是实施高协同减污降碳，积极主动应对气候变化；三是持续高精准科学治污，深入打好污染防治攻坚战；四是强化高水平区域保护，推进生态系统保护修复；五是坚持高标准风险防控，防范生态环境安全风险；六是完善高起点体制机制，构建现代环境治理体系</w:t>
            </w:r>
            <w:r>
              <w:rPr>
                <w:color w:val="auto"/>
                <w:u w:val="none"/>
              </w:rPr>
              <w:t>。</w:t>
            </w:r>
            <w:r>
              <w:rPr>
                <w:rFonts w:hint="eastAsia"/>
                <w:color w:val="auto"/>
                <w:u w:val="none"/>
              </w:rPr>
              <w:t>实现怀化的绿色环境之美、绿色文化之美、绿色产业之美、绿色制度之美，奋力建设</w:t>
            </w:r>
            <w:r>
              <w:rPr>
                <w:rFonts w:hint="eastAsia"/>
                <w:color w:val="auto"/>
                <w:u w:val="none"/>
                <w:lang w:eastAsia="zh-CN"/>
              </w:rPr>
              <w:t>“</w:t>
            </w:r>
            <w:r>
              <w:rPr>
                <w:rFonts w:hint="eastAsia"/>
                <w:color w:val="auto"/>
                <w:u w:val="none"/>
              </w:rPr>
              <w:t>五省边区生态文明中心城市</w:t>
            </w:r>
            <w:r>
              <w:rPr>
                <w:rFonts w:hint="eastAsia"/>
                <w:color w:val="auto"/>
                <w:u w:val="none"/>
                <w:lang w:eastAsia="zh-CN"/>
              </w:rPr>
              <w:t>”</w:t>
            </w:r>
            <w:r>
              <w:rPr>
                <w:rFonts w:hint="eastAsia"/>
                <w:color w:val="auto"/>
                <w:u w:val="none"/>
              </w:rPr>
              <w:t>。</w:t>
            </w:r>
          </w:p>
          <w:p w14:paraId="19726B26">
            <w:pPr>
              <w:pStyle w:val="124"/>
              <w:keepNext w:val="0"/>
              <w:keepLines w:val="0"/>
              <w:pageBreakBefore w:val="0"/>
              <w:widowControl w:val="0"/>
              <w:kinsoku/>
              <w:wordWrap/>
              <w:overflowPunct/>
              <w:topLinePunct w:val="0"/>
              <w:autoSpaceDE/>
              <w:autoSpaceDN/>
              <w:bidi w:val="0"/>
              <w:adjustRightInd/>
              <w:snapToGrid/>
              <w:spacing w:beforeAutospacing="0" w:afterAutospacing="0"/>
              <w:ind w:firstLine="480" w:firstLineChars="200"/>
              <w:textAlignment w:val="auto"/>
              <w:rPr>
                <w:color w:val="auto"/>
                <w:u w:val="none"/>
              </w:rPr>
            </w:pPr>
            <w:r>
              <w:rPr>
                <w:color w:val="auto"/>
                <w:u w:val="none"/>
              </w:rPr>
              <w:t>本项目</w:t>
            </w:r>
            <w:r>
              <w:rPr>
                <w:rFonts w:hint="eastAsia"/>
                <w:color w:val="auto"/>
                <w:u w:val="none"/>
                <w:lang w:eastAsia="zh-CN"/>
              </w:rPr>
              <w:t>主要为</w:t>
            </w:r>
            <w:r>
              <w:rPr>
                <w:rFonts w:hint="eastAsia" w:ascii="Times New Roman" w:hAnsi="Times New Roman" w:eastAsia="宋体" w:cs="Times New Roman"/>
                <w:color w:val="auto"/>
                <w:u w:val="none"/>
                <w:lang w:eastAsia="zh-CN"/>
              </w:rPr>
              <w:t>山银花</w:t>
            </w:r>
            <w:r>
              <w:rPr>
                <w:rFonts w:hint="eastAsia" w:cs="Times New Roman"/>
                <w:color w:val="auto"/>
                <w:u w:val="none"/>
                <w:lang w:val="en-US" w:eastAsia="zh-CN"/>
              </w:rPr>
              <w:t>等</w:t>
            </w:r>
            <w:r>
              <w:rPr>
                <w:rFonts w:hint="eastAsia" w:cs="Times New Roman"/>
                <w:color w:val="auto"/>
                <w:sz w:val="24"/>
                <w:lang w:val="en-US" w:eastAsia="zh-CN"/>
              </w:rPr>
              <w:t>中药饮片</w:t>
            </w:r>
            <w:r>
              <w:rPr>
                <w:rFonts w:hint="eastAsia" w:ascii="Times New Roman" w:hAnsi="Times New Roman" w:eastAsia="宋体" w:cs="Times New Roman"/>
                <w:color w:val="auto"/>
                <w:u w:val="none"/>
                <w:lang w:eastAsia="zh-CN"/>
              </w:rPr>
              <w:t>加工</w:t>
            </w:r>
            <w:r>
              <w:rPr>
                <w:rFonts w:hint="eastAsia" w:cs="Times New Roman"/>
                <w:color w:val="auto"/>
                <w:u w:val="none"/>
                <w:lang w:val="en-US" w:eastAsia="zh-CN"/>
              </w:rPr>
              <w:t>并</w:t>
            </w:r>
            <w:r>
              <w:rPr>
                <w:rFonts w:hint="eastAsia" w:ascii="Times New Roman" w:hAnsi="Times New Roman" w:eastAsia="宋体" w:cs="Times New Roman"/>
                <w:color w:val="auto"/>
                <w:u w:val="none"/>
                <w:lang w:eastAsia="zh-CN"/>
              </w:rPr>
              <w:t>配套</w:t>
            </w:r>
            <w:r>
              <w:rPr>
                <w:rFonts w:hint="eastAsia"/>
                <w:color w:val="auto"/>
                <w:u w:val="none"/>
                <w:lang w:eastAsia="zh-CN"/>
              </w:rPr>
              <w:t>生物质蒸汽发生器</w:t>
            </w:r>
            <w:r>
              <w:rPr>
                <w:rFonts w:hint="eastAsia" w:cs="Times New Roman"/>
                <w:color w:val="auto"/>
                <w:kern w:val="2"/>
                <w:sz w:val="24"/>
                <w:szCs w:val="24"/>
                <w:u w:val="none" w:color="auto"/>
                <w:lang w:val="en-US" w:eastAsia="zh-CN" w:bidi="ar-SA"/>
              </w:rPr>
              <w:t>、生物质热风炉</w:t>
            </w:r>
            <w:r>
              <w:rPr>
                <w:rFonts w:hint="eastAsia" w:ascii="Times New Roman" w:hAnsi="Times New Roman" w:eastAsia="宋体" w:cs="Times New Roman"/>
                <w:color w:val="auto"/>
                <w:u w:val="none"/>
                <w:lang w:eastAsia="zh-CN"/>
              </w:rPr>
              <w:t>建设</w:t>
            </w:r>
            <w:r>
              <w:rPr>
                <w:color w:val="auto"/>
                <w:u w:val="none"/>
              </w:rPr>
              <w:t>，</w:t>
            </w:r>
            <w:r>
              <w:rPr>
                <w:rFonts w:hint="eastAsia"/>
                <w:color w:val="auto"/>
                <w:u w:val="none"/>
                <w:lang w:eastAsia="zh-CN"/>
              </w:rPr>
              <w:t>生物质蒸汽发生器</w:t>
            </w:r>
            <w:r>
              <w:rPr>
                <w:rFonts w:hint="eastAsia" w:cs="Times New Roman"/>
                <w:color w:val="auto"/>
                <w:kern w:val="2"/>
                <w:sz w:val="24"/>
                <w:szCs w:val="24"/>
                <w:u w:val="none" w:color="auto"/>
                <w:lang w:val="en-US" w:eastAsia="zh-CN" w:bidi="ar-SA"/>
              </w:rPr>
              <w:t>、生物质热风炉</w:t>
            </w:r>
            <w:r>
              <w:rPr>
                <w:rFonts w:hint="eastAsia"/>
                <w:color w:val="auto"/>
                <w:u w:val="none"/>
                <w:lang w:eastAsia="zh-CN"/>
              </w:rPr>
              <w:t>采用低氮燃烧方式，</w:t>
            </w:r>
            <w:r>
              <w:rPr>
                <w:rFonts w:hint="eastAsia" w:cs="Times New Roman"/>
                <w:color w:val="auto"/>
                <w:kern w:val="2"/>
                <w:sz w:val="24"/>
                <w:szCs w:val="24"/>
                <w:highlight w:val="none"/>
                <w:u w:val="single" w:color="auto"/>
                <w:lang w:val="en-US" w:eastAsia="zh-CN" w:bidi="ar-SA"/>
              </w:rPr>
              <w:t>生物质蒸汽发生器使用生物质燃烧产生的废气经</w:t>
            </w:r>
            <w:r>
              <w:rPr>
                <w:rFonts w:hint="default" w:ascii="Times New Roman" w:hAnsi="Times New Roman" w:eastAsia="宋体" w:cs="Times New Roman"/>
                <w:color w:val="auto"/>
                <w:kern w:val="2"/>
                <w:sz w:val="24"/>
                <w:szCs w:val="24"/>
                <w:highlight w:val="none"/>
                <w:u w:val="single" w:color="auto"/>
                <w:lang w:val="en-US" w:eastAsia="zh-CN" w:bidi="ar-SA"/>
              </w:rPr>
              <w:t>配套</w:t>
            </w:r>
            <w:r>
              <w:rPr>
                <w:rFonts w:hint="eastAsia" w:ascii="Times New Roman" w:hAnsi="Times New Roman" w:eastAsia="宋体" w:cs="Times New Roman"/>
                <w:color w:val="auto"/>
                <w:kern w:val="2"/>
                <w:sz w:val="24"/>
                <w:szCs w:val="24"/>
                <w:highlight w:val="none"/>
                <w:u w:val="single" w:color="auto"/>
                <w:lang w:val="en-US" w:eastAsia="zh-CN" w:bidi="ar-SA"/>
              </w:rPr>
              <w:t>布袋</w:t>
            </w:r>
            <w:r>
              <w:rPr>
                <w:rFonts w:hint="default" w:ascii="Times New Roman" w:hAnsi="Times New Roman" w:eastAsia="宋体" w:cs="Times New Roman"/>
                <w:color w:val="auto"/>
                <w:kern w:val="2"/>
                <w:sz w:val="24"/>
                <w:szCs w:val="24"/>
                <w:highlight w:val="none"/>
                <w:u w:val="single" w:color="auto"/>
                <w:lang w:val="en-US" w:eastAsia="zh-CN" w:bidi="ar-SA"/>
              </w:rPr>
              <w:t>除尘器</w:t>
            </w:r>
            <w:r>
              <w:rPr>
                <w:rFonts w:hint="eastAsia" w:cs="Times New Roman"/>
                <w:color w:val="auto"/>
                <w:kern w:val="2"/>
                <w:sz w:val="24"/>
                <w:szCs w:val="24"/>
                <w:highlight w:val="none"/>
                <w:u w:val="single" w:color="auto"/>
                <w:lang w:val="en-US" w:eastAsia="zh-CN" w:bidi="ar-SA"/>
              </w:rPr>
              <w:t>处理后通过1</w:t>
            </w:r>
            <w:r>
              <w:rPr>
                <w:rFonts w:hint="default" w:ascii="Times New Roman" w:hAnsi="Times New Roman" w:eastAsia="宋体" w:cs="Times New Roman"/>
                <w:color w:val="auto"/>
                <w:kern w:val="2"/>
                <w:sz w:val="24"/>
                <w:szCs w:val="24"/>
                <w:highlight w:val="none"/>
                <w:u w:val="single" w:color="auto"/>
                <w:lang w:val="en-US" w:eastAsia="zh-CN" w:bidi="ar-SA"/>
              </w:rPr>
              <w:t>5m</w:t>
            </w:r>
            <w:r>
              <w:rPr>
                <w:rFonts w:hint="eastAsia" w:cs="Times New Roman"/>
                <w:color w:val="auto"/>
                <w:kern w:val="2"/>
                <w:sz w:val="24"/>
                <w:szCs w:val="24"/>
                <w:highlight w:val="none"/>
                <w:u w:val="single" w:color="auto"/>
                <w:lang w:val="en-US" w:eastAsia="zh-CN" w:bidi="ar-SA"/>
              </w:rPr>
              <w:t>高</w:t>
            </w:r>
            <w:r>
              <w:rPr>
                <w:rFonts w:hint="default" w:ascii="Times New Roman" w:hAnsi="Times New Roman" w:eastAsia="宋体" w:cs="Times New Roman"/>
                <w:color w:val="auto"/>
                <w:kern w:val="2"/>
                <w:sz w:val="24"/>
                <w:szCs w:val="24"/>
                <w:highlight w:val="none"/>
                <w:u w:val="single" w:color="auto"/>
                <w:lang w:val="en-US" w:eastAsia="zh-CN" w:bidi="ar-SA"/>
              </w:rPr>
              <w:t>排气筒</w:t>
            </w:r>
            <w:r>
              <w:rPr>
                <w:rFonts w:hint="eastAsia" w:cs="Times New Roman"/>
                <w:color w:val="auto"/>
                <w:kern w:val="2"/>
                <w:sz w:val="24"/>
                <w:szCs w:val="24"/>
                <w:highlight w:val="none"/>
                <w:u w:val="single" w:color="auto"/>
                <w:lang w:val="en-US" w:eastAsia="zh-CN" w:bidi="ar-SA"/>
              </w:rPr>
              <w:t>（DA001）</w:t>
            </w:r>
            <w:r>
              <w:rPr>
                <w:rFonts w:hint="default" w:ascii="Times New Roman" w:hAnsi="Times New Roman" w:eastAsia="宋体" w:cs="Times New Roman"/>
                <w:color w:val="auto"/>
                <w:kern w:val="2"/>
                <w:sz w:val="24"/>
                <w:szCs w:val="24"/>
                <w:highlight w:val="none"/>
                <w:u w:val="single" w:color="auto"/>
                <w:lang w:val="en-US" w:eastAsia="zh-CN" w:bidi="ar-SA"/>
              </w:rPr>
              <w:t>排放，</w:t>
            </w:r>
            <w:r>
              <w:rPr>
                <w:rFonts w:hint="eastAsia" w:cs="Times New Roman"/>
                <w:color w:val="auto"/>
                <w:kern w:val="2"/>
                <w:sz w:val="24"/>
                <w:szCs w:val="24"/>
                <w:highlight w:val="none"/>
                <w:u w:val="single" w:color="auto"/>
                <w:lang w:val="en-US" w:eastAsia="zh-CN" w:bidi="ar-SA"/>
              </w:rPr>
              <w:t>生物质热风炉使用生物质燃烧产生的废气经</w:t>
            </w:r>
            <w:r>
              <w:rPr>
                <w:rFonts w:hint="default" w:ascii="Times New Roman" w:hAnsi="Times New Roman" w:eastAsia="宋体" w:cs="Times New Roman"/>
                <w:color w:val="auto"/>
                <w:kern w:val="2"/>
                <w:sz w:val="24"/>
                <w:szCs w:val="24"/>
                <w:highlight w:val="none"/>
                <w:u w:val="single" w:color="auto"/>
                <w:lang w:val="en-US" w:eastAsia="zh-CN" w:bidi="ar-SA"/>
              </w:rPr>
              <w:t>配套</w:t>
            </w:r>
            <w:r>
              <w:rPr>
                <w:rFonts w:hint="eastAsia" w:ascii="Times New Roman" w:hAnsi="Times New Roman" w:eastAsia="宋体" w:cs="Times New Roman"/>
                <w:color w:val="auto"/>
                <w:kern w:val="2"/>
                <w:sz w:val="24"/>
                <w:szCs w:val="24"/>
                <w:highlight w:val="none"/>
                <w:u w:val="single" w:color="auto"/>
                <w:lang w:val="en-US" w:eastAsia="zh-CN" w:bidi="ar-SA"/>
              </w:rPr>
              <w:t>布袋</w:t>
            </w:r>
            <w:r>
              <w:rPr>
                <w:rFonts w:hint="default" w:ascii="Times New Roman" w:hAnsi="Times New Roman" w:eastAsia="宋体" w:cs="Times New Roman"/>
                <w:color w:val="auto"/>
                <w:kern w:val="2"/>
                <w:sz w:val="24"/>
                <w:szCs w:val="24"/>
                <w:highlight w:val="none"/>
                <w:u w:val="single" w:color="auto"/>
                <w:lang w:val="en-US" w:eastAsia="zh-CN" w:bidi="ar-SA"/>
              </w:rPr>
              <w:t>除尘器</w:t>
            </w:r>
            <w:r>
              <w:rPr>
                <w:rFonts w:hint="eastAsia" w:cs="Times New Roman"/>
                <w:color w:val="auto"/>
                <w:kern w:val="2"/>
                <w:sz w:val="24"/>
                <w:szCs w:val="24"/>
                <w:highlight w:val="none"/>
                <w:u w:val="single" w:color="auto"/>
                <w:lang w:val="en-US" w:eastAsia="zh-CN" w:bidi="ar-SA"/>
              </w:rPr>
              <w:t>处理后通过1</w:t>
            </w:r>
            <w:r>
              <w:rPr>
                <w:rFonts w:hint="default" w:ascii="Times New Roman" w:hAnsi="Times New Roman" w:eastAsia="宋体" w:cs="Times New Roman"/>
                <w:color w:val="auto"/>
                <w:kern w:val="2"/>
                <w:sz w:val="24"/>
                <w:szCs w:val="24"/>
                <w:highlight w:val="none"/>
                <w:u w:val="single" w:color="auto"/>
                <w:lang w:val="en-US" w:eastAsia="zh-CN" w:bidi="ar-SA"/>
              </w:rPr>
              <w:t>5m</w:t>
            </w:r>
            <w:r>
              <w:rPr>
                <w:rFonts w:hint="eastAsia" w:cs="Times New Roman"/>
                <w:color w:val="auto"/>
                <w:kern w:val="2"/>
                <w:sz w:val="24"/>
                <w:szCs w:val="24"/>
                <w:highlight w:val="none"/>
                <w:u w:val="single" w:color="auto"/>
                <w:lang w:val="en-US" w:eastAsia="zh-CN" w:bidi="ar-SA"/>
              </w:rPr>
              <w:t>高</w:t>
            </w:r>
            <w:r>
              <w:rPr>
                <w:rFonts w:hint="default" w:ascii="Times New Roman" w:hAnsi="Times New Roman" w:eastAsia="宋体" w:cs="Times New Roman"/>
                <w:color w:val="auto"/>
                <w:kern w:val="2"/>
                <w:sz w:val="24"/>
                <w:szCs w:val="24"/>
                <w:highlight w:val="none"/>
                <w:u w:val="single" w:color="auto"/>
                <w:lang w:val="en-US" w:eastAsia="zh-CN" w:bidi="ar-SA"/>
              </w:rPr>
              <w:t>排气筒</w:t>
            </w:r>
            <w:r>
              <w:rPr>
                <w:rFonts w:hint="eastAsia" w:cs="Times New Roman"/>
                <w:color w:val="auto"/>
                <w:kern w:val="2"/>
                <w:sz w:val="24"/>
                <w:szCs w:val="24"/>
                <w:highlight w:val="none"/>
                <w:u w:val="single" w:color="auto"/>
                <w:lang w:val="en-US" w:eastAsia="zh-CN" w:bidi="ar-SA"/>
              </w:rPr>
              <w:t>（DA002）</w:t>
            </w:r>
            <w:r>
              <w:rPr>
                <w:rFonts w:hint="default" w:ascii="Times New Roman" w:hAnsi="Times New Roman" w:eastAsia="宋体" w:cs="Times New Roman"/>
                <w:color w:val="auto"/>
                <w:kern w:val="2"/>
                <w:sz w:val="24"/>
                <w:szCs w:val="24"/>
                <w:highlight w:val="none"/>
                <w:u w:val="single" w:color="auto"/>
                <w:lang w:val="en-US" w:eastAsia="zh-CN" w:bidi="ar-SA"/>
              </w:rPr>
              <w:t>排放</w:t>
            </w:r>
            <w:r>
              <w:rPr>
                <w:rFonts w:hint="eastAsia"/>
                <w:color w:val="auto"/>
                <w:u w:val="single"/>
                <w:lang w:val="en-US" w:eastAsia="zh-CN"/>
              </w:rPr>
              <w:t>，生产废水经处理后大部分回用于厂区原材料清洗，清水池部分外溢上清液与经处理后的生活污水一并排入市政管网</w:t>
            </w:r>
            <w:r>
              <w:rPr>
                <w:rFonts w:hint="eastAsia"/>
                <w:color w:val="auto"/>
                <w:u w:val="none"/>
                <w:lang w:val="en-US" w:eastAsia="zh-CN"/>
              </w:rPr>
              <w:t>，建设单位</w:t>
            </w:r>
            <w:r>
              <w:rPr>
                <w:rFonts w:hint="eastAsia" w:ascii="Times New Roman" w:hAnsi="Times New Roman" w:cs="Times New Roman"/>
                <w:color w:val="auto"/>
                <w:kern w:val="0"/>
                <w:szCs w:val="21"/>
                <w:u w:val="none"/>
                <w:lang w:eastAsia="zh-CN"/>
              </w:rPr>
              <w:t>在各污染方面</w:t>
            </w:r>
            <w:r>
              <w:rPr>
                <w:rFonts w:hint="eastAsia"/>
                <w:color w:val="auto"/>
                <w:u w:val="none"/>
                <w:lang w:eastAsia="zh-CN"/>
              </w:rPr>
              <w:t>加强了污染防治措施，降低对环境的影响，</w:t>
            </w:r>
            <w:r>
              <w:rPr>
                <w:color w:val="auto"/>
                <w:u w:val="none"/>
              </w:rPr>
              <w:t>符合《</w:t>
            </w:r>
            <w:r>
              <w:rPr>
                <w:rFonts w:hint="eastAsia"/>
                <w:color w:val="auto"/>
                <w:u w:val="none"/>
              </w:rPr>
              <w:t>怀化市</w:t>
            </w:r>
            <w:r>
              <w:rPr>
                <w:rFonts w:hint="eastAsia"/>
                <w:color w:val="auto"/>
                <w:u w:val="none"/>
                <w:lang w:eastAsia="zh-CN"/>
              </w:rPr>
              <w:t>“</w:t>
            </w:r>
            <w:r>
              <w:rPr>
                <w:rFonts w:hint="eastAsia"/>
                <w:color w:val="auto"/>
                <w:u w:val="none"/>
              </w:rPr>
              <w:t>十四五</w:t>
            </w:r>
            <w:r>
              <w:rPr>
                <w:rFonts w:hint="eastAsia"/>
                <w:color w:val="auto"/>
                <w:u w:val="none"/>
                <w:lang w:eastAsia="zh-CN"/>
              </w:rPr>
              <w:t>”</w:t>
            </w:r>
            <w:r>
              <w:rPr>
                <w:rFonts w:hint="eastAsia"/>
                <w:color w:val="auto"/>
                <w:u w:val="none"/>
              </w:rPr>
              <w:t>生态环境保护规划</w:t>
            </w:r>
            <w:r>
              <w:rPr>
                <w:color w:val="auto"/>
                <w:u w:val="none"/>
              </w:rPr>
              <w:t>》要求。</w:t>
            </w:r>
          </w:p>
          <w:p w14:paraId="54409BC4">
            <w:pPr>
              <w:widowControl/>
              <w:numPr>
                <w:ilvl w:val="0"/>
                <w:numId w:val="0"/>
              </w:numPr>
              <w:spacing w:line="360" w:lineRule="auto"/>
              <w:ind w:left="420" w:leftChars="0"/>
              <w:jc w:val="left"/>
              <w:rPr>
                <w:rFonts w:hint="eastAsia" w:cs="Times New Roman"/>
                <w:b/>
                <w:bCs/>
                <w:color w:val="auto"/>
                <w:kern w:val="0"/>
                <w:sz w:val="24"/>
                <w:u w:val="none"/>
                <w:lang w:eastAsia="zh-CN"/>
              </w:rPr>
            </w:pPr>
            <w:r>
              <w:rPr>
                <w:rFonts w:hint="eastAsia" w:ascii="Times New Roman" w:hAnsi="Times New Roman" w:cs="Times New Roman"/>
                <w:b/>
                <w:bCs/>
                <w:color w:val="auto"/>
                <w:kern w:val="0"/>
                <w:sz w:val="24"/>
                <w:u w:val="none"/>
                <w:lang w:val="en-US" w:eastAsia="zh-CN"/>
              </w:rPr>
              <w:t>4</w:t>
            </w:r>
            <w:r>
              <w:rPr>
                <w:rFonts w:hint="eastAsia" w:cs="Times New Roman"/>
                <w:b/>
                <w:bCs/>
                <w:color w:val="auto"/>
                <w:kern w:val="0"/>
                <w:sz w:val="24"/>
                <w:u w:val="none"/>
                <w:lang w:eastAsia="zh-CN"/>
              </w:rPr>
              <w:t>、</w:t>
            </w:r>
            <w:r>
              <w:rPr>
                <w:rFonts w:hint="eastAsia" w:ascii="Times New Roman" w:hAnsi="Times New Roman" w:cs="Times New Roman"/>
                <w:b/>
                <w:bCs/>
                <w:color w:val="auto"/>
                <w:kern w:val="0"/>
                <w:sz w:val="24"/>
                <w:u w:val="none"/>
                <w:lang w:val="en-US" w:eastAsia="zh-CN"/>
              </w:rPr>
              <w:t>相关产业政策符合性</w:t>
            </w:r>
          </w:p>
          <w:p w14:paraId="49CA0426">
            <w:pPr>
              <w:widowControl/>
              <w:numPr>
                <w:ilvl w:val="0"/>
                <w:numId w:val="0"/>
              </w:numPr>
              <w:spacing w:line="360" w:lineRule="auto"/>
              <w:ind w:left="420" w:leftChars="0"/>
              <w:jc w:val="left"/>
              <w:rPr>
                <w:rFonts w:hint="default" w:ascii="Times New Roman" w:hAnsi="Times New Roman" w:cs="Times New Roman"/>
                <w:b/>
                <w:bCs/>
                <w:color w:val="auto"/>
                <w:kern w:val="0"/>
                <w:sz w:val="24"/>
                <w:u w:val="none"/>
              </w:rPr>
            </w:pPr>
            <w:r>
              <w:rPr>
                <w:rFonts w:hint="eastAsia" w:cs="Times New Roman"/>
                <w:b/>
                <w:bCs/>
                <w:color w:val="auto"/>
                <w:kern w:val="0"/>
                <w:sz w:val="24"/>
                <w:u w:val="none"/>
                <w:lang w:eastAsia="zh-CN"/>
              </w:rPr>
              <w:t>（</w:t>
            </w:r>
            <w:r>
              <w:rPr>
                <w:rFonts w:hint="eastAsia" w:cs="Times New Roman"/>
                <w:b/>
                <w:bCs/>
                <w:color w:val="auto"/>
                <w:kern w:val="0"/>
                <w:sz w:val="24"/>
                <w:u w:val="none"/>
                <w:lang w:val="en-US" w:eastAsia="zh-CN"/>
              </w:rPr>
              <w:t>1</w:t>
            </w:r>
            <w:r>
              <w:rPr>
                <w:rFonts w:hint="eastAsia" w:cs="Times New Roman"/>
                <w:b/>
                <w:bCs/>
                <w:color w:val="auto"/>
                <w:kern w:val="0"/>
                <w:sz w:val="24"/>
                <w:u w:val="none"/>
                <w:lang w:eastAsia="zh-CN"/>
              </w:rPr>
              <w:t>）</w:t>
            </w:r>
            <w:r>
              <w:rPr>
                <w:rFonts w:hint="default" w:ascii="Times New Roman" w:hAnsi="Times New Roman" w:cs="Times New Roman"/>
                <w:b/>
                <w:bCs/>
                <w:color w:val="auto"/>
                <w:kern w:val="0"/>
                <w:sz w:val="24"/>
                <w:u w:val="none"/>
              </w:rPr>
              <w:t>产业政策符合性分析</w:t>
            </w:r>
          </w:p>
          <w:p w14:paraId="664267AF">
            <w:pPr>
              <w:widowControl/>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根据《产业结构调整指导目录（</w:t>
            </w:r>
            <w:r>
              <w:rPr>
                <w:rFonts w:hint="eastAsia" w:ascii="Times New Roman" w:hAnsi="Times New Roman" w:cs="Times New Roman"/>
                <w:color w:val="auto"/>
                <w:kern w:val="0"/>
                <w:sz w:val="24"/>
                <w:lang w:val="en-US" w:eastAsia="zh-CN"/>
              </w:rPr>
              <w:t>2024</w:t>
            </w:r>
            <w:r>
              <w:rPr>
                <w:rFonts w:hint="default" w:ascii="Times New Roman" w:hAnsi="Times New Roman" w:cs="Times New Roman"/>
                <w:color w:val="auto"/>
                <w:kern w:val="0"/>
                <w:sz w:val="24"/>
              </w:rPr>
              <w:t>年本）》，</w:t>
            </w:r>
            <w:r>
              <w:rPr>
                <w:rFonts w:hint="eastAsia" w:ascii="Times New Roman" w:hAnsi="Times New Roman" w:cs="Times New Roman"/>
                <w:color w:val="auto"/>
                <w:kern w:val="0"/>
                <w:sz w:val="24"/>
                <w:lang w:eastAsia="zh-CN"/>
              </w:rPr>
              <w:t>本项目</w:t>
            </w:r>
            <w:r>
              <w:rPr>
                <w:rFonts w:hint="eastAsia" w:cs="Times New Roman"/>
                <w:color w:val="auto"/>
                <w:kern w:val="0"/>
                <w:sz w:val="24"/>
                <w:lang w:eastAsia="zh-CN"/>
              </w:rPr>
              <w:t>主要</w:t>
            </w:r>
            <w:r>
              <w:rPr>
                <w:rFonts w:hint="eastAsia" w:ascii="Times New Roman" w:hAnsi="Times New Roman" w:cs="Times New Roman"/>
                <w:color w:val="auto"/>
                <w:kern w:val="0"/>
                <w:sz w:val="24"/>
                <w:lang w:eastAsia="zh-CN"/>
              </w:rPr>
              <w:t>为</w:t>
            </w:r>
            <w:r>
              <w:rPr>
                <w:rFonts w:hint="eastAsia" w:ascii="Times New Roman" w:hAnsi="Times New Roman" w:eastAsia="宋体" w:cs="Times New Roman"/>
                <w:color w:val="auto"/>
                <w:sz w:val="24"/>
                <w:szCs w:val="24"/>
                <w:u w:val="none"/>
                <w:lang w:eastAsia="zh-CN"/>
              </w:rPr>
              <w:t>山银花</w:t>
            </w:r>
            <w:r>
              <w:rPr>
                <w:rFonts w:hint="eastAsia" w:cs="Times New Roman"/>
                <w:color w:val="auto"/>
                <w:sz w:val="24"/>
                <w:szCs w:val="24"/>
                <w:u w:val="none"/>
                <w:lang w:val="en-US" w:eastAsia="zh-CN"/>
              </w:rPr>
              <w:t>等</w:t>
            </w:r>
            <w:r>
              <w:rPr>
                <w:rFonts w:hint="eastAsia" w:cs="Times New Roman"/>
                <w:color w:val="auto"/>
                <w:sz w:val="24"/>
                <w:szCs w:val="24"/>
                <w:lang w:val="en-US" w:eastAsia="zh-CN"/>
              </w:rPr>
              <w:t>中药饮片</w:t>
            </w:r>
            <w:r>
              <w:rPr>
                <w:rFonts w:hint="eastAsia" w:ascii="Times New Roman" w:hAnsi="Times New Roman" w:eastAsia="宋体" w:cs="Times New Roman"/>
                <w:color w:val="auto"/>
                <w:sz w:val="24"/>
                <w:szCs w:val="24"/>
                <w:u w:val="none"/>
                <w:lang w:eastAsia="zh-CN"/>
              </w:rPr>
              <w:t>加工</w:t>
            </w:r>
            <w:r>
              <w:rPr>
                <w:rFonts w:hint="eastAsia" w:cs="Times New Roman"/>
                <w:color w:val="auto"/>
                <w:sz w:val="24"/>
                <w:szCs w:val="24"/>
                <w:u w:val="none"/>
                <w:lang w:val="en-US" w:eastAsia="zh-CN"/>
              </w:rPr>
              <w:t>并</w:t>
            </w:r>
            <w:r>
              <w:rPr>
                <w:rFonts w:hint="eastAsia" w:ascii="Times New Roman" w:hAnsi="Times New Roman" w:eastAsia="宋体" w:cs="Times New Roman"/>
                <w:color w:val="auto"/>
                <w:sz w:val="24"/>
                <w:szCs w:val="24"/>
                <w:u w:val="none"/>
                <w:lang w:eastAsia="zh-CN"/>
              </w:rPr>
              <w:t>配套</w:t>
            </w:r>
            <w:r>
              <w:rPr>
                <w:rFonts w:hint="eastAsia" w:ascii="Times New Roman" w:hAnsi="Times New Roman" w:cs="Times New Roman"/>
                <w:color w:val="auto"/>
                <w:kern w:val="0"/>
                <w:sz w:val="24"/>
                <w:lang w:eastAsia="zh-CN"/>
              </w:rPr>
              <w:t>生物质蒸汽发生器</w:t>
            </w:r>
            <w:r>
              <w:rPr>
                <w:rFonts w:hint="eastAsia" w:cs="Times New Roman"/>
                <w:color w:val="auto"/>
                <w:kern w:val="2"/>
                <w:sz w:val="24"/>
                <w:szCs w:val="24"/>
                <w:u w:val="none" w:color="auto"/>
                <w:lang w:val="en-US" w:eastAsia="zh-CN" w:bidi="ar-SA"/>
              </w:rPr>
              <w:t>、生物质热风炉</w:t>
            </w:r>
            <w:r>
              <w:rPr>
                <w:rFonts w:hint="eastAsia" w:ascii="Times New Roman" w:hAnsi="Times New Roman" w:cs="Times New Roman"/>
                <w:color w:val="auto"/>
                <w:kern w:val="0"/>
                <w:sz w:val="24"/>
                <w:lang w:eastAsia="zh-CN"/>
              </w:rPr>
              <w:t>建设</w:t>
            </w:r>
            <w:r>
              <w:rPr>
                <w:rFonts w:hint="default" w:ascii="Times New Roman" w:hAnsi="Times New Roman" w:cs="Times New Roman"/>
                <w:color w:val="auto"/>
                <w:kern w:val="0"/>
                <w:sz w:val="24"/>
                <w:lang w:eastAsia="zh-CN"/>
              </w:rPr>
              <w:t>，</w:t>
            </w:r>
            <w:r>
              <w:rPr>
                <w:rFonts w:hint="eastAsia" w:ascii="Times New Roman" w:hAnsi="Times New Roman" w:cs="Times New Roman"/>
                <w:color w:val="auto"/>
                <w:kern w:val="0"/>
                <w:sz w:val="24"/>
                <w:lang w:eastAsia="zh-CN"/>
              </w:rPr>
              <w:t>不属于淘汰类设备，</w:t>
            </w:r>
            <w:r>
              <w:rPr>
                <w:rFonts w:hint="default" w:ascii="Times New Roman" w:hAnsi="Times New Roman" w:cs="Times New Roman"/>
                <w:color w:val="auto"/>
                <w:kern w:val="0"/>
                <w:sz w:val="24"/>
              </w:rPr>
              <w:t>符合产业政策要求。</w:t>
            </w:r>
          </w:p>
          <w:p w14:paraId="0D8EF854">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eastAsia="宋体"/>
                <w:b/>
                <w:bCs/>
                <w:color w:val="auto"/>
                <w:kern w:val="0"/>
                <w:sz w:val="24"/>
                <w:u w:val="single"/>
                <w:lang w:eastAsia="zh-CN"/>
              </w:rPr>
            </w:pPr>
            <w:r>
              <w:rPr>
                <w:b/>
                <w:bCs/>
                <w:color w:val="auto"/>
                <w:kern w:val="0"/>
                <w:sz w:val="24"/>
                <w:u w:val="single"/>
              </w:rPr>
              <w:t>（2）</w:t>
            </w:r>
            <w:r>
              <w:rPr>
                <w:rFonts w:hint="eastAsia"/>
                <w:b/>
                <w:bCs/>
                <w:color w:val="auto"/>
                <w:kern w:val="0"/>
                <w:sz w:val="24"/>
                <w:u w:val="single"/>
                <w:lang w:val="en-US" w:eastAsia="zh-CN"/>
              </w:rPr>
              <w:t>项目与《</w:t>
            </w:r>
            <w:r>
              <w:rPr>
                <w:rFonts w:hint="default"/>
                <w:b/>
                <w:bCs/>
                <w:color w:val="auto"/>
                <w:kern w:val="0"/>
                <w:sz w:val="24"/>
                <w:u w:val="single"/>
              </w:rPr>
              <w:t>湖南省规范中药材产地趁鲜切制加工指导意见的通知</w:t>
            </w:r>
            <w:r>
              <w:rPr>
                <w:rFonts w:hint="eastAsia"/>
                <w:b/>
                <w:bCs/>
                <w:color w:val="auto"/>
                <w:kern w:val="0"/>
                <w:sz w:val="24"/>
                <w:u w:val="single"/>
                <w:lang w:val="en-US" w:eastAsia="zh-CN"/>
              </w:rPr>
              <w:t>》（湘药监发〔2022〕13号）</w:t>
            </w:r>
            <w:r>
              <w:rPr>
                <w:b/>
                <w:bCs/>
                <w:color w:val="auto"/>
                <w:kern w:val="0"/>
                <w:sz w:val="24"/>
                <w:u w:val="single"/>
              </w:rPr>
              <w:t>相符性分析</w:t>
            </w:r>
          </w:p>
          <w:p w14:paraId="6154E950">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b/>
                <w:bCs/>
                <w:color w:val="auto"/>
                <w:sz w:val="24"/>
                <w:szCs w:val="24"/>
                <w:u w:val="single"/>
              </w:rPr>
            </w:pPr>
            <w:r>
              <w:rPr>
                <w:b/>
                <w:bCs/>
                <w:color w:val="auto"/>
                <w:sz w:val="24"/>
                <w:szCs w:val="24"/>
                <w:u w:val="single"/>
              </w:rPr>
              <w:t>表1-</w:t>
            </w:r>
            <w:r>
              <w:rPr>
                <w:rFonts w:hint="eastAsia"/>
                <w:b/>
                <w:bCs/>
                <w:color w:val="auto"/>
                <w:sz w:val="24"/>
                <w:szCs w:val="24"/>
                <w:u w:val="single"/>
                <w:lang w:val="en-US" w:eastAsia="zh-CN"/>
              </w:rPr>
              <w:t>3</w:t>
            </w:r>
            <w:r>
              <w:rPr>
                <w:b/>
                <w:bCs/>
                <w:color w:val="auto"/>
                <w:sz w:val="24"/>
                <w:szCs w:val="24"/>
                <w:u w:val="single"/>
              </w:rPr>
              <w:t xml:space="preserve">  与</w:t>
            </w:r>
            <w:r>
              <w:rPr>
                <w:rFonts w:hint="eastAsia"/>
                <w:b/>
                <w:bCs/>
                <w:color w:val="auto"/>
                <w:kern w:val="0"/>
                <w:sz w:val="24"/>
                <w:szCs w:val="24"/>
                <w:u w:val="single"/>
                <w:lang w:val="en-US" w:eastAsia="zh-CN"/>
              </w:rPr>
              <w:t>《</w:t>
            </w:r>
            <w:r>
              <w:rPr>
                <w:rFonts w:hint="default"/>
                <w:b/>
                <w:bCs/>
                <w:color w:val="auto"/>
                <w:kern w:val="0"/>
                <w:sz w:val="24"/>
                <w:szCs w:val="24"/>
                <w:u w:val="single"/>
              </w:rPr>
              <w:t>湖南省规范中药材产地趁鲜切制加工指导意见的通知</w:t>
            </w:r>
            <w:r>
              <w:rPr>
                <w:rFonts w:hint="eastAsia"/>
                <w:b/>
                <w:bCs/>
                <w:color w:val="auto"/>
                <w:kern w:val="0"/>
                <w:sz w:val="24"/>
                <w:szCs w:val="24"/>
                <w:u w:val="single"/>
                <w:lang w:val="en-US" w:eastAsia="zh-CN"/>
              </w:rPr>
              <w:t>》</w:t>
            </w:r>
            <w:r>
              <w:rPr>
                <w:b/>
                <w:bCs/>
                <w:color w:val="auto"/>
                <w:sz w:val="24"/>
                <w:szCs w:val="24"/>
                <w:u w:val="single"/>
              </w:rPr>
              <w:t>的相符性分析</w:t>
            </w:r>
          </w:p>
          <w:tbl>
            <w:tblPr>
              <w:tblStyle w:val="32"/>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48"/>
              <w:gridCol w:w="3972"/>
              <w:gridCol w:w="1304"/>
              <w:gridCol w:w="550"/>
            </w:tblGrid>
            <w:tr w14:paraId="38815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3589" w:type="pct"/>
                  <w:gridSpan w:val="2"/>
                  <w:tcBorders>
                    <w:tl2br w:val="nil"/>
                    <w:tr2bl w:val="nil"/>
                  </w:tcBorders>
                  <w:shd w:val="clear" w:color="auto" w:fill="auto"/>
                  <w:noWrap w:val="0"/>
                  <w:vAlign w:val="center"/>
                </w:tcPr>
                <w:p w14:paraId="2AF3321B">
                  <w:pPr>
                    <w:pStyle w:val="105"/>
                    <w:overflowPunct w:val="0"/>
                    <w:adjustRightInd w:val="0"/>
                    <w:snapToGrid w:val="0"/>
                    <w:jc w:val="center"/>
                    <w:rPr>
                      <w:rFonts w:hint="default" w:ascii="Times New Roman" w:hAnsi="Times New Roman" w:eastAsia="宋体" w:cs="Times New Roman"/>
                      <w:b/>
                      <w:bCs/>
                      <w:color w:val="auto"/>
                      <w:kern w:val="2"/>
                      <w:sz w:val="21"/>
                      <w:szCs w:val="21"/>
                      <w:u w:val="single"/>
                      <w:lang w:eastAsia="zh-CN"/>
                    </w:rPr>
                  </w:pPr>
                  <w:r>
                    <w:rPr>
                      <w:rFonts w:hint="default" w:ascii="Times New Roman" w:hAnsi="Times New Roman" w:eastAsia="宋体" w:cs="Times New Roman"/>
                      <w:b/>
                      <w:bCs/>
                      <w:color w:val="auto"/>
                      <w:kern w:val="2"/>
                      <w:sz w:val="21"/>
                      <w:szCs w:val="21"/>
                      <w:u w:val="single"/>
                      <w:lang w:eastAsia="zh-CN"/>
                    </w:rPr>
                    <w:t>条款</w:t>
                  </w:r>
                </w:p>
              </w:tc>
              <w:tc>
                <w:tcPr>
                  <w:tcW w:w="991" w:type="pct"/>
                  <w:tcBorders>
                    <w:tl2br w:val="nil"/>
                    <w:tr2bl w:val="nil"/>
                  </w:tcBorders>
                  <w:shd w:val="clear" w:color="auto" w:fill="auto"/>
                  <w:noWrap w:val="0"/>
                  <w:vAlign w:val="center"/>
                </w:tcPr>
                <w:p w14:paraId="4726BB19">
                  <w:pPr>
                    <w:pStyle w:val="105"/>
                    <w:overflowPunct w:val="0"/>
                    <w:adjustRightInd w:val="0"/>
                    <w:snapToGrid w:val="0"/>
                    <w:jc w:val="center"/>
                    <w:rPr>
                      <w:rFonts w:hint="default" w:ascii="Times New Roman" w:hAnsi="Times New Roman" w:eastAsia="宋体" w:cs="Times New Roman"/>
                      <w:b/>
                      <w:bCs/>
                      <w:color w:val="auto"/>
                      <w:kern w:val="2"/>
                      <w:sz w:val="21"/>
                      <w:szCs w:val="21"/>
                      <w:u w:val="single"/>
                    </w:rPr>
                  </w:pPr>
                  <w:r>
                    <w:rPr>
                      <w:rFonts w:hint="default" w:ascii="Times New Roman" w:hAnsi="Times New Roman" w:eastAsia="宋体" w:cs="Times New Roman"/>
                      <w:b/>
                      <w:bCs/>
                      <w:color w:val="auto"/>
                      <w:kern w:val="2"/>
                      <w:sz w:val="21"/>
                      <w:szCs w:val="21"/>
                      <w:u w:val="single"/>
                      <w:lang w:eastAsia="zh-CN"/>
                    </w:rPr>
                    <w:t>本项目情况</w:t>
                  </w:r>
                </w:p>
              </w:tc>
              <w:tc>
                <w:tcPr>
                  <w:tcW w:w="418" w:type="pct"/>
                  <w:tcBorders>
                    <w:tl2br w:val="nil"/>
                    <w:tr2bl w:val="nil"/>
                  </w:tcBorders>
                  <w:shd w:val="clear" w:color="auto" w:fill="auto"/>
                  <w:noWrap w:val="0"/>
                  <w:vAlign w:val="center"/>
                </w:tcPr>
                <w:p w14:paraId="59267B83">
                  <w:pPr>
                    <w:pStyle w:val="105"/>
                    <w:overflowPunct w:val="0"/>
                    <w:adjustRightInd w:val="0"/>
                    <w:snapToGrid w:val="0"/>
                    <w:jc w:val="center"/>
                    <w:rPr>
                      <w:rFonts w:hint="default" w:ascii="Times New Roman" w:hAnsi="Times New Roman" w:eastAsia="宋体" w:cs="Times New Roman"/>
                      <w:b/>
                      <w:bCs/>
                      <w:color w:val="auto"/>
                      <w:kern w:val="2"/>
                      <w:sz w:val="21"/>
                      <w:szCs w:val="21"/>
                      <w:u w:val="single"/>
                      <w:lang w:eastAsia="zh-CN"/>
                    </w:rPr>
                  </w:pPr>
                  <w:r>
                    <w:rPr>
                      <w:rFonts w:hint="default" w:ascii="Times New Roman" w:hAnsi="Times New Roman" w:eastAsia="宋体" w:cs="Times New Roman"/>
                      <w:b/>
                      <w:bCs/>
                      <w:color w:val="auto"/>
                      <w:kern w:val="2"/>
                      <w:sz w:val="21"/>
                      <w:szCs w:val="21"/>
                      <w:u w:val="single"/>
                    </w:rPr>
                    <w:t>是否符合</w:t>
                  </w:r>
                </w:p>
              </w:tc>
            </w:tr>
            <w:tr w14:paraId="7C01B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68" w:type="pct"/>
                  <w:vMerge w:val="restart"/>
                  <w:tcBorders>
                    <w:tl2br w:val="nil"/>
                    <w:tr2bl w:val="nil"/>
                  </w:tcBorders>
                  <w:shd w:val="clear" w:color="auto" w:fill="auto"/>
                  <w:noWrap w:val="0"/>
                  <w:vAlign w:val="center"/>
                </w:tcPr>
                <w:p w14:paraId="4BBB7D86">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规范产地趁鲜切制加工行为</w:t>
                  </w:r>
                </w:p>
              </w:tc>
              <w:tc>
                <w:tcPr>
                  <w:tcW w:w="3020" w:type="pct"/>
                  <w:tcBorders>
                    <w:tl2br w:val="nil"/>
                    <w:tr2bl w:val="nil"/>
                  </w:tcBorders>
                  <w:shd w:val="clear" w:color="auto" w:fill="auto"/>
                  <w:noWrap w:val="0"/>
                  <w:vAlign w:val="center"/>
                </w:tcPr>
                <w:p w14:paraId="0AA5D9B6">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1.满足加工条件。产地趁鲜切制加工企业</w:t>
                  </w:r>
                  <w:r>
                    <w:rPr>
                      <w:rFonts w:hint="eastAsia" w:ascii="Times New Roman" w:hAnsi="Times New Roman" w:eastAsia="宋体" w:cs="Times New Roman"/>
                      <w:color w:val="auto"/>
                      <w:kern w:val="2"/>
                      <w:sz w:val="21"/>
                      <w:szCs w:val="21"/>
                      <w:u w:val="single"/>
                      <w:lang w:val="en-US" w:eastAsia="zh-CN"/>
                    </w:rPr>
                    <w:t>（</w:t>
                  </w:r>
                  <w:r>
                    <w:rPr>
                      <w:rFonts w:hint="default" w:ascii="Times New Roman" w:hAnsi="Times New Roman" w:eastAsia="宋体" w:cs="Times New Roman"/>
                      <w:color w:val="auto"/>
                      <w:kern w:val="2"/>
                      <w:sz w:val="21"/>
                      <w:szCs w:val="21"/>
                      <w:u w:val="single"/>
                      <w:lang w:val="en-US" w:eastAsia="zh-CN"/>
                    </w:rPr>
                    <w:t>含药品生产企业设置的异地加工车间，下同</w:t>
                  </w:r>
                  <w:r>
                    <w:rPr>
                      <w:rFonts w:hint="eastAsia" w:ascii="Times New Roman" w:hAnsi="Times New Roman" w:eastAsia="宋体" w:cs="Times New Roman"/>
                      <w:color w:val="auto"/>
                      <w:kern w:val="2"/>
                      <w:sz w:val="21"/>
                      <w:szCs w:val="21"/>
                      <w:u w:val="single"/>
                      <w:lang w:val="en-US" w:eastAsia="zh-CN"/>
                    </w:rPr>
                    <w:t>）</w:t>
                  </w:r>
                  <w:r>
                    <w:rPr>
                      <w:rFonts w:hint="default" w:ascii="Times New Roman" w:hAnsi="Times New Roman" w:eastAsia="宋体" w:cs="Times New Roman"/>
                      <w:color w:val="auto"/>
                      <w:kern w:val="2"/>
                      <w:sz w:val="21"/>
                      <w:szCs w:val="21"/>
                      <w:u w:val="single"/>
                      <w:lang w:val="en-US" w:eastAsia="zh-CN"/>
                    </w:rPr>
                    <w:t>应当具备与加工品种、加工规模相适应的加工条件，具备健全的质量管理体系，配备足够的质量管理人员、生产技术工人和必要的清洗、分拣、切制、干燥、筛选、仓储等设施设备。</w:t>
                  </w:r>
                </w:p>
              </w:tc>
              <w:tc>
                <w:tcPr>
                  <w:tcW w:w="991" w:type="pct"/>
                  <w:tcBorders>
                    <w:tl2br w:val="nil"/>
                    <w:tr2bl w:val="nil"/>
                  </w:tcBorders>
                  <w:shd w:val="clear" w:color="auto" w:fill="auto"/>
                  <w:noWrap w:val="0"/>
                  <w:vAlign w:val="center"/>
                </w:tcPr>
                <w:p w14:paraId="3CDA98FB">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本项目初加工基地建设冷链仓库</w:t>
                  </w:r>
                  <w:r>
                    <w:rPr>
                      <w:rFonts w:hint="default" w:ascii="Times New Roman" w:hAnsi="Times New Roman" w:eastAsia="宋体" w:cs="Times New Roman"/>
                      <w:i w:val="0"/>
                      <w:iCs w:val="0"/>
                      <w:caps w:val="0"/>
                      <w:color w:val="auto"/>
                      <w:spacing w:val="0"/>
                      <w:sz w:val="21"/>
                      <w:szCs w:val="21"/>
                      <w:u w:val="single"/>
                      <w:shd w:val="clear" w:fill="FFFFFF"/>
                    </w:rPr>
                    <w:t>、</w:t>
                  </w:r>
                  <w:r>
                    <w:rPr>
                      <w:rFonts w:hint="default" w:ascii="Times New Roman" w:hAnsi="Times New Roman" w:eastAsia="宋体" w:cs="Times New Roman"/>
                      <w:color w:val="auto"/>
                      <w:kern w:val="2"/>
                      <w:sz w:val="21"/>
                      <w:szCs w:val="21"/>
                      <w:u w:val="single"/>
                      <w:lang w:val="en-US" w:eastAsia="zh-CN"/>
                    </w:rPr>
                    <w:t>清洗</w:t>
                  </w:r>
                  <w:r>
                    <w:rPr>
                      <w:rFonts w:hint="default" w:ascii="Times New Roman" w:hAnsi="Times New Roman" w:eastAsia="宋体" w:cs="Times New Roman"/>
                      <w:i w:val="0"/>
                      <w:iCs w:val="0"/>
                      <w:caps w:val="0"/>
                      <w:color w:val="auto"/>
                      <w:spacing w:val="0"/>
                      <w:sz w:val="21"/>
                      <w:szCs w:val="21"/>
                      <w:u w:val="single"/>
                      <w:shd w:val="clear" w:fill="FFFFFF"/>
                    </w:rPr>
                    <w:t>、</w:t>
                  </w:r>
                  <w:r>
                    <w:rPr>
                      <w:rFonts w:hint="default" w:ascii="Times New Roman" w:hAnsi="Times New Roman" w:eastAsia="宋体" w:cs="Times New Roman"/>
                      <w:color w:val="auto"/>
                      <w:kern w:val="2"/>
                      <w:sz w:val="21"/>
                      <w:szCs w:val="21"/>
                      <w:u w:val="single"/>
                      <w:lang w:val="en-US" w:eastAsia="zh-CN"/>
                    </w:rPr>
                    <w:t>筛选</w:t>
                  </w:r>
                  <w:r>
                    <w:rPr>
                      <w:rFonts w:hint="default" w:ascii="Times New Roman" w:hAnsi="Times New Roman" w:eastAsia="宋体" w:cs="Times New Roman"/>
                      <w:i w:val="0"/>
                      <w:iCs w:val="0"/>
                      <w:caps w:val="0"/>
                      <w:color w:val="auto"/>
                      <w:spacing w:val="0"/>
                      <w:sz w:val="21"/>
                      <w:szCs w:val="21"/>
                      <w:u w:val="single"/>
                      <w:shd w:val="clear" w:fill="FFFFFF"/>
                    </w:rPr>
                    <w:t>、</w:t>
                  </w:r>
                  <w:r>
                    <w:rPr>
                      <w:rFonts w:hint="default" w:ascii="Times New Roman" w:hAnsi="Times New Roman" w:eastAsia="宋体" w:cs="Times New Roman"/>
                      <w:color w:val="auto"/>
                      <w:kern w:val="2"/>
                      <w:sz w:val="21"/>
                      <w:szCs w:val="21"/>
                      <w:u w:val="single"/>
                      <w:lang w:val="en-US" w:eastAsia="zh-CN"/>
                    </w:rPr>
                    <w:t>烘干</w:t>
                  </w:r>
                  <w:r>
                    <w:rPr>
                      <w:rFonts w:hint="eastAsia" w:ascii="Times New Roman" w:hAnsi="Times New Roman" w:cs="Times New Roman"/>
                      <w:color w:val="auto"/>
                      <w:kern w:val="2"/>
                      <w:sz w:val="21"/>
                      <w:szCs w:val="21"/>
                      <w:u w:val="single"/>
                      <w:lang w:val="en-US" w:eastAsia="zh-CN"/>
                    </w:rPr>
                    <w:t>、切制</w:t>
                  </w:r>
                  <w:r>
                    <w:rPr>
                      <w:rFonts w:hint="default" w:ascii="Times New Roman" w:hAnsi="Times New Roman" w:eastAsia="宋体" w:cs="Times New Roman"/>
                      <w:color w:val="auto"/>
                      <w:kern w:val="2"/>
                      <w:sz w:val="21"/>
                      <w:szCs w:val="21"/>
                      <w:u w:val="single"/>
                      <w:lang w:val="en-US" w:eastAsia="zh-CN"/>
                    </w:rPr>
                    <w:t>等设施设备</w:t>
                  </w:r>
                </w:p>
              </w:tc>
              <w:tc>
                <w:tcPr>
                  <w:tcW w:w="418" w:type="pct"/>
                  <w:tcBorders>
                    <w:tl2br w:val="nil"/>
                    <w:tr2bl w:val="nil"/>
                  </w:tcBorders>
                  <w:shd w:val="clear" w:color="auto" w:fill="auto"/>
                  <w:noWrap w:val="0"/>
                  <w:vAlign w:val="center"/>
                </w:tcPr>
                <w:p w14:paraId="7A710DDC">
                  <w:pPr>
                    <w:pStyle w:val="105"/>
                    <w:overflowPunct w:val="0"/>
                    <w:adjustRightInd w:val="0"/>
                    <w:snapToGrid w:val="0"/>
                    <w:jc w:val="center"/>
                    <w:rPr>
                      <w:rFonts w:hint="default" w:ascii="Times New Roman" w:hAnsi="Times New Roman" w:eastAsia="宋体" w:cs="Times New Roman"/>
                      <w:color w:val="auto"/>
                      <w:kern w:val="2"/>
                      <w:sz w:val="21"/>
                      <w:szCs w:val="21"/>
                      <w:u w:val="single"/>
                    </w:rPr>
                  </w:pPr>
                  <w:r>
                    <w:rPr>
                      <w:rFonts w:hint="default" w:ascii="Times New Roman" w:hAnsi="Times New Roman" w:eastAsia="宋体" w:cs="Times New Roman"/>
                      <w:color w:val="auto"/>
                      <w:kern w:val="2"/>
                      <w:sz w:val="21"/>
                      <w:szCs w:val="21"/>
                      <w:u w:val="single"/>
                      <w:lang w:val="en-US" w:eastAsia="zh-CN"/>
                    </w:rPr>
                    <w:t>符合</w:t>
                  </w:r>
                </w:p>
              </w:tc>
            </w:tr>
            <w:tr w14:paraId="03EE7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568" w:type="pct"/>
                  <w:vMerge w:val="continue"/>
                  <w:tcBorders>
                    <w:tl2br w:val="nil"/>
                    <w:tr2bl w:val="nil"/>
                  </w:tcBorders>
                  <w:shd w:val="clear" w:color="auto" w:fill="auto"/>
                  <w:noWrap w:val="0"/>
                  <w:vAlign w:val="center"/>
                </w:tcPr>
                <w:p w14:paraId="0D437E84">
                  <w:pPr>
                    <w:pStyle w:val="105"/>
                    <w:overflowPunct w:val="0"/>
                    <w:adjustRightInd w:val="0"/>
                    <w:snapToGrid w:val="0"/>
                    <w:jc w:val="both"/>
                    <w:rPr>
                      <w:rFonts w:hint="default" w:ascii="Times New Roman" w:hAnsi="Times New Roman" w:eastAsia="宋体" w:cs="Times New Roman"/>
                      <w:color w:val="auto"/>
                      <w:kern w:val="2"/>
                      <w:sz w:val="21"/>
                      <w:szCs w:val="21"/>
                      <w:u w:val="single"/>
                      <w:lang w:eastAsia="zh-CN"/>
                    </w:rPr>
                  </w:pPr>
                </w:p>
              </w:tc>
              <w:tc>
                <w:tcPr>
                  <w:tcW w:w="3020" w:type="pct"/>
                  <w:tcBorders>
                    <w:tl2br w:val="nil"/>
                    <w:tr2bl w:val="nil"/>
                  </w:tcBorders>
                  <w:shd w:val="clear" w:color="auto" w:fill="auto"/>
                  <w:noWrap w:val="0"/>
                  <w:vAlign w:val="center"/>
                </w:tcPr>
                <w:p w14:paraId="06FBF884">
                  <w:pPr>
                    <w:pStyle w:val="105"/>
                    <w:overflowPunct w:val="0"/>
                    <w:adjustRightInd w:val="0"/>
                    <w:snapToGrid w:val="0"/>
                    <w:jc w:val="both"/>
                    <w:rPr>
                      <w:rFonts w:hint="default" w:ascii="Times New Roman" w:hAnsi="Times New Roman" w:eastAsia="宋体" w:cs="Times New Roman"/>
                      <w:color w:val="auto"/>
                      <w:kern w:val="2"/>
                      <w:sz w:val="21"/>
                      <w:szCs w:val="21"/>
                      <w:u w:val="single"/>
                      <w:lang w:eastAsia="zh-CN"/>
                    </w:rPr>
                  </w:pPr>
                  <w:r>
                    <w:rPr>
                      <w:rFonts w:hint="default" w:ascii="Times New Roman" w:hAnsi="Times New Roman" w:eastAsia="宋体" w:cs="Times New Roman"/>
                      <w:i w:val="0"/>
                      <w:iCs w:val="0"/>
                      <w:caps w:val="0"/>
                      <w:color w:val="auto"/>
                      <w:spacing w:val="0"/>
                      <w:sz w:val="21"/>
                      <w:szCs w:val="21"/>
                      <w:u w:val="single"/>
                      <w:shd w:val="clear" w:fill="FFFFFF"/>
                    </w:rPr>
                    <w:t>2.制定工艺流程。产地趁鲜切制加工企业应当按照品种制定产地趁鲜切制加工工艺流程和技术要求，并对工艺流程严格控制。工艺流程仅包括净选、切片、干燥、包装工序。加工时应当对工艺流程如实记录，并有完整准确的批生产记录。</w:t>
                  </w:r>
                </w:p>
              </w:tc>
              <w:tc>
                <w:tcPr>
                  <w:tcW w:w="991" w:type="pct"/>
                  <w:tcBorders>
                    <w:tl2br w:val="nil"/>
                    <w:tr2bl w:val="nil"/>
                  </w:tcBorders>
                  <w:shd w:val="clear" w:color="auto" w:fill="auto"/>
                  <w:noWrap w:val="0"/>
                  <w:vAlign w:val="center"/>
                </w:tcPr>
                <w:p w14:paraId="48187DF0">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本项目初加工基地设置清洗</w:t>
                  </w:r>
                  <w:r>
                    <w:rPr>
                      <w:rFonts w:hint="default" w:ascii="Times New Roman" w:hAnsi="Times New Roman" w:eastAsia="宋体" w:cs="Times New Roman"/>
                      <w:i w:val="0"/>
                      <w:iCs w:val="0"/>
                      <w:caps w:val="0"/>
                      <w:color w:val="auto"/>
                      <w:spacing w:val="0"/>
                      <w:sz w:val="21"/>
                      <w:szCs w:val="21"/>
                      <w:u w:val="single"/>
                      <w:shd w:val="clear" w:fill="FFFFFF"/>
                    </w:rPr>
                    <w:t>、</w:t>
                  </w:r>
                  <w:r>
                    <w:rPr>
                      <w:rFonts w:hint="default" w:ascii="Times New Roman" w:hAnsi="Times New Roman" w:eastAsia="宋体" w:cs="Times New Roman"/>
                      <w:color w:val="auto"/>
                      <w:kern w:val="2"/>
                      <w:sz w:val="21"/>
                      <w:szCs w:val="21"/>
                      <w:u w:val="single"/>
                      <w:lang w:val="en-US" w:eastAsia="zh-CN"/>
                    </w:rPr>
                    <w:t>筛选</w:t>
                  </w:r>
                  <w:r>
                    <w:rPr>
                      <w:rFonts w:hint="default" w:ascii="Times New Roman" w:hAnsi="Times New Roman" w:eastAsia="宋体" w:cs="Times New Roman"/>
                      <w:i w:val="0"/>
                      <w:iCs w:val="0"/>
                      <w:caps w:val="0"/>
                      <w:color w:val="auto"/>
                      <w:spacing w:val="0"/>
                      <w:sz w:val="21"/>
                      <w:szCs w:val="21"/>
                      <w:u w:val="single"/>
                      <w:shd w:val="clear" w:fill="FFFFFF"/>
                    </w:rPr>
                    <w:t>、</w:t>
                  </w:r>
                  <w:r>
                    <w:rPr>
                      <w:rFonts w:hint="default" w:ascii="Times New Roman" w:hAnsi="Times New Roman" w:eastAsia="宋体" w:cs="Times New Roman"/>
                      <w:color w:val="auto"/>
                      <w:kern w:val="2"/>
                      <w:sz w:val="21"/>
                      <w:szCs w:val="21"/>
                      <w:u w:val="single"/>
                      <w:lang w:val="en-US" w:eastAsia="zh-CN"/>
                    </w:rPr>
                    <w:t>烘干</w:t>
                  </w:r>
                  <w:r>
                    <w:rPr>
                      <w:rFonts w:hint="eastAsia" w:ascii="Times New Roman" w:hAnsi="Times New Roman" w:cs="Times New Roman"/>
                      <w:color w:val="auto"/>
                      <w:kern w:val="2"/>
                      <w:sz w:val="21"/>
                      <w:szCs w:val="21"/>
                      <w:u w:val="single"/>
                      <w:lang w:val="en-US" w:eastAsia="zh-CN"/>
                    </w:rPr>
                    <w:t>、切片、包装</w:t>
                  </w:r>
                  <w:r>
                    <w:rPr>
                      <w:rFonts w:hint="default" w:ascii="Times New Roman" w:hAnsi="Times New Roman" w:eastAsia="宋体" w:cs="Times New Roman"/>
                      <w:color w:val="auto"/>
                      <w:kern w:val="2"/>
                      <w:sz w:val="21"/>
                      <w:szCs w:val="21"/>
                      <w:u w:val="single"/>
                      <w:lang w:val="en-US" w:eastAsia="zh-CN"/>
                    </w:rPr>
                    <w:t>等工艺</w:t>
                  </w:r>
                </w:p>
              </w:tc>
              <w:tc>
                <w:tcPr>
                  <w:tcW w:w="418" w:type="pct"/>
                  <w:tcBorders>
                    <w:tl2br w:val="nil"/>
                    <w:tr2bl w:val="nil"/>
                  </w:tcBorders>
                  <w:shd w:val="clear" w:color="auto" w:fill="auto"/>
                  <w:noWrap w:val="0"/>
                  <w:vAlign w:val="center"/>
                </w:tcPr>
                <w:p w14:paraId="7EE12FE6">
                  <w:pPr>
                    <w:pStyle w:val="105"/>
                    <w:overflowPunct w:val="0"/>
                    <w:adjustRightInd w:val="0"/>
                    <w:snapToGrid w:val="0"/>
                    <w:jc w:val="center"/>
                    <w:rPr>
                      <w:rFonts w:hint="default" w:ascii="Times New Roman" w:hAnsi="Times New Roman" w:eastAsia="宋体" w:cs="Times New Roman"/>
                      <w:color w:val="auto"/>
                      <w:kern w:val="2"/>
                      <w:sz w:val="21"/>
                      <w:szCs w:val="21"/>
                      <w:u w:val="single"/>
                    </w:rPr>
                  </w:pPr>
                  <w:r>
                    <w:rPr>
                      <w:rFonts w:hint="default" w:ascii="Times New Roman" w:hAnsi="Times New Roman" w:eastAsia="宋体" w:cs="Times New Roman"/>
                      <w:color w:val="auto"/>
                      <w:kern w:val="2"/>
                      <w:sz w:val="21"/>
                      <w:szCs w:val="21"/>
                      <w:u w:val="single"/>
                      <w:lang w:val="en-US" w:eastAsia="zh-CN"/>
                    </w:rPr>
                    <w:t>符合</w:t>
                  </w:r>
                </w:p>
              </w:tc>
            </w:tr>
            <w:tr w14:paraId="1D1882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68" w:type="pct"/>
                  <w:vMerge w:val="continue"/>
                  <w:tcBorders>
                    <w:tl2br w:val="nil"/>
                    <w:tr2bl w:val="nil"/>
                  </w:tcBorders>
                  <w:shd w:val="clear" w:color="auto" w:fill="auto"/>
                  <w:noWrap w:val="0"/>
                  <w:vAlign w:val="center"/>
                </w:tcPr>
                <w:p w14:paraId="15CE9ED0">
                  <w:pPr>
                    <w:pStyle w:val="105"/>
                    <w:overflowPunct w:val="0"/>
                    <w:adjustRightInd w:val="0"/>
                    <w:snapToGrid w:val="0"/>
                    <w:jc w:val="both"/>
                    <w:rPr>
                      <w:rFonts w:hint="default" w:ascii="Times New Roman" w:hAnsi="Times New Roman" w:eastAsia="宋体" w:cs="Times New Roman"/>
                      <w:color w:val="auto"/>
                      <w:kern w:val="2"/>
                      <w:sz w:val="21"/>
                      <w:szCs w:val="21"/>
                      <w:u w:val="single"/>
                      <w:lang w:eastAsia="zh-CN"/>
                    </w:rPr>
                  </w:pPr>
                </w:p>
              </w:tc>
              <w:tc>
                <w:tcPr>
                  <w:tcW w:w="3020" w:type="pct"/>
                  <w:tcBorders>
                    <w:tl2br w:val="nil"/>
                    <w:tr2bl w:val="nil"/>
                  </w:tcBorders>
                  <w:shd w:val="clear" w:color="auto" w:fill="auto"/>
                  <w:noWrap w:val="0"/>
                  <w:vAlign w:val="center"/>
                </w:tcPr>
                <w:p w14:paraId="0AD93EF9">
                  <w:pPr>
                    <w:pStyle w:val="105"/>
                    <w:overflowPunct w:val="0"/>
                    <w:adjustRightInd w:val="0"/>
                    <w:snapToGrid w:val="0"/>
                    <w:jc w:val="both"/>
                    <w:rPr>
                      <w:rFonts w:hint="default" w:ascii="Times New Roman" w:hAnsi="Times New Roman" w:eastAsia="宋体" w:cs="Times New Roman"/>
                      <w:color w:val="auto"/>
                      <w:kern w:val="2"/>
                      <w:sz w:val="21"/>
                      <w:szCs w:val="21"/>
                      <w:u w:val="single"/>
                      <w:lang w:eastAsia="zh-CN"/>
                    </w:rPr>
                  </w:pPr>
                  <w:r>
                    <w:rPr>
                      <w:rFonts w:hint="default" w:ascii="Times New Roman" w:hAnsi="Times New Roman" w:eastAsia="宋体" w:cs="Times New Roman"/>
                      <w:i w:val="0"/>
                      <w:iCs w:val="0"/>
                      <w:caps w:val="0"/>
                      <w:color w:val="auto"/>
                      <w:spacing w:val="0"/>
                      <w:sz w:val="21"/>
                      <w:szCs w:val="21"/>
                      <w:u w:val="single"/>
                      <w:shd w:val="clear" w:fill="FFFFFF"/>
                    </w:rPr>
                    <w:t>3.制定质量标准。产地趁鲜切制加工企业应当制定趁鲜切制中药材质量标准，鲜切药材的基原和质量</w:t>
                  </w:r>
                  <w:r>
                    <w:rPr>
                      <w:rFonts w:hint="eastAsia" w:ascii="Times New Roman" w:hAnsi="Times New Roman" w:cs="Times New Roman"/>
                      <w:i w:val="0"/>
                      <w:iCs w:val="0"/>
                      <w:caps w:val="0"/>
                      <w:color w:val="auto"/>
                      <w:spacing w:val="0"/>
                      <w:sz w:val="21"/>
                      <w:szCs w:val="21"/>
                      <w:u w:val="single"/>
                      <w:shd w:val="clear" w:fill="FFFFFF"/>
                      <w:lang w:eastAsia="zh-CN"/>
                    </w:rPr>
                    <w:t>（</w:t>
                  </w:r>
                  <w:r>
                    <w:rPr>
                      <w:rFonts w:hint="default" w:ascii="Times New Roman" w:hAnsi="Times New Roman" w:eastAsia="宋体" w:cs="Times New Roman"/>
                      <w:i w:val="0"/>
                      <w:iCs w:val="0"/>
                      <w:caps w:val="0"/>
                      <w:color w:val="auto"/>
                      <w:spacing w:val="0"/>
                      <w:sz w:val="21"/>
                      <w:szCs w:val="21"/>
                      <w:u w:val="single"/>
                      <w:shd w:val="clear" w:fill="FFFFFF"/>
                    </w:rPr>
                    <w:t>形态除外</w:t>
                  </w:r>
                  <w:r>
                    <w:rPr>
                      <w:rFonts w:hint="eastAsia" w:ascii="Times New Roman" w:hAnsi="Times New Roman" w:cs="Times New Roman"/>
                      <w:i w:val="0"/>
                      <w:iCs w:val="0"/>
                      <w:caps w:val="0"/>
                      <w:color w:val="auto"/>
                      <w:spacing w:val="0"/>
                      <w:sz w:val="21"/>
                      <w:szCs w:val="21"/>
                      <w:u w:val="single"/>
                      <w:shd w:val="clear" w:fill="FFFFFF"/>
                      <w:lang w:eastAsia="zh-CN"/>
                    </w:rPr>
                    <w:t>）</w:t>
                  </w:r>
                  <w:r>
                    <w:rPr>
                      <w:rFonts w:hint="default" w:ascii="Times New Roman" w:hAnsi="Times New Roman" w:eastAsia="宋体" w:cs="Times New Roman"/>
                      <w:i w:val="0"/>
                      <w:iCs w:val="0"/>
                      <w:caps w:val="0"/>
                      <w:color w:val="auto"/>
                      <w:spacing w:val="0"/>
                      <w:sz w:val="21"/>
                      <w:szCs w:val="21"/>
                      <w:u w:val="single"/>
                      <w:shd w:val="clear" w:fill="FFFFFF"/>
                    </w:rPr>
                    <w:t>应当符合《中国药典》等国家药品标准或者《湖南省中药材标准》《湖南省中药饮片炮制规范》要求。鼓励研究制定高于法定标准的内控质量标准。</w:t>
                  </w:r>
                </w:p>
              </w:tc>
              <w:tc>
                <w:tcPr>
                  <w:tcW w:w="991" w:type="pct"/>
                  <w:tcBorders>
                    <w:tl2br w:val="nil"/>
                    <w:tr2bl w:val="nil"/>
                  </w:tcBorders>
                  <w:shd w:val="clear" w:color="auto" w:fill="auto"/>
                  <w:noWrap w:val="0"/>
                  <w:vAlign w:val="center"/>
                </w:tcPr>
                <w:p w14:paraId="78BDA6F2">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本项目运营期拟制定相关质量标准</w:t>
                  </w:r>
                </w:p>
              </w:tc>
              <w:tc>
                <w:tcPr>
                  <w:tcW w:w="418" w:type="pct"/>
                  <w:tcBorders>
                    <w:tl2br w:val="nil"/>
                    <w:tr2bl w:val="nil"/>
                  </w:tcBorders>
                  <w:shd w:val="clear" w:color="auto" w:fill="auto"/>
                  <w:noWrap w:val="0"/>
                  <w:vAlign w:val="center"/>
                </w:tcPr>
                <w:p w14:paraId="6CE8AD45">
                  <w:pPr>
                    <w:pStyle w:val="105"/>
                    <w:overflowPunct w:val="0"/>
                    <w:adjustRightInd w:val="0"/>
                    <w:snapToGrid w:val="0"/>
                    <w:jc w:val="center"/>
                    <w:rPr>
                      <w:rFonts w:hint="default" w:ascii="Times New Roman" w:hAnsi="Times New Roman" w:eastAsia="宋体" w:cs="Times New Roman"/>
                      <w:color w:val="auto"/>
                      <w:kern w:val="2"/>
                      <w:sz w:val="21"/>
                      <w:szCs w:val="21"/>
                      <w:u w:val="single"/>
                    </w:rPr>
                  </w:pPr>
                  <w:r>
                    <w:rPr>
                      <w:rFonts w:hint="default" w:ascii="Times New Roman" w:hAnsi="Times New Roman" w:eastAsia="宋体" w:cs="Times New Roman"/>
                      <w:color w:val="auto"/>
                      <w:kern w:val="2"/>
                      <w:sz w:val="21"/>
                      <w:szCs w:val="21"/>
                      <w:u w:val="single"/>
                      <w:lang w:val="en-US" w:eastAsia="zh-CN"/>
                    </w:rPr>
                    <w:t>符合</w:t>
                  </w:r>
                </w:p>
              </w:tc>
            </w:tr>
            <w:tr w14:paraId="40A21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568" w:type="pct"/>
                  <w:vMerge w:val="continue"/>
                  <w:tcBorders>
                    <w:tl2br w:val="nil"/>
                    <w:tr2bl w:val="nil"/>
                  </w:tcBorders>
                  <w:shd w:val="clear" w:color="auto" w:fill="auto"/>
                  <w:noWrap w:val="0"/>
                  <w:vAlign w:val="center"/>
                </w:tcPr>
                <w:p w14:paraId="4203023C">
                  <w:pPr>
                    <w:pStyle w:val="105"/>
                    <w:overflowPunct w:val="0"/>
                    <w:adjustRightInd w:val="0"/>
                    <w:snapToGrid w:val="0"/>
                    <w:jc w:val="both"/>
                    <w:rPr>
                      <w:rFonts w:hint="default" w:ascii="Times New Roman" w:hAnsi="Times New Roman" w:eastAsia="宋体" w:cs="Times New Roman"/>
                      <w:color w:val="auto"/>
                      <w:kern w:val="2"/>
                      <w:sz w:val="21"/>
                      <w:szCs w:val="21"/>
                      <w:u w:val="single"/>
                      <w:lang w:eastAsia="zh-CN"/>
                    </w:rPr>
                  </w:pPr>
                </w:p>
              </w:tc>
              <w:tc>
                <w:tcPr>
                  <w:tcW w:w="3020" w:type="pct"/>
                  <w:tcBorders>
                    <w:tl2br w:val="nil"/>
                    <w:tr2bl w:val="nil"/>
                  </w:tcBorders>
                  <w:shd w:val="clear" w:color="auto" w:fill="auto"/>
                  <w:noWrap w:val="0"/>
                  <w:vAlign w:val="center"/>
                </w:tcPr>
                <w:p w14:paraId="47E6D119">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4.建立追溯体系。产地趁鲜切制加工企业应当开展中药材全过程追溯体系建设，追溯信息应当包括：产地地理坐标、种植面积、亩产数量、种子种苗来源、农药化肥的使用记录、种植时间、采收时间、切制加工日期、切制成品数量、成品去向等，保证中药材来源质量可溯可控。</w:t>
                  </w:r>
                </w:p>
              </w:tc>
              <w:tc>
                <w:tcPr>
                  <w:tcW w:w="991" w:type="pct"/>
                  <w:tcBorders>
                    <w:tl2br w:val="nil"/>
                    <w:tr2bl w:val="nil"/>
                  </w:tcBorders>
                  <w:shd w:val="clear" w:color="auto" w:fill="auto"/>
                  <w:noWrap w:val="0"/>
                  <w:vAlign w:val="center"/>
                </w:tcPr>
                <w:p w14:paraId="300C06E2">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本项目</w:t>
                  </w:r>
                  <w:r>
                    <w:rPr>
                      <w:rFonts w:hint="default" w:ascii="Times New Roman" w:hAnsi="Times New Roman" w:eastAsia="宋体" w:cs="Times New Roman"/>
                      <w:bCs/>
                      <w:color w:val="auto"/>
                      <w:sz w:val="21"/>
                      <w:szCs w:val="21"/>
                      <w:u w:val="single"/>
                      <w:lang w:val="en-US" w:eastAsia="zh-CN"/>
                    </w:rPr>
                    <w:t>中药材原材料均从当地农户收购，运营期拟</w:t>
                  </w:r>
                  <w:r>
                    <w:rPr>
                      <w:rFonts w:hint="default" w:ascii="Times New Roman" w:hAnsi="Times New Roman" w:eastAsia="宋体" w:cs="Times New Roman"/>
                      <w:i w:val="0"/>
                      <w:iCs w:val="0"/>
                      <w:caps w:val="0"/>
                      <w:color w:val="auto"/>
                      <w:spacing w:val="0"/>
                      <w:sz w:val="21"/>
                      <w:szCs w:val="21"/>
                      <w:u w:val="single"/>
                      <w:shd w:val="clear" w:fill="FFFFFF"/>
                    </w:rPr>
                    <w:t>建立追溯体系</w:t>
                  </w:r>
                </w:p>
              </w:tc>
              <w:tc>
                <w:tcPr>
                  <w:tcW w:w="418" w:type="pct"/>
                  <w:tcBorders>
                    <w:tl2br w:val="nil"/>
                    <w:tr2bl w:val="nil"/>
                  </w:tcBorders>
                  <w:shd w:val="clear" w:color="auto" w:fill="auto"/>
                  <w:noWrap w:val="0"/>
                  <w:vAlign w:val="center"/>
                </w:tcPr>
                <w:p w14:paraId="5CBB303A">
                  <w:pPr>
                    <w:pStyle w:val="105"/>
                    <w:overflowPunct w:val="0"/>
                    <w:adjustRightInd w:val="0"/>
                    <w:snapToGrid w:val="0"/>
                    <w:jc w:val="center"/>
                    <w:rPr>
                      <w:rFonts w:hint="default" w:ascii="Times New Roman" w:hAnsi="Times New Roman" w:eastAsia="宋体" w:cs="Times New Roman"/>
                      <w:color w:val="auto"/>
                      <w:kern w:val="2"/>
                      <w:sz w:val="21"/>
                      <w:szCs w:val="21"/>
                      <w:u w:val="single"/>
                    </w:rPr>
                  </w:pPr>
                  <w:r>
                    <w:rPr>
                      <w:rFonts w:hint="default" w:ascii="Times New Roman" w:hAnsi="Times New Roman" w:eastAsia="宋体" w:cs="Times New Roman"/>
                      <w:color w:val="auto"/>
                      <w:kern w:val="2"/>
                      <w:sz w:val="21"/>
                      <w:szCs w:val="21"/>
                      <w:u w:val="single"/>
                      <w:lang w:val="en-US" w:eastAsia="zh-CN"/>
                    </w:rPr>
                    <w:t>符合</w:t>
                  </w:r>
                </w:p>
              </w:tc>
            </w:tr>
            <w:tr w14:paraId="755A5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68" w:type="pct"/>
                  <w:vMerge w:val="continue"/>
                  <w:tcBorders>
                    <w:tl2br w:val="nil"/>
                    <w:tr2bl w:val="nil"/>
                  </w:tcBorders>
                  <w:shd w:val="clear" w:color="auto" w:fill="auto"/>
                  <w:noWrap w:val="0"/>
                  <w:vAlign w:val="center"/>
                </w:tcPr>
                <w:p w14:paraId="491B371C">
                  <w:pPr>
                    <w:pStyle w:val="105"/>
                    <w:overflowPunct w:val="0"/>
                    <w:adjustRightInd w:val="0"/>
                    <w:snapToGrid w:val="0"/>
                    <w:jc w:val="both"/>
                    <w:rPr>
                      <w:rFonts w:hint="default" w:ascii="Times New Roman" w:hAnsi="Times New Roman" w:eastAsia="宋体" w:cs="Times New Roman"/>
                      <w:color w:val="auto"/>
                      <w:kern w:val="2"/>
                      <w:sz w:val="21"/>
                      <w:szCs w:val="21"/>
                      <w:u w:val="single"/>
                      <w:lang w:eastAsia="zh-CN"/>
                    </w:rPr>
                  </w:pPr>
                </w:p>
              </w:tc>
              <w:tc>
                <w:tcPr>
                  <w:tcW w:w="3020" w:type="pct"/>
                  <w:tcBorders>
                    <w:tl2br w:val="nil"/>
                    <w:tr2bl w:val="nil"/>
                  </w:tcBorders>
                  <w:shd w:val="clear" w:color="auto" w:fill="auto"/>
                  <w:noWrap w:val="0"/>
                  <w:vAlign w:val="center"/>
                </w:tcPr>
                <w:p w14:paraId="578A486F">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5.规范采购行为。药品生产企业采购中药材趁鲜切制品时，应当对照《湖南省中药材产地趁鲜切制加工质量管理指南》（附件3，以下简称《指南》）要求，从具备健全质量管理体系的产地加工企业采购，采购的品种应当是省级以上药品监督管理部门制定的鲜切药材目录内的品种。不得从各类中药材市场或者个人等处购进中药材趁鲜切制品用于中药饮片生产，也不得将采购的中药材趁鲜切制品直接包装后作为中药饮片销售。</w:t>
                  </w:r>
                </w:p>
              </w:tc>
              <w:tc>
                <w:tcPr>
                  <w:tcW w:w="991" w:type="pct"/>
                  <w:tcBorders>
                    <w:tl2br w:val="nil"/>
                    <w:tr2bl w:val="nil"/>
                  </w:tcBorders>
                  <w:shd w:val="clear" w:color="auto" w:fill="auto"/>
                  <w:noWrap w:val="0"/>
                  <w:vAlign w:val="center"/>
                </w:tcPr>
                <w:p w14:paraId="42ECE622">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本项目运营期</w:t>
                  </w:r>
                  <w:r>
                    <w:rPr>
                      <w:rFonts w:hint="default" w:ascii="Times New Roman" w:hAnsi="Times New Roman" w:eastAsia="宋体" w:cs="Times New Roman"/>
                      <w:i w:val="0"/>
                      <w:iCs w:val="0"/>
                      <w:caps w:val="0"/>
                      <w:color w:val="auto"/>
                      <w:spacing w:val="0"/>
                      <w:sz w:val="21"/>
                      <w:szCs w:val="21"/>
                      <w:u w:val="single"/>
                      <w:shd w:val="clear" w:fill="FFFFFF"/>
                    </w:rPr>
                    <w:t>规范采购行为</w:t>
                  </w:r>
                  <w:r>
                    <w:rPr>
                      <w:rFonts w:hint="default" w:ascii="Times New Roman" w:hAnsi="Times New Roman" w:eastAsia="宋体" w:cs="Times New Roman"/>
                      <w:i w:val="0"/>
                      <w:iCs w:val="0"/>
                      <w:caps w:val="0"/>
                      <w:color w:val="auto"/>
                      <w:spacing w:val="0"/>
                      <w:sz w:val="21"/>
                      <w:szCs w:val="21"/>
                      <w:u w:val="single"/>
                      <w:shd w:val="clear" w:fill="FFFFFF"/>
                      <w:lang w:eastAsia="zh-CN"/>
                    </w:rPr>
                    <w:t>，</w:t>
                  </w:r>
                  <w:r>
                    <w:rPr>
                      <w:rFonts w:hint="default" w:ascii="Times New Roman" w:hAnsi="Times New Roman" w:eastAsia="宋体" w:cs="Times New Roman"/>
                      <w:i w:val="0"/>
                      <w:iCs w:val="0"/>
                      <w:caps w:val="0"/>
                      <w:color w:val="auto"/>
                      <w:spacing w:val="0"/>
                      <w:sz w:val="21"/>
                      <w:szCs w:val="21"/>
                      <w:u w:val="single"/>
                      <w:shd w:val="clear" w:fill="FFFFFF"/>
                    </w:rPr>
                    <w:t>对照《湖南省中药材产地趁鲜切制加工质量管理指南》</w:t>
                  </w:r>
                  <w:r>
                    <w:rPr>
                      <w:rFonts w:hint="default" w:ascii="Times New Roman" w:hAnsi="Times New Roman" w:eastAsia="宋体" w:cs="Times New Roman"/>
                      <w:i w:val="0"/>
                      <w:iCs w:val="0"/>
                      <w:caps w:val="0"/>
                      <w:color w:val="auto"/>
                      <w:spacing w:val="0"/>
                      <w:sz w:val="21"/>
                      <w:szCs w:val="21"/>
                      <w:u w:val="single"/>
                      <w:shd w:val="clear" w:fill="FFFFFF"/>
                      <w:lang w:val="en-US" w:eastAsia="zh-CN"/>
                    </w:rPr>
                    <w:t>要求进行原材料采购</w:t>
                  </w:r>
                </w:p>
              </w:tc>
              <w:tc>
                <w:tcPr>
                  <w:tcW w:w="418" w:type="pct"/>
                  <w:tcBorders>
                    <w:tl2br w:val="nil"/>
                    <w:tr2bl w:val="nil"/>
                  </w:tcBorders>
                  <w:shd w:val="clear" w:color="auto" w:fill="auto"/>
                  <w:noWrap w:val="0"/>
                  <w:vAlign w:val="center"/>
                </w:tcPr>
                <w:p w14:paraId="0D5157C9">
                  <w:pPr>
                    <w:pStyle w:val="105"/>
                    <w:overflowPunct w:val="0"/>
                    <w:adjustRightInd w:val="0"/>
                    <w:snapToGrid w:val="0"/>
                    <w:jc w:val="center"/>
                    <w:rPr>
                      <w:rFonts w:hint="default" w:ascii="Times New Roman" w:hAnsi="Times New Roman" w:eastAsia="宋体" w:cs="Times New Roman"/>
                      <w:color w:val="auto"/>
                      <w:kern w:val="2"/>
                      <w:sz w:val="21"/>
                      <w:szCs w:val="21"/>
                      <w:u w:val="single"/>
                    </w:rPr>
                  </w:pPr>
                  <w:r>
                    <w:rPr>
                      <w:rFonts w:hint="default" w:ascii="Times New Roman" w:hAnsi="Times New Roman" w:eastAsia="宋体" w:cs="Times New Roman"/>
                      <w:color w:val="auto"/>
                      <w:kern w:val="2"/>
                      <w:sz w:val="21"/>
                      <w:szCs w:val="21"/>
                      <w:u w:val="single"/>
                      <w:lang w:val="en-US" w:eastAsia="zh-CN"/>
                    </w:rPr>
                    <w:t>符合</w:t>
                  </w:r>
                </w:p>
              </w:tc>
            </w:tr>
            <w:tr w14:paraId="62921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atLeast"/>
              </w:trPr>
              <w:tc>
                <w:tcPr>
                  <w:tcW w:w="568" w:type="pct"/>
                  <w:vMerge w:val="restart"/>
                  <w:tcBorders>
                    <w:tl2br w:val="nil"/>
                    <w:tr2bl w:val="nil"/>
                  </w:tcBorders>
                  <w:shd w:val="clear" w:color="auto" w:fill="auto"/>
                  <w:noWrap w:val="0"/>
                  <w:vAlign w:val="center"/>
                </w:tcPr>
                <w:p w14:paraId="63A3280F">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（三）加强趁鲜切制加工质量管理</w:t>
                  </w:r>
                </w:p>
              </w:tc>
              <w:tc>
                <w:tcPr>
                  <w:tcW w:w="3020" w:type="pct"/>
                  <w:tcBorders>
                    <w:tl2br w:val="nil"/>
                    <w:tr2bl w:val="nil"/>
                  </w:tcBorders>
                  <w:shd w:val="clear" w:color="auto" w:fill="auto"/>
                  <w:noWrap w:val="0"/>
                  <w:vAlign w:val="center"/>
                </w:tcPr>
                <w:p w14:paraId="323ED831">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1.加强自收自制质量管理。药品生产企业自行开展中药材产地趁鲜切制加工，应当对照《指南》建设加工车间，并对其质量管理体系和风险管理能力进行评估后，认为符合要求的，向所在地省药品监督管理部门报告，并在药品年度报告中列明相关情况。报告内容应包括：《中药材产地趁鲜切制加工报告表》（附件4）；趁鲜切制加工品种的工艺规程和质量标准；生产企业自查报告。</w:t>
                  </w:r>
                </w:p>
              </w:tc>
              <w:tc>
                <w:tcPr>
                  <w:tcW w:w="991" w:type="pct"/>
                  <w:tcBorders>
                    <w:tl2br w:val="nil"/>
                    <w:tr2bl w:val="nil"/>
                  </w:tcBorders>
                  <w:shd w:val="clear" w:color="auto" w:fill="auto"/>
                  <w:noWrap w:val="0"/>
                  <w:vAlign w:val="center"/>
                </w:tcPr>
                <w:p w14:paraId="745602E6">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本项目运营期拟加强质量管理</w:t>
                  </w:r>
                </w:p>
              </w:tc>
              <w:tc>
                <w:tcPr>
                  <w:tcW w:w="418" w:type="pct"/>
                  <w:tcBorders>
                    <w:tl2br w:val="nil"/>
                    <w:tr2bl w:val="nil"/>
                  </w:tcBorders>
                  <w:shd w:val="clear" w:color="auto" w:fill="auto"/>
                  <w:noWrap w:val="0"/>
                  <w:vAlign w:val="center"/>
                </w:tcPr>
                <w:p w14:paraId="23122B7B">
                  <w:pPr>
                    <w:pStyle w:val="105"/>
                    <w:overflowPunct w:val="0"/>
                    <w:adjustRightInd w:val="0"/>
                    <w:snapToGrid w:val="0"/>
                    <w:jc w:val="center"/>
                    <w:rPr>
                      <w:rFonts w:hint="default" w:ascii="Times New Roman" w:hAnsi="Times New Roman" w:eastAsia="宋体" w:cs="Times New Roman"/>
                      <w:color w:val="auto"/>
                      <w:kern w:val="2"/>
                      <w:sz w:val="21"/>
                      <w:szCs w:val="21"/>
                      <w:u w:val="single"/>
                    </w:rPr>
                  </w:pPr>
                  <w:r>
                    <w:rPr>
                      <w:rFonts w:hint="default" w:ascii="Times New Roman" w:hAnsi="Times New Roman" w:eastAsia="宋体" w:cs="Times New Roman"/>
                      <w:color w:val="auto"/>
                      <w:kern w:val="2"/>
                      <w:sz w:val="21"/>
                      <w:szCs w:val="21"/>
                      <w:u w:val="single"/>
                      <w:lang w:val="en-US" w:eastAsia="zh-CN"/>
                    </w:rPr>
                    <w:t>符合</w:t>
                  </w:r>
                </w:p>
              </w:tc>
            </w:tr>
            <w:tr w14:paraId="2A9F8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68" w:type="pct"/>
                  <w:vMerge w:val="continue"/>
                  <w:tcBorders>
                    <w:tl2br w:val="nil"/>
                    <w:tr2bl w:val="nil"/>
                  </w:tcBorders>
                  <w:shd w:val="clear" w:color="auto" w:fill="auto"/>
                  <w:noWrap w:val="0"/>
                  <w:vAlign w:val="center"/>
                </w:tcPr>
                <w:p w14:paraId="37D7BAFC">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p>
              </w:tc>
              <w:tc>
                <w:tcPr>
                  <w:tcW w:w="3020" w:type="pct"/>
                  <w:tcBorders>
                    <w:tl2br w:val="nil"/>
                    <w:tr2bl w:val="nil"/>
                  </w:tcBorders>
                  <w:shd w:val="clear" w:color="auto" w:fill="auto"/>
                  <w:noWrap w:val="0"/>
                  <w:vAlign w:val="center"/>
                </w:tcPr>
                <w:p w14:paraId="4EA79E29">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2.加强采购鲜切药材质量管理。药品生产企业采购全国各省（自治区、直辖市）药品监督管理部门公布或认可的鲜切药材用于药品生产的，应当与所采购鲜切药材产地加工企业签订购买合同和质量保证协议（附件5），并对照《指南》严格审核产地加工企业的质量管理体系，认为符合要求的，向采购方所在地省药品监督管理部门报告，并在药品年度报告中列明相关情况。报告内容同自收自制。</w:t>
                  </w:r>
                </w:p>
              </w:tc>
              <w:tc>
                <w:tcPr>
                  <w:tcW w:w="991" w:type="pct"/>
                  <w:tcBorders>
                    <w:tl2br w:val="nil"/>
                    <w:tr2bl w:val="nil"/>
                  </w:tcBorders>
                  <w:shd w:val="clear" w:color="auto" w:fill="auto"/>
                  <w:noWrap w:val="0"/>
                  <w:vAlign w:val="center"/>
                </w:tcPr>
                <w:p w14:paraId="007B449C">
                  <w:pPr>
                    <w:pStyle w:val="105"/>
                    <w:overflowPunct w:val="0"/>
                    <w:adjustRightInd w:val="0"/>
                    <w:snapToGrid w:val="0"/>
                    <w:jc w:val="center"/>
                    <w:rPr>
                      <w:rFonts w:hint="default" w:ascii="Times New Roman" w:hAnsi="Times New Roman" w:eastAsia="宋体" w:cs="Times New Roman"/>
                      <w:color w:val="auto"/>
                      <w:kern w:val="2"/>
                      <w:sz w:val="21"/>
                      <w:szCs w:val="21"/>
                      <w:u w:val="single"/>
                      <w:lang w:eastAsia="zh-CN"/>
                    </w:rPr>
                  </w:pPr>
                  <w:r>
                    <w:rPr>
                      <w:rFonts w:hint="default" w:ascii="Times New Roman" w:hAnsi="Times New Roman" w:eastAsia="宋体" w:cs="Times New Roman"/>
                      <w:i w:val="0"/>
                      <w:iCs w:val="0"/>
                      <w:caps w:val="0"/>
                      <w:color w:val="auto"/>
                      <w:spacing w:val="0"/>
                      <w:sz w:val="21"/>
                      <w:szCs w:val="21"/>
                      <w:u w:val="single"/>
                      <w:shd w:val="clear" w:fill="FFFFFF"/>
                      <w:lang w:val="en-US" w:eastAsia="zh-CN"/>
                    </w:rPr>
                    <w:t>本项目运营期拟</w:t>
                  </w:r>
                  <w:r>
                    <w:rPr>
                      <w:rFonts w:hint="default" w:ascii="Times New Roman" w:hAnsi="Times New Roman" w:eastAsia="宋体" w:cs="Times New Roman"/>
                      <w:i w:val="0"/>
                      <w:iCs w:val="0"/>
                      <w:caps w:val="0"/>
                      <w:color w:val="auto"/>
                      <w:spacing w:val="0"/>
                      <w:sz w:val="21"/>
                      <w:szCs w:val="21"/>
                      <w:u w:val="single"/>
                      <w:shd w:val="clear" w:fill="FFFFFF"/>
                    </w:rPr>
                    <w:t>加强采购鲜切药材质量管理</w:t>
                  </w:r>
                </w:p>
              </w:tc>
              <w:tc>
                <w:tcPr>
                  <w:tcW w:w="418" w:type="pct"/>
                  <w:tcBorders>
                    <w:tl2br w:val="nil"/>
                    <w:tr2bl w:val="nil"/>
                  </w:tcBorders>
                  <w:shd w:val="clear" w:color="auto" w:fill="auto"/>
                  <w:noWrap w:val="0"/>
                  <w:vAlign w:val="center"/>
                </w:tcPr>
                <w:p w14:paraId="436E35EA">
                  <w:pPr>
                    <w:pStyle w:val="105"/>
                    <w:overflowPunct w:val="0"/>
                    <w:adjustRightInd w:val="0"/>
                    <w:snapToGrid w:val="0"/>
                    <w:jc w:val="center"/>
                    <w:rPr>
                      <w:rFonts w:hint="default" w:ascii="Times New Roman" w:hAnsi="Times New Roman" w:eastAsia="宋体" w:cs="Times New Roman"/>
                      <w:color w:val="auto"/>
                      <w:kern w:val="2"/>
                      <w:sz w:val="21"/>
                      <w:szCs w:val="21"/>
                      <w:u w:val="single"/>
                      <w:lang w:val="en-US" w:eastAsia="zh-CN"/>
                    </w:rPr>
                  </w:pPr>
                  <w:r>
                    <w:rPr>
                      <w:rFonts w:hint="default" w:ascii="Times New Roman" w:hAnsi="Times New Roman" w:eastAsia="宋体" w:cs="Times New Roman"/>
                      <w:color w:val="auto"/>
                      <w:kern w:val="2"/>
                      <w:sz w:val="21"/>
                      <w:szCs w:val="21"/>
                      <w:u w:val="single"/>
                      <w:lang w:val="en-US" w:eastAsia="zh-CN"/>
                    </w:rPr>
                    <w:t>符合</w:t>
                  </w:r>
                </w:p>
              </w:tc>
            </w:tr>
          </w:tbl>
          <w:p w14:paraId="5715A51A">
            <w:pPr>
              <w:keepNext w:val="0"/>
              <w:keepLines w:val="0"/>
              <w:pageBreakBefore w:val="0"/>
              <w:widowControl/>
              <w:kinsoku/>
              <w:wordWrap/>
              <w:overflowPunct/>
              <w:topLinePunct w:val="0"/>
              <w:autoSpaceDE w:val="0"/>
              <w:autoSpaceDN w:val="0"/>
              <w:bidi w:val="0"/>
              <w:adjustRightInd w:val="0"/>
              <w:snapToGrid w:val="0"/>
              <w:spacing w:before="157" w:beforeLines="50" w:line="360" w:lineRule="auto"/>
              <w:ind w:firstLine="482" w:firstLineChars="200"/>
              <w:textAlignment w:val="auto"/>
              <w:rPr>
                <w:b/>
                <w:bCs/>
                <w:color w:val="auto"/>
                <w:sz w:val="24"/>
                <w:szCs w:val="32"/>
                <w:u w:val="single"/>
              </w:rPr>
            </w:pPr>
            <w:r>
              <w:rPr>
                <w:rFonts w:hint="eastAsia"/>
                <w:b/>
                <w:bCs/>
                <w:color w:val="auto"/>
                <w:sz w:val="24"/>
                <w:szCs w:val="32"/>
                <w:u w:val="single"/>
                <w:lang w:eastAsia="zh-CN"/>
              </w:rPr>
              <w:t>（</w:t>
            </w:r>
            <w:r>
              <w:rPr>
                <w:rFonts w:hint="eastAsia"/>
                <w:b/>
                <w:bCs/>
                <w:color w:val="auto"/>
                <w:sz w:val="24"/>
                <w:szCs w:val="32"/>
                <w:u w:val="single"/>
                <w:lang w:val="en-US" w:eastAsia="zh-CN"/>
              </w:rPr>
              <w:t>3）</w:t>
            </w:r>
            <w:r>
              <w:rPr>
                <w:b/>
                <w:bCs/>
                <w:color w:val="auto"/>
                <w:sz w:val="24"/>
                <w:szCs w:val="32"/>
                <w:u w:val="single"/>
              </w:rPr>
              <w:t>项目与《湖南省工业炉窑大气污染综合治理实施方案》相符性分析</w:t>
            </w:r>
          </w:p>
          <w:p w14:paraId="2F3ADDE9">
            <w:pPr>
              <w:jc w:val="center"/>
              <w:rPr>
                <w:b/>
                <w:bCs/>
                <w:color w:val="auto"/>
                <w:sz w:val="24"/>
                <w:szCs w:val="24"/>
                <w:u w:val="single"/>
              </w:rPr>
            </w:pPr>
          </w:p>
          <w:p w14:paraId="79183465">
            <w:pPr>
              <w:jc w:val="center"/>
              <w:rPr>
                <w:b/>
                <w:bCs/>
                <w:color w:val="auto"/>
                <w:sz w:val="24"/>
                <w:szCs w:val="24"/>
                <w:u w:val="single"/>
              </w:rPr>
            </w:pPr>
          </w:p>
          <w:p w14:paraId="5F890CC3">
            <w:pPr>
              <w:jc w:val="center"/>
              <w:rPr>
                <w:b/>
                <w:bCs/>
                <w:color w:val="auto"/>
                <w:sz w:val="24"/>
                <w:szCs w:val="24"/>
                <w:u w:val="single"/>
              </w:rPr>
            </w:pPr>
          </w:p>
          <w:p w14:paraId="63D4E1E5">
            <w:pPr>
              <w:jc w:val="center"/>
              <w:rPr>
                <w:b/>
                <w:bCs/>
                <w:color w:val="auto"/>
                <w:sz w:val="24"/>
                <w:szCs w:val="24"/>
                <w:u w:val="single"/>
              </w:rPr>
            </w:pPr>
            <w:r>
              <w:rPr>
                <w:b/>
                <w:bCs/>
                <w:color w:val="auto"/>
                <w:sz w:val="24"/>
                <w:szCs w:val="24"/>
                <w:u w:val="single"/>
              </w:rPr>
              <w:t>表1-4  与《湖南省工业炉窑大气污染综合治理实施方案》相符性分析</w:t>
            </w:r>
          </w:p>
          <w:tbl>
            <w:tblPr>
              <w:tblStyle w:val="32"/>
              <w:tblW w:w="5000"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433"/>
              <w:gridCol w:w="1591"/>
              <w:gridCol w:w="550"/>
            </w:tblGrid>
            <w:tr w14:paraId="6AF49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371" w:type="pct"/>
                  <w:tcBorders>
                    <w:tl2br w:val="nil"/>
                    <w:tr2bl w:val="nil"/>
                  </w:tcBorders>
                  <w:noWrap w:val="0"/>
                  <w:vAlign w:val="center"/>
                </w:tcPr>
                <w:p w14:paraId="1F224C26">
                  <w:pPr>
                    <w:pStyle w:val="105"/>
                    <w:overflowPunct w:val="0"/>
                    <w:adjustRightInd w:val="0"/>
                    <w:snapToGrid w:val="0"/>
                    <w:jc w:val="center"/>
                    <w:rPr>
                      <w:rFonts w:ascii="Times New Roman" w:hAnsi="Times New Roman" w:eastAsia="宋体"/>
                      <w:b/>
                      <w:bCs/>
                      <w:color w:val="auto"/>
                      <w:kern w:val="2"/>
                      <w:sz w:val="21"/>
                      <w:szCs w:val="21"/>
                      <w:u w:val="single"/>
                      <w:lang w:eastAsia="zh-CN"/>
                    </w:rPr>
                  </w:pPr>
                  <w:r>
                    <w:rPr>
                      <w:rFonts w:ascii="Times New Roman" w:hAnsi="Times New Roman" w:eastAsia="宋体"/>
                      <w:b/>
                      <w:bCs/>
                      <w:color w:val="auto"/>
                      <w:kern w:val="2"/>
                      <w:sz w:val="21"/>
                      <w:szCs w:val="21"/>
                      <w:u w:val="single"/>
                      <w:lang w:eastAsia="zh-CN"/>
                    </w:rPr>
                    <w:t>条款</w:t>
                  </w:r>
                </w:p>
              </w:tc>
              <w:tc>
                <w:tcPr>
                  <w:tcW w:w="1209" w:type="pct"/>
                  <w:tcBorders>
                    <w:tl2br w:val="nil"/>
                    <w:tr2bl w:val="nil"/>
                  </w:tcBorders>
                  <w:noWrap w:val="0"/>
                  <w:vAlign w:val="center"/>
                </w:tcPr>
                <w:p w14:paraId="072F64DC">
                  <w:pPr>
                    <w:pStyle w:val="105"/>
                    <w:overflowPunct w:val="0"/>
                    <w:adjustRightInd w:val="0"/>
                    <w:snapToGrid w:val="0"/>
                    <w:jc w:val="center"/>
                    <w:rPr>
                      <w:rFonts w:ascii="Times New Roman" w:hAnsi="Times New Roman" w:eastAsia="宋体"/>
                      <w:b/>
                      <w:bCs/>
                      <w:color w:val="auto"/>
                      <w:kern w:val="2"/>
                      <w:sz w:val="21"/>
                      <w:szCs w:val="21"/>
                      <w:u w:val="single"/>
                    </w:rPr>
                  </w:pPr>
                  <w:r>
                    <w:rPr>
                      <w:rFonts w:ascii="Times New Roman" w:hAnsi="Times New Roman" w:eastAsia="宋体"/>
                      <w:b/>
                      <w:bCs/>
                      <w:color w:val="auto"/>
                      <w:kern w:val="2"/>
                      <w:sz w:val="21"/>
                      <w:szCs w:val="21"/>
                      <w:u w:val="single"/>
                      <w:lang w:eastAsia="zh-CN"/>
                    </w:rPr>
                    <w:t>本项目情况</w:t>
                  </w:r>
                </w:p>
              </w:tc>
              <w:tc>
                <w:tcPr>
                  <w:tcW w:w="418" w:type="pct"/>
                  <w:tcBorders>
                    <w:tl2br w:val="nil"/>
                    <w:tr2bl w:val="nil"/>
                  </w:tcBorders>
                  <w:noWrap w:val="0"/>
                  <w:vAlign w:val="center"/>
                </w:tcPr>
                <w:p w14:paraId="611386CC">
                  <w:pPr>
                    <w:pStyle w:val="105"/>
                    <w:overflowPunct w:val="0"/>
                    <w:adjustRightInd w:val="0"/>
                    <w:snapToGrid w:val="0"/>
                    <w:jc w:val="center"/>
                    <w:rPr>
                      <w:rFonts w:ascii="Times New Roman" w:hAnsi="Times New Roman" w:eastAsia="宋体"/>
                      <w:b/>
                      <w:bCs/>
                      <w:color w:val="auto"/>
                      <w:kern w:val="2"/>
                      <w:sz w:val="21"/>
                      <w:szCs w:val="21"/>
                      <w:u w:val="single"/>
                      <w:lang w:eastAsia="zh-CN"/>
                    </w:rPr>
                  </w:pPr>
                  <w:r>
                    <w:rPr>
                      <w:rFonts w:ascii="Times New Roman" w:hAnsi="Times New Roman" w:eastAsia="宋体"/>
                      <w:b/>
                      <w:bCs/>
                      <w:color w:val="auto"/>
                      <w:kern w:val="2"/>
                      <w:sz w:val="21"/>
                      <w:szCs w:val="21"/>
                      <w:u w:val="single"/>
                    </w:rPr>
                    <w:t>是否符合</w:t>
                  </w:r>
                </w:p>
              </w:tc>
            </w:tr>
            <w:tr w14:paraId="1EF7B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371" w:type="pct"/>
                  <w:tcBorders>
                    <w:tl2br w:val="nil"/>
                    <w:tr2bl w:val="nil"/>
                  </w:tcBorders>
                  <w:noWrap w:val="0"/>
                  <w:vAlign w:val="center"/>
                </w:tcPr>
                <w:p w14:paraId="42CB2B93">
                  <w:pPr>
                    <w:pStyle w:val="105"/>
                    <w:overflowPunct w:val="0"/>
                    <w:adjustRightInd w:val="0"/>
                    <w:snapToGrid w:val="0"/>
                    <w:jc w:val="both"/>
                    <w:rPr>
                      <w:rFonts w:ascii="Times New Roman" w:hAnsi="Times New Roman" w:eastAsia="宋体"/>
                      <w:color w:val="auto"/>
                      <w:kern w:val="2"/>
                      <w:sz w:val="21"/>
                      <w:szCs w:val="21"/>
                      <w:u w:val="single"/>
                      <w:lang w:eastAsia="zh-CN"/>
                    </w:rPr>
                  </w:pPr>
                  <w:r>
                    <w:rPr>
                      <w:rFonts w:ascii="Times New Roman" w:hAnsi="Times New Roman" w:eastAsia="宋体"/>
                      <w:color w:val="auto"/>
                      <w:kern w:val="2"/>
                      <w:sz w:val="21"/>
                      <w:szCs w:val="21"/>
                      <w:u w:val="single"/>
                      <w:lang w:eastAsia="zh-CN"/>
                    </w:rPr>
                    <w:t>1.有组织排放控制要求。已有行业排放标准的工业炉窑，严格按行业排放标准执行，已发放排污许可证的，应严格执行排污许可要求。暂未制订行业排放…的工业炉窑，待地方标准出台后执行，现阶段长沙市、株洲市、湘潭市以及常德市、岳阳市、益阳市等传输通道城市按照颗粒物、二氧化硫、氮氧化物排放限值分别不高于30、200、300毫克/立方米实施改造，其中，日用玻璃、玻璃棉行业氮氧化物排放限值不高于400毫克/立方米，水泥生产企业氮氧化物排放限值不高于100毫克/立方米，铸造行业烧结、高炉工序污染排放控制按照钢铁行业相关标准要求执行（工业炉窑分行业主要大气污染物排放浓度限值见附件1）。</w:t>
                  </w:r>
                </w:p>
              </w:tc>
              <w:tc>
                <w:tcPr>
                  <w:tcW w:w="1209" w:type="pct"/>
                  <w:tcBorders>
                    <w:tl2br w:val="nil"/>
                    <w:tr2bl w:val="nil"/>
                  </w:tcBorders>
                  <w:noWrap w:val="0"/>
                  <w:vAlign w:val="center"/>
                </w:tcPr>
                <w:p w14:paraId="55C7B53B">
                  <w:pPr>
                    <w:pStyle w:val="105"/>
                    <w:overflowPunct w:val="0"/>
                    <w:adjustRightInd w:val="0"/>
                    <w:snapToGrid w:val="0"/>
                    <w:jc w:val="both"/>
                    <w:rPr>
                      <w:rFonts w:ascii="Times New Roman" w:hAnsi="Times New Roman" w:eastAsia="宋体"/>
                      <w:color w:val="auto"/>
                      <w:kern w:val="2"/>
                      <w:sz w:val="21"/>
                      <w:szCs w:val="21"/>
                      <w:u w:val="single"/>
                      <w:lang w:eastAsia="zh-CN"/>
                    </w:rPr>
                  </w:pPr>
                  <w:r>
                    <w:rPr>
                      <w:rFonts w:ascii="Times New Roman" w:hAnsi="Times New Roman" w:eastAsia="宋体"/>
                      <w:color w:val="auto"/>
                      <w:kern w:val="2"/>
                      <w:sz w:val="21"/>
                      <w:szCs w:val="21"/>
                      <w:u w:val="single"/>
                      <w:lang w:eastAsia="zh-CN"/>
                    </w:rPr>
                    <w:t>经分析，</w:t>
                  </w:r>
                  <w:r>
                    <w:rPr>
                      <w:rFonts w:hint="eastAsia" w:ascii="Times New Roman" w:hAnsi="Times New Roman"/>
                      <w:color w:val="auto"/>
                      <w:kern w:val="2"/>
                      <w:sz w:val="21"/>
                      <w:szCs w:val="21"/>
                      <w:u w:val="single"/>
                      <w:lang w:val="en-US" w:eastAsia="zh-CN"/>
                    </w:rPr>
                    <w:t>参照</w:t>
                  </w:r>
                  <w:r>
                    <w:rPr>
                      <w:rFonts w:hint="default" w:ascii="Times New Roman" w:hAnsi="Times New Roman" w:eastAsia="宋体" w:cs="Times New Roman"/>
                      <w:color w:val="FF0000"/>
                      <w:sz w:val="21"/>
                      <w:szCs w:val="21"/>
                      <w:u w:val="single"/>
                      <w:lang w:val="en-US" w:eastAsia="zh-CN"/>
                    </w:rPr>
                    <w:t>《湖南省工业炉窑大气污染综合治理实施方案》中现阶段长沙市、株洲市、湘潭市以及常德市、岳阳市、益阳市等传输通道城市</w:t>
                  </w:r>
                  <w:r>
                    <w:rPr>
                      <w:rFonts w:hint="eastAsia" w:ascii="Times New Roman" w:hAnsi="Times New Roman" w:eastAsia="宋体" w:cs="Times New Roman"/>
                      <w:color w:val="FF0000"/>
                      <w:sz w:val="21"/>
                      <w:szCs w:val="21"/>
                      <w:u w:val="single"/>
                      <w:lang w:val="en-US" w:eastAsia="zh-CN"/>
                    </w:rPr>
                    <w:t>“</w:t>
                  </w:r>
                  <w:r>
                    <w:rPr>
                      <w:rFonts w:hint="default" w:ascii="Times New Roman" w:hAnsi="Times New Roman" w:eastAsia="宋体" w:cs="Times New Roman"/>
                      <w:color w:val="FF0000"/>
                      <w:sz w:val="21"/>
                      <w:szCs w:val="21"/>
                      <w:u w:val="single"/>
                      <w:lang w:val="en-US" w:eastAsia="zh-CN"/>
                    </w:rPr>
                    <w:t>暂未制订行业排放标准的工业炉窑</w:t>
                  </w:r>
                  <w:r>
                    <w:rPr>
                      <w:rFonts w:hint="eastAsia" w:ascii="Times New Roman" w:hAnsi="Times New Roman" w:eastAsia="宋体" w:cs="Times New Roman"/>
                      <w:color w:val="FF0000"/>
                      <w:sz w:val="21"/>
                      <w:szCs w:val="21"/>
                      <w:u w:val="single"/>
                      <w:lang w:val="en-US" w:eastAsia="zh-CN"/>
                    </w:rPr>
                    <w:t>”的排放</w:t>
                  </w:r>
                  <w:r>
                    <w:rPr>
                      <w:rFonts w:hint="default" w:ascii="Times New Roman" w:hAnsi="Times New Roman" w:eastAsia="宋体" w:cs="Times New Roman"/>
                      <w:color w:val="FF0000"/>
                      <w:sz w:val="21"/>
                      <w:szCs w:val="21"/>
                      <w:u w:val="single"/>
                      <w:lang w:val="en-US" w:eastAsia="zh-CN"/>
                    </w:rPr>
                    <w:t>限值</w:t>
                  </w:r>
                  <w:r>
                    <w:rPr>
                      <w:rFonts w:hint="eastAsia" w:ascii="Times New Roman" w:hAnsi="Times New Roman" w:eastAsia="宋体" w:cs="Times New Roman"/>
                      <w:color w:val="FF0000"/>
                      <w:sz w:val="21"/>
                      <w:szCs w:val="21"/>
                      <w:u w:val="single"/>
                      <w:lang w:val="en-US" w:eastAsia="zh-CN"/>
                    </w:rPr>
                    <w:t>，</w:t>
                  </w:r>
                  <w:r>
                    <w:rPr>
                      <w:rFonts w:ascii="Times New Roman" w:hAnsi="Times New Roman" w:eastAsia="宋体"/>
                      <w:color w:val="auto"/>
                      <w:kern w:val="2"/>
                      <w:sz w:val="21"/>
                      <w:szCs w:val="21"/>
                      <w:u w:val="single"/>
                      <w:lang w:eastAsia="zh-CN"/>
                    </w:rPr>
                    <w:t>本项目</w:t>
                  </w:r>
                  <w:r>
                    <w:rPr>
                      <w:rFonts w:hint="eastAsia" w:ascii="Times New Roman" w:hAnsi="Times New Roman"/>
                      <w:color w:val="auto"/>
                      <w:kern w:val="2"/>
                      <w:sz w:val="21"/>
                      <w:szCs w:val="21"/>
                      <w:u w:val="single"/>
                      <w:lang w:val="en-US" w:eastAsia="zh-CN"/>
                    </w:rPr>
                    <w:t>热风炉</w:t>
                  </w:r>
                  <w:r>
                    <w:rPr>
                      <w:rFonts w:ascii="Times New Roman" w:hAnsi="Times New Roman" w:eastAsia="宋体"/>
                      <w:color w:val="auto"/>
                      <w:kern w:val="2"/>
                      <w:sz w:val="21"/>
                      <w:szCs w:val="21"/>
                      <w:u w:val="single"/>
                      <w:lang w:eastAsia="zh-CN"/>
                    </w:rPr>
                    <w:t>排放的颗粒物、二氧化硫、氮氧化物能</w:t>
                  </w:r>
                  <w:r>
                    <w:rPr>
                      <w:rFonts w:hint="eastAsia" w:ascii="Times New Roman" w:hAnsi="Times New Roman"/>
                      <w:color w:val="auto"/>
                      <w:kern w:val="2"/>
                      <w:sz w:val="21"/>
                      <w:szCs w:val="21"/>
                      <w:u w:val="single"/>
                      <w:lang w:val="en-US" w:eastAsia="zh-CN"/>
                    </w:rPr>
                    <w:t>满足其要求</w:t>
                  </w:r>
                  <w:r>
                    <w:rPr>
                      <w:rFonts w:ascii="Times New Roman" w:hAnsi="Times New Roman" w:eastAsia="宋体"/>
                      <w:color w:val="auto"/>
                      <w:kern w:val="2"/>
                      <w:sz w:val="21"/>
                      <w:szCs w:val="21"/>
                      <w:u w:val="single"/>
                      <w:lang w:eastAsia="zh-CN"/>
                    </w:rPr>
                    <w:t>。</w:t>
                  </w:r>
                </w:p>
              </w:tc>
              <w:tc>
                <w:tcPr>
                  <w:tcW w:w="418" w:type="pct"/>
                  <w:tcBorders>
                    <w:tl2br w:val="nil"/>
                    <w:tr2bl w:val="nil"/>
                  </w:tcBorders>
                  <w:noWrap w:val="0"/>
                  <w:vAlign w:val="center"/>
                </w:tcPr>
                <w:p w14:paraId="5FF5D0E0">
                  <w:pPr>
                    <w:pStyle w:val="105"/>
                    <w:overflowPunct w:val="0"/>
                    <w:adjustRightInd w:val="0"/>
                    <w:snapToGrid w:val="0"/>
                    <w:jc w:val="center"/>
                    <w:rPr>
                      <w:rFonts w:ascii="Times New Roman" w:hAnsi="Times New Roman" w:eastAsia="宋体"/>
                      <w:color w:val="auto"/>
                      <w:kern w:val="2"/>
                      <w:sz w:val="21"/>
                      <w:szCs w:val="21"/>
                      <w:u w:val="single"/>
                    </w:rPr>
                  </w:pPr>
                  <w:r>
                    <w:rPr>
                      <w:rFonts w:ascii="Times New Roman" w:hAnsi="Times New Roman" w:eastAsia="宋体"/>
                      <w:color w:val="auto"/>
                      <w:kern w:val="2"/>
                      <w:sz w:val="21"/>
                      <w:szCs w:val="21"/>
                      <w:u w:val="single"/>
                      <w:lang w:eastAsia="zh-CN"/>
                    </w:rPr>
                    <w:t>是</w:t>
                  </w:r>
                </w:p>
              </w:tc>
            </w:tr>
            <w:tr w14:paraId="4BE771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371" w:type="pct"/>
                  <w:tcBorders>
                    <w:tl2br w:val="nil"/>
                    <w:tr2bl w:val="nil"/>
                  </w:tcBorders>
                  <w:noWrap w:val="0"/>
                  <w:vAlign w:val="center"/>
                </w:tcPr>
                <w:p w14:paraId="4B261EC3">
                  <w:pPr>
                    <w:pStyle w:val="105"/>
                    <w:overflowPunct w:val="0"/>
                    <w:adjustRightInd w:val="0"/>
                    <w:snapToGrid w:val="0"/>
                    <w:jc w:val="both"/>
                    <w:rPr>
                      <w:rFonts w:ascii="Times New Roman" w:hAnsi="Times New Roman" w:eastAsia="宋体"/>
                      <w:color w:val="auto"/>
                      <w:kern w:val="2"/>
                      <w:sz w:val="21"/>
                      <w:szCs w:val="21"/>
                      <w:u w:val="single"/>
                      <w:lang w:eastAsia="zh-CN"/>
                    </w:rPr>
                  </w:pPr>
                  <w:r>
                    <w:rPr>
                      <w:rFonts w:ascii="Times New Roman" w:hAnsi="Times New Roman" w:eastAsia="宋体"/>
                      <w:color w:val="auto"/>
                      <w:kern w:val="2"/>
                      <w:sz w:val="21"/>
                      <w:szCs w:val="21"/>
                      <w:u w:val="single"/>
                      <w:lang w:eastAsia="zh-CN"/>
                    </w:rPr>
                    <w:t>2.无组织排放控制要求。严格控制工业炉窑生产过程及相关物料储存、输送等无组织排放，在保障生产安全的前提下，</w:t>
                  </w:r>
                  <w:r>
                    <w:rPr>
                      <w:rFonts w:hint="eastAsia" w:ascii="Times New Roman" w:hAnsi="Times New Roman"/>
                      <w:color w:val="auto"/>
                      <w:kern w:val="2"/>
                      <w:sz w:val="21"/>
                      <w:szCs w:val="21"/>
                      <w:u w:val="single"/>
                      <w:lang w:eastAsia="zh-CN"/>
                    </w:rPr>
                    <w:t>采取</w:t>
                  </w:r>
                  <w:r>
                    <w:rPr>
                      <w:rFonts w:ascii="Times New Roman" w:hAnsi="Times New Roman" w:eastAsia="宋体"/>
                      <w:color w:val="auto"/>
                      <w:kern w:val="2"/>
                      <w:sz w:val="21"/>
                      <w:szCs w:val="21"/>
                      <w:u w:val="single"/>
                      <w:lang w:eastAsia="zh-CN"/>
                    </w:rPr>
                    <w:t>密闭、封闭等有效措施，有效提高废气收集率，产尘点及车间不得有可见烟粉尘外逸。生产工艺产尘点（装置）应</w:t>
                  </w:r>
                  <w:r>
                    <w:rPr>
                      <w:rFonts w:hint="eastAsia" w:ascii="Times New Roman" w:hAnsi="Times New Roman"/>
                      <w:color w:val="auto"/>
                      <w:kern w:val="2"/>
                      <w:sz w:val="21"/>
                      <w:szCs w:val="21"/>
                      <w:u w:val="single"/>
                      <w:lang w:eastAsia="zh-CN"/>
                    </w:rPr>
                    <w:t>采取</w:t>
                  </w:r>
                  <w:r>
                    <w:rPr>
                      <w:rFonts w:ascii="Times New Roman" w:hAnsi="Times New Roman" w:eastAsia="宋体"/>
                      <w:color w:val="auto"/>
                      <w:kern w:val="2"/>
                      <w:sz w:val="21"/>
                      <w:szCs w:val="21"/>
                      <w:u w:val="single"/>
                      <w:lang w:eastAsia="zh-CN"/>
                    </w:rPr>
                    <w:t>密闭、封闭或设置集气罩等措施。煤粉、粉煤灰、石灰、除尘灰、脱硫灰等粉状物料应密闭或封闭储存，</w:t>
                  </w:r>
                  <w:r>
                    <w:rPr>
                      <w:rFonts w:hint="eastAsia" w:ascii="Times New Roman" w:hAnsi="Times New Roman"/>
                      <w:color w:val="auto"/>
                      <w:kern w:val="2"/>
                      <w:sz w:val="21"/>
                      <w:szCs w:val="21"/>
                      <w:u w:val="single"/>
                      <w:lang w:eastAsia="zh-CN"/>
                    </w:rPr>
                    <w:t>采用</w:t>
                  </w:r>
                  <w:r>
                    <w:rPr>
                      <w:rFonts w:ascii="Times New Roman" w:hAnsi="Times New Roman" w:eastAsia="宋体"/>
                      <w:color w:val="auto"/>
                      <w:kern w:val="2"/>
                      <w:sz w:val="21"/>
                      <w:szCs w:val="21"/>
                      <w:u w:val="single"/>
                      <w:lang w:eastAsia="zh-CN"/>
                    </w:rPr>
                    <w:t>密闭皮带、封闭通廊、管状带式输送机或密闭车厢、真空罐车、气力输送等方式输送。粒状、块状物料应</w:t>
                  </w:r>
                  <w:r>
                    <w:rPr>
                      <w:rFonts w:hint="eastAsia" w:ascii="Times New Roman" w:hAnsi="Times New Roman"/>
                      <w:color w:val="auto"/>
                      <w:kern w:val="2"/>
                      <w:sz w:val="21"/>
                      <w:szCs w:val="21"/>
                      <w:u w:val="single"/>
                      <w:lang w:eastAsia="zh-CN"/>
                    </w:rPr>
                    <w:t>采用</w:t>
                  </w:r>
                  <w:r>
                    <w:rPr>
                      <w:rFonts w:ascii="Times New Roman" w:hAnsi="Times New Roman" w:eastAsia="宋体"/>
                      <w:color w:val="auto"/>
                      <w:kern w:val="2"/>
                      <w:sz w:val="21"/>
                      <w:szCs w:val="21"/>
                      <w:u w:val="single"/>
                      <w:lang w:eastAsia="zh-CN"/>
                    </w:rPr>
                    <w:t>入棚入仓或建设防风抑尘网等方式进行储存，粒状物料</w:t>
                  </w:r>
                  <w:r>
                    <w:rPr>
                      <w:rFonts w:hint="eastAsia" w:ascii="Times New Roman" w:hAnsi="Times New Roman"/>
                      <w:color w:val="auto"/>
                      <w:kern w:val="2"/>
                      <w:sz w:val="21"/>
                      <w:szCs w:val="21"/>
                      <w:u w:val="single"/>
                      <w:lang w:eastAsia="zh-CN"/>
                    </w:rPr>
                    <w:t>采</w:t>
                  </w:r>
                  <w:r>
                    <w:rPr>
                      <w:rFonts w:ascii="Times New Roman" w:hAnsi="Times New Roman" w:eastAsia="宋体"/>
                      <w:color w:val="auto"/>
                      <w:kern w:val="2"/>
                      <w:sz w:val="21"/>
                      <w:szCs w:val="21"/>
                      <w:u w:val="single"/>
                      <w:lang w:eastAsia="zh-CN"/>
                    </w:rPr>
                    <w:t>用密闭、封闭等方式输送。物料输送过程中产尘点应采取有效抑尘措施（工业炉窑分行业主要大气污染物无组织排放浓度限值见附件2）。</w:t>
                  </w:r>
                </w:p>
              </w:tc>
              <w:tc>
                <w:tcPr>
                  <w:tcW w:w="1209" w:type="pct"/>
                  <w:tcBorders>
                    <w:tl2br w:val="nil"/>
                    <w:tr2bl w:val="nil"/>
                  </w:tcBorders>
                  <w:noWrap w:val="0"/>
                  <w:vAlign w:val="center"/>
                </w:tcPr>
                <w:p w14:paraId="71038E13">
                  <w:pPr>
                    <w:pStyle w:val="105"/>
                    <w:overflowPunct w:val="0"/>
                    <w:adjustRightInd w:val="0"/>
                    <w:snapToGrid w:val="0"/>
                    <w:jc w:val="both"/>
                    <w:rPr>
                      <w:rFonts w:ascii="Times New Roman" w:hAnsi="Times New Roman" w:eastAsia="宋体"/>
                      <w:color w:val="auto"/>
                      <w:kern w:val="2"/>
                      <w:sz w:val="21"/>
                      <w:szCs w:val="21"/>
                      <w:u w:val="single"/>
                      <w:lang w:eastAsia="zh-CN"/>
                    </w:rPr>
                  </w:pPr>
                  <w:r>
                    <w:rPr>
                      <w:rFonts w:ascii="Times New Roman" w:hAnsi="Times New Roman" w:eastAsia="宋体"/>
                      <w:color w:val="auto"/>
                      <w:kern w:val="2"/>
                      <w:sz w:val="21"/>
                      <w:szCs w:val="21"/>
                      <w:u w:val="single"/>
                      <w:lang w:eastAsia="zh-CN"/>
                    </w:rPr>
                    <w:t>本项目使用的炉窑为</w:t>
                  </w:r>
                  <w:r>
                    <w:rPr>
                      <w:rFonts w:hint="eastAsia" w:ascii="Times New Roman" w:hAnsi="Times New Roman"/>
                      <w:color w:val="auto"/>
                      <w:kern w:val="2"/>
                      <w:sz w:val="21"/>
                      <w:szCs w:val="21"/>
                      <w:u w:val="single"/>
                      <w:lang w:eastAsia="zh-CN"/>
                    </w:rPr>
                    <w:t>热风炉</w:t>
                  </w:r>
                  <w:r>
                    <w:rPr>
                      <w:rFonts w:ascii="Times New Roman" w:hAnsi="Times New Roman" w:eastAsia="宋体"/>
                      <w:color w:val="auto"/>
                      <w:kern w:val="2"/>
                      <w:sz w:val="21"/>
                      <w:szCs w:val="21"/>
                      <w:u w:val="single"/>
                      <w:lang w:eastAsia="zh-CN"/>
                    </w:rPr>
                    <w:t>，为封闭式。粉状物料均采取密闭贮存，</w:t>
                  </w:r>
                  <w:r>
                    <w:rPr>
                      <w:rFonts w:hint="eastAsia" w:ascii="Times New Roman" w:hAnsi="Times New Roman"/>
                      <w:color w:val="auto"/>
                      <w:kern w:val="2"/>
                      <w:sz w:val="21"/>
                      <w:szCs w:val="21"/>
                      <w:u w:val="single"/>
                      <w:lang w:eastAsia="zh-CN"/>
                    </w:rPr>
                    <w:t>采用</w:t>
                  </w:r>
                  <w:r>
                    <w:rPr>
                      <w:rFonts w:ascii="Times New Roman" w:hAnsi="Times New Roman" w:eastAsia="宋体"/>
                      <w:color w:val="auto"/>
                      <w:kern w:val="2"/>
                      <w:sz w:val="21"/>
                      <w:szCs w:val="21"/>
                      <w:u w:val="single"/>
                      <w:lang w:eastAsia="zh-CN"/>
                    </w:rPr>
                    <w:t>密闭皮带、气力输送的方式输送。原料及燃煤均在封闭式贮存场所内贮存。</w:t>
                  </w:r>
                </w:p>
              </w:tc>
              <w:tc>
                <w:tcPr>
                  <w:tcW w:w="418" w:type="pct"/>
                  <w:tcBorders>
                    <w:tl2br w:val="nil"/>
                    <w:tr2bl w:val="nil"/>
                  </w:tcBorders>
                  <w:noWrap w:val="0"/>
                  <w:vAlign w:val="center"/>
                </w:tcPr>
                <w:p w14:paraId="01E22308">
                  <w:pPr>
                    <w:pStyle w:val="105"/>
                    <w:overflowPunct w:val="0"/>
                    <w:adjustRightInd w:val="0"/>
                    <w:snapToGrid w:val="0"/>
                    <w:jc w:val="center"/>
                    <w:rPr>
                      <w:rFonts w:ascii="Times New Roman" w:hAnsi="Times New Roman" w:eastAsia="宋体"/>
                      <w:color w:val="auto"/>
                      <w:kern w:val="2"/>
                      <w:sz w:val="21"/>
                      <w:szCs w:val="21"/>
                      <w:u w:val="single"/>
                      <w:lang w:eastAsia="zh-CN"/>
                    </w:rPr>
                  </w:pPr>
                  <w:r>
                    <w:rPr>
                      <w:rFonts w:ascii="Times New Roman" w:hAnsi="Times New Roman" w:eastAsia="宋体"/>
                      <w:color w:val="auto"/>
                      <w:kern w:val="2"/>
                      <w:sz w:val="21"/>
                      <w:szCs w:val="21"/>
                      <w:u w:val="single"/>
                      <w:lang w:eastAsia="zh-CN"/>
                    </w:rPr>
                    <w:t>是</w:t>
                  </w:r>
                </w:p>
              </w:tc>
            </w:tr>
          </w:tbl>
          <w:p w14:paraId="427696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0" w:leftChars="0" w:firstLine="480" w:firstLineChars="200"/>
              <w:jc w:val="left"/>
              <w:textAlignment w:val="auto"/>
              <w:rPr>
                <w:rFonts w:hint="eastAsia" w:cs="Times New Roman"/>
                <w:b/>
                <w:bCs/>
                <w:color w:val="auto"/>
                <w:kern w:val="0"/>
                <w:sz w:val="24"/>
                <w:szCs w:val="24"/>
                <w:u w:val="single"/>
                <w:lang w:eastAsia="zh-CN"/>
              </w:rPr>
            </w:pPr>
            <w:r>
              <w:rPr>
                <w:color w:val="auto"/>
                <w:kern w:val="0"/>
                <w:sz w:val="24"/>
                <w:szCs w:val="24"/>
                <w:u w:val="single"/>
              </w:rPr>
              <w:t>通过上表分析，项目符合《湖南省工业炉窑大气污染综合治理实施方案》中相关规定要求。</w:t>
            </w:r>
          </w:p>
          <w:p w14:paraId="5EAF5B33">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auto"/>
              <w:rPr>
                <w:b/>
                <w:bCs/>
                <w:color w:val="auto"/>
                <w:sz w:val="24"/>
                <w:szCs w:val="32"/>
                <w:u w:val="single"/>
              </w:rPr>
            </w:pPr>
            <w:r>
              <w:rPr>
                <w:b/>
                <w:bCs/>
                <w:color w:val="auto"/>
                <w:sz w:val="24"/>
                <w:szCs w:val="32"/>
                <w:u w:val="single"/>
              </w:rPr>
              <w:t>（</w:t>
            </w:r>
            <w:r>
              <w:rPr>
                <w:rFonts w:hint="eastAsia"/>
                <w:b/>
                <w:bCs/>
                <w:color w:val="auto"/>
                <w:sz w:val="24"/>
                <w:szCs w:val="32"/>
                <w:u w:val="single"/>
                <w:lang w:val="en-US" w:eastAsia="zh-CN"/>
              </w:rPr>
              <w:t>4</w:t>
            </w:r>
            <w:r>
              <w:rPr>
                <w:b/>
                <w:bCs/>
                <w:color w:val="auto"/>
                <w:sz w:val="24"/>
                <w:szCs w:val="32"/>
                <w:u w:val="single"/>
              </w:rPr>
              <w:t>）项目与《长江经济带发展负面清单指南（试行，2022年版）》符合性分析</w:t>
            </w:r>
          </w:p>
          <w:p w14:paraId="7B3F805E">
            <w:pPr>
              <w:jc w:val="center"/>
              <w:rPr>
                <w:rFonts w:ascii="Times New Roman" w:hAnsi="Times New Roman" w:eastAsia="宋体" w:cs="Times New Roman"/>
                <w:b/>
                <w:bCs/>
                <w:color w:val="auto"/>
                <w:sz w:val="24"/>
                <w:szCs w:val="24"/>
                <w:u w:val="single"/>
              </w:rPr>
            </w:pPr>
            <w:r>
              <w:rPr>
                <w:rFonts w:ascii="Times New Roman" w:hAnsi="Times New Roman" w:eastAsia="宋体" w:cs="Times New Roman"/>
                <w:b/>
                <w:bCs/>
                <w:color w:val="auto"/>
                <w:sz w:val="24"/>
                <w:szCs w:val="24"/>
                <w:u w:val="single"/>
              </w:rPr>
              <w:t>表1-</w:t>
            </w:r>
            <w:r>
              <w:rPr>
                <w:rFonts w:hint="eastAsia" w:ascii="Times New Roman" w:hAnsi="Times New Roman" w:eastAsia="宋体" w:cs="Times New Roman"/>
                <w:b/>
                <w:bCs/>
                <w:color w:val="auto"/>
                <w:sz w:val="24"/>
                <w:szCs w:val="24"/>
                <w:u w:val="single"/>
                <w:lang w:val="en-US" w:eastAsia="zh-CN"/>
              </w:rPr>
              <w:t>5</w:t>
            </w:r>
            <w:r>
              <w:rPr>
                <w:rFonts w:ascii="Times New Roman" w:hAnsi="Times New Roman" w:eastAsia="宋体" w:cs="Times New Roman"/>
                <w:b/>
                <w:bCs/>
                <w:color w:val="auto"/>
                <w:sz w:val="24"/>
                <w:szCs w:val="24"/>
                <w:u w:val="single"/>
              </w:rPr>
              <w:t xml:space="preserve">  本项目与《长江经济带发展负面清单指南（试行，2022年版）》符合性分析</w:t>
            </w:r>
          </w:p>
          <w:tbl>
            <w:tblPr>
              <w:tblStyle w:val="32"/>
              <w:tblW w:w="6587" w:type="dxa"/>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14"/>
              <w:gridCol w:w="2189"/>
              <w:gridCol w:w="684"/>
            </w:tblGrid>
            <w:tr w14:paraId="6AA14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819" w:type="pct"/>
                  <w:tcBorders>
                    <w:tl2br w:val="nil"/>
                    <w:tr2bl w:val="nil"/>
                  </w:tcBorders>
                  <w:noWrap w:val="0"/>
                  <w:vAlign w:val="center"/>
                </w:tcPr>
                <w:p w14:paraId="34CACF43">
                  <w:pPr>
                    <w:widowControl/>
                    <w:jc w:val="center"/>
                    <w:rPr>
                      <w:b/>
                      <w:color w:val="auto"/>
                      <w:kern w:val="0"/>
                      <w:szCs w:val="21"/>
                      <w:u w:val="single"/>
                    </w:rPr>
                  </w:pPr>
                  <w:r>
                    <w:rPr>
                      <w:b/>
                      <w:color w:val="auto"/>
                      <w:kern w:val="0"/>
                      <w:szCs w:val="21"/>
                      <w:u w:val="single"/>
                    </w:rPr>
                    <w:t>指南要求</w:t>
                  </w:r>
                </w:p>
              </w:tc>
              <w:tc>
                <w:tcPr>
                  <w:tcW w:w="1661" w:type="pct"/>
                  <w:tcBorders>
                    <w:tl2br w:val="nil"/>
                    <w:tr2bl w:val="nil"/>
                  </w:tcBorders>
                  <w:noWrap w:val="0"/>
                  <w:vAlign w:val="center"/>
                </w:tcPr>
                <w:p w14:paraId="1B37689E">
                  <w:pPr>
                    <w:widowControl/>
                    <w:jc w:val="center"/>
                    <w:rPr>
                      <w:b/>
                      <w:color w:val="auto"/>
                      <w:kern w:val="0"/>
                      <w:szCs w:val="21"/>
                      <w:u w:val="single"/>
                    </w:rPr>
                  </w:pPr>
                  <w:r>
                    <w:rPr>
                      <w:b/>
                      <w:color w:val="auto"/>
                      <w:kern w:val="0"/>
                      <w:szCs w:val="21"/>
                      <w:u w:val="single"/>
                    </w:rPr>
                    <w:t>本项目情况</w:t>
                  </w:r>
                </w:p>
              </w:tc>
              <w:tc>
                <w:tcPr>
                  <w:tcW w:w="519" w:type="pct"/>
                  <w:tcBorders>
                    <w:tl2br w:val="nil"/>
                    <w:tr2bl w:val="nil"/>
                  </w:tcBorders>
                  <w:noWrap w:val="0"/>
                  <w:vAlign w:val="center"/>
                </w:tcPr>
                <w:p w14:paraId="4BF8BDEA">
                  <w:pPr>
                    <w:widowControl/>
                    <w:jc w:val="center"/>
                    <w:rPr>
                      <w:b/>
                      <w:color w:val="auto"/>
                      <w:kern w:val="0"/>
                      <w:szCs w:val="21"/>
                      <w:u w:val="single"/>
                    </w:rPr>
                  </w:pPr>
                  <w:r>
                    <w:rPr>
                      <w:b/>
                      <w:color w:val="auto"/>
                      <w:kern w:val="0"/>
                      <w:szCs w:val="21"/>
                      <w:u w:val="single"/>
                    </w:rPr>
                    <w:t>是否符合</w:t>
                  </w:r>
                </w:p>
              </w:tc>
            </w:tr>
            <w:tr w14:paraId="18C0B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9" w:type="pct"/>
                  <w:tcBorders>
                    <w:tl2br w:val="nil"/>
                    <w:tr2bl w:val="nil"/>
                  </w:tcBorders>
                  <w:noWrap w:val="0"/>
                  <w:vAlign w:val="center"/>
                </w:tcPr>
                <w:p w14:paraId="6709BCDE">
                  <w:pPr>
                    <w:widowControl/>
                    <w:ind w:firstLine="420" w:firstLineChars="200"/>
                    <w:rPr>
                      <w:color w:val="auto"/>
                      <w:kern w:val="0"/>
                      <w:szCs w:val="21"/>
                      <w:u w:val="single"/>
                    </w:rPr>
                  </w:pPr>
                  <w:r>
                    <w:rPr>
                      <w:color w:val="auto"/>
                      <w:kern w:val="0"/>
                      <w:szCs w:val="21"/>
                      <w:u w:val="singl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61" w:type="pct"/>
                  <w:tcBorders>
                    <w:tl2br w:val="nil"/>
                    <w:tr2bl w:val="nil"/>
                  </w:tcBorders>
                  <w:noWrap w:val="0"/>
                  <w:vAlign w:val="center"/>
                </w:tcPr>
                <w:p w14:paraId="7F2DAB8F">
                  <w:pPr>
                    <w:widowControl/>
                    <w:jc w:val="center"/>
                    <w:rPr>
                      <w:color w:val="auto"/>
                      <w:kern w:val="0"/>
                      <w:szCs w:val="21"/>
                      <w:u w:val="single"/>
                    </w:rPr>
                  </w:pPr>
                  <w:r>
                    <w:rPr>
                      <w:color w:val="auto"/>
                      <w:kern w:val="0"/>
                      <w:szCs w:val="21"/>
                      <w:u w:val="single"/>
                    </w:rPr>
                    <w:t>不涉及</w:t>
                  </w:r>
                </w:p>
              </w:tc>
              <w:tc>
                <w:tcPr>
                  <w:tcW w:w="519" w:type="pct"/>
                  <w:tcBorders>
                    <w:tl2br w:val="nil"/>
                    <w:tr2bl w:val="nil"/>
                  </w:tcBorders>
                  <w:noWrap w:val="0"/>
                  <w:vAlign w:val="center"/>
                </w:tcPr>
                <w:p w14:paraId="1E6AC878">
                  <w:pPr>
                    <w:widowControl/>
                    <w:jc w:val="center"/>
                    <w:rPr>
                      <w:color w:val="auto"/>
                      <w:kern w:val="0"/>
                      <w:szCs w:val="21"/>
                      <w:u w:val="single"/>
                    </w:rPr>
                  </w:pPr>
                  <w:r>
                    <w:rPr>
                      <w:color w:val="auto"/>
                      <w:kern w:val="0"/>
                      <w:szCs w:val="21"/>
                      <w:u w:val="single"/>
                    </w:rPr>
                    <w:t>/</w:t>
                  </w:r>
                </w:p>
              </w:tc>
            </w:tr>
            <w:tr w14:paraId="520AF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9" w:type="pct"/>
                  <w:tcBorders>
                    <w:tl2br w:val="nil"/>
                    <w:tr2bl w:val="nil"/>
                  </w:tcBorders>
                  <w:noWrap w:val="0"/>
                  <w:vAlign w:val="center"/>
                </w:tcPr>
                <w:p w14:paraId="7BF75E34">
                  <w:pPr>
                    <w:widowControl/>
                    <w:ind w:firstLine="420" w:firstLineChars="200"/>
                    <w:rPr>
                      <w:color w:val="auto"/>
                      <w:kern w:val="0"/>
                      <w:szCs w:val="21"/>
                      <w:u w:val="single"/>
                    </w:rPr>
                  </w:pPr>
                  <w:r>
                    <w:rPr>
                      <w:color w:val="auto"/>
                      <w:kern w:val="0"/>
                      <w:szCs w:val="21"/>
                      <w:u w:val="single"/>
                    </w:rPr>
                    <w:t>禁止在合规园区外新建、扩建钢铁、石化、化工、焦化、建材、有色、制浆造纸等高污染项目。</w:t>
                  </w:r>
                </w:p>
              </w:tc>
              <w:tc>
                <w:tcPr>
                  <w:tcW w:w="1661" w:type="pct"/>
                  <w:tcBorders>
                    <w:tl2br w:val="nil"/>
                    <w:tr2bl w:val="nil"/>
                  </w:tcBorders>
                  <w:noWrap w:val="0"/>
                  <w:vAlign w:val="center"/>
                </w:tcPr>
                <w:p w14:paraId="308EE750">
                  <w:pPr>
                    <w:widowControl/>
                    <w:jc w:val="center"/>
                    <w:rPr>
                      <w:rFonts w:hint="default" w:eastAsia="宋体"/>
                      <w:color w:val="auto"/>
                      <w:kern w:val="0"/>
                      <w:szCs w:val="21"/>
                      <w:u w:val="single"/>
                      <w:lang w:val="en-US" w:eastAsia="zh-CN"/>
                    </w:rPr>
                  </w:pPr>
                  <w:r>
                    <w:rPr>
                      <w:color w:val="auto"/>
                      <w:kern w:val="0"/>
                      <w:szCs w:val="21"/>
                      <w:u w:val="single"/>
                    </w:rPr>
                    <w:t>本项目</w:t>
                  </w:r>
                  <w:r>
                    <w:rPr>
                      <w:rFonts w:hint="eastAsia"/>
                      <w:color w:val="auto"/>
                      <w:kern w:val="0"/>
                      <w:szCs w:val="21"/>
                      <w:u w:val="single"/>
                      <w:lang w:val="en-US" w:eastAsia="zh-CN"/>
                    </w:rPr>
                    <w:t>不属于高污染项目</w:t>
                  </w:r>
                </w:p>
              </w:tc>
              <w:tc>
                <w:tcPr>
                  <w:tcW w:w="519" w:type="pct"/>
                  <w:tcBorders>
                    <w:tl2br w:val="nil"/>
                    <w:tr2bl w:val="nil"/>
                  </w:tcBorders>
                  <w:noWrap w:val="0"/>
                  <w:vAlign w:val="center"/>
                </w:tcPr>
                <w:p w14:paraId="7022793A">
                  <w:pPr>
                    <w:widowControl/>
                    <w:jc w:val="center"/>
                    <w:rPr>
                      <w:color w:val="auto"/>
                      <w:kern w:val="0"/>
                      <w:szCs w:val="21"/>
                      <w:u w:val="single"/>
                    </w:rPr>
                  </w:pPr>
                  <w:r>
                    <w:rPr>
                      <w:color w:val="auto"/>
                      <w:kern w:val="0"/>
                      <w:szCs w:val="21"/>
                      <w:u w:val="single"/>
                    </w:rPr>
                    <w:t>符合</w:t>
                  </w:r>
                </w:p>
              </w:tc>
            </w:tr>
            <w:tr w14:paraId="1BA8BB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9" w:type="pct"/>
                  <w:tcBorders>
                    <w:tl2br w:val="nil"/>
                    <w:tr2bl w:val="nil"/>
                  </w:tcBorders>
                  <w:noWrap w:val="0"/>
                  <w:vAlign w:val="center"/>
                </w:tcPr>
                <w:p w14:paraId="3DE96826">
                  <w:pPr>
                    <w:widowControl/>
                    <w:ind w:firstLine="420" w:firstLineChars="200"/>
                    <w:rPr>
                      <w:color w:val="auto"/>
                      <w:kern w:val="0"/>
                      <w:szCs w:val="21"/>
                      <w:u w:val="single"/>
                    </w:rPr>
                  </w:pPr>
                  <w:r>
                    <w:rPr>
                      <w:color w:val="auto"/>
                      <w:kern w:val="0"/>
                      <w:szCs w:val="21"/>
                      <w:u w:val="single"/>
                    </w:rPr>
                    <w:t>禁止新建、扩建不符合国家石化、现代煤化工等产业布局规划的项目。</w:t>
                  </w:r>
                </w:p>
              </w:tc>
              <w:tc>
                <w:tcPr>
                  <w:tcW w:w="1661" w:type="pct"/>
                  <w:tcBorders>
                    <w:tl2br w:val="nil"/>
                    <w:tr2bl w:val="nil"/>
                  </w:tcBorders>
                  <w:noWrap w:val="0"/>
                  <w:vAlign w:val="center"/>
                </w:tcPr>
                <w:p w14:paraId="6E17AD14">
                  <w:pPr>
                    <w:widowControl/>
                    <w:jc w:val="center"/>
                    <w:rPr>
                      <w:color w:val="auto"/>
                      <w:kern w:val="0"/>
                      <w:szCs w:val="21"/>
                      <w:u w:val="single"/>
                    </w:rPr>
                  </w:pPr>
                  <w:r>
                    <w:rPr>
                      <w:color w:val="auto"/>
                      <w:kern w:val="0"/>
                      <w:szCs w:val="21"/>
                      <w:u w:val="single"/>
                    </w:rPr>
                    <w:t>不涉及</w:t>
                  </w:r>
                </w:p>
              </w:tc>
              <w:tc>
                <w:tcPr>
                  <w:tcW w:w="519" w:type="pct"/>
                  <w:tcBorders>
                    <w:tl2br w:val="nil"/>
                    <w:tr2bl w:val="nil"/>
                  </w:tcBorders>
                  <w:noWrap w:val="0"/>
                  <w:vAlign w:val="center"/>
                </w:tcPr>
                <w:p w14:paraId="6942D798">
                  <w:pPr>
                    <w:widowControl/>
                    <w:jc w:val="center"/>
                    <w:rPr>
                      <w:color w:val="auto"/>
                      <w:kern w:val="0"/>
                      <w:szCs w:val="21"/>
                      <w:u w:val="single"/>
                    </w:rPr>
                  </w:pPr>
                  <w:r>
                    <w:rPr>
                      <w:color w:val="auto"/>
                      <w:kern w:val="0"/>
                      <w:szCs w:val="21"/>
                      <w:u w:val="single"/>
                    </w:rPr>
                    <w:t>/</w:t>
                  </w:r>
                </w:p>
              </w:tc>
            </w:tr>
            <w:tr w14:paraId="0AF5E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9" w:type="pct"/>
                  <w:tcBorders>
                    <w:tl2br w:val="nil"/>
                    <w:tr2bl w:val="nil"/>
                  </w:tcBorders>
                  <w:noWrap w:val="0"/>
                  <w:vAlign w:val="center"/>
                </w:tcPr>
                <w:p w14:paraId="04F3F213">
                  <w:pPr>
                    <w:widowControl/>
                    <w:ind w:firstLine="420" w:firstLineChars="200"/>
                    <w:rPr>
                      <w:color w:val="auto"/>
                      <w:kern w:val="0"/>
                      <w:szCs w:val="21"/>
                      <w:u w:val="single"/>
                    </w:rPr>
                  </w:pPr>
                  <w:r>
                    <w:rPr>
                      <w:color w:val="auto"/>
                      <w:kern w:val="0"/>
                      <w:szCs w:val="21"/>
                      <w:u w:val="single"/>
                    </w:rPr>
                    <w:t>禁止新建、扩建法律法规和相关政策明令禁止的落后产能项目。禁止新建、扩建不符合国家产能置换要求的严重过剩产能行业的项目。禁止新建、扩建不符合要求的高耗能高排放项目。</w:t>
                  </w:r>
                </w:p>
              </w:tc>
              <w:tc>
                <w:tcPr>
                  <w:tcW w:w="1661" w:type="pct"/>
                  <w:tcBorders>
                    <w:tl2br w:val="nil"/>
                    <w:tr2bl w:val="nil"/>
                  </w:tcBorders>
                  <w:noWrap w:val="0"/>
                  <w:vAlign w:val="center"/>
                </w:tcPr>
                <w:p w14:paraId="6811A1CC">
                  <w:pPr>
                    <w:widowControl/>
                    <w:rPr>
                      <w:color w:val="auto"/>
                      <w:kern w:val="0"/>
                      <w:szCs w:val="21"/>
                      <w:u w:val="single"/>
                    </w:rPr>
                  </w:pPr>
                  <w:r>
                    <w:rPr>
                      <w:color w:val="auto"/>
                      <w:kern w:val="0"/>
                      <w:szCs w:val="21"/>
                      <w:u w:val="single"/>
                    </w:rPr>
                    <w:t>本项目不属于《产业结构调整指导目录（2024年本）》中鼓励类、限制类、淘汰类项目，属于允许类。</w:t>
                  </w:r>
                </w:p>
              </w:tc>
              <w:tc>
                <w:tcPr>
                  <w:tcW w:w="519" w:type="pct"/>
                  <w:tcBorders>
                    <w:tl2br w:val="nil"/>
                    <w:tr2bl w:val="nil"/>
                  </w:tcBorders>
                  <w:noWrap w:val="0"/>
                  <w:vAlign w:val="center"/>
                </w:tcPr>
                <w:p w14:paraId="40521DF4">
                  <w:pPr>
                    <w:widowControl/>
                    <w:jc w:val="center"/>
                    <w:rPr>
                      <w:color w:val="auto"/>
                      <w:kern w:val="0"/>
                      <w:szCs w:val="21"/>
                      <w:u w:val="single"/>
                    </w:rPr>
                  </w:pPr>
                  <w:r>
                    <w:rPr>
                      <w:color w:val="auto"/>
                      <w:kern w:val="0"/>
                      <w:szCs w:val="21"/>
                      <w:u w:val="single"/>
                    </w:rPr>
                    <w:t>符合</w:t>
                  </w:r>
                </w:p>
              </w:tc>
            </w:tr>
            <w:tr w14:paraId="7CF97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9" w:type="pct"/>
                  <w:tcBorders>
                    <w:tl2br w:val="nil"/>
                    <w:tr2bl w:val="nil"/>
                  </w:tcBorders>
                  <w:noWrap w:val="0"/>
                  <w:vAlign w:val="center"/>
                </w:tcPr>
                <w:p w14:paraId="49CEA88C">
                  <w:pPr>
                    <w:widowControl/>
                    <w:ind w:firstLine="420" w:firstLineChars="200"/>
                    <w:rPr>
                      <w:color w:val="auto"/>
                      <w:kern w:val="0"/>
                      <w:szCs w:val="21"/>
                      <w:u w:val="single"/>
                    </w:rPr>
                  </w:pPr>
                  <w:r>
                    <w:rPr>
                      <w:color w:val="auto"/>
                      <w:kern w:val="0"/>
                      <w:szCs w:val="21"/>
                      <w:u w:val="single"/>
                    </w:rPr>
                    <w:t>法律法规及相关政策文件有更加严格规定的从其规定。</w:t>
                  </w:r>
                </w:p>
              </w:tc>
              <w:tc>
                <w:tcPr>
                  <w:tcW w:w="1661" w:type="pct"/>
                  <w:tcBorders>
                    <w:tl2br w:val="nil"/>
                    <w:tr2bl w:val="nil"/>
                  </w:tcBorders>
                  <w:noWrap w:val="0"/>
                  <w:vAlign w:val="center"/>
                </w:tcPr>
                <w:p w14:paraId="05A8879E">
                  <w:pPr>
                    <w:widowControl/>
                    <w:ind w:firstLine="420" w:firstLineChars="200"/>
                    <w:rPr>
                      <w:color w:val="auto"/>
                      <w:kern w:val="0"/>
                      <w:szCs w:val="21"/>
                      <w:u w:val="single"/>
                    </w:rPr>
                  </w:pPr>
                  <w:r>
                    <w:rPr>
                      <w:color w:val="auto"/>
                      <w:kern w:val="0"/>
                      <w:szCs w:val="21"/>
                      <w:u w:val="single"/>
                    </w:rPr>
                    <w:t>本项目建设符合国家法律法规及相关政策。</w:t>
                  </w:r>
                </w:p>
              </w:tc>
              <w:tc>
                <w:tcPr>
                  <w:tcW w:w="519" w:type="pct"/>
                  <w:tcBorders>
                    <w:tl2br w:val="nil"/>
                    <w:tr2bl w:val="nil"/>
                  </w:tcBorders>
                  <w:noWrap w:val="0"/>
                  <w:vAlign w:val="center"/>
                </w:tcPr>
                <w:p w14:paraId="38906868">
                  <w:pPr>
                    <w:widowControl/>
                    <w:jc w:val="center"/>
                    <w:rPr>
                      <w:color w:val="auto"/>
                      <w:kern w:val="0"/>
                      <w:szCs w:val="21"/>
                      <w:u w:val="single"/>
                    </w:rPr>
                  </w:pPr>
                  <w:r>
                    <w:rPr>
                      <w:color w:val="auto"/>
                      <w:kern w:val="0"/>
                      <w:szCs w:val="21"/>
                      <w:u w:val="single"/>
                    </w:rPr>
                    <w:t>符合</w:t>
                  </w:r>
                </w:p>
              </w:tc>
            </w:tr>
          </w:tbl>
          <w:p w14:paraId="3951ADE2">
            <w:pPr>
              <w:widowControl/>
              <w:spacing w:line="360" w:lineRule="auto"/>
              <w:ind w:firstLine="480" w:firstLineChars="200"/>
              <w:jc w:val="left"/>
              <w:rPr>
                <w:rFonts w:hint="default" w:ascii="Times New Roman" w:hAnsi="Times New Roman" w:cs="Times New Roman"/>
                <w:color w:val="auto"/>
                <w:kern w:val="0"/>
                <w:sz w:val="24"/>
                <w:lang w:eastAsia="zh-CN"/>
              </w:rPr>
            </w:pPr>
            <w:r>
              <w:rPr>
                <w:rFonts w:ascii="Times New Roman" w:hAnsi="Times New Roman" w:eastAsia="宋体" w:cs="Times New Roman"/>
                <w:color w:val="auto"/>
                <w:kern w:val="0"/>
                <w:sz w:val="24"/>
                <w:szCs w:val="24"/>
                <w:u w:val="single"/>
              </w:rPr>
              <w:t>通过上表分析，项目基本符合《长江经济带发展负面清单指南（试行，2022年版）》的相关要求。</w:t>
            </w:r>
          </w:p>
          <w:p w14:paraId="6301D61D">
            <w:pPr>
              <w:widowControl/>
              <w:numPr>
                <w:ilvl w:val="0"/>
                <w:numId w:val="0"/>
              </w:numPr>
              <w:spacing w:line="360" w:lineRule="auto"/>
              <w:ind w:left="420" w:leftChars="0"/>
              <w:jc w:val="left"/>
              <w:rPr>
                <w:rFonts w:hint="default" w:ascii="Times New Roman" w:hAnsi="Times New Roman" w:cs="Times New Roman"/>
                <w:b/>
                <w:bCs/>
                <w:color w:val="auto"/>
                <w:kern w:val="0"/>
                <w:sz w:val="24"/>
                <w:u w:val="none"/>
              </w:rPr>
            </w:pPr>
            <w:r>
              <w:rPr>
                <w:rFonts w:hint="eastAsia" w:ascii="Times New Roman" w:hAnsi="Times New Roman" w:cs="Times New Roman"/>
                <w:b/>
                <w:bCs/>
                <w:color w:val="auto"/>
                <w:kern w:val="0"/>
                <w:sz w:val="24"/>
                <w:u w:val="none"/>
                <w:lang w:val="en-US" w:eastAsia="zh-CN"/>
              </w:rPr>
              <w:t>5</w:t>
            </w:r>
            <w:r>
              <w:rPr>
                <w:rFonts w:hint="eastAsia" w:cs="Times New Roman"/>
                <w:b/>
                <w:bCs/>
                <w:color w:val="auto"/>
                <w:kern w:val="0"/>
                <w:sz w:val="24"/>
                <w:u w:val="none"/>
                <w:lang w:eastAsia="zh-CN"/>
              </w:rPr>
              <w:t>、</w:t>
            </w:r>
            <w:r>
              <w:rPr>
                <w:rFonts w:hint="default" w:ascii="Times New Roman" w:hAnsi="Times New Roman" w:cs="Times New Roman"/>
                <w:b/>
                <w:bCs/>
                <w:color w:val="auto"/>
                <w:kern w:val="0"/>
                <w:sz w:val="24"/>
                <w:u w:val="none"/>
                <w:lang w:eastAsia="zh-CN"/>
              </w:rPr>
              <w:t>选址</w:t>
            </w:r>
            <w:r>
              <w:rPr>
                <w:rFonts w:hint="eastAsia" w:ascii="Times New Roman" w:hAnsi="Times New Roman" w:cs="Times New Roman"/>
                <w:b/>
                <w:bCs/>
                <w:color w:val="auto"/>
                <w:kern w:val="0"/>
                <w:sz w:val="24"/>
                <w:u w:val="none"/>
                <w:lang w:eastAsia="zh-CN"/>
              </w:rPr>
              <w:t>合理性</w:t>
            </w:r>
            <w:r>
              <w:rPr>
                <w:rFonts w:hint="default" w:ascii="Times New Roman" w:hAnsi="Times New Roman" w:cs="Times New Roman"/>
                <w:b/>
                <w:bCs/>
                <w:color w:val="auto"/>
                <w:kern w:val="0"/>
                <w:sz w:val="24"/>
                <w:u w:val="none"/>
              </w:rPr>
              <w:t>分析</w:t>
            </w:r>
          </w:p>
          <w:p w14:paraId="76970CAB">
            <w:pPr>
              <w:widowControl/>
              <w:spacing w:line="360" w:lineRule="auto"/>
              <w:ind w:firstLine="480" w:firstLineChars="200"/>
              <w:jc w:val="left"/>
              <w:rPr>
                <w:rFonts w:hint="default" w:ascii="Times New Roman" w:hAnsi="Times New Roman" w:cs="Times New Roman"/>
                <w:color w:val="auto"/>
                <w:sz w:val="24"/>
                <w:u w:val="none"/>
                <w:lang w:eastAsia="zh-CN"/>
              </w:rPr>
            </w:pPr>
            <w:r>
              <w:rPr>
                <w:rFonts w:hint="eastAsia" w:cs="Times New Roman"/>
                <w:color w:val="auto"/>
                <w:sz w:val="24"/>
                <w:u w:val="none"/>
                <w:lang w:eastAsia="zh-CN"/>
              </w:rPr>
              <w:t>（</w:t>
            </w:r>
            <w:r>
              <w:rPr>
                <w:rFonts w:hint="eastAsia" w:cs="Times New Roman"/>
                <w:color w:val="auto"/>
                <w:sz w:val="24"/>
                <w:u w:val="none"/>
                <w:lang w:val="en-US" w:eastAsia="zh-CN"/>
              </w:rPr>
              <w:t>1</w:t>
            </w:r>
            <w:r>
              <w:rPr>
                <w:rFonts w:hint="eastAsia" w:cs="Times New Roman"/>
                <w:color w:val="auto"/>
                <w:sz w:val="24"/>
                <w:u w:val="none"/>
                <w:lang w:eastAsia="zh-CN"/>
              </w:rPr>
              <w:t>）</w:t>
            </w:r>
            <w:r>
              <w:rPr>
                <w:rFonts w:hint="eastAsia" w:cs="Times New Roman"/>
                <w:color w:val="auto"/>
                <w:sz w:val="24"/>
                <w:u w:val="none"/>
                <w:lang w:val="en-US" w:eastAsia="zh-CN"/>
              </w:rPr>
              <w:t>项目用地符合性分析</w:t>
            </w:r>
          </w:p>
          <w:p w14:paraId="55900EBA">
            <w:pPr>
              <w:widowControl/>
              <w:spacing w:line="360" w:lineRule="auto"/>
              <w:ind w:firstLine="480" w:firstLineChars="200"/>
              <w:jc w:val="left"/>
              <w:rPr>
                <w:rFonts w:hint="eastAsia" w:cs="Times New Roman"/>
                <w:color w:val="auto"/>
                <w:sz w:val="24"/>
                <w:u w:val="none"/>
                <w:lang w:val="en-US" w:eastAsia="zh-CN"/>
              </w:rPr>
            </w:pPr>
            <w:r>
              <w:rPr>
                <w:rFonts w:hint="default" w:ascii="Times New Roman" w:hAnsi="Times New Roman" w:cs="Times New Roman"/>
                <w:color w:val="auto"/>
                <w:sz w:val="24"/>
                <w:u w:val="none"/>
                <w:lang w:eastAsia="zh-CN"/>
              </w:rPr>
              <w:t>本项目</w:t>
            </w:r>
            <w:r>
              <w:rPr>
                <w:rFonts w:hint="eastAsia" w:cs="Times New Roman"/>
                <w:color w:val="auto"/>
                <w:sz w:val="24"/>
                <w:u w:val="none"/>
                <w:lang w:eastAsia="zh-CN"/>
              </w:rPr>
              <w:t>属于</w:t>
            </w:r>
            <w:r>
              <w:rPr>
                <w:rFonts w:hint="eastAsia" w:cs="Times New Roman"/>
                <w:color w:val="auto"/>
                <w:sz w:val="24"/>
                <w:u w:val="none"/>
                <w:lang w:val="en-US" w:eastAsia="zh-CN"/>
              </w:rPr>
              <w:t>中药</w:t>
            </w:r>
            <w:r>
              <w:rPr>
                <w:rFonts w:hint="eastAsia" w:cs="Times New Roman"/>
                <w:color w:val="auto"/>
                <w:sz w:val="24"/>
                <w:u w:val="none"/>
                <w:lang w:eastAsia="zh-CN"/>
              </w:rPr>
              <w:t>加工项目，</w:t>
            </w:r>
            <w:r>
              <w:rPr>
                <w:rFonts w:hint="default" w:ascii="Times New Roman" w:hAnsi="Times New Roman" w:cs="Times New Roman"/>
                <w:color w:val="auto"/>
                <w:sz w:val="24"/>
                <w:u w:val="none"/>
                <w:lang w:eastAsia="zh-CN"/>
              </w:rPr>
              <w:t>位于</w:t>
            </w:r>
            <w:r>
              <w:rPr>
                <w:rFonts w:hint="default" w:ascii="Times New Roman" w:hAnsi="Times New Roman" w:cs="Times New Roman"/>
                <w:color w:val="auto"/>
                <w:sz w:val="24"/>
                <w:u w:val="none"/>
              </w:rPr>
              <w:t>溆浦县龙潭镇</w:t>
            </w:r>
            <w:r>
              <w:rPr>
                <w:rFonts w:hint="eastAsia" w:ascii="Times New Roman" w:hAnsi="Times New Roman" w:cs="Times New Roman"/>
                <w:color w:val="auto"/>
                <w:sz w:val="24"/>
                <w:u w:val="none"/>
                <w:lang w:eastAsia="zh-CN"/>
              </w:rPr>
              <w:t>岩板村</w:t>
            </w:r>
            <w:r>
              <w:rPr>
                <w:rFonts w:hint="eastAsia" w:cs="Times New Roman"/>
                <w:color w:val="auto"/>
                <w:sz w:val="24"/>
                <w:u w:val="none"/>
                <w:lang w:eastAsia="zh-CN"/>
              </w:rPr>
              <w:t>，</w:t>
            </w:r>
            <w:r>
              <w:rPr>
                <w:rFonts w:hint="eastAsia"/>
                <w:color w:val="auto"/>
                <w:kern w:val="0"/>
                <w:sz w:val="24"/>
                <w:lang w:val="en-US" w:eastAsia="zh-CN"/>
              </w:rPr>
              <w:t>项目选址周边主要分布</w:t>
            </w:r>
            <w:r>
              <w:rPr>
                <w:rFonts w:hint="default" w:ascii="Times New Roman" w:hAnsi="Times New Roman" w:cs="Times New Roman"/>
                <w:color w:val="auto"/>
                <w:sz w:val="24"/>
                <w:u w:val="none"/>
                <w:lang w:eastAsia="zh-CN"/>
              </w:rPr>
              <w:t>居民、</w:t>
            </w:r>
            <w:r>
              <w:rPr>
                <w:rFonts w:hint="eastAsia" w:ascii="Times New Roman" w:hAnsi="Times New Roman" w:cs="Times New Roman"/>
                <w:color w:val="auto"/>
                <w:sz w:val="24"/>
                <w:u w:val="none"/>
                <w:lang w:val="en-US" w:eastAsia="zh-CN"/>
              </w:rPr>
              <w:t>农</w:t>
            </w:r>
            <w:r>
              <w:rPr>
                <w:rFonts w:hint="eastAsia" w:ascii="Times New Roman" w:hAnsi="Times New Roman" w:eastAsia="宋体" w:cs="Times New Roman"/>
                <w:color w:val="auto"/>
                <w:sz w:val="24"/>
                <w:u w:val="none"/>
                <w:lang w:val="en-US" w:eastAsia="zh-CN"/>
              </w:rPr>
              <w:t>田，东南侧约20m处存在1处崇实书院为清代氏族书院，属于溆浦县</w:t>
            </w:r>
            <w:r>
              <w:rPr>
                <w:rFonts w:hint="default" w:ascii="Times New Roman" w:hAnsi="Times New Roman" w:eastAsia="宋体" w:cs="Times New Roman"/>
                <w:color w:val="auto"/>
                <w:sz w:val="24"/>
                <w:u w:val="none"/>
                <w:lang w:val="en-US" w:eastAsia="zh-CN"/>
              </w:rPr>
              <w:t>文物保护单位</w:t>
            </w:r>
            <w:r>
              <w:rPr>
                <w:rFonts w:hint="eastAsia" w:ascii="Times New Roman" w:hAnsi="Times New Roman" w:eastAsia="宋体" w:cs="Times New Roman"/>
                <w:color w:val="auto"/>
                <w:sz w:val="24"/>
                <w:u w:val="none"/>
                <w:lang w:val="en-US" w:eastAsia="zh-CN"/>
              </w:rPr>
              <w:t>，日常参观</w:t>
            </w:r>
            <w:r>
              <w:rPr>
                <w:rFonts w:hint="eastAsia" w:cs="Times New Roman"/>
                <w:color w:val="auto"/>
                <w:sz w:val="24"/>
                <w:u w:val="none"/>
                <w:lang w:val="en-US" w:eastAsia="zh-CN"/>
              </w:rPr>
              <w:t>的</w:t>
            </w:r>
            <w:r>
              <w:rPr>
                <w:rFonts w:hint="eastAsia" w:ascii="Times New Roman" w:hAnsi="Times New Roman" w:eastAsia="宋体" w:cs="Times New Roman"/>
                <w:color w:val="auto"/>
                <w:sz w:val="24"/>
                <w:u w:val="none"/>
                <w:lang w:val="en-US" w:eastAsia="zh-CN"/>
              </w:rPr>
              <w:t>游客较少</w:t>
            </w:r>
            <w:r>
              <w:rPr>
                <w:rFonts w:hint="default" w:ascii="Times New Roman" w:hAnsi="Times New Roman" w:eastAsia="宋体" w:cs="Times New Roman"/>
                <w:color w:val="auto"/>
                <w:sz w:val="24"/>
                <w:u w:val="none"/>
                <w:lang w:val="en-US" w:eastAsia="zh-CN"/>
              </w:rPr>
              <w:t>。</w:t>
            </w:r>
            <w:r>
              <w:rPr>
                <w:rFonts w:hint="eastAsia" w:cs="Times New Roman"/>
                <w:color w:val="auto"/>
                <w:sz w:val="24"/>
                <w:u w:val="none"/>
                <w:lang w:eastAsia="zh-CN"/>
              </w:rPr>
              <w:t>《溆浦县龙潭镇总体规划》（</w:t>
            </w:r>
            <w:r>
              <w:rPr>
                <w:rFonts w:hint="eastAsia" w:cs="Times New Roman"/>
                <w:color w:val="auto"/>
                <w:sz w:val="24"/>
                <w:u w:val="none"/>
                <w:lang w:val="en-US" w:eastAsia="zh-CN"/>
              </w:rPr>
              <w:t>2014-2030</w:t>
            </w:r>
            <w:r>
              <w:rPr>
                <w:rFonts w:hint="eastAsia" w:cs="Times New Roman"/>
                <w:color w:val="auto"/>
                <w:sz w:val="24"/>
                <w:u w:val="none"/>
                <w:lang w:eastAsia="zh-CN"/>
              </w:rPr>
              <w:t>）中暂未对本地块的土地利用进行规划；</w:t>
            </w:r>
            <w:r>
              <w:rPr>
                <w:rFonts w:hint="eastAsia" w:cs="Times New Roman"/>
                <w:color w:val="auto"/>
                <w:sz w:val="24"/>
                <w:u w:val="none"/>
                <w:lang w:val="en-US" w:eastAsia="zh-CN"/>
              </w:rPr>
              <w:t>本项目选址原用于</w:t>
            </w:r>
            <w:r>
              <w:rPr>
                <w:rFonts w:hint="eastAsia" w:ascii="Times New Roman" w:hAnsi="Times New Roman" w:cs="Times New Roman"/>
                <w:color w:val="auto"/>
                <w:sz w:val="24"/>
                <w:lang w:val="en-US" w:eastAsia="zh-CN"/>
              </w:rPr>
              <w:t>原湖南怀化龙成中药饮片有限责任公司年产300吨中药饮片GMP加工建设项目生产，龙成项目于2014年10月22日取得原溆浦县环境保护局印发的环境影响报告表的批复，并于2015年4月通过项目环境保护竣工验收，2020年6月进行污染源排污登记，相关环保手续详见附件9，本项目建设与龙成项目属于同类型项目</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未改变用地原有用途</w:t>
            </w:r>
            <w:r>
              <w:rPr>
                <w:rFonts w:hint="eastAsia" w:cs="Times New Roman"/>
                <w:color w:val="auto"/>
                <w:sz w:val="24"/>
                <w:u w:val="none"/>
                <w:lang w:val="en-US" w:eastAsia="zh-CN"/>
              </w:rPr>
              <w:t>，且本项目落地拟建厂区得到龙潭镇人民政府、岩板村村民委员会及项目选址周边居民的同意。</w:t>
            </w:r>
          </w:p>
          <w:p w14:paraId="6214EDD6">
            <w:pPr>
              <w:widowControl/>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eastAsia" w:cs="Times New Roman"/>
                <w:color w:val="auto"/>
                <w:sz w:val="24"/>
                <w:u w:val="none"/>
                <w:lang w:val="en-US" w:eastAsia="zh-CN"/>
              </w:rPr>
              <w:t>本项目</w:t>
            </w:r>
            <w:r>
              <w:rPr>
                <w:rFonts w:hint="eastAsia" w:cs="Times New Roman"/>
                <w:color w:val="auto"/>
                <w:sz w:val="24"/>
                <w:u w:val="none"/>
                <w:lang w:eastAsia="zh-CN"/>
              </w:rPr>
              <w:t>不属于高污染项目，</w:t>
            </w:r>
            <w:r>
              <w:rPr>
                <w:rFonts w:hint="eastAsia" w:ascii="Times New Roman" w:hAnsi="Times New Roman" w:cs="Times New Roman"/>
                <w:color w:val="auto"/>
                <w:sz w:val="24"/>
                <w:u w:val="none"/>
                <w:lang w:eastAsia="zh-CN"/>
              </w:rPr>
              <w:t>项目</w:t>
            </w:r>
            <w:r>
              <w:rPr>
                <w:rFonts w:hint="default" w:ascii="Times New Roman" w:hAnsi="Times New Roman" w:cs="Times New Roman"/>
                <w:color w:val="auto"/>
                <w:sz w:val="24"/>
                <w:u w:val="none"/>
                <w:lang w:eastAsia="zh-CN"/>
              </w:rPr>
              <w:t>废气、废水、噪声均能达标排放，固体废物等得到合理处置，对周边环境影响较小</w:t>
            </w:r>
            <w:r>
              <w:rPr>
                <w:color w:val="auto"/>
                <w:kern w:val="0"/>
                <w:sz w:val="24"/>
              </w:rPr>
              <w:t>，不会改变环境功能现状</w:t>
            </w:r>
            <w:r>
              <w:rPr>
                <w:rFonts w:hint="eastAsia"/>
                <w:color w:val="auto"/>
                <w:kern w:val="0"/>
                <w:sz w:val="24"/>
                <w:lang w:eastAsia="zh-CN"/>
              </w:rPr>
              <w:t>，</w:t>
            </w:r>
            <w:r>
              <w:rPr>
                <w:rFonts w:hint="eastAsia" w:ascii="Times New Roman" w:hAnsi="Times New Roman" w:eastAsia="宋体" w:cs="Times New Roman"/>
                <w:color w:val="auto"/>
                <w:kern w:val="0"/>
                <w:sz w:val="24"/>
                <w:lang w:val="en-US" w:eastAsia="zh-CN"/>
              </w:rPr>
              <w:t>本项目运营不会对周边居民、</w:t>
            </w:r>
            <w:r>
              <w:rPr>
                <w:rFonts w:hint="eastAsia" w:ascii="Times New Roman" w:hAnsi="Times New Roman" w:eastAsia="宋体" w:cs="Times New Roman"/>
                <w:color w:val="auto"/>
                <w:sz w:val="24"/>
                <w:u w:val="none"/>
                <w:lang w:val="en-US" w:eastAsia="zh-CN"/>
              </w:rPr>
              <w:t>崇实书院管理人员及游客</w:t>
            </w:r>
            <w:r>
              <w:rPr>
                <w:rFonts w:hint="eastAsia" w:ascii="Times New Roman" w:hAnsi="Times New Roman" w:eastAsia="宋体" w:cs="Times New Roman"/>
                <w:color w:val="auto"/>
                <w:kern w:val="0"/>
                <w:sz w:val="24"/>
                <w:lang w:val="en-US" w:eastAsia="zh-CN"/>
              </w:rPr>
              <w:t>产生较大影响。</w:t>
            </w:r>
          </w:p>
          <w:p w14:paraId="6B018190">
            <w:pPr>
              <w:widowControl/>
              <w:spacing w:line="360" w:lineRule="auto"/>
              <w:ind w:firstLine="480" w:firstLineChars="200"/>
              <w:jc w:val="left"/>
              <w:rPr>
                <w:rFonts w:hint="eastAsia" w:cs="Times New Roman"/>
                <w:color w:val="auto"/>
                <w:sz w:val="24"/>
                <w:u w:val="single"/>
                <w:lang w:val="en-US" w:eastAsia="zh-CN"/>
              </w:rPr>
            </w:pPr>
            <w:r>
              <w:rPr>
                <w:rFonts w:hint="eastAsia" w:cs="Times New Roman"/>
                <w:color w:val="auto"/>
                <w:sz w:val="24"/>
                <w:u w:val="single"/>
                <w:lang w:val="en-US" w:eastAsia="zh-CN"/>
              </w:rPr>
              <w:t>（2）项目与溆浦县龙潭镇国土空间规划（2021-2035年）符合性分析</w:t>
            </w:r>
          </w:p>
          <w:p w14:paraId="6C85A68E">
            <w:pPr>
              <w:widowControl/>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eastAsia" w:cs="Times New Roman"/>
                <w:color w:val="auto"/>
                <w:sz w:val="24"/>
                <w:szCs w:val="24"/>
                <w:u w:val="single"/>
                <w:lang w:val="en-US" w:eastAsia="zh-CN"/>
              </w:rPr>
              <w:t>根据《溆浦县龙潭镇国土空间规划》（2021-2035年）</w:t>
            </w:r>
            <w:r>
              <w:rPr>
                <w:rFonts w:hint="eastAsia" w:cs="Times New Roman"/>
                <w:color w:val="auto"/>
                <w:sz w:val="24"/>
                <w:szCs w:val="24"/>
                <w:u w:val="single"/>
                <w:lang w:eastAsia="zh-CN"/>
              </w:rPr>
              <w:t>，</w:t>
            </w:r>
            <w:r>
              <w:rPr>
                <w:rFonts w:hint="eastAsia" w:cs="Times New Roman"/>
                <w:color w:val="auto"/>
                <w:sz w:val="24"/>
                <w:szCs w:val="24"/>
                <w:u w:val="single"/>
                <w:lang w:val="en-US" w:eastAsia="zh-CN"/>
              </w:rPr>
              <w:t>规划龙潭镇为文旅融合型乡镇。将龙潭镇建设成溆浦县域的文化名镇和大龙潭地区的重点镇，区域服务型城镇，以农副产品加工、石材加工、药材加工、文化旅游等为主导产业的旅游、商贸综合型城镇。本项目为中药材加工项目，符合《溆浦县龙潭镇国土空间规划》（2021-2035年）。根据《溆浦县龙潭镇国土空间规划》（2021-2035年）镇政府驻地国土空间用地规划图，本项目用地规划为工业用地，项目建设符合龙潭镇国土空间规划。</w:t>
            </w:r>
          </w:p>
          <w:p w14:paraId="554C0C8C">
            <w:pPr>
              <w:widowControl/>
              <w:spacing w:line="360" w:lineRule="auto"/>
              <w:ind w:firstLine="480" w:firstLineChars="200"/>
              <w:jc w:val="left"/>
              <w:rPr>
                <w:rFonts w:hint="eastAsia" w:cs="Times New Roman"/>
                <w:color w:val="auto"/>
                <w:sz w:val="24"/>
                <w:u w:val="none"/>
                <w:lang w:eastAsia="zh-CN"/>
              </w:rPr>
            </w:pPr>
            <w:r>
              <w:rPr>
                <w:rFonts w:hint="default" w:ascii="Times New Roman" w:hAnsi="Times New Roman" w:cs="Times New Roman"/>
                <w:color w:val="auto"/>
                <w:sz w:val="24"/>
                <w:u w:val="none"/>
                <w:lang w:eastAsia="zh-CN"/>
              </w:rPr>
              <w:t>综上，本项目选址合理。</w:t>
            </w:r>
          </w:p>
          <w:p w14:paraId="75156553">
            <w:pPr>
              <w:widowControl/>
              <w:spacing w:line="360" w:lineRule="auto"/>
              <w:ind w:firstLine="480" w:firstLineChars="200"/>
              <w:jc w:val="left"/>
              <w:rPr>
                <w:rFonts w:hint="eastAsia" w:cs="Times New Roman"/>
                <w:color w:val="auto"/>
                <w:sz w:val="24"/>
                <w:u w:val="none"/>
                <w:lang w:eastAsia="zh-CN"/>
              </w:rPr>
            </w:pPr>
          </w:p>
          <w:p w14:paraId="63979319">
            <w:pPr>
              <w:widowControl/>
              <w:spacing w:line="360" w:lineRule="auto"/>
              <w:ind w:firstLine="480" w:firstLineChars="200"/>
              <w:jc w:val="left"/>
              <w:rPr>
                <w:rFonts w:hint="eastAsia" w:cs="Times New Roman"/>
                <w:color w:val="auto"/>
                <w:sz w:val="24"/>
                <w:u w:val="none"/>
                <w:lang w:eastAsia="zh-CN"/>
              </w:rPr>
            </w:pPr>
          </w:p>
          <w:p w14:paraId="2AFA84BB">
            <w:pPr>
              <w:widowControl/>
              <w:spacing w:line="360" w:lineRule="auto"/>
              <w:ind w:firstLine="480" w:firstLineChars="200"/>
              <w:jc w:val="left"/>
              <w:rPr>
                <w:rFonts w:hint="eastAsia" w:cs="Times New Roman"/>
                <w:color w:val="auto"/>
                <w:sz w:val="24"/>
                <w:u w:val="none"/>
                <w:lang w:eastAsia="zh-CN"/>
              </w:rPr>
            </w:pPr>
          </w:p>
          <w:p w14:paraId="1E553143">
            <w:pPr>
              <w:widowControl/>
              <w:spacing w:line="360" w:lineRule="auto"/>
              <w:ind w:firstLine="480" w:firstLineChars="200"/>
              <w:jc w:val="left"/>
              <w:rPr>
                <w:rFonts w:hint="eastAsia" w:cs="Times New Roman"/>
                <w:color w:val="auto"/>
                <w:sz w:val="24"/>
                <w:u w:val="none"/>
                <w:lang w:eastAsia="zh-CN"/>
              </w:rPr>
            </w:pPr>
          </w:p>
          <w:p w14:paraId="589C271D">
            <w:pPr>
              <w:widowControl/>
              <w:spacing w:line="360" w:lineRule="auto"/>
              <w:ind w:firstLine="480" w:firstLineChars="200"/>
              <w:jc w:val="left"/>
              <w:rPr>
                <w:rFonts w:hint="eastAsia" w:cs="Times New Roman"/>
                <w:color w:val="auto"/>
                <w:sz w:val="24"/>
                <w:u w:val="none"/>
                <w:lang w:eastAsia="zh-CN"/>
              </w:rPr>
            </w:pPr>
          </w:p>
          <w:p w14:paraId="7057D266">
            <w:pPr>
              <w:widowControl/>
              <w:spacing w:line="360" w:lineRule="auto"/>
              <w:ind w:firstLine="480" w:firstLineChars="200"/>
              <w:jc w:val="left"/>
              <w:rPr>
                <w:rFonts w:hint="eastAsia" w:cs="Times New Roman"/>
                <w:color w:val="auto"/>
                <w:sz w:val="24"/>
                <w:u w:val="none"/>
                <w:lang w:eastAsia="zh-CN"/>
              </w:rPr>
            </w:pPr>
          </w:p>
          <w:p w14:paraId="18D2FC2C">
            <w:pPr>
              <w:widowControl/>
              <w:spacing w:line="360" w:lineRule="auto"/>
              <w:ind w:firstLine="480" w:firstLineChars="200"/>
              <w:jc w:val="left"/>
              <w:rPr>
                <w:rFonts w:hint="eastAsia" w:cs="Times New Roman"/>
                <w:color w:val="auto"/>
                <w:sz w:val="24"/>
                <w:u w:val="none"/>
                <w:lang w:eastAsia="zh-CN"/>
              </w:rPr>
            </w:pPr>
          </w:p>
          <w:p w14:paraId="72A5D088">
            <w:pPr>
              <w:widowControl/>
              <w:spacing w:line="360" w:lineRule="auto"/>
              <w:ind w:firstLine="480" w:firstLineChars="200"/>
              <w:jc w:val="left"/>
              <w:rPr>
                <w:rFonts w:hint="eastAsia" w:cs="Times New Roman"/>
                <w:color w:val="auto"/>
                <w:sz w:val="24"/>
                <w:u w:val="none"/>
                <w:lang w:eastAsia="zh-CN"/>
              </w:rPr>
            </w:pPr>
          </w:p>
          <w:p w14:paraId="4DEF9796">
            <w:pPr>
              <w:widowControl/>
              <w:spacing w:line="360" w:lineRule="auto"/>
              <w:ind w:firstLine="480" w:firstLineChars="200"/>
              <w:jc w:val="left"/>
              <w:rPr>
                <w:rFonts w:hint="eastAsia" w:cs="Times New Roman"/>
                <w:color w:val="auto"/>
                <w:sz w:val="24"/>
                <w:u w:val="none"/>
                <w:lang w:eastAsia="zh-CN"/>
              </w:rPr>
            </w:pPr>
          </w:p>
          <w:p w14:paraId="7F4702AC">
            <w:pPr>
              <w:widowControl/>
              <w:spacing w:line="360" w:lineRule="auto"/>
              <w:ind w:firstLine="480" w:firstLineChars="200"/>
              <w:jc w:val="left"/>
              <w:rPr>
                <w:rFonts w:hint="eastAsia" w:cs="Times New Roman"/>
                <w:color w:val="auto"/>
                <w:sz w:val="24"/>
                <w:u w:val="none"/>
                <w:lang w:eastAsia="zh-CN"/>
              </w:rPr>
            </w:pPr>
          </w:p>
          <w:p w14:paraId="012611C0">
            <w:pPr>
              <w:widowControl/>
              <w:spacing w:line="360" w:lineRule="auto"/>
              <w:ind w:firstLine="480" w:firstLineChars="200"/>
              <w:jc w:val="left"/>
              <w:rPr>
                <w:rFonts w:hint="eastAsia" w:cs="Times New Roman"/>
                <w:color w:val="auto"/>
                <w:sz w:val="24"/>
                <w:u w:val="none"/>
                <w:lang w:eastAsia="zh-CN"/>
              </w:rPr>
            </w:pPr>
          </w:p>
          <w:p w14:paraId="6FC6344B">
            <w:pPr>
              <w:widowControl/>
              <w:spacing w:line="360" w:lineRule="auto"/>
              <w:ind w:firstLine="480" w:firstLineChars="200"/>
              <w:jc w:val="left"/>
              <w:rPr>
                <w:rFonts w:hint="eastAsia" w:cs="Times New Roman"/>
                <w:color w:val="auto"/>
                <w:sz w:val="24"/>
                <w:u w:val="none"/>
                <w:lang w:eastAsia="zh-CN"/>
              </w:rPr>
            </w:pPr>
          </w:p>
          <w:p w14:paraId="722B88AB">
            <w:pPr>
              <w:widowControl/>
              <w:spacing w:line="360" w:lineRule="auto"/>
              <w:ind w:firstLine="480" w:firstLineChars="200"/>
              <w:jc w:val="left"/>
              <w:rPr>
                <w:rFonts w:hint="eastAsia" w:cs="Times New Roman"/>
                <w:color w:val="auto"/>
                <w:sz w:val="24"/>
                <w:u w:val="none"/>
                <w:lang w:eastAsia="zh-CN"/>
              </w:rPr>
            </w:pPr>
          </w:p>
          <w:p w14:paraId="4D78737F">
            <w:pPr>
              <w:widowControl/>
              <w:spacing w:line="360" w:lineRule="auto"/>
              <w:ind w:firstLine="480" w:firstLineChars="200"/>
              <w:jc w:val="left"/>
              <w:rPr>
                <w:rFonts w:hint="eastAsia" w:cs="Times New Roman"/>
                <w:color w:val="auto"/>
                <w:sz w:val="24"/>
                <w:u w:val="none"/>
                <w:lang w:eastAsia="zh-CN"/>
              </w:rPr>
            </w:pPr>
          </w:p>
          <w:p w14:paraId="5951AC29">
            <w:pPr>
              <w:widowControl/>
              <w:spacing w:line="360" w:lineRule="auto"/>
              <w:ind w:firstLine="480" w:firstLineChars="200"/>
              <w:jc w:val="left"/>
              <w:rPr>
                <w:rFonts w:hint="eastAsia" w:cs="Times New Roman"/>
                <w:color w:val="auto"/>
                <w:sz w:val="24"/>
                <w:u w:val="none"/>
                <w:lang w:eastAsia="zh-CN"/>
              </w:rPr>
            </w:pPr>
          </w:p>
          <w:p w14:paraId="2E57465C">
            <w:pPr>
              <w:widowControl/>
              <w:spacing w:line="360" w:lineRule="auto"/>
              <w:ind w:firstLine="480" w:firstLineChars="200"/>
              <w:jc w:val="left"/>
              <w:rPr>
                <w:rFonts w:hint="eastAsia" w:cs="Times New Roman"/>
                <w:color w:val="auto"/>
                <w:sz w:val="24"/>
                <w:u w:val="none"/>
                <w:lang w:eastAsia="zh-CN"/>
              </w:rPr>
            </w:pPr>
          </w:p>
          <w:p w14:paraId="6AB1E4E9">
            <w:pPr>
              <w:widowControl/>
              <w:spacing w:line="360" w:lineRule="auto"/>
              <w:ind w:firstLine="480" w:firstLineChars="200"/>
              <w:jc w:val="left"/>
              <w:rPr>
                <w:rFonts w:hint="eastAsia" w:cs="Times New Roman"/>
                <w:color w:val="auto"/>
                <w:sz w:val="24"/>
                <w:u w:val="none"/>
                <w:lang w:eastAsia="zh-CN"/>
              </w:rPr>
            </w:pPr>
          </w:p>
          <w:p w14:paraId="78567DBC">
            <w:pPr>
              <w:widowControl/>
              <w:spacing w:line="360" w:lineRule="auto"/>
              <w:ind w:firstLine="480" w:firstLineChars="200"/>
              <w:jc w:val="left"/>
              <w:rPr>
                <w:rFonts w:hint="eastAsia" w:cs="Times New Roman"/>
                <w:color w:val="auto"/>
                <w:sz w:val="24"/>
                <w:u w:val="none"/>
                <w:lang w:eastAsia="zh-CN"/>
              </w:rPr>
            </w:pPr>
          </w:p>
          <w:p w14:paraId="41BF2246">
            <w:pPr>
              <w:widowControl/>
              <w:spacing w:line="360" w:lineRule="auto"/>
              <w:ind w:firstLine="480" w:firstLineChars="200"/>
              <w:jc w:val="left"/>
              <w:rPr>
                <w:rFonts w:hint="eastAsia" w:cs="Times New Roman"/>
                <w:color w:val="auto"/>
                <w:sz w:val="24"/>
                <w:u w:val="none"/>
                <w:lang w:eastAsia="zh-CN"/>
              </w:rPr>
            </w:pPr>
          </w:p>
          <w:p w14:paraId="257A2380">
            <w:pPr>
              <w:widowControl/>
              <w:spacing w:line="360" w:lineRule="auto"/>
              <w:ind w:firstLine="480" w:firstLineChars="200"/>
              <w:jc w:val="left"/>
              <w:rPr>
                <w:rFonts w:hint="eastAsia" w:cs="Times New Roman"/>
                <w:color w:val="auto"/>
                <w:sz w:val="24"/>
                <w:u w:val="none"/>
                <w:lang w:eastAsia="zh-CN"/>
              </w:rPr>
            </w:pPr>
          </w:p>
          <w:p w14:paraId="3E763066">
            <w:pPr>
              <w:widowControl/>
              <w:spacing w:line="360" w:lineRule="auto"/>
              <w:ind w:firstLine="480" w:firstLineChars="200"/>
              <w:jc w:val="left"/>
              <w:rPr>
                <w:rFonts w:hint="default" w:cs="Times New Roman"/>
                <w:color w:val="auto"/>
                <w:sz w:val="24"/>
                <w:u w:val="none"/>
                <w:lang w:eastAsia="zh-CN"/>
              </w:rPr>
            </w:pPr>
          </w:p>
        </w:tc>
      </w:tr>
    </w:tbl>
    <w:p w14:paraId="62989C0A">
      <w:pPr>
        <w:spacing w:line="360" w:lineRule="auto"/>
        <w:rPr>
          <w:rFonts w:hint="default" w:ascii="Times New Roman" w:hAnsi="Times New Roman" w:eastAsia="黑体" w:cs="Times New Roman"/>
          <w:color w:val="auto"/>
          <w:sz w:val="30"/>
        </w:rPr>
        <w:sectPr>
          <w:footerReference r:id="rId4" w:type="default"/>
          <w:pgSz w:w="11905" w:h="16838"/>
          <w:pgMar w:top="1440" w:right="1803" w:bottom="1440" w:left="1803" w:header="851" w:footer="1077" w:gutter="0"/>
          <w:pgBorders>
            <w:top w:val="none" w:sz="0" w:space="0"/>
            <w:left w:val="none" w:sz="0" w:space="0"/>
            <w:bottom w:val="none" w:sz="0" w:space="0"/>
            <w:right w:val="none" w:sz="0" w:space="0"/>
          </w:pgBorders>
          <w:pgNumType w:fmt="decimal" w:start="1"/>
          <w:cols w:space="0" w:num="1"/>
          <w:rtlGutter w:val="0"/>
          <w:docGrid w:linePitch="312" w:charSpace="0"/>
        </w:sectPr>
      </w:pPr>
    </w:p>
    <w:p w14:paraId="59D7006D">
      <w:pPr>
        <w:pStyle w:val="2"/>
        <w:bidi w:val="0"/>
        <w:jc w:val="center"/>
        <w:rPr>
          <w:rFonts w:hint="default" w:asciiTheme="majorEastAsia" w:hAnsiTheme="majorEastAsia" w:eastAsiaTheme="majorEastAsia" w:cstheme="majorEastAsia"/>
          <w:b/>
          <w:bCs/>
          <w:color w:val="auto"/>
        </w:rPr>
      </w:pPr>
      <w:bookmarkStart w:id="4" w:name="_Toc3456"/>
      <w:bookmarkStart w:id="5" w:name="_Toc25755"/>
      <w:bookmarkStart w:id="6" w:name="_Toc15888"/>
      <w:bookmarkStart w:id="7" w:name="_Toc26327"/>
      <w:r>
        <w:rPr>
          <w:rFonts w:hint="default" w:asciiTheme="majorEastAsia" w:hAnsiTheme="majorEastAsia" w:eastAsiaTheme="majorEastAsia" w:cstheme="majorEastAsia"/>
          <w:b/>
          <w:bCs/>
          <w:color w:val="auto"/>
        </w:rPr>
        <w:t>二、建设项目工程分析</w:t>
      </w:r>
      <w:bookmarkEnd w:id="4"/>
      <w:bookmarkEnd w:id="5"/>
      <w:bookmarkEnd w:id="6"/>
    </w:p>
    <w:tbl>
      <w:tblPr>
        <w:tblStyle w:val="32"/>
        <w:tblW w:w="495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7"/>
        <w:gridCol w:w="7630"/>
      </w:tblGrid>
      <w:tr w14:paraId="2209A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78" w:type="pct"/>
            <w:vAlign w:val="center"/>
          </w:tcPr>
          <w:p w14:paraId="7FFA5231">
            <w:pPr>
              <w:pStyle w:val="29"/>
              <w:adjustRightInd w:val="0"/>
              <w:snapToGrid w:val="0"/>
              <w:spacing w:before="0" w:beforeAutospacing="0" w:after="0" w:afterAutospacing="0"/>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Cs w:val="24"/>
                <w:lang w:val="en-US" w:eastAsia="zh-CN"/>
              </w:rPr>
              <w:t>建设内容</w:t>
            </w:r>
          </w:p>
        </w:tc>
        <w:tc>
          <w:tcPr>
            <w:tcW w:w="4521" w:type="pct"/>
          </w:tcPr>
          <w:p w14:paraId="10038CA2">
            <w:pPr>
              <w:pStyle w:val="82"/>
              <w:ind w:firstLine="482"/>
              <w:jc w:val="left"/>
              <w:rPr>
                <w:rFonts w:hint="default" w:ascii="Times New Roman" w:hAnsi="Times New Roman" w:cs="Times New Roman"/>
                <w:bCs/>
                <w:color w:val="auto"/>
              </w:rPr>
            </w:pPr>
            <w:r>
              <w:rPr>
                <w:rFonts w:hint="default" w:ascii="Times New Roman" w:hAnsi="Times New Roman" w:cs="Times New Roman"/>
                <w:b/>
                <w:color w:val="auto"/>
              </w:rPr>
              <w:t>1、项目由来</w:t>
            </w:r>
          </w:p>
          <w:p w14:paraId="35FE8325">
            <w:pPr>
              <w:pStyle w:val="82"/>
              <w:jc w:val="left"/>
              <w:rPr>
                <w:rFonts w:hint="eastAsia" w:ascii="Times New Roman" w:hAnsi="Times New Roman" w:eastAsia="宋体" w:cs="Times New Roman"/>
                <w:color w:val="auto"/>
                <w:szCs w:val="24"/>
                <w:u w:val="single"/>
                <w:lang w:val="en-US" w:eastAsia="zh-CN"/>
              </w:rPr>
            </w:pPr>
            <w:r>
              <w:rPr>
                <w:rFonts w:hint="eastAsia" w:cs="Times New Roman"/>
                <w:color w:val="auto"/>
                <w:sz w:val="24"/>
                <w:u w:val="single"/>
                <w:lang w:eastAsia="zh-CN"/>
              </w:rPr>
              <w:t>怀化崇实农业开发有限公司</w:t>
            </w:r>
            <w:r>
              <w:rPr>
                <w:color w:val="auto"/>
                <w:kern w:val="0"/>
                <w:sz w:val="24"/>
                <w:u w:val="single"/>
                <w:lang w:bidi="ar"/>
              </w:rPr>
              <w:t>拟</w:t>
            </w:r>
            <w:r>
              <w:rPr>
                <w:rFonts w:hint="eastAsia"/>
                <w:color w:val="auto"/>
                <w:kern w:val="0"/>
                <w:sz w:val="24"/>
                <w:u w:val="single"/>
                <w:lang w:bidi="ar"/>
              </w:rPr>
              <w:t>在</w:t>
            </w:r>
            <w:r>
              <w:rPr>
                <w:rFonts w:hint="default" w:ascii="Times New Roman" w:hAnsi="Times New Roman" w:cs="Times New Roman"/>
                <w:color w:val="auto"/>
                <w:sz w:val="24"/>
                <w:u w:val="single"/>
              </w:rPr>
              <w:t>湖南省怀化市溆浦县龙潭镇</w:t>
            </w:r>
            <w:r>
              <w:rPr>
                <w:rFonts w:hint="eastAsia" w:ascii="Times New Roman" w:hAnsi="Times New Roman" w:cs="Times New Roman"/>
                <w:color w:val="auto"/>
                <w:sz w:val="24"/>
                <w:u w:val="single"/>
                <w:lang w:eastAsia="zh-CN"/>
              </w:rPr>
              <w:t>岩板村</w:t>
            </w:r>
            <w:r>
              <w:rPr>
                <w:rFonts w:hint="eastAsia" w:ascii="Times New Roman" w:hAnsi="Times New Roman" w:cs="Times New Roman"/>
                <w:color w:val="auto"/>
                <w:sz w:val="24"/>
                <w:u w:val="single"/>
                <w:lang w:val="en-US" w:eastAsia="zh-CN"/>
              </w:rPr>
              <w:t>原湖南怀化龙成中药饮片有限责任公司年产300吨中药饮片GMP加工建设项目用地范围内</w:t>
            </w:r>
            <w:r>
              <w:rPr>
                <w:color w:val="auto"/>
                <w:kern w:val="0"/>
                <w:sz w:val="24"/>
                <w:u w:val="single"/>
                <w:lang w:bidi="ar"/>
              </w:rPr>
              <w:t>建设</w:t>
            </w:r>
            <w:r>
              <w:rPr>
                <w:rFonts w:hint="eastAsia" w:cs="Times New Roman"/>
                <w:color w:val="auto"/>
                <w:sz w:val="24"/>
                <w:u w:val="single"/>
                <w:lang w:eastAsia="zh-CN"/>
              </w:rPr>
              <w:t>怀化崇实农业开发有限公司年产800吨中药材产地趁鲜加工及药食同源食品开发项目</w:t>
            </w:r>
            <w:r>
              <w:rPr>
                <w:rFonts w:hint="eastAsia"/>
                <w:color w:val="auto"/>
                <w:sz w:val="24"/>
                <w:u w:val="single"/>
              </w:rPr>
              <w:t>（以下简称</w:t>
            </w:r>
            <w:r>
              <w:rPr>
                <w:rFonts w:hint="eastAsia"/>
                <w:color w:val="auto"/>
                <w:sz w:val="24"/>
                <w:u w:val="single"/>
                <w:lang w:eastAsia="zh-CN"/>
              </w:rPr>
              <w:t>“</w:t>
            </w:r>
            <w:r>
              <w:rPr>
                <w:rFonts w:hint="eastAsia"/>
                <w:color w:val="auto"/>
                <w:sz w:val="24"/>
                <w:u w:val="single"/>
              </w:rPr>
              <w:t>本项目</w:t>
            </w:r>
            <w:r>
              <w:rPr>
                <w:rFonts w:hint="eastAsia"/>
                <w:color w:val="auto"/>
                <w:sz w:val="24"/>
                <w:u w:val="single"/>
                <w:lang w:eastAsia="zh-CN"/>
              </w:rPr>
              <w:t>”</w:t>
            </w:r>
            <w:r>
              <w:rPr>
                <w:rFonts w:hint="eastAsia"/>
                <w:color w:val="auto"/>
                <w:sz w:val="24"/>
                <w:u w:val="single"/>
              </w:rPr>
              <w:t>）</w:t>
            </w:r>
            <w:r>
              <w:rPr>
                <w:rFonts w:hint="eastAsia"/>
                <w:color w:val="auto"/>
                <w:kern w:val="0"/>
                <w:sz w:val="24"/>
                <w:u w:val="single"/>
                <w:lang w:bidi="ar"/>
              </w:rPr>
              <w:t>，</w:t>
            </w:r>
            <w:r>
              <w:rPr>
                <w:color w:val="auto"/>
                <w:kern w:val="0"/>
                <w:sz w:val="24"/>
                <w:u w:val="single"/>
              </w:rPr>
              <w:t>本项目用地面积</w:t>
            </w:r>
            <w:r>
              <w:rPr>
                <w:rFonts w:hint="eastAsia"/>
                <w:color w:val="auto"/>
                <w:kern w:val="0"/>
                <w:sz w:val="24"/>
                <w:u w:val="single"/>
                <w:lang w:val="en-US" w:eastAsia="zh-CN"/>
              </w:rPr>
              <w:t>约</w:t>
            </w:r>
            <w:r>
              <w:rPr>
                <w:color w:val="auto"/>
                <w:kern w:val="0"/>
                <w:sz w:val="24"/>
                <w:u w:val="single"/>
              </w:rPr>
              <w:t>为</w:t>
            </w:r>
            <w:r>
              <w:rPr>
                <w:rFonts w:hint="eastAsia" w:cs="Times New Roman"/>
                <w:color w:val="auto"/>
                <w:sz w:val="24"/>
                <w:u w:val="single"/>
                <w:lang w:val="en-US" w:eastAsia="zh-CN"/>
              </w:rPr>
              <w:t>6667</w:t>
            </w:r>
            <w:r>
              <w:rPr>
                <w:color w:val="auto"/>
                <w:kern w:val="0"/>
                <w:sz w:val="24"/>
                <w:u w:val="single"/>
              </w:rPr>
              <w:t>m</w:t>
            </w:r>
            <w:r>
              <w:rPr>
                <w:color w:val="auto"/>
                <w:kern w:val="0"/>
                <w:sz w:val="24"/>
                <w:u w:val="single"/>
                <w:vertAlign w:val="superscript"/>
              </w:rPr>
              <w:t>2</w:t>
            </w:r>
            <w:r>
              <w:rPr>
                <w:rFonts w:hint="eastAsia"/>
                <w:color w:val="auto"/>
                <w:kern w:val="0"/>
                <w:sz w:val="24"/>
                <w:u w:val="single"/>
              </w:rPr>
              <w:t>，建筑面积</w:t>
            </w:r>
            <w:r>
              <w:rPr>
                <w:rFonts w:hint="eastAsia"/>
                <w:color w:val="auto"/>
                <w:kern w:val="0"/>
                <w:sz w:val="24"/>
                <w:u w:val="single"/>
                <w:lang w:val="en-US" w:eastAsia="zh-CN"/>
              </w:rPr>
              <w:t>3950</w:t>
            </w:r>
            <w:r>
              <w:rPr>
                <w:color w:val="auto"/>
                <w:kern w:val="0"/>
                <w:sz w:val="24"/>
                <w:u w:val="single"/>
              </w:rPr>
              <w:t>m</w:t>
            </w:r>
            <w:r>
              <w:rPr>
                <w:color w:val="auto"/>
                <w:kern w:val="0"/>
                <w:sz w:val="24"/>
                <w:u w:val="single"/>
                <w:vertAlign w:val="superscript"/>
              </w:rPr>
              <w:t>2</w:t>
            </w:r>
            <w:r>
              <w:rPr>
                <w:rFonts w:hint="eastAsia"/>
                <w:color w:val="auto"/>
                <w:kern w:val="0"/>
                <w:sz w:val="24"/>
                <w:u w:val="single"/>
                <w:lang w:eastAsia="zh-CN"/>
              </w:rPr>
              <w:t>，</w:t>
            </w:r>
            <w:r>
              <w:rPr>
                <w:rFonts w:hint="eastAsia"/>
                <w:color w:val="auto"/>
                <w:kern w:val="0"/>
                <w:sz w:val="24"/>
                <w:u w:val="single"/>
                <w:lang w:val="en-US" w:eastAsia="zh-CN"/>
              </w:rPr>
              <w:t>部分生产设备利用租赁厂区原</w:t>
            </w:r>
            <w:r>
              <w:rPr>
                <w:rFonts w:hint="eastAsia" w:ascii="Times New Roman" w:hAnsi="Times New Roman" w:cs="Times New Roman"/>
                <w:color w:val="auto"/>
                <w:sz w:val="24"/>
                <w:u w:val="single"/>
                <w:lang w:val="en-US" w:eastAsia="zh-CN"/>
              </w:rPr>
              <w:t>龙成</w:t>
            </w:r>
            <w:r>
              <w:rPr>
                <w:rFonts w:hint="eastAsia" w:cs="Times New Roman"/>
                <w:color w:val="auto"/>
                <w:sz w:val="24"/>
                <w:u w:val="single"/>
                <w:lang w:val="en-US" w:eastAsia="zh-CN"/>
              </w:rPr>
              <w:t>公司设备，并购置部分设备用于本项目生产</w:t>
            </w:r>
            <w:r>
              <w:rPr>
                <w:color w:val="auto"/>
                <w:kern w:val="0"/>
                <w:sz w:val="24"/>
                <w:u w:val="single"/>
              </w:rPr>
              <w:t>。</w:t>
            </w:r>
          </w:p>
          <w:p w14:paraId="4BE40F28">
            <w:pPr>
              <w:pStyle w:val="82"/>
              <w:jc w:val="left"/>
              <w:rPr>
                <w:rFonts w:hint="default" w:ascii="Times New Roman" w:hAnsi="Times New Roman" w:cs="Times New Roman"/>
                <w:bCs/>
                <w:color w:val="auto"/>
              </w:rPr>
            </w:pPr>
            <w:r>
              <w:rPr>
                <w:rFonts w:hint="default" w:ascii="Times New Roman" w:hAnsi="Times New Roman" w:cs="Times New Roman"/>
                <w:bCs/>
                <w:color w:val="auto"/>
              </w:rPr>
              <w:t>对照《中华人民共和国环境影响评价法》、《建设项目环境保护管理条例》及《建设项目环境影响评价分类管理名录（2021年版）》等的相关规定，项目属于</w:t>
            </w:r>
            <w:r>
              <w:rPr>
                <w:rFonts w:hint="eastAsia" w:cs="Times New Roman"/>
                <w:bCs/>
                <w:color w:val="auto"/>
                <w:lang w:eastAsia="zh-CN"/>
              </w:rPr>
              <w:t>“</w:t>
            </w:r>
            <w:r>
              <w:rPr>
                <w:rFonts w:hint="eastAsia" w:cs="Times New Roman"/>
                <w:color w:val="auto"/>
                <w:sz w:val="24"/>
                <w:u w:val="none"/>
                <w:lang w:val="en-US" w:eastAsia="zh-CN"/>
              </w:rPr>
              <w:t>二十四、医药制造业27 其他（单纯切片、制干、打包的除外）</w:t>
            </w:r>
            <w:r>
              <w:rPr>
                <w:rFonts w:hint="eastAsia" w:cs="Times New Roman"/>
                <w:bCs/>
                <w:color w:val="auto"/>
                <w:lang w:eastAsia="zh-CN"/>
              </w:rPr>
              <w:t>”、</w:t>
            </w:r>
            <w:r>
              <w:rPr>
                <w:rFonts w:hint="eastAsia" w:cs="Times New Roman"/>
                <w:bCs/>
                <w:color w:val="auto"/>
                <w:highlight w:val="none"/>
                <w:lang w:eastAsia="zh-CN"/>
              </w:rPr>
              <w:t>“</w:t>
            </w:r>
            <w:r>
              <w:rPr>
                <w:rFonts w:hint="default" w:ascii="Times New Roman" w:hAnsi="Times New Roman" w:cs="Times New Roman"/>
                <w:bCs/>
                <w:color w:val="auto"/>
                <w:highlight w:val="none"/>
              </w:rPr>
              <w:t>四十</w:t>
            </w:r>
            <w:r>
              <w:rPr>
                <w:rFonts w:hint="eastAsia" w:ascii="Times New Roman" w:hAnsi="Times New Roman" w:cs="Times New Roman"/>
                <w:bCs/>
                <w:color w:val="auto"/>
                <w:highlight w:val="none"/>
                <w:lang w:eastAsia="zh-CN"/>
              </w:rPr>
              <w:t>一</w:t>
            </w:r>
            <w:r>
              <w:rPr>
                <w:rFonts w:hint="default" w:ascii="Times New Roman" w:hAnsi="Times New Roman" w:cs="Times New Roman"/>
                <w:bCs/>
                <w:color w:val="auto"/>
                <w:highlight w:val="none"/>
              </w:rPr>
              <w:t>、</w:t>
            </w:r>
            <w:r>
              <w:rPr>
                <w:rFonts w:hint="eastAsia" w:ascii="Times New Roman" w:hAnsi="Times New Roman" w:cs="Times New Roman"/>
                <w:bCs/>
                <w:color w:val="auto"/>
                <w:highlight w:val="none"/>
                <w:lang w:eastAsia="zh-CN"/>
              </w:rPr>
              <w:t>电力、热力生产和供应业</w:t>
            </w:r>
            <w:r>
              <w:rPr>
                <w:rFonts w:hint="eastAsia" w:cs="Times New Roman"/>
                <w:bCs/>
                <w:color w:val="auto"/>
                <w:highlight w:val="none"/>
                <w:lang w:eastAsia="zh-CN"/>
              </w:rPr>
              <w:t>”</w:t>
            </w:r>
            <w:r>
              <w:rPr>
                <w:rFonts w:hint="eastAsia" w:ascii="Times New Roman" w:hAnsi="Times New Roman" w:cs="Times New Roman"/>
                <w:bCs/>
                <w:color w:val="auto"/>
                <w:highlight w:val="none"/>
                <w:lang w:eastAsia="zh-CN"/>
              </w:rPr>
              <w:t>中</w:t>
            </w:r>
            <w:r>
              <w:rPr>
                <w:rFonts w:hint="eastAsia" w:ascii="Times New Roman" w:hAnsi="Times New Roman" w:cs="Times New Roman"/>
                <w:bCs/>
                <w:color w:val="auto"/>
                <w:highlight w:val="none"/>
                <w:lang w:val="en-US" w:eastAsia="zh-CN"/>
              </w:rPr>
              <w:t>91热力生产和供应工程（包括建设单位自建自用的供热工程），</w:t>
            </w:r>
            <w:r>
              <w:rPr>
                <w:rFonts w:hint="eastAsia" w:cs="Times New Roman"/>
                <w:bCs/>
                <w:color w:val="auto"/>
                <w:highlight w:val="none"/>
                <w:lang w:val="en-US" w:eastAsia="zh-CN"/>
              </w:rPr>
              <w:t>本项目</w:t>
            </w:r>
            <w:r>
              <w:rPr>
                <w:rFonts w:hint="default" w:ascii="Times New Roman" w:hAnsi="Times New Roman" w:cs="Times New Roman"/>
                <w:bCs/>
                <w:color w:val="auto"/>
              </w:rPr>
              <w:t>需编制环境影响报告表。</w:t>
            </w:r>
            <w:r>
              <w:rPr>
                <w:rFonts w:hint="eastAsia" w:ascii="Times New Roman" w:hAnsi="Times New Roman" w:cs="Times New Roman"/>
                <w:bCs/>
                <w:color w:val="auto"/>
                <w:lang w:eastAsia="zh-CN"/>
              </w:rPr>
              <w:t>本评价</w:t>
            </w:r>
            <w:r>
              <w:rPr>
                <w:rFonts w:hint="eastAsia" w:cs="Times New Roman"/>
                <w:bCs/>
                <w:color w:val="auto"/>
                <w:lang w:eastAsia="zh-CN"/>
              </w:rPr>
              <w:t>主要针对</w:t>
            </w:r>
            <w:r>
              <w:rPr>
                <w:rFonts w:hint="eastAsia" w:ascii="Times New Roman" w:hAnsi="Times New Roman" w:cs="Times New Roman"/>
                <w:bCs/>
                <w:color w:val="auto"/>
                <w:lang w:eastAsia="zh-CN"/>
              </w:rPr>
              <w:t>初加工进行评价，种植采用收购模式进行，与农户签订种销协议，农户按照要求进行种植，收获后定点供应给企业进行初加工。</w:t>
            </w:r>
            <w:r>
              <w:rPr>
                <w:rFonts w:hint="default" w:ascii="Times New Roman" w:hAnsi="Times New Roman" w:cs="Times New Roman"/>
                <w:bCs/>
                <w:color w:val="auto"/>
              </w:rPr>
              <w:t>为此，</w:t>
            </w:r>
            <w:r>
              <w:rPr>
                <w:rFonts w:hint="eastAsia" w:cs="Times New Roman"/>
                <w:color w:val="auto"/>
                <w:szCs w:val="24"/>
                <w:u w:val="none"/>
                <w:lang w:eastAsia="zh-CN"/>
              </w:rPr>
              <w:t>怀化崇实农业开发有限公司</w:t>
            </w:r>
            <w:r>
              <w:rPr>
                <w:rFonts w:hint="default" w:ascii="Times New Roman" w:hAnsi="Times New Roman" w:cs="Times New Roman"/>
                <w:bCs/>
                <w:color w:val="auto"/>
              </w:rPr>
              <w:t>委托我公司承担该项目的环境影响评价工作，在接受委托后，我公司组织技术人员进行实地踏勘和调研，收集和核实了有关材料，按照国家对建设项目环境影响评价的有关规定和有关环保政策、技术规范，编制了该项目的环境影响报告表。</w:t>
            </w:r>
          </w:p>
          <w:p w14:paraId="05F4A7C1">
            <w:pPr>
              <w:pStyle w:val="82"/>
              <w:ind w:firstLine="482"/>
              <w:jc w:val="left"/>
              <w:rPr>
                <w:rFonts w:hint="default" w:ascii="Times New Roman" w:hAnsi="Times New Roman" w:cs="Times New Roman"/>
                <w:b/>
                <w:color w:val="auto"/>
              </w:rPr>
            </w:pPr>
            <w:r>
              <w:rPr>
                <w:rFonts w:hint="default" w:ascii="Times New Roman" w:hAnsi="Times New Roman" w:cs="Times New Roman"/>
                <w:b/>
                <w:color w:val="auto"/>
              </w:rPr>
              <w:t>2、项目概况</w:t>
            </w:r>
          </w:p>
          <w:p w14:paraId="12ADBC66">
            <w:pPr>
              <w:pStyle w:val="82"/>
              <w:jc w:val="left"/>
              <w:rPr>
                <w:rFonts w:hint="default" w:ascii="Times New Roman" w:hAnsi="Times New Roman" w:cs="Times New Roman"/>
                <w:bCs/>
                <w:color w:val="auto"/>
              </w:rPr>
            </w:pPr>
            <w:r>
              <w:rPr>
                <w:rFonts w:hint="default" w:ascii="Times New Roman" w:hAnsi="Times New Roman" w:cs="Times New Roman"/>
                <w:bCs/>
                <w:color w:val="auto"/>
              </w:rPr>
              <w:t>项目名称：</w:t>
            </w:r>
            <w:r>
              <w:rPr>
                <w:rFonts w:hint="eastAsia" w:cs="Times New Roman"/>
                <w:color w:val="auto"/>
                <w:sz w:val="24"/>
                <w:lang w:eastAsia="zh-CN"/>
              </w:rPr>
              <w:t>怀化崇实农业开发有限公司年产800吨中药材产地趁鲜加工及药食同源食品开发项目</w:t>
            </w:r>
            <w:r>
              <w:rPr>
                <w:rFonts w:hint="default" w:ascii="Times New Roman" w:hAnsi="Times New Roman" w:cs="Times New Roman"/>
                <w:bCs/>
                <w:color w:val="auto"/>
              </w:rPr>
              <w:t>；</w:t>
            </w:r>
          </w:p>
          <w:p w14:paraId="06CA786D">
            <w:pPr>
              <w:pStyle w:val="82"/>
              <w:jc w:val="left"/>
              <w:rPr>
                <w:rFonts w:hint="default" w:ascii="Times New Roman" w:hAnsi="Times New Roman" w:cs="Times New Roman"/>
                <w:bCs/>
                <w:color w:val="auto"/>
              </w:rPr>
            </w:pPr>
            <w:r>
              <w:rPr>
                <w:rFonts w:hint="default" w:ascii="Times New Roman" w:hAnsi="Times New Roman" w:cs="Times New Roman"/>
                <w:bCs/>
                <w:color w:val="auto"/>
              </w:rPr>
              <w:t>建设性质：</w:t>
            </w:r>
            <w:r>
              <w:rPr>
                <w:rFonts w:hint="default" w:ascii="Times New Roman" w:hAnsi="Times New Roman" w:cs="Times New Roman"/>
                <w:color w:val="auto"/>
                <w:szCs w:val="24"/>
                <w:lang w:eastAsia="zh-CN"/>
              </w:rPr>
              <w:t>新建</w:t>
            </w:r>
            <w:r>
              <w:rPr>
                <w:rFonts w:hint="default" w:ascii="Times New Roman" w:hAnsi="Times New Roman" w:cs="Times New Roman"/>
                <w:bCs/>
                <w:color w:val="auto"/>
              </w:rPr>
              <w:t>；</w:t>
            </w:r>
          </w:p>
          <w:p w14:paraId="05C0ED00">
            <w:pPr>
              <w:pStyle w:val="82"/>
              <w:jc w:val="left"/>
              <w:rPr>
                <w:rFonts w:hint="default" w:ascii="Times New Roman" w:hAnsi="Times New Roman" w:cs="Times New Roman"/>
                <w:bCs/>
                <w:color w:val="auto"/>
              </w:rPr>
            </w:pPr>
            <w:r>
              <w:rPr>
                <w:rFonts w:hint="default" w:ascii="Times New Roman" w:hAnsi="Times New Roman" w:cs="Times New Roman"/>
                <w:bCs/>
                <w:color w:val="auto"/>
              </w:rPr>
              <w:t>建设地点：溆浦县龙潭镇</w:t>
            </w:r>
            <w:r>
              <w:rPr>
                <w:rFonts w:hint="eastAsia" w:ascii="Times New Roman" w:hAnsi="Times New Roman" w:cs="Times New Roman"/>
                <w:bCs/>
                <w:color w:val="auto"/>
                <w:lang w:eastAsia="zh-CN"/>
              </w:rPr>
              <w:t>岩板村</w:t>
            </w:r>
            <w:r>
              <w:rPr>
                <w:rFonts w:hint="default" w:ascii="Times New Roman" w:hAnsi="Times New Roman" w:cs="Times New Roman"/>
                <w:bCs/>
                <w:color w:val="auto"/>
              </w:rPr>
              <w:t>；</w:t>
            </w:r>
          </w:p>
          <w:p w14:paraId="03B6FF8E">
            <w:pPr>
              <w:pStyle w:val="82"/>
              <w:jc w:val="left"/>
              <w:rPr>
                <w:rFonts w:hint="default" w:ascii="Times New Roman" w:hAnsi="Times New Roman" w:cs="Times New Roman"/>
                <w:bCs/>
                <w:color w:val="auto"/>
              </w:rPr>
            </w:pPr>
            <w:r>
              <w:rPr>
                <w:rFonts w:hint="default" w:ascii="Times New Roman" w:hAnsi="Times New Roman" w:cs="Times New Roman"/>
                <w:bCs/>
                <w:color w:val="auto"/>
              </w:rPr>
              <w:t>建设单位：</w:t>
            </w:r>
            <w:r>
              <w:rPr>
                <w:rFonts w:hint="eastAsia" w:cs="Times New Roman"/>
                <w:color w:val="auto"/>
                <w:szCs w:val="24"/>
                <w:u w:val="none"/>
                <w:lang w:eastAsia="zh-CN"/>
              </w:rPr>
              <w:t>怀化崇实农业开发有限公司</w:t>
            </w:r>
            <w:r>
              <w:rPr>
                <w:rFonts w:hint="default" w:ascii="Times New Roman" w:hAnsi="Times New Roman" w:cs="Times New Roman"/>
                <w:bCs/>
                <w:color w:val="auto"/>
              </w:rPr>
              <w:t>；</w:t>
            </w:r>
          </w:p>
          <w:p w14:paraId="117DA24E">
            <w:pPr>
              <w:pStyle w:val="82"/>
              <w:jc w:val="left"/>
              <w:rPr>
                <w:rFonts w:hint="default" w:ascii="Times New Roman" w:hAnsi="Times New Roman" w:cs="Times New Roman"/>
                <w:bCs/>
                <w:color w:val="FF0000"/>
                <w:highlight w:val="none"/>
              </w:rPr>
            </w:pPr>
            <w:r>
              <w:rPr>
                <w:rFonts w:hint="eastAsia" w:cs="Times New Roman"/>
                <w:bCs/>
                <w:color w:val="FF0000"/>
                <w:lang w:val="en-US" w:eastAsia="zh-CN"/>
              </w:rPr>
              <w:t>项目</w:t>
            </w:r>
            <w:r>
              <w:rPr>
                <w:rFonts w:hint="default" w:ascii="Times New Roman" w:hAnsi="Times New Roman" w:cs="Times New Roman"/>
                <w:bCs/>
                <w:color w:val="FF0000"/>
              </w:rPr>
              <w:t>总投资</w:t>
            </w:r>
            <w:r>
              <w:rPr>
                <w:rFonts w:hint="eastAsia" w:cs="Times New Roman"/>
                <w:bCs/>
                <w:color w:val="FF0000"/>
                <w:lang w:val="en-US" w:eastAsia="zh-CN"/>
              </w:rPr>
              <w:t>2000</w:t>
            </w:r>
            <w:r>
              <w:rPr>
                <w:rFonts w:hint="default" w:ascii="Times New Roman" w:hAnsi="Times New Roman" w:cs="Times New Roman"/>
                <w:bCs/>
                <w:color w:val="FF0000"/>
              </w:rPr>
              <w:t>万元</w:t>
            </w:r>
            <w:r>
              <w:rPr>
                <w:rFonts w:hint="default" w:ascii="Times New Roman" w:hAnsi="Times New Roman" w:cs="Times New Roman"/>
                <w:bCs/>
                <w:color w:val="FF0000"/>
                <w:highlight w:val="none"/>
              </w:rPr>
              <w:t>，</w:t>
            </w:r>
            <w:r>
              <w:rPr>
                <w:rFonts w:hint="default" w:ascii="Times New Roman" w:hAnsi="Times New Roman" w:cs="Times New Roman"/>
                <w:color w:val="FF0000"/>
                <w:kern w:val="44"/>
                <w:lang w:eastAsia="zh-CN"/>
              </w:rPr>
              <w:t>环保投资</w:t>
            </w:r>
            <w:r>
              <w:rPr>
                <w:rFonts w:hint="eastAsia" w:cs="Times New Roman"/>
                <w:color w:val="FF0000"/>
                <w:kern w:val="44"/>
                <w:lang w:val="en-US" w:eastAsia="zh-CN"/>
              </w:rPr>
              <w:t>20</w:t>
            </w:r>
            <w:r>
              <w:rPr>
                <w:rFonts w:hint="default" w:ascii="Times New Roman" w:hAnsi="Times New Roman" w:cs="Times New Roman"/>
                <w:color w:val="FF0000"/>
                <w:kern w:val="44"/>
                <w:lang w:eastAsia="zh-CN"/>
              </w:rPr>
              <w:t>万元</w:t>
            </w:r>
            <w:r>
              <w:rPr>
                <w:rFonts w:hint="default" w:ascii="Times New Roman" w:hAnsi="Times New Roman" w:cs="Times New Roman"/>
                <w:color w:val="FF0000"/>
                <w:kern w:val="44"/>
                <w:lang w:val="en-US" w:eastAsia="zh-CN"/>
              </w:rPr>
              <w:t>，</w:t>
            </w:r>
            <w:r>
              <w:rPr>
                <w:rFonts w:hint="default" w:ascii="Times New Roman" w:hAnsi="Times New Roman" w:cs="Times New Roman"/>
                <w:color w:val="FF0000"/>
                <w:kern w:val="44"/>
              </w:rPr>
              <w:t>占总投资的</w:t>
            </w:r>
            <w:r>
              <w:rPr>
                <w:rFonts w:hint="eastAsia" w:cs="Times New Roman"/>
                <w:color w:val="FF0000"/>
                <w:kern w:val="44"/>
                <w:lang w:val="en-US" w:eastAsia="zh-CN"/>
              </w:rPr>
              <w:t>1</w:t>
            </w:r>
            <w:r>
              <w:rPr>
                <w:rFonts w:hint="default" w:ascii="Times New Roman" w:hAnsi="Times New Roman" w:cs="Times New Roman"/>
                <w:color w:val="FF0000"/>
                <w:kern w:val="44"/>
              </w:rPr>
              <w:t>%</w:t>
            </w:r>
            <w:r>
              <w:rPr>
                <w:rFonts w:hint="default" w:ascii="Times New Roman" w:hAnsi="Times New Roman" w:cs="Times New Roman"/>
                <w:bCs/>
                <w:color w:val="FF0000"/>
                <w:highlight w:val="none"/>
              </w:rPr>
              <w:t>；</w:t>
            </w:r>
          </w:p>
          <w:p w14:paraId="67CB5266">
            <w:pPr>
              <w:pStyle w:val="82"/>
              <w:jc w:val="left"/>
              <w:rPr>
                <w:rFonts w:hint="eastAsia" w:cs="Times New Roman"/>
                <w:bCs/>
                <w:color w:val="auto"/>
                <w:lang w:val="en-US" w:eastAsia="zh-CN"/>
              </w:rPr>
            </w:pPr>
            <w:r>
              <w:rPr>
                <w:rFonts w:hint="default" w:cs="Times New Roman"/>
                <w:bCs/>
                <w:color w:val="auto"/>
                <w:lang w:val="en-US" w:eastAsia="zh-CN"/>
              </w:rPr>
              <w:t>工作制度：年工作</w:t>
            </w:r>
            <w:r>
              <w:rPr>
                <w:rFonts w:hint="eastAsia" w:cs="Times New Roman"/>
                <w:bCs/>
                <w:color w:val="auto"/>
                <w:lang w:val="en-US" w:eastAsia="zh-CN"/>
              </w:rPr>
              <w:t>300</w:t>
            </w:r>
            <w:r>
              <w:rPr>
                <w:rFonts w:hint="default" w:cs="Times New Roman"/>
                <w:bCs/>
                <w:color w:val="auto"/>
                <w:lang w:val="en-US" w:eastAsia="zh-CN"/>
              </w:rPr>
              <w:t>天</w:t>
            </w:r>
            <w:r>
              <w:rPr>
                <w:rFonts w:hint="eastAsia" w:cs="Times New Roman"/>
                <w:bCs/>
                <w:color w:val="auto"/>
                <w:lang w:val="en-US" w:eastAsia="zh-CN"/>
              </w:rPr>
              <w:t>（其中生物质蒸汽发生器</w:t>
            </w:r>
            <w:r>
              <w:rPr>
                <w:rFonts w:hint="eastAsia" w:cs="Times New Roman"/>
                <w:color w:val="auto"/>
                <w:kern w:val="2"/>
                <w:sz w:val="24"/>
                <w:szCs w:val="24"/>
                <w:u w:val="none" w:color="auto"/>
                <w:lang w:val="en-US" w:eastAsia="zh-CN" w:bidi="ar-SA"/>
              </w:rPr>
              <w:t>、生物质热风炉</w:t>
            </w:r>
            <w:r>
              <w:rPr>
                <w:rFonts w:hint="eastAsia" w:cs="Times New Roman"/>
                <w:bCs/>
                <w:color w:val="auto"/>
                <w:lang w:val="en-US" w:eastAsia="zh-CN"/>
              </w:rPr>
              <w:t>运行</w:t>
            </w:r>
            <w:r>
              <w:rPr>
                <w:rFonts w:hint="eastAsia" w:ascii="Times New Roman" w:hAnsi="Times New Roman" w:eastAsia="宋体" w:cs="Times New Roman"/>
                <w:color w:val="auto"/>
                <w:kern w:val="44"/>
                <w:lang w:val="en-US" w:eastAsia="zh-CN"/>
              </w:rPr>
              <w:t>60天</w:t>
            </w:r>
            <w:r>
              <w:rPr>
                <w:rFonts w:hint="eastAsia" w:cs="Times New Roman"/>
                <w:color w:val="auto"/>
                <w:kern w:val="44"/>
                <w:lang w:val="en-US" w:eastAsia="zh-CN"/>
              </w:rPr>
              <w:t>，</w:t>
            </w:r>
            <w:r>
              <w:rPr>
                <w:rFonts w:hint="eastAsia" w:ascii="Times New Roman" w:hAnsi="Times New Roman" w:eastAsia="宋体" w:cs="Times New Roman"/>
                <w:color w:val="auto"/>
                <w:kern w:val="44"/>
                <w:lang w:val="en-US" w:eastAsia="zh-CN"/>
              </w:rPr>
              <w:t>每天</w:t>
            </w:r>
            <w:r>
              <w:rPr>
                <w:rFonts w:hint="eastAsia" w:cs="Times New Roman"/>
                <w:color w:val="auto"/>
                <w:kern w:val="44"/>
                <w:lang w:val="en-US" w:eastAsia="zh-CN"/>
              </w:rPr>
              <w:t>运行</w:t>
            </w:r>
            <w:r>
              <w:rPr>
                <w:rFonts w:hint="eastAsia" w:ascii="Times New Roman" w:hAnsi="Times New Roman" w:eastAsia="宋体" w:cs="Times New Roman"/>
                <w:color w:val="auto"/>
                <w:kern w:val="44"/>
                <w:lang w:val="en-US" w:eastAsia="zh-CN"/>
              </w:rPr>
              <w:t>24小时</w:t>
            </w:r>
            <w:r>
              <w:rPr>
                <w:rFonts w:hint="eastAsia" w:cs="Times New Roman"/>
                <w:bCs/>
                <w:color w:val="auto"/>
                <w:lang w:val="en-US" w:eastAsia="zh-CN"/>
              </w:rPr>
              <w:t>）</w:t>
            </w:r>
            <w:r>
              <w:rPr>
                <w:rFonts w:hint="default" w:cs="Times New Roman"/>
                <w:bCs/>
                <w:color w:val="auto"/>
                <w:lang w:val="en-US" w:eastAsia="zh-CN"/>
              </w:rPr>
              <w:t>，</w:t>
            </w:r>
            <w:r>
              <w:rPr>
                <w:rFonts w:hint="eastAsia" w:cs="Times New Roman"/>
                <w:bCs/>
                <w:color w:val="auto"/>
                <w:lang w:val="en-US" w:eastAsia="zh-CN"/>
              </w:rPr>
              <w:t>一</w:t>
            </w:r>
            <w:r>
              <w:rPr>
                <w:rFonts w:hint="default" w:cs="Times New Roman"/>
                <w:bCs/>
                <w:color w:val="auto"/>
                <w:lang w:val="en-US" w:eastAsia="zh-CN"/>
              </w:rPr>
              <w:t>班制生产，每班8小时</w:t>
            </w:r>
            <w:r>
              <w:rPr>
                <w:rFonts w:hint="eastAsia" w:cs="Times New Roman"/>
                <w:bCs/>
                <w:color w:val="auto"/>
                <w:lang w:val="en-US" w:eastAsia="zh-CN"/>
              </w:rPr>
              <w:t>；</w:t>
            </w:r>
          </w:p>
          <w:p w14:paraId="1379D715">
            <w:pPr>
              <w:pStyle w:val="82"/>
              <w:jc w:val="left"/>
              <w:rPr>
                <w:rFonts w:hint="default" w:ascii="Times New Roman" w:hAnsi="Times New Roman" w:cs="Times New Roman"/>
                <w:bCs/>
                <w:color w:val="auto"/>
              </w:rPr>
            </w:pPr>
            <w:r>
              <w:rPr>
                <w:rFonts w:hint="default" w:ascii="Times New Roman" w:hAnsi="Times New Roman" w:cs="Times New Roman"/>
                <w:bCs/>
                <w:color w:val="auto"/>
              </w:rPr>
              <w:t>劳动定员：</w:t>
            </w:r>
            <w:r>
              <w:rPr>
                <w:rFonts w:hint="eastAsia" w:cs="Times New Roman"/>
                <w:bCs/>
                <w:color w:val="auto"/>
                <w:lang w:val="en-US" w:eastAsia="zh-CN"/>
              </w:rPr>
              <w:t>3</w:t>
            </w:r>
            <w:r>
              <w:rPr>
                <w:rFonts w:hint="eastAsia" w:ascii="Times New Roman" w:hAnsi="Times New Roman" w:cs="Times New Roman"/>
                <w:bCs/>
                <w:color w:val="auto"/>
                <w:lang w:val="en-US" w:eastAsia="zh-CN"/>
              </w:rPr>
              <w:t>0人，</w:t>
            </w:r>
            <w:r>
              <w:rPr>
                <w:rFonts w:hint="eastAsia" w:cs="Times New Roman"/>
                <w:bCs/>
                <w:color w:val="auto"/>
                <w:lang w:val="en-US" w:eastAsia="zh-CN"/>
              </w:rPr>
              <w:t>厂区不设置员工宿舍，提供员工午餐</w:t>
            </w:r>
            <w:r>
              <w:rPr>
                <w:rFonts w:hint="default" w:ascii="Times New Roman" w:hAnsi="Times New Roman" w:cs="Times New Roman"/>
                <w:bCs/>
                <w:color w:val="auto"/>
              </w:rPr>
              <w:t>。</w:t>
            </w:r>
          </w:p>
          <w:p w14:paraId="5B84DE4B">
            <w:pPr>
              <w:pStyle w:val="82"/>
              <w:ind w:firstLine="482"/>
              <w:jc w:val="left"/>
              <w:rPr>
                <w:rFonts w:hint="eastAsia" w:ascii="Times New Roman" w:hAnsi="Times New Roman" w:eastAsia="宋体" w:cs="Times New Roman"/>
                <w:b/>
                <w:color w:val="auto"/>
                <w:lang w:eastAsia="zh-CN"/>
              </w:rPr>
            </w:pPr>
            <w:r>
              <w:rPr>
                <w:rFonts w:hint="eastAsia" w:ascii="Times New Roman" w:hAnsi="Times New Roman" w:eastAsia="宋体" w:cs="Times New Roman"/>
                <w:b/>
                <w:color w:val="auto"/>
                <w:lang w:val="en-US" w:eastAsia="zh-CN"/>
              </w:rPr>
              <w:t>3、</w:t>
            </w:r>
            <w:r>
              <w:rPr>
                <w:rFonts w:hint="eastAsia" w:ascii="Times New Roman" w:hAnsi="Times New Roman" w:eastAsia="宋体" w:cs="Times New Roman"/>
                <w:b/>
                <w:color w:val="auto"/>
                <w:lang w:eastAsia="zh-CN"/>
              </w:rPr>
              <w:t>基地建设内容</w:t>
            </w:r>
          </w:p>
          <w:p w14:paraId="0A251364">
            <w:pPr>
              <w:spacing w:line="360" w:lineRule="auto"/>
              <w:ind w:firstLine="480" w:firstLineChars="200"/>
              <w:rPr>
                <w:rFonts w:hint="default" w:ascii="Times New Roman" w:hAnsi="Times New Roman" w:cs="Times New Roman"/>
                <w:bCs/>
                <w:color w:val="auto"/>
                <w:u w:val="none"/>
                <w:lang w:val="en-US" w:eastAsia="zh-CN"/>
              </w:rPr>
            </w:pPr>
            <w:r>
              <w:rPr>
                <w:rFonts w:hint="eastAsia"/>
                <w:color w:val="auto"/>
                <w:kern w:val="0"/>
                <w:sz w:val="24"/>
                <w:lang w:val="en-US" w:eastAsia="zh-CN"/>
              </w:rPr>
              <w:t>本项目主要建设内容包括晾晒区、原料预处理车间、清洗区、生产车间、冷链仓库、药材尾料暂存区、生物质蒸汽发生器房、</w:t>
            </w:r>
            <w:r>
              <w:rPr>
                <w:rFonts w:hint="eastAsia" w:cs="Times New Roman"/>
                <w:color w:val="auto"/>
                <w:kern w:val="2"/>
                <w:sz w:val="24"/>
                <w:szCs w:val="24"/>
                <w:u w:val="none" w:color="auto"/>
                <w:lang w:val="en-US" w:eastAsia="zh-CN" w:bidi="ar-SA"/>
              </w:rPr>
              <w:t>生物质热风炉房、</w:t>
            </w:r>
            <w:r>
              <w:rPr>
                <w:rFonts w:hint="eastAsia"/>
                <w:color w:val="auto"/>
                <w:kern w:val="0"/>
                <w:sz w:val="24"/>
                <w:lang w:val="en-US" w:eastAsia="zh-CN"/>
              </w:rPr>
              <w:t>生物质颗粒暂存区、办公楼、食堂等。</w:t>
            </w:r>
            <w:r>
              <w:rPr>
                <w:color w:val="auto"/>
                <w:kern w:val="0"/>
                <w:sz w:val="24"/>
              </w:rPr>
              <w:t>项目建设内容及规模详见下表。</w:t>
            </w:r>
          </w:p>
          <w:p w14:paraId="29F9AC3A">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表2-</w:t>
            </w:r>
            <w:r>
              <w:rPr>
                <w:rFonts w:hint="eastAsia" w:cs="Times New Roman"/>
                <w:color w:val="auto"/>
                <w:sz w:val="24"/>
                <w:szCs w:val="24"/>
                <w:u w:val="none"/>
                <w:lang w:val="en-US" w:eastAsia="zh-CN"/>
              </w:rPr>
              <w:t xml:space="preserve">1 </w:t>
            </w:r>
            <w:r>
              <w:rPr>
                <w:rFonts w:hint="default" w:ascii="Times New Roman" w:hAnsi="Times New Roman" w:cs="Times New Roman"/>
                <w:color w:val="auto"/>
                <w:sz w:val="24"/>
                <w:szCs w:val="24"/>
                <w:u w:val="none"/>
              </w:rPr>
              <w:t xml:space="preserve">  </w:t>
            </w:r>
            <w:r>
              <w:rPr>
                <w:rFonts w:hint="eastAsia" w:cs="Times New Roman"/>
                <w:color w:val="auto"/>
                <w:sz w:val="24"/>
                <w:szCs w:val="24"/>
                <w:u w:val="none"/>
                <w:lang w:val="en-US" w:eastAsia="zh-CN"/>
              </w:rPr>
              <w:t>项目</w:t>
            </w:r>
            <w:r>
              <w:rPr>
                <w:rFonts w:hint="default" w:ascii="Times New Roman" w:hAnsi="Times New Roman" w:cs="Times New Roman"/>
                <w:color w:val="auto"/>
                <w:sz w:val="24"/>
                <w:szCs w:val="24"/>
                <w:u w:val="none"/>
              </w:rPr>
              <w:t>主要建设内容一览表</w:t>
            </w:r>
          </w:p>
          <w:tbl>
            <w:tblPr>
              <w:tblStyle w:val="32"/>
              <w:tblW w:w="75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1" w:type="dxa"/>
                <w:bottom w:w="0" w:type="dxa"/>
                <w:right w:w="51" w:type="dxa"/>
              </w:tblCellMar>
            </w:tblPr>
            <w:tblGrid>
              <w:gridCol w:w="615"/>
              <w:gridCol w:w="353"/>
              <w:gridCol w:w="1065"/>
              <w:gridCol w:w="3819"/>
              <w:gridCol w:w="1687"/>
            </w:tblGrid>
            <w:tr w14:paraId="7AED8D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noWrap w:val="0"/>
                  <w:vAlign w:val="center"/>
                </w:tcPr>
                <w:p w14:paraId="2AB7890E">
                  <w:pPr>
                    <w:keepNext w:val="0"/>
                    <w:keepLines w:val="0"/>
                    <w:pageBreakBefore w:val="0"/>
                    <w:widowControl w:val="0"/>
                    <w:kinsoku/>
                    <w:wordWrap/>
                    <w:overflowPunct/>
                    <w:topLinePunct w:val="0"/>
                    <w:autoSpaceDE/>
                    <w:autoSpaceDN w:val="0"/>
                    <w:bidi w:val="0"/>
                    <w:adjustRightInd/>
                    <w:ind w:firstLineChars="0"/>
                    <w:jc w:val="center"/>
                    <w:textAlignment w:val="center"/>
                    <w:rPr>
                      <w:color w:val="auto"/>
                      <w:szCs w:val="21"/>
                    </w:rPr>
                  </w:pPr>
                  <w:r>
                    <w:rPr>
                      <w:rFonts w:hint="eastAsia" w:hAnsi="宋体"/>
                      <w:color w:val="auto"/>
                      <w:szCs w:val="21"/>
                    </w:rPr>
                    <w:t>分类</w:t>
                  </w:r>
                </w:p>
              </w:tc>
              <w:tc>
                <w:tcPr>
                  <w:tcW w:w="940" w:type="pct"/>
                  <w:gridSpan w:val="2"/>
                  <w:noWrap w:val="0"/>
                  <w:vAlign w:val="center"/>
                </w:tcPr>
                <w:p w14:paraId="4486BA5F">
                  <w:pPr>
                    <w:keepNext w:val="0"/>
                    <w:keepLines w:val="0"/>
                    <w:pageBreakBefore w:val="0"/>
                    <w:widowControl w:val="0"/>
                    <w:kinsoku/>
                    <w:wordWrap/>
                    <w:overflowPunct/>
                    <w:topLinePunct w:val="0"/>
                    <w:autoSpaceDE/>
                    <w:autoSpaceDN w:val="0"/>
                    <w:bidi w:val="0"/>
                    <w:adjustRightInd/>
                    <w:ind w:firstLineChars="0"/>
                    <w:jc w:val="center"/>
                    <w:textAlignment w:val="center"/>
                    <w:rPr>
                      <w:color w:val="auto"/>
                      <w:szCs w:val="21"/>
                    </w:rPr>
                  </w:pPr>
                  <w:r>
                    <w:rPr>
                      <w:rFonts w:hint="eastAsia" w:hAnsi="宋体"/>
                      <w:color w:val="auto"/>
                      <w:szCs w:val="21"/>
                    </w:rPr>
                    <w:t>项目组成</w:t>
                  </w:r>
                </w:p>
              </w:tc>
              <w:tc>
                <w:tcPr>
                  <w:tcW w:w="2532" w:type="pct"/>
                  <w:noWrap w:val="0"/>
                  <w:vAlign w:val="center"/>
                </w:tcPr>
                <w:p w14:paraId="2550B15E">
                  <w:pPr>
                    <w:keepNext w:val="0"/>
                    <w:keepLines w:val="0"/>
                    <w:pageBreakBefore w:val="0"/>
                    <w:widowControl w:val="0"/>
                    <w:kinsoku/>
                    <w:wordWrap/>
                    <w:overflowPunct/>
                    <w:topLinePunct w:val="0"/>
                    <w:autoSpaceDE/>
                    <w:autoSpaceDN w:val="0"/>
                    <w:bidi w:val="0"/>
                    <w:adjustRightInd/>
                    <w:ind w:firstLineChars="0"/>
                    <w:jc w:val="center"/>
                    <w:textAlignment w:val="center"/>
                    <w:rPr>
                      <w:color w:val="auto"/>
                      <w:szCs w:val="21"/>
                    </w:rPr>
                  </w:pPr>
                  <w:r>
                    <w:rPr>
                      <w:rFonts w:hint="eastAsia"/>
                      <w:color w:val="auto"/>
                      <w:szCs w:val="21"/>
                    </w:rPr>
                    <w:t>建设内容和规模</w:t>
                  </w:r>
                </w:p>
              </w:tc>
              <w:tc>
                <w:tcPr>
                  <w:tcW w:w="1118" w:type="pct"/>
                  <w:noWrap w:val="0"/>
                  <w:vAlign w:val="center"/>
                </w:tcPr>
                <w:p w14:paraId="03ADD6F6">
                  <w:pPr>
                    <w:keepNext w:val="0"/>
                    <w:keepLines w:val="0"/>
                    <w:pageBreakBefore w:val="0"/>
                    <w:widowControl w:val="0"/>
                    <w:kinsoku/>
                    <w:wordWrap/>
                    <w:overflowPunct/>
                    <w:topLinePunct w:val="0"/>
                    <w:autoSpaceDE/>
                    <w:autoSpaceDN w:val="0"/>
                    <w:bidi w:val="0"/>
                    <w:adjustRightInd/>
                    <w:ind w:firstLineChars="0"/>
                    <w:jc w:val="center"/>
                    <w:textAlignment w:val="center"/>
                    <w:rPr>
                      <w:color w:val="auto"/>
                      <w:szCs w:val="21"/>
                    </w:rPr>
                  </w:pPr>
                  <w:r>
                    <w:rPr>
                      <w:rFonts w:hAnsi="宋体"/>
                      <w:color w:val="auto"/>
                      <w:szCs w:val="21"/>
                    </w:rPr>
                    <w:t>备注</w:t>
                  </w:r>
                </w:p>
              </w:tc>
            </w:tr>
            <w:tr w14:paraId="78842B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restart"/>
                  <w:noWrap w:val="0"/>
                  <w:vAlign w:val="center"/>
                </w:tcPr>
                <w:p w14:paraId="7A1072D1">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r>
                    <w:rPr>
                      <w:rFonts w:hint="eastAsia"/>
                      <w:color w:val="auto"/>
                    </w:rPr>
                    <w:t>主体工程</w:t>
                  </w:r>
                </w:p>
              </w:tc>
              <w:tc>
                <w:tcPr>
                  <w:tcW w:w="940" w:type="pct"/>
                  <w:gridSpan w:val="2"/>
                  <w:noWrap w:val="0"/>
                  <w:vAlign w:val="center"/>
                </w:tcPr>
                <w:p w14:paraId="1B390783">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hAnsi="宋体"/>
                      <w:color w:val="auto"/>
                      <w:szCs w:val="21"/>
                      <w:lang w:val="en-US"/>
                    </w:rPr>
                  </w:pPr>
                  <w:r>
                    <w:rPr>
                      <w:rFonts w:hint="eastAsia" w:hAnsi="宋体"/>
                      <w:color w:val="auto"/>
                      <w:szCs w:val="21"/>
                      <w:lang w:val="en-US" w:eastAsia="zh-CN"/>
                    </w:rPr>
                    <w:t>原料卸/堆货区、清洗区等</w:t>
                  </w:r>
                </w:p>
              </w:tc>
              <w:tc>
                <w:tcPr>
                  <w:tcW w:w="2532" w:type="pct"/>
                  <w:noWrap w:val="0"/>
                  <w:vAlign w:val="center"/>
                </w:tcPr>
                <w:p w14:paraId="41ACFCE4">
                  <w:pPr>
                    <w:keepNext w:val="0"/>
                    <w:keepLines w:val="0"/>
                    <w:pageBreakBefore w:val="0"/>
                    <w:widowControl w:val="0"/>
                    <w:kinsoku/>
                    <w:wordWrap/>
                    <w:overflowPunct/>
                    <w:topLinePunct w:val="0"/>
                    <w:autoSpaceDE/>
                    <w:autoSpaceDN w:val="0"/>
                    <w:bidi w:val="0"/>
                    <w:adjustRightInd/>
                    <w:ind w:firstLineChars="0"/>
                    <w:jc w:val="left"/>
                    <w:textAlignment w:val="center"/>
                    <w:rPr>
                      <w:rFonts w:hint="default" w:hAnsi="宋体" w:eastAsia="宋体"/>
                      <w:color w:val="auto"/>
                      <w:szCs w:val="21"/>
                      <w:lang w:val="en-US" w:eastAsia="zh-CN"/>
                    </w:rPr>
                  </w:pPr>
                  <w:r>
                    <w:rPr>
                      <w:rFonts w:hint="eastAsia" w:hAnsi="宋体" w:eastAsia="宋体"/>
                      <w:color w:val="auto"/>
                      <w:szCs w:val="21"/>
                      <w:lang w:val="en-US" w:eastAsia="zh-CN"/>
                    </w:rPr>
                    <w:t>原料暂存清洗区：改造300</w:t>
                  </w:r>
                  <w:r>
                    <w:rPr>
                      <w:rFonts w:hint="eastAsia" w:hAnsi="宋体"/>
                      <w:color w:val="auto"/>
                      <w:szCs w:val="21"/>
                      <w:lang w:val="en-US" w:eastAsia="zh-CN"/>
                    </w:rPr>
                    <w:t>m</w:t>
                  </w:r>
                  <w:r>
                    <w:rPr>
                      <w:rFonts w:hint="eastAsia" w:hAnsi="宋体"/>
                      <w:color w:val="auto"/>
                      <w:szCs w:val="21"/>
                      <w:vertAlign w:val="superscript"/>
                      <w:lang w:val="en-US" w:eastAsia="zh-CN"/>
                    </w:rPr>
                    <w:t>2</w:t>
                  </w:r>
                  <w:r>
                    <w:rPr>
                      <w:rFonts w:hint="eastAsia" w:hAnsi="宋体" w:eastAsia="宋体"/>
                      <w:color w:val="auto"/>
                      <w:szCs w:val="21"/>
                      <w:lang w:val="en-US" w:eastAsia="zh-CN"/>
                    </w:rPr>
                    <w:t>，含地面硬化，护坡建设，散水改造，钢架棚建设等</w:t>
                  </w:r>
                </w:p>
              </w:tc>
              <w:tc>
                <w:tcPr>
                  <w:tcW w:w="1118" w:type="pct"/>
                  <w:noWrap w:val="0"/>
                  <w:vAlign w:val="center"/>
                </w:tcPr>
                <w:p w14:paraId="4D12D24F">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hAnsi="宋体" w:eastAsia="宋体"/>
                      <w:color w:val="auto"/>
                      <w:szCs w:val="21"/>
                      <w:lang w:val="en-US" w:eastAsia="zh-CN"/>
                    </w:rPr>
                  </w:pPr>
                  <w:r>
                    <w:rPr>
                      <w:rFonts w:hint="eastAsia" w:hAnsi="宋体"/>
                      <w:color w:val="auto"/>
                      <w:szCs w:val="21"/>
                      <w:lang w:val="en-US" w:eastAsia="zh-CN"/>
                    </w:rPr>
                    <w:t>利用租赁厂区已有建筑</w:t>
                  </w:r>
                </w:p>
              </w:tc>
            </w:tr>
            <w:tr w14:paraId="522ECD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42CC4BAD">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940" w:type="pct"/>
                  <w:gridSpan w:val="2"/>
                  <w:noWrap w:val="0"/>
                  <w:vAlign w:val="center"/>
                </w:tcPr>
                <w:p w14:paraId="4436E440">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color w:val="auto"/>
                      <w:szCs w:val="21"/>
                      <w:lang w:val="en-US"/>
                    </w:rPr>
                  </w:pPr>
                  <w:r>
                    <w:rPr>
                      <w:rFonts w:hint="eastAsia"/>
                      <w:color w:val="auto"/>
                      <w:lang w:val="en-US" w:eastAsia="zh-CN"/>
                    </w:rPr>
                    <w:t>生产车间</w:t>
                  </w:r>
                </w:p>
              </w:tc>
              <w:tc>
                <w:tcPr>
                  <w:tcW w:w="2532" w:type="pct"/>
                  <w:noWrap w:val="0"/>
                  <w:vAlign w:val="center"/>
                </w:tcPr>
                <w:p w14:paraId="1A39390B">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hAnsi="宋体" w:eastAsia="宋体"/>
                      <w:color w:val="auto"/>
                      <w:szCs w:val="21"/>
                      <w:lang w:val="en-US" w:eastAsia="zh-CN"/>
                    </w:rPr>
                  </w:pPr>
                  <w:r>
                    <w:rPr>
                      <w:rFonts w:hint="eastAsia"/>
                      <w:color w:val="auto"/>
                      <w:lang w:val="en-US" w:eastAsia="zh-CN"/>
                    </w:rPr>
                    <w:t>2F（含隔层共3F），砖混结构，建筑面积2400</w:t>
                  </w:r>
                  <w:r>
                    <w:rPr>
                      <w:rFonts w:hint="eastAsia" w:hAnsi="宋体"/>
                      <w:color w:val="auto"/>
                      <w:szCs w:val="21"/>
                      <w:lang w:val="en-US" w:eastAsia="zh-CN"/>
                    </w:rPr>
                    <w:t>m</w:t>
                  </w:r>
                  <w:r>
                    <w:rPr>
                      <w:rFonts w:hint="eastAsia" w:hAnsi="宋体"/>
                      <w:color w:val="auto"/>
                      <w:szCs w:val="21"/>
                      <w:vertAlign w:val="superscript"/>
                      <w:lang w:val="en-US" w:eastAsia="zh-CN"/>
                    </w:rPr>
                    <w:t>2</w:t>
                  </w:r>
                  <w:r>
                    <w:rPr>
                      <w:rFonts w:hint="eastAsia" w:hAnsi="宋体"/>
                      <w:color w:val="auto"/>
                      <w:szCs w:val="21"/>
                      <w:lang w:val="en-US" w:eastAsia="zh-CN"/>
                    </w:rPr>
                    <w:t>，设杀青、筛分、烘干、粉碎、包装等车间</w:t>
                  </w:r>
                </w:p>
              </w:tc>
              <w:tc>
                <w:tcPr>
                  <w:tcW w:w="1118" w:type="pct"/>
                  <w:noWrap w:val="0"/>
                  <w:vAlign w:val="center"/>
                </w:tcPr>
                <w:p w14:paraId="0C747C9B">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hAnsi="宋体"/>
                      <w:color w:val="auto"/>
                      <w:szCs w:val="21"/>
                    </w:rPr>
                  </w:pPr>
                  <w:r>
                    <w:rPr>
                      <w:rFonts w:hint="eastAsia" w:hAnsi="宋体"/>
                      <w:color w:val="auto"/>
                      <w:szCs w:val="21"/>
                      <w:lang w:val="en-US" w:eastAsia="zh-CN"/>
                    </w:rPr>
                    <w:t>利用租赁厂区已有建筑</w:t>
                  </w:r>
                </w:p>
              </w:tc>
            </w:tr>
            <w:tr w14:paraId="70A057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0682425F">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940" w:type="pct"/>
                  <w:gridSpan w:val="2"/>
                  <w:noWrap w:val="0"/>
                  <w:vAlign w:val="center"/>
                </w:tcPr>
                <w:p w14:paraId="7F24DBB3">
                  <w:pPr>
                    <w:keepNext w:val="0"/>
                    <w:keepLines w:val="0"/>
                    <w:pageBreakBefore w:val="0"/>
                    <w:widowControl w:val="0"/>
                    <w:kinsoku/>
                    <w:wordWrap/>
                    <w:overflowPunct/>
                    <w:topLinePunct w:val="0"/>
                    <w:autoSpaceDE/>
                    <w:autoSpaceDN w:val="0"/>
                    <w:bidi w:val="0"/>
                    <w:adjustRightInd/>
                    <w:ind w:firstLineChars="0"/>
                    <w:jc w:val="center"/>
                    <w:textAlignment w:val="center"/>
                    <w:rPr>
                      <w:color w:val="auto"/>
                      <w:szCs w:val="21"/>
                    </w:rPr>
                  </w:pPr>
                  <w:r>
                    <w:rPr>
                      <w:rFonts w:hint="eastAsia" w:eastAsia="宋体"/>
                      <w:color w:val="auto"/>
                      <w:lang w:val="en-US" w:eastAsia="zh-CN"/>
                    </w:rPr>
                    <w:t>冷链仓库</w:t>
                  </w:r>
                </w:p>
              </w:tc>
              <w:tc>
                <w:tcPr>
                  <w:tcW w:w="2532" w:type="pct"/>
                  <w:noWrap w:val="0"/>
                  <w:vAlign w:val="center"/>
                </w:tcPr>
                <w:p w14:paraId="7A197747">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hAnsi="宋体" w:eastAsia="宋体"/>
                      <w:color w:val="auto"/>
                      <w:szCs w:val="21"/>
                      <w:lang w:val="en-US" w:eastAsia="zh-CN"/>
                    </w:rPr>
                  </w:pPr>
                  <w:r>
                    <w:rPr>
                      <w:rFonts w:hint="eastAsia" w:hAnsi="宋体"/>
                      <w:color w:val="auto"/>
                      <w:szCs w:val="21"/>
                      <w:lang w:val="en-US" w:eastAsia="zh-CN"/>
                    </w:rPr>
                    <w:t>趁鲜切制100m</w:t>
                  </w:r>
                  <w:r>
                    <w:rPr>
                      <w:rFonts w:hint="eastAsia" w:hAnsi="宋体"/>
                      <w:color w:val="auto"/>
                      <w:szCs w:val="21"/>
                      <w:vertAlign w:val="superscript"/>
                      <w:lang w:val="en-US" w:eastAsia="zh-CN"/>
                    </w:rPr>
                    <w:t>2</w:t>
                  </w:r>
                  <w:r>
                    <w:rPr>
                      <w:rFonts w:hint="eastAsia" w:hAnsi="宋体"/>
                      <w:color w:val="auto"/>
                      <w:szCs w:val="21"/>
                      <w:lang w:val="en-US" w:eastAsia="zh-CN"/>
                    </w:rPr>
                    <w:t>，位于生产车间1楼；食品仓库约150m</w:t>
                  </w:r>
                  <w:r>
                    <w:rPr>
                      <w:rFonts w:hint="eastAsia" w:hAnsi="宋体"/>
                      <w:color w:val="auto"/>
                      <w:szCs w:val="21"/>
                      <w:vertAlign w:val="superscript"/>
                      <w:lang w:val="en-US" w:eastAsia="zh-CN"/>
                    </w:rPr>
                    <w:t>2</w:t>
                  </w:r>
                  <w:r>
                    <w:rPr>
                      <w:rFonts w:hint="eastAsia" w:hAnsi="宋体"/>
                      <w:color w:val="auto"/>
                      <w:szCs w:val="21"/>
                      <w:lang w:val="en-US" w:eastAsia="zh-CN"/>
                    </w:rPr>
                    <w:t>，位于生产车间2楼</w:t>
                  </w:r>
                </w:p>
              </w:tc>
              <w:tc>
                <w:tcPr>
                  <w:tcW w:w="1118" w:type="pct"/>
                  <w:noWrap w:val="0"/>
                  <w:vAlign w:val="center"/>
                </w:tcPr>
                <w:p w14:paraId="67DA0E42">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hAnsi="宋体"/>
                      <w:color w:val="auto"/>
                      <w:szCs w:val="21"/>
                    </w:rPr>
                  </w:pPr>
                  <w:r>
                    <w:rPr>
                      <w:rFonts w:hint="eastAsia" w:hAnsi="宋体"/>
                      <w:color w:val="auto"/>
                      <w:szCs w:val="21"/>
                      <w:lang w:val="en-US" w:eastAsia="zh-CN"/>
                    </w:rPr>
                    <w:t>利用租赁厂区已有建筑，增加2-8℃冷库建设；</w:t>
                  </w:r>
                  <w:r>
                    <w:rPr>
                      <w:rFonts w:hint="eastAsia" w:ascii="Times New Roman" w:hAnsi="宋体" w:eastAsia="宋体" w:cs="Times New Roman"/>
                      <w:color w:val="auto"/>
                      <w:szCs w:val="21"/>
                      <w:u w:val="single"/>
                      <w:lang w:val="en-US" w:eastAsia="zh-CN"/>
                    </w:rPr>
                    <w:t>制冷剂采用环保型制冷剂R134a</w:t>
                  </w:r>
                </w:p>
              </w:tc>
            </w:tr>
            <w:tr w14:paraId="167675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restart"/>
                  <w:noWrap w:val="0"/>
                  <w:vAlign w:val="center"/>
                </w:tcPr>
                <w:p w14:paraId="2F393977">
                  <w:pPr>
                    <w:keepNext w:val="0"/>
                    <w:keepLines w:val="0"/>
                    <w:pageBreakBefore w:val="0"/>
                    <w:widowControl w:val="0"/>
                    <w:kinsoku/>
                    <w:wordWrap/>
                    <w:overflowPunct/>
                    <w:topLinePunct w:val="0"/>
                    <w:autoSpaceDE/>
                    <w:autoSpaceDN w:val="0"/>
                    <w:bidi w:val="0"/>
                    <w:adjustRightInd/>
                    <w:ind w:firstLineChars="0"/>
                    <w:jc w:val="center"/>
                    <w:textAlignment w:val="center"/>
                    <w:rPr>
                      <w:color w:val="auto"/>
                    </w:rPr>
                  </w:pPr>
                  <w:r>
                    <w:rPr>
                      <w:rFonts w:hint="eastAsia"/>
                      <w:color w:val="auto"/>
                      <w:szCs w:val="21"/>
                    </w:rPr>
                    <w:t>辅助工程</w:t>
                  </w:r>
                </w:p>
              </w:tc>
              <w:tc>
                <w:tcPr>
                  <w:tcW w:w="940" w:type="pct"/>
                  <w:gridSpan w:val="2"/>
                  <w:noWrap w:val="0"/>
                  <w:vAlign w:val="center"/>
                </w:tcPr>
                <w:p w14:paraId="66B33679">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eastAsia="宋体"/>
                      <w:color w:val="auto"/>
                      <w:lang w:val="en-US" w:eastAsia="zh-CN"/>
                    </w:rPr>
                  </w:pPr>
                  <w:r>
                    <w:rPr>
                      <w:rFonts w:hint="eastAsia"/>
                      <w:color w:val="auto"/>
                      <w:szCs w:val="21"/>
                    </w:rPr>
                    <w:t>办公</w:t>
                  </w:r>
                  <w:r>
                    <w:rPr>
                      <w:rFonts w:hint="eastAsia"/>
                      <w:color w:val="auto"/>
                      <w:szCs w:val="21"/>
                      <w:lang w:val="en-US" w:eastAsia="zh-CN"/>
                    </w:rPr>
                    <w:t>楼</w:t>
                  </w:r>
                </w:p>
              </w:tc>
              <w:tc>
                <w:tcPr>
                  <w:tcW w:w="2532" w:type="pct"/>
                  <w:noWrap w:val="0"/>
                  <w:vAlign w:val="center"/>
                </w:tcPr>
                <w:p w14:paraId="77DBE83D">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eastAsia="宋体"/>
                      <w:color w:val="auto"/>
                      <w:lang w:val="en-US" w:eastAsia="zh-CN"/>
                    </w:rPr>
                  </w:pPr>
                  <w:r>
                    <w:rPr>
                      <w:rFonts w:hint="eastAsia"/>
                      <w:color w:val="auto"/>
                      <w:lang w:val="en-US" w:eastAsia="zh-CN"/>
                    </w:rPr>
                    <w:t>3F，砖混结构，建筑面积500</w:t>
                  </w:r>
                  <w:r>
                    <w:rPr>
                      <w:rFonts w:hint="eastAsia" w:hAnsi="宋体"/>
                      <w:color w:val="auto"/>
                      <w:szCs w:val="21"/>
                      <w:lang w:val="en-US" w:eastAsia="zh-CN"/>
                    </w:rPr>
                    <w:t>m</w:t>
                  </w:r>
                  <w:r>
                    <w:rPr>
                      <w:rFonts w:hint="eastAsia" w:hAnsi="宋体"/>
                      <w:color w:val="auto"/>
                      <w:szCs w:val="21"/>
                      <w:vertAlign w:val="superscript"/>
                      <w:lang w:val="en-US" w:eastAsia="zh-CN"/>
                    </w:rPr>
                    <w:t>2</w:t>
                  </w:r>
                </w:p>
              </w:tc>
              <w:tc>
                <w:tcPr>
                  <w:tcW w:w="1118" w:type="pct"/>
                  <w:noWrap w:val="0"/>
                  <w:vAlign w:val="center"/>
                </w:tcPr>
                <w:p w14:paraId="18AA4926">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hAnsi="宋体"/>
                      <w:color w:val="auto"/>
                      <w:szCs w:val="21"/>
                    </w:rPr>
                  </w:pPr>
                  <w:r>
                    <w:rPr>
                      <w:rFonts w:hint="eastAsia" w:hAnsi="宋体"/>
                      <w:color w:val="auto"/>
                      <w:szCs w:val="21"/>
                      <w:lang w:val="en-US" w:eastAsia="zh-CN"/>
                    </w:rPr>
                    <w:t>利用租赁厂区已有建筑</w:t>
                  </w:r>
                </w:p>
              </w:tc>
            </w:tr>
            <w:tr w14:paraId="15A89E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31AFDEFA">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szCs w:val="21"/>
                    </w:rPr>
                  </w:pPr>
                </w:p>
              </w:tc>
              <w:tc>
                <w:tcPr>
                  <w:tcW w:w="940" w:type="pct"/>
                  <w:gridSpan w:val="2"/>
                  <w:noWrap w:val="0"/>
                  <w:vAlign w:val="center"/>
                </w:tcPr>
                <w:p w14:paraId="6F556A47">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eastAsia="宋体"/>
                      <w:color w:val="auto"/>
                      <w:szCs w:val="21"/>
                      <w:lang w:val="en-US" w:eastAsia="zh-CN"/>
                    </w:rPr>
                  </w:pPr>
                  <w:r>
                    <w:rPr>
                      <w:rFonts w:hint="eastAsia"/>
                      <w:color w:val="auto"/>
                      <w:szCs w:val="21"/>
                      <w:lang w:val="en-US" w:eastAsia="zh-CN"/>
                    </w:rPr>
                    <w:t>食堂</w:t>
                  </w:r>
                </w:p>
              </w:tc>
              <w:tc>
                <w:tcPr>
                  <w:tcW w:w="2532" w:type="pct"/>
                  <w:noWrap w:val="0"/>
                  <w:vAlign w:val="center"/>
                </w:tcPr>
                <w:p w14:paraId="48789B6F">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eastAsia="宋体"/>
                      <w:color w:val="auto"/>
                      <w:lang w:val="en-US" w:eastAsia="zh-CN"/>
                    </w:rPr>
                  </w:pPr>
                  <w:r>
                    <w:rPr>
                      <w:rFonts w:hint="eastAsia"/>
                      <w:color w:val="auto"/>
                      <w:lang w:val="en-US" w:eastAsia="zh-CN"/>
                    </w:rPr>
                    <w:t>1F，砖混结构，建筑面积50</w:t>
                  </w:r>
                  <w:r>
                    <w:rPr>
                      <w:rFonts w:hint="eastAsia" w:hAnsi="宋体"/>
                      <w:color w:val="auto"/>
                      <w:szCs w:val="21"/>
                      <w:lang w:val="en-US" w:eastAsia="zh-CN"/>
                    </w:rPr>
                    <w:t>m</w:t>
                  </w:r>
                  <w:r>
                    <w:rPr>
                      <w:rFonts w:hint="eastAsia" w:hAnsi="宋体"/>
                      <w:color w:val="auto"/>
                      <w:szCs w:val="21"/>
                      <w:vertAlign w:val="superscript"/>
                      <w:lang w:val="en-US" w:eastAsia="zh-CN"/>
                    </w:rPr>
                    <w:t>2</w:t>
                  </w:r>
                </w:p>
              </w:tc>
              <w:tc>
                <w:tcPr>
                  <w:tcW w:w="1118" w:type="pct"/>
                  <w:noWrap w:val="0"/>
                  <w:vAlign w:val="center"/>
                </w:tcPr>
                <w:p w14:paraId="379BF91B">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hAnsi="宋体"/>
                      <w:color w:val="auto"/>
                      <w:szCs w:val="21"/>
                    </w:rPr>
                  </w:pPr>
                  <w:r>
                    <w:rPr>
                      <w:rFonts w:hint="eastAsia" w:hAnsi="宋体"/>
                      <w:color w:val="auto"/>
                      <w:szCs w:val="21"/>
                      <w:lang w:val="en-US" w:eastAsia="zh-CN"/>
                    </w:rPr>
                    <w:t>利用租赁厂区已有建筑</w:t>
                  </w:r>
                </w:p>
              </w:tc>
            </w:tr>
            <w:tr w14:paraId="483345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55EA9BDF">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szCs w:val="21"/>
                    </w:rPr>
                  </w:pPr>
                </w:p>
              </w:tc>
              <w:tc>
                <w:tcPr>
                  <w:tcW w:w="940" w:type="pct"/>
                  <w:gridSpan w:val="2"/>
                  <w:shd w:val="clear" w:color="auto" w:fill="auto"/>
                  <w:noWrap w:val="0"/>
                  <w:vAlign w:val="center"/>
                </w:tcPr>
                <w:p w14:paraId="36887BBF">
                  <w:pPr>
                    <w:spacing w:line="240" w:lineRule="atLeast"/>
                    <w:jc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szCs w:val="21"/>
                      <w:u w:val="none"/>
                      <w:lang w:val="en-US" w:eastAsia="zh-CN"/>
                    </w:rPr>
                    <w:t>生物质蒸汽发生器</w:t>
                  </w:r>
                  <w:r>
                    <w:rPr>
                      <w:rFonts w:hint="default" w:ascii="Times New Roman" w:hAnsi="Times New Roman" w:cs="Times New Roman"/>
                      <w:color w:val="auto"/>
                      <w:szCs w:val="21"/>
                      <w:u w:val="none"/>
                      <w:lang w:eastAsia="zh-CN"/>
                    </w:rPr>
                    <w:t>房</w:t>
                  </w:r>
                </w:p>
              </w:tc>
              <w:tc>
                <w:tcPr>
                  <w:tcW w:w="2532" w:type="pct"/>
                  <w:shd w:val="clear" w:color="auto" w:fill="auto"/>
                  <w:noWrap w:val="0"/>
                  <w:vAlign w:val="center"/>
                </w:tcPr>
                <w:p w14:paraId="064B2E51">
                  <w:pPr>
                    <w:spacing w:line="240" w:lineRule="atLeast"/>
                    <w:jc w:val="center"/>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vertAlign w:val="baseline"/>
                      <w:lang w:val="en-US" w:eastAsia="zh-CN"/>
                    </w:rPr>
                    <w:t>建筑面积100</w:t>
                  </w:r>
                  <w:r>
                    <w:rPr>
                      <w:rFonts w:hint="default" w:ascii="Times New Roman" w:hAnsi="Times New Roman" w:cs="Times New Roman"/>
                      <w:color w:val="auto"/>
                      <w:u w:val="none"/>
                      <w:lang w:val="en-US" w:eastAsia="zh-CN"/>
                    </w:rPr>
                    <w:t>m</w:t>
                  </w:r>
                  <w:r>
                    <w:rPr>
                      <w:rFonts w:hint="default" w:ascii="Times New Roman" w:hAnsi="Times New Roman" w:cs="Times New Roman"/>
                      <w:color w:val="auto"/>
                      <w:u w:val="none"/>
                      <w:vertAlign w:val="superscript"/>
                      <w:lang w:val="en-US" w:eastAsia="zh-CN"/>
                    </w:rPr>
                    <w:t>2</w:t>
                  </w:r>
                  <w:r>
                    <w:rPr>
                      <w:rFonts w:hint="default" w:ascii="Times New Roman" w:hAnsi="Times New Roman" w:cs="Times New Roman"/>
                      <w:color w:val="auto"/>
                      <w:u w:val="none"/>
                      <w:vertAlign w:val="baseline"/>
                      <w:lang w:val="en-US" w:eastAsia="zh-CN"/>
                    </w:rPr>
                    <w:t>；设1台</w:t>
                  </w:r>
                  <w:r>
                    <w:rPr>
                      <w:rFonts w:hint="eastAsia" w:cs="Times New Roman"/>
                      <w:color w:val="auto"/>
                      <w:u w:val="none"/>
                      <w:vertAlign w:val="baseline"/>
                      <w:lang w:val="en-US" w:eastAsia="zh-CN"/>
                    </w:rPr>
                    <w:t>2.5t/h的</w:t>
                  </w:r>
                  <w:r>
                    <w:rPr>
                      <w:rFonts w:hint="default" w:ascii="Times New Roman" w:hAnsi="Times New Roman" w:cs="Times New Roman"/>
                      <w:color w:val="auto"/>
                      <w:u w:val="none"/>
                      <w:vertAlign w:val="baseline"/>
                      <w:lang w:val="en-US" w:eastAsia="zh-CN"/>
                    </w:rPr>
                    <w:t>生物质真空低氮</w:t>
                  </w:r>
                  <w:r>
                    <w:rPr>
                      <w:rFonts w:hint="eastAsia" w:ascii="Times New Roman" w:hAnsi="Times New Roman" w:cs="Times New Roman"/>
                      <w:color w:val="auto"/>
                      <w:u w:val="none"/>
                      <w:vertAlign w:val="baseline"/>
                      <w:lang w:val="en-US" w:eastAsia="zh-CN"/>
                    </w:rPr>
                    <w:t>汽</w:t>
                  </w:r>
                  <w:r>
                    <w:rPr>
                      <w:rFonts w:hint="eastAsia" w:cs="Times New Roman"/>
                      <w:color w:val="auto"/>
                      <w:szCs w:val="21"/>
                      <w:u w:val="none"/>
                      <w:lang w:val="en-US" w:eastAsia="zh-CN"/>
                    </w:rPr>
                    <w:t>发生器</w:t>
                  </w:r>
                  <w:r>
                    <w:rPr>
                      <w:rFonts w:hint="default" w:ascii="Times New Roman" w:hAnsi="Times New Roman" w:cs="Times New Roman"/>
                      <w:color w:val="auto"/>
                      <w:u w:val="none"/>
                      <w:vertAlign w:val="baseline"/>
                      <w:lang w:val="en-US" w:eastAsia="zh-CN"/>
                    </w:rPr>
                    <w:t>，</w:t>
                  </w:r>
                  <w:r>
                    <w:rPr>
                      <w:rFonts w:hint="eastAsia" w:cs="Times New Roman"/>
                      <w:color w:val="auto"/>
                      <w:u w:val="none"/>
                      <w:vertAlign w:val="baseline"/>
                      <w:lang w:val="en-US" w:eastAsia="zh-CN"/>
                    </w:rPr>
                    <w:t>杀青</w:t>
                  </w:r>
                  <w:r>
                    <w:rPr>
                      <w:rFonts w:hint="eastAsia" w:ascii="Times New Roman" w:hAnsi="Times New Roman" w:cs="Times New Roman"/>
                      <w:color w:val="auto"/>
                      <w:u w:val="none"/>
                      <w:vertAlign w:val="baseline"/>
                      <w:lang w:val="en-US" w:eastAsia="zh-CN"/>
                    </w:rPr>
                    <w:t>用</w:t>
                  </w:r>
                </w:p>
              </w:tc>
              <w:tc>
                <w:tcPr>
                  <w:tcW w:w="1118" w:type="pct"/>
                  <w:shd w:val="clear" w:color="auto" w:fill="auto"/>
                  <w:noWrap w:val="0"/>
                  <w:vAlign w:val="center"/>
                </w:tcPr>
                <w:p w14:paraId="254BA68F">
                  <w:pPr>
                    <w:jc w:val="center"/>
                    <w:rPr>
                      <w:rFonts w:hint="default" w:ascii="Times New Roman" w:hAnsi="Times New Roman" w:eastAsia="宋体" w:cs="Times New Roman"/>
                      <w:color w:val="auto"/>
                      <w:kern w:val="2"/>
                      <w:sz w:val="21"/>
                      <w:szCs w:val="21"/>
                      <w:u w:val="none"/>
                      <w:lang w:val="en-US" w:eastAsia="zh-CN" w:bidi="ar-SA"/>
                    </w:rPr>
                  </w:pPr>
                  <w:r>
                    <w:rPr>
                      <w:rFonts w:hint="eastAsia" w:hAnsi="宋体"/>
                      <w:color w:val="auto"/>
                      <w:szCs w:val="21"/>
                      <w:lang w:val="en-US" w:eastAsia="zh-CN"/>
                    </w:rPr>
                    <w:t>位于清洗区</w:t>
                  </w:r>
                </w:p>
              </w:tc>
            </w:tr>
            <w:tr w14:paraId="74BD30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69FFBE21">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szCs w:val="21"/>
                    </w:rPr>
                  </w:pPr>
                </w:p>
              </w:tc>
              <w:tc>
                <w:tcPr>
                  <w:tcW w:w="940" w:type="pct"/>
                  <w:gridSpan w:val="2"/>
                  <w:shd w:val="clear" w:color="auto" w:fill="auto"/>
                  <w:noWrap w:val="0"/>
                  <w:vAlign w:val="center"/>
                </w:tcPr>
                <w:p w14:paraId="3C1FB6ED">
                  <w:pPr>
                    <w:spacing w:line="240" w:lineRule="atLeast"/>
                    <w:jc w:val="center"/>
                    <w:rPr>
                      <w:rFonts w:hint="default" w:cs="Times New Roman"/>
                      <w:color w:val="auto"/>
                      <w:szCs w:val="21"/>
                      <w:u w:val="none"/>
                      <w:lang w:val="en-US" w:eastAsia="zh-CN"/>
                    </w:rPr>
                  </w:pPr>
                  <w:r>
                    <w:rPr>
                      <w:rFonts w:hint="eastAsia" w:cs="Times New Roman"/>
                      <w:color w:val="auto"/>
                      <w:szCs w:val="21"/>
                      <w:u w:val="none"/>
                      <w:lang w:val="en-US" w:eastAsia="zh-CN"/>
                    </w:rPr>
                    <w:t>生物质热风炉房</w:t>
                  </w:r>
                </w:p>
              </w:tc>
              <w:tc>
                <w:tcPr>
                  <w:tcW w:w="2532" w:type="pct"/>
                  <w:shd w:val="clear" w:color="auto" w:fill="auto"/>
                  <w:noWrap w:val="0"/>
                  <w:vAlign w:val="center"/>
                </w:tcPr>
                <w:p w14:paraId="081994E1">
                  <w:pPr>
                    <w:spacing w:line="240" w:lineRule="atLeast"/>
                    <w:jc w:val="center"/>
                    <w:rPr>
                      <w:rFonts w:hint="eastAsia" w:hAnsi="宋体"/>
                      <w:color w:val="auto"/>
                      <w:szCs w:val="21"/>
                      <w:lang w:val="en-US" w:eastAsia="zh-CN"/>
                    </w:rPr>
                  </w:pPr>
                  <w:r>
                    <w:rPr>
                      <w:rFonts w:hint="default" w:ascii="Times New Roman" w:hAnsi="Times New Roman" w:cs="Times New Roman"/>
                      <w:color w:val="auto"/>
                      <w:u w:val="none"/>
                      <w:vertAlign w:val="baseline"/>
                      <w:lang w:val="en-US" w:eastAsia="zh-CN"/>
                    </w:rPr>
                    <w:t>建筑面积</w:t>
                  </w:r>
                  <w:r>
                    <w:rPr>
                      <w:rFonts w:hint="eastAsia" w:cs="Times New Roman"/>
                      <w:color w:val="auto"/>
                      <w:u w:val="none"/>
                      <w:vertAlign w:val="baseline"/>
                      <w:lang w:val="en-US" w:eastAsia="zh-CN"/>
                    </w:rPr>
                    <w:t>5</w:t>
                  </w:r>
                  <w:r>
                    <w:rPr>
                      <w:rFonts w:hint="default" w:ascii="Times New Roman" w:hAnsi="Times New Roman" w:cs="Times New Roman"/>
                      <w:color w:val="auto"/>
                      <w:u w:val="none"/>
                      <w:vertAlign w:val="baseline"/>
                      <w:lang w:val="en-US" w:eastAsia="zh-CN"/>
                    </w:rPr>
                    <w:t>0</w:t>
                  </w:r>
                  <w:r>
                    <w:rPr>
                      <w:rFonts w:hint="default" w:ascii="Times New Roman" w:hAnsi="Times New Roman" w:cs="Times New Roman"/>
                      <w:color w:val="auto"/>
                      <w:u w:val="none"/>
                      <w:lang w:val="en-US" w:eastAsia="zh-CN"/>
                    </w:rPr>
                    <w:t>m</w:t>
                  </w:r>
                  <w:r>
                    <w:rPr>
                      <w:rFonts w:hint="default" w:ascii="Times New Roman" w:hAnsi="Times New Roman" w:cs="Times New Roman"/>
                      <w:color w:val="auto"/>
                      <w:u w:val="none"/>
                      <w:vertAlign w:val="superscript"/>
                      <w:lang w:val="en-US" w:eastAsia="zh-CN"/>
                    </w:rPr>
                    <w:t>2</w:t>
                  </w:r>
                  <w:r>
                    <w:rPr>
                      <w:rFonts w:hint="default" w:ascii="Times New Roman" w:hAnsi="Times New Roman" w:cs="Times New Roman"/>
                      <w:color w:val="auto"/>
                      <w:u w:val="none"/>
                      <w:vertAlign w:val="baseline"/>
                      <w:lang w:val="en-US" w:eastAsia="zh-CN"/>
                    </w:rPr>
                    <w:t>；设</w:t>
                  </w:r>
                  <w:r>
                    <w:rPr>
                      <w:rFonts w:hint="eastAsia" w:cs="Times New Roman"/>
                      <w:color w:val="auto"/>
                      <w:u w:val="none"/>
                      <w:vertAlign w:val="baseline"/>
                      <w:lang w:val="en-US" w:eastAsia="zh-CN"/>
                    </w:rPr>
                    <w:t>2</w:t>
                  </w:r>
                  <w:r>
                    <w:rPr>
                      <w:rFonts w:hint="default" w:ascii="Times New Roman" w:hAnsi="Times New Roman" w:cs="Times New Roman"/>
                      <w:color w:val="auto"/>
                      <w:u w:val="none"/>
                      <w:vertAlign w:val="baseline"/>
                      <w:lang w:val="en-US" w:eastAsia="zh-CN"/>
                    </w:rPr>
                    <w:t>台</w:t>
                  </w:r>
                  <w:r>
                    <w:rPr>
                      <w:rFonts w:hint="eastAsia" w:cs="Times New Roman"/>
                      <w:color w:val="auto"/>
                      <w:szCs w:val="21"/>
                      <w:u w:val="none"/>
                      <w:lang w:val="en-US" w:eastAsia="zh-CN"/>
                    </w:rPr>
                    <w:t>生物质热风炉房</w:t>
                  </w:r>
                  <w:r>
                    <w:rPr>
                      <w:rFonts w:hint="default" w:ascii="Times New Roman" w:hAnsi="Times New Roman" w:cs="Times New Roman"/>
                      <w:color w:val="auto"/>
                      <w:u w:val="none"/>
                      <w:vertAlign w:val="baseline"/>
                      <w:lang w:val="en-US" w:eastAsia="zh-CN"/>
                    </w:rPr>
                    <w:t>，</w:t>
                  </w:r>
                  <w:r>
                    <w:rPr>
                      <w:rFonts w:hint="eastAsia" w:ascii="Times New Roman" w:hAnsi="Times New Roman" w:cs="Times New Roman"/>
                      <w:color w:val="auto"/>
                      <w:u w:val="none"/>
                      <w:vertAlign w:val="baseline"/>
                      <w:lang w:val="en-US" w:eastAsia="zh-CN"/>
                    </w:rPr>
                    <w:t>烘干用</w:t>
                  </w:r>
                </w:p>
              </w:tc>
              <w:tc>
                <w:tcPr>
                  <w:tcW w:w="1118" w:type="pct"/>
                  <w:shd w:val="clear" w:color="auto" w:fill="auto"/>
                  <w:noWrap w:val="0"/>
                  <w:vAlign w:val="center"/>
                </w:tcPr>
                <w:p w14:paraId="706590F4">
                  <w:pPr>
                    <w:jc w:val="center"/>
                    <w:rPr>
                      <w:rFonts w:hint="eastAsia" w:cs="Times New Roman"/>
                      <w:color w:val="auto"/>
                      <w:u w:val="none"/>
                      <w:lang w:val="en-US" w:eastAsia="zh-CN"/>
                    </w:rPr>
                  </w:pPr>
                  <w:r>
                    <w:rPr>
                      <w:rFonts w:hint="eastAsia" w:hAnsi="宋体"/>
                      <w:color w:val="auto"/>
                      <w:szCs w:val="21"/>
                      <w:lang w:val="en-US" w:eastAsia="zh-CN"/>
                    </w:rPr>
                    <w:t>生产车间1楼、清洗区各设1套</w:t>
                  </w:r>
                </w:p>
              </w:tc>
            </w:tr>
            <w:tr w14:paraId="4A7C70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76900F68">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szCs w:val="21"/>
                    </w:rPr>
                  </w:pPr>
                </w:p>
              </w:tc>
              <w:tc>
                <w:tcPr>
                  <w:tcW w:w="940" w:type="pct"/>
                  <w:gridSpan w:val="2"/>
                  <w:shd w:val="clear" w:color="auto" w:fill="auto"/>
                  <w:noWrap w:val="0"/>
                  <w:vAlign w:val="center"/>
                </w:tcPr>
                <w:p w14:paraId="13806F9A">
                  <w:pPr>
                    <w:keepNext w:val="0"/>
                    <w:keepLines w:val="0"/>
                    <w:pageBreakBefore w:val="0"/>
                    <w:widowControl w:val="0"/>
                    <w:kinsoku/>
                    <w:wordWrap/>
                    <w:overflowPunct/>
                    <w:topLinePunct w:val="0"/>
                    <w:autoSpaceDE/>
                    <w:autoSpaceDN w:val="0"/>
                    <w:bidi w:val="0"/>
                    <w:adjustRightInd/>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生物质颗粒暂存区</w:t>
                  </w:r>
                </w:p>
              </w:tc>
              <w:tc>
                <w:tcPr>
                  <w:tcW w:w="2532" w:type="pct"/>
                  <w:shd w:val="clear" w:color="auto" w:fill="auto"/>
                  <w:noWrap w:val="0"/>
                  <w:vAlign w:val="center"/>
                </w:tcPr>
                <w:p w14:paraId="23882F95">
                  <w:pPr>
                    <w:keepNext w:val="0"/>
                    <w:keepLines w:val="0"/>
                    <w:pageBreakBefore w:val="0"/>
                    <w:widowControl w:val="0"/>
                    <w:kinsoku/>
                    <w:wordWrap/>
                    <w:overflowPunct/>
                    <w:topLinePunct w:val="0"/>
                    <w:autoSpaceDE/>
                    <w:autoSpaceDN w:val="0"/>
                    <w:bidi w:val="0"/>
                    <w:adjustRightInd/>
                    <w:ind w:firstLine="0" w:firstLineChars="0"/>
                    <w:jc w:val="center"/>
                    <w:textAlignment w:val="center"/>
                    <w:rPr>
                      <w:rFonts w:hint="eastAsia" w:ascii="Times New Roman" w:hAnsi="宋体" w:eastAsia="宋体" w:cs="Times New Roman"/>
                      <w:color w:val="auto"/>
                      <w:kern w:val="2"/>
                      <w:sz w:val="21"/>
                      <w:szCs w:val="21"/>
                      <w:lang w:val="en-US" w:eastAsia="zh-CN" w:bidi="ar-SA"/>
                    </w:rPr>
                  </w:pPr>
                  <w:r>
                    <w:rPr>
                      <w:rFonts w:hint="eastAsia" w:hAnsi="宋体"/>
                      <w:color w:val="auto"/>
                      <w:szCs w:val="21"/>
                      <w:lang w:val="en-US" w:eastAsia="zh-CN"/>
                    </w:rPr>
                    <w:t>增加约50</w:t>
                  </w:r>
                  <w:r>
                    <w:rPr>
                      <w:rFonts w:hint="default" w:ascii="Times New Roman" w:hAnsi="Times New Roman" w:cs="Times New Roman"/>
                      <w:color w:val="auto"/>
                      <w:u w:val="none"/>
                      <w:lang w:val="en-US" w:eastAsia="zh-CN"/>
                    </w:rPr>
                    <w:t>m</w:t>
                  </w:r>
                  <w:r>
                    <w:rPr>
                      <w:rFonts w:hint="default" w:ascii="Times New Roman" w:hAnsi="Times New Roman" w:cs="Times New Roman"/>
                      <w:color w:val="auto"/>
                      <w:u w:val="none"/>
                      <w:vertAlign w:val="superscript"/>
                      <w:lang w:val="en-US" w:eastAsia="zh-CN"/>
                    </w:rPr>
                    <w:t>2</w:t>
                  </w:r>
                  <w:r>
                    <w:rPr>
                      <w:rFonts w:hint="eastAsia" w:hAnsi="宋体"/>
                      <w:color w:val="auto"/>
                      <w:szCs w:val="21"/>
                      <w:lang w:val="en-US" w:eastAsia="zh-CN"/>
                    </w:rPr>
                    <w:t>燃料暂存区建设：含地面硬化；钢棚建设</w:t>
                  </w:r>
                </w:p>
              </w:tc>
              <w:tc>
                <w:tcPr>
                  <w:tcW w:w="1118" w:type="pct"/>
                  <w:shd w:val="clear" w:color="auto" w:fill="auto"/>
                  <w:noWrap w:val="0"/>
                  <w:vAlign w:val="center"/>
                </w:tcPr>
                <w:p w14:paraId="54D0B7FE">
                  <w:pPr>
                    <w:keepNext w:val="0"/>
                    <w:keepLines w:val="0"/>
                    <w:pageBreakBefore w:val="0"/>
                    <w:widowControl w:val="0"/>
                    <w:kinsoku/>
                    <w:wordWrap/>
                    <w:overflowPunct/>
                    <w:topLinePunct w:val="0"/>
                    <w:autoSpaceDE/>
                    <w:autoSpaceDN w:val="0"/>
                    <w:bidi w:val="0"/>
                    <w:adjustRightInd/>
                    <w:ind w:firstLine="0" w:firstLineChars="0"/>
                    <w:jc w:val="center"/>
                    <w:textAlignment w:val="center"/>
                    <w:rPr>
                      <w:rFonts w:hint="eastAsia" w:ascii="Times New Roman" w:hAnsi="宋体" w:eastAsia="宋体" w:cs="Times New Roman"/>
                      <w:color w:val="auto"/>
                      <w:kern w:val="2"/>
                      <w:sz w:val="21"/>
                      <w:szCs w:val="21"/>
                      <w:lang w:val="en-US" w:eastAsia="zh-CN" w:bidi="ar-SA"/>
                    </w:rPr>
                  </w:pPr>
                  <w:r>
                    <w:rPr>
                      <w:rFonts w:hint="eastAsia" w:ascii="Times New Roman" w:hAnsi="Times New Roman" w:eastAsia="宋体" w:cs="Times New Roman"/>
                      <w:color w:val="auto"/>
                      <w:u w:val="none"/>
                      <w:lang w:eastAsia="zh-CN"/>
                    </w:rPr>
                    <w:t>新建</w:t>
                  </w:r>
                </w:p>
              </w:tc>
            </w:tr>
            <w:tr w14:paraId="5B25FD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0EA47369">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szCs w:val="21"/>
                    </w:rPr>
                  </w:pPr>
                </w:p>
              </w:tc>
              <w:tc>
                <w:tcPr>
                  <w:tcW w:w="940" w:type="pct"/>
                  <w:gridSpan w:val="2"/>
                  <w:shd w:val="clear" w:color="auto" w:fill="auto"/>
                  <w:noWrap w:val="0"/>
                  <w:vAlign w:val="center"/>
                </w:tcPr>
                <w:p w14:paraId="4DF3991D">
                  <w:pPr>
                    <w:keepNext w:val="0"/>
                    <w:keepLines w:val="0"/>
                    <w:pageBreakBefore w:val="0"/>
                    <w:widowControl w:val="0"/>
                    <w:kinsoku/>
                    <w:wordWrap/>
                    <w:overflowPunct/>
                    <w:topLinePunct w:val="0"/>
                    <w:autoSpaceDE/>
                    <w:autoSpaceDN w:val="0"/>
                    <w:bidi w:val="0"/>
                    <w:adjustRightIn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质检楼</w:t>
                  </w:r>
                </w:p>
              </w:tc>
              <w:tc>
                <w:tcPr>
                  <w:tcW w:w="2532" w:type="pct"/>
                  <w:shd w:val="clear" w:color="auto" w:fill="auto"/>
                  <w:noWrap w:val="0"/>
                  <w:vAlign w:val="center"/>
                </w:tcPr>
                <w:p w14:paraId="52196262">
                  <w:pPr>
                    <w:keepNext w:val="0"/>
                    <w:keepLines w:val="0"/>
                    <w:pageBreakBefore w:val="0"/>
                    <w:widowControl w:val="0"/>
                    <w:kinsoku/>
                    <w:wordWrap/>
                    <w:overflowPunct/>
                    <w:topLinePunct w:val="0"/>
                    <w:autoSpaceDE/>
                    <w:autoSpaceDN w:val="0"/>
                    <w:bidi w:val="0"/>
                    <w:adjustRightInd/>
                    <w:ind w:firstLine="0" w:firstLineChars="0"/>
                    <w:jc w:val="center"/>
                    <w:textAlignment w:val="center"/>
                    <w:rPr>
                      <w:rFonts w:hint="default" w:ascii="Times New Roman" w:hAnsi="宋体" w:eastAsia="宋体" w:cs="Times New Roman"/>
                      <w:color w:val="auto"/>
                      <w:kern w:val="2"/>
                      <w:sz w:val="21"/>
                      <w:szCs w:val="21"/>
                      <w:lang w:val="en-US" w:eastAsia="zh-CN" w:bidi="ar-SA"/>
                    </w:rPr>
                  </w:pPr>
                  <w:r>
                    <w:rPr>
                      <w:rFonts w:hint="eastAsia"/>
                      <w:color w:val="auto"/>
                      <w:lang w:val="en-US" w:eastAsia="zh-CN"/>
                    </w:rPr>
                    <w:t>2F，砖混结构，建筑面积600</w:t>
                  </w:r>
                  <w:r>
                    <w:rPr>
                      <w:rFonts w:hint="eastAsia" w:hAnsi="宋体"/>
                      <w:color w:val="auto"/>
                      <w:szCs w:val="21"/>
                      <w:lang w:val="en-US" w:eastAsia="zh-CN"/>
                    </w:rPr>
                    <w:t>m</w:t>
                  </w:r>
                  <w:r>
                    <w:rPr>
                      <w:rFonts w:hint="eastAsia" w:hAnsi="宋体"/>
                      <w:color w:val="auto"/>
                      <w:szCs w:val="21"/>
                      <w:vertAlign w:val="superscript"/>
                      <w:lang w:val="en-US" w:eastAsia="zh-CN"/>
                    </w:rPr>
                    <w:t>2</w:t>
                  </w:r>
                  <w:r>
                    <w:rPr>
                      <w:rFonts w:hint="eastAsia" w:hAnsi="宋体"/>
                      <w:color w:val="auto"/>
                      <w:szCs w:val="21"/>
                      <w:lang w:val="en-US" w:eastAsia="zh-CN"/>
                    </w:rPr>
                    <w:t>；本项目仅对产品含水率进行检测，无需添加试剂</w:t>
                  </w:r>
                </w:p>
              </w:tc>
              <w:tc>
                <w:tcPr>
                  <w:tcW w:w="1118" w:type="pct"/>
                  <w:shd w:val="clear" w:color="auto" w:fill="auto"/>
                  <w:noWrap w:val="0"/>
                  <w:vAlign w:val="center"/>
                </w:tcPr>
                <w:p w14:paraId="00F97C19">
                  <w:pPr>
                    <w:keepNext w:val="0"/>
                    <w:keepLines w:val="0"/>
                    <w:pageBreakBefore w:val="0"/>
                    <w:widowControl w:val="0"/>
                    <w:kinsoku/>
                    <w:wordWrap/>
                    <w:overflowPunct/>
                    <w:topLinePunct w:val="0"/>
                    <w:autoSpaceDE/>
                    <w:autoSpaceDN w:val="0"/>
                    <w:bidi w:val="0"/>
                    <w:adjustRightInd/>
                    <w:ind w:firstLine="0" w:firstLineChars="0"/>
                    <w:jc w:val="center"/>
                    <w:textAlignment w:val="center"/>
                    <w:rPr>
                      <w:rFonts w:hint="eastAsia" w:ascii="Times New Roman" w:hAnsi="宋体" w:eastAsia="宋体" w:cs="Times New Roman"/>
                      <w:color w:val="auto"/>
                      <w:kern w:val="2"/>
                      <w:sz w:val="21"/>
                      <w:szCs w:val="21"/>
                      <w:lang w:val="en-US" w:eastAsia="zh-CN" w:bidi="ar-SA"/>
                    </w:rPr>
                  </w:pPr>
                  <w:r>
                    <w:rPr>
                      <w:rFonts w:hint="eastAsia" w:hAnsi="宋体"/>
                      <w:color w:val="auto"/>
                      <w:szCs w:val="21"/>
                      <w:lang w:val="en-US" w:eastAsia="zh-CN"/>
                    </w:rPr>
                    <w:t>利用租赁厂区已有建筑</w:t>
                  </w:r>
                </w:p>
              </w:tc>
            </w:tr>
            <w:tr w14:paraId="244866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restart"/>
                  <w:noWrap w:val="0"/>
                  <w:vAlign w:val="center"/>
                </w:tcPr>
                <w:p w14:paraId="65898971">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r>
                    <w:rPr>
                      <w:rFonts w:hint="eastAsia" w:hAnsi="宋体"/>
                      <w:color w:val="auto"/>
                      <w:szCs w:val="21"/>
                    </w:rPr>
                    <w:t>公用工程</w:t>
                  </w:r>
                </w:p>
              </w:tc>
              <w:tc>
                <w:tcPr>
                  <w:tcW w:w="940" w:type="pct"/>
                  <w:gridSpan w:val="2"/>
                  <w:noWrap w:val="0"/>
                  <w:vAlign w:val="center"/>
                </w:tcPr>
                <w:p w14:paraId="3E11C2FC">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color w:val="auto"/>
                    </w:rPr>
                  </w:pPr>
                  <w:r>
                    <w:rPr>
                      <w:rFonts w:hint="eastAsia"/>
                      <w:color w:val="auto"/>
                      <w:sz w:val="21"/>
                      <w:szCs w:val="21"/>
                    </w:rPr>
                    <w:t>供电</w:t>
                  </w:r>
                </w:p>
              </w:tc>
              <w:tc>
                <w:tcPr>
                  <w:tcW w:w="2532" w:type="pct"/>
                  <w:noWrap w:val="0"/>
                  <w:vAlign w:val="center"/>
                </w:tcPr>
                <w:p w14:paraId="2017C485">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eastAsia="宋体"/>
                      <w:color w:val="auto"/>
                      <w:lang w:val="en-US" w:eastAsia="zh-CN"/>
                    </w:rPr>
                  </w:pPr>
                  <w:r>
                    <w:rPr>
                      <w:rFonts w:hint="eastAsia" w:eastAsia="宋体"/>
                      <w:color w:val="auto"/>
                      <w:lang w:val="en-US" w:eastAsia="zh-CN"/>
                    </w:rPr>
                    <w:t>变压器增加60kw/h容量及相关新增设备配电系统</w:t>
                  </w:r>
                </w:p>
              </w:tc>
              <w:tc>
                <w:tcPr>
                  <w:tcW w:w="1118" w:type="pct"/>
                  <w:noWrap w:val="0"/>
                  <w:vAlign w:val="center"/>
                </w:tcPr>
                <w:p w14:paraId="17E13328">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hAnsi="宋体" w:eastAsia="宋体"/>
                      <w:color w:val="auto"/>
                      <w:szCs w:val="21"/>
                      <w:lang w:val="en-US" w:eastAsia="zh-CN"/>
                    </w:rPr>
                  </w:pPr>
                  <w:r>
                    <w:rPr>
                      <w:rFonts w:hint="eastAsia" w:hAnsi="宋体"/>
                      <w:color w:val="auto"/>
                      <w:szCs w:val="21"/>
                      <w:lang w:val="en-US" w:eastAsia="zh-CN"/>
                    </w:rPr>
                    <w:t>租赁厂区已建供电系统</w:t>
                  </w:r>
                </w:p>
              </w:tc>
            </w:tr>
            <w:tr w14:paraId="74DC46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7FFE5464">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940" w:type="pct"/>
                  <w:gridSpan w:val="2"/>
                  <w:noWrap w:val="0"/>
                  <w:vAlign w:val="center"/>
                </w:tcPr>
                <w:p w14:paraId="0F337466">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color w:val="auto"/>
                    </w:rPr>
                  </w:pPr>
                  <w:r>
                    <w:rPr>
                      <w:rFonts w:hint="eastAsia"/>
                      <w:color w:val="auto"/>
                      <w:sz w:val="21"/>
                      <w:szCs w:val="21"/>
                    </w:rPr>
                    <w:t>供水</w:t>
                  </w:r>
                </w:p>
              </w:tc>
              <w:tc>
                <w:tcPr>
                  <w:tcW w:w="2532" w:type="pct"/>
                  <w:noWrap w:val="0"/>
                  <w:vAlign w:val="center"/>
                </w:tcPr>
                <w:p w14:paraId="04E9F194">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eastAsia="宋体"/>
                      <w:color w:val="auto"/>
                      <w:lang w:val="en-US" w:eastAsia="zh-CN"/>
                    </w:rPr>
                  </w:pPr>
                  <w:r>
                    <w:rPr>
                      <w:rFonts w:hint="eastAsia"/>
                      <w:color w:val="auto"/>
                      <w:lang w:val="en-US" w:eastAsia="zh-CN"/>
                    </w:rPr>
                    <w:t>生产车间屋顶增加5m³消防水箱；重铺生产用水管网；增加室外消火栓</w:t>
                  </w:r>
                </w:p>
              </w:tc>
              <w:tc>
                <w:tcPr>
                  <w:tcW w:w="1118" w:type="pct"/>
                  <w:noWrap w:val="0"/>
                  <w:vAlign w:val="center"/>
                </w:tcPr>
                <w:p w14:paraId="2D700D05">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hAnsi="宋体"/>
                      <w:color w:val="auto"/>
                      <w:szCs w:val="21"/>
                    </w:rPr>
                  </w:pPr>
                  <w:r>
                    <w:rPr>
                      <w:rFonts w:hint="eastAsia" w:hAnsi="宋体"/>
                      <w:color w:val="auto"/>
                      <w:szCs w:val="21"/>
                      <w:lang w:val="en-US" w:eastAsia="zh-CN"/>
                    </w:rPr>
                    <w:t>租赁厂区已建供水系统</w:t>
                  </w:r>
                </w:p>
              </w:tc>
            </w:tr>
            <w:tr w14:paraId="07517E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restart"/>
                  <w:noWrap w:val="0"/>
                  <w:vAlign w:val="center"/>
                </w:tcPr>
                <w:p w14:paraId="79168CAD">
                  <w:pPr>
                    <w:keepNext w:val="0"/>
                    <w:keepLines w:val="0"/>
                    <w:pageBreakBefore w:val="0"/>
                    <w:widowControl w:val="0"/>
                    <w:kinsoku/>
                    <w:wordWrap/>
                    <w:overflowPunct/>
                    <w:topLinePunct w:val="0"/>
                    <w:autoSpaceDE/>
                    <w:autoSpaceDN w:val="0"/>
                    <w:bidi w:val="0"/>
                    <w:adjustRightInd/>
                    <w:ind w:firstLineChars="0"/>
                    <w:jc w:val="center"/>
                    <w:textAlignment w:val="center"/>
                    <w:rPr>
                      <w:color w:val="auto"/>
                    </w:rPr>
                  </w:pPr>
                  <w:r>
                    <w:rPr>
                      <w:rFonts w:hint="eastAsia"/>
                      <w:color w:val="auto"/>
                    </w:rPr>
                    <w:t>环保工程</w:t>
                  </w:r>
                </w:p>
              </w:tc>
              <w:tc>
                <w:tcPr>
                  <w:tcW w:w="234" w:type="pct"/>
                  <w:vMerge w:val="restart"/>
                  <w:noWrap w:val="0"/>
                  <w:vAlign w:val="center"/>
                </w:tcPr>
                <w:p w14:paraId="3C4425E7">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bCs/>
                      <w:color w:val="auto"/>
                      <w:sz w:val="21"/>
                      <w:szCs w:val="21"/>
                    </w:rPr>
                  </w:pPr>
                  <w:r>
                    <w:rPr>
                      <w:rFonts w:hint="eastAsia"/>
                      <w:bCs/>
                      <w:color w:val="auto"/>
                      <w:sz w:val="21"/>
                      <w:szCs w:val="21"/>
                    </w:rPr>
                    <w:t>废水</w:t>
                  </w:r>
                </w:p>
              </w:tc>
              <w:tc>
                <w:tcPr>
                  <w:tcW w:w="706" w:type="pct"/>
                  <w:noWrap w:val="0"/>
                  <w:vAlign w:val="center"/>
                </w:tcPr>
                <w:p w14:paraId="54E45EB3">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default"/>
                      <w:color w:val="auto"/>
                      <w:kern w:val="0"/>
                      <w:sz w:val="21"/>
                      <w:szCs w:val="21"/>
                      <w:lang w:val="en-US" w:eastAsia="zh-CN" w:bidi="ar-SA"/>
                    </w:rPr>
                  </w:pPr>
                  <w:r>
                    <w:rPr>
                      <w:rFonts w:hint="eastAsia"/>
                      <w:color w:val="auto"/>
                      <w:kern w:val="0"/>
                      <w:sz w:val="21"/>
                      <w:szCs w:val="21"/>
                      <w:lang w:val="en-US" w:eastAsia="zh-CN" w:bidi="ar-SA"/>
                    </w:rPr>
                    <w:t>生活污水</w:t>
                  </w:r>
                </w:p>
              </w:tc>
              <w:tc>
                <w:tcPr>
                  <w:tcW w:w="2532" w:type="pct"/>
                  <w:noWrap w:val="0"/>
                  <w:vAlign w:val="center"/>
                </w:tcPr>
                <w:p w14:paraId="32128AB7">
                  <w:pPr>
                    <w:pStyle w:val="9"/>
                    <w:keepNext w:val="0"/>
                    <w:keepLines w:val="0"/>
                    <w:pageBreakBefore w:val="0"/>
                    <w:widowControl w:val="0"/>
                    <w:kinsoku/>
                    <w:wordWrap/>
                    <w:overflowPunct/>
                    <w:topLinePunct w:val="0"/>
                    <w:autoSpaceDE/>
                    <w:bidi w:val="0"/>
                    <w:adjustRightInd/>
                    <w:snapToGrid w:val="0"/>
                    <w:spacing w:after="0" w:line="240" w:lineRule="auto"/>
                    <w:ind w:firstLine="0" w:firstLineChars="0"/>
                    <w:jc w:val="center"/>
                    <w:rPr>
                      <w:rFonts w:hint="default" w:eastAsia="宋体"/>
                      <w:color w:val="auto"/>
                      <w:kern w:val="0"/>
                      <w:sz w:val="21"/>
                      <w:szCs w:val="21"/>
                      <w:lang w:val="en-US" w:eastAsia="zh-CN" w:bidi="ar-SA"/>
                    </w:rPr>
                  </w:pPr>
                  <w:r>
                    <w:rPr>
                      <w:rFonts w:hint="eastAsia"/>
                      <w:color w:val="auto"/>
                      <w:kern w:val="0"/>
                      <w:sz w:val="21"/>
                      <w:szCs w:val="21"/>
                      <w:lang w:val="en-US" w:eastAsia="zh-CN" w:bidi="ar-SA"/>
                    </w:rPr>
                    <w:t>食堂废水经油水分离器处理，再与其他生活污水一并进化粪池处理符合《污水综合排放标准》（GB8978-1996）表4中三级标准</w:t>
                  </w:r>
                  <w:r>
                    <w:rPr>
                      <w:rFonts w:hint="eastAsia"/>
                      <w:color w:val="FF0000"/>
                      <w:kern w:val="0"/>
                      <w:sz w:val="21"/>
                      <w:szCs w:val="21"/>
                      <w:lang w:val="en-US" w:eastAsia="zh-CN" w:bidi="ar-SA"/>
                    </w:rPr>
                    <w:t>（同时需满足龙潭镇污水处理厂进水标准）</w:t>
                  </w:r>
                  <w:r>
                    <w:rPr>
                      <w:rFonts w:hint="eastAsia"/>
                      <w:color w:val="auto"/>
                      <w:kern w:val="0"/>
                      <w:sz w:val="21"/>
                      <w:szCs w:val="21"/>
                      <w:lang w:val="en-US" w:eastAsia="zh-CN" w:bidi="ar-SA"/>
                    </w:rPr>
                    <w:t>后通过市政污水管网排入龙潭镇污水处理厂综合处理</w:t>
                  </w:r>
                </w:p>
              </w:tc>
              <w:tc>
                <w:tcPr>
                  <w:tcW w:w="1118" w:type="pct"/>
                  <w:noWrap w:val="0"/>
                  <w:vAlign w:val="center"/>
                </w:tcPr>
                <w:p w14:paraId="406EEB21">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hAnsi="宋体" w:eastAsia="宋体"/>
                      <w:color w:val="auto"/>
                      <w:szCs w:val="21"/>
                      <w:lang w:val="en-US" w:eastAsia="zh-CN"/>
                    </w:rPr>
                  </w:pPr>
                  <w:r>
                    <w:rPr>
                      <w:rFonts w:hint="eastAsia" w:ascii="Times New Roman" w:hAnsi="Times New Roman" w:eastAsia="宋体" w:cs="Times New Roman"/>
                      <w:color w:val="auto"/>
                      <w:kern w:val="0"/>
                      <w:sz w:val="21"/>
                      <w:szCs w:val="21"/>
                      <w:lang w:val="en-US" w:eastAsia="zh-CN" w:bidi="ar-SA"/>
                    </w:rPr>
                    <w:t>新建油水</w:t>
                  </w:r>
                  <w:r>
                    <w:rPr>
                      <w:rFonts w:hint="eastAsia"/>
                      <w:color w:val="auto"/>
                      <w:kern w:val="0"/>
                      <w:sz w:val="21"/>
                      <w:szCs w:val="21"/>
                      <w:lang w:val="en-US" w:eastAsia="zh-CN" w:bidi="ar-SA"/>
                    </w:rPr>
                    <w:t>分离器，化粪池依托租赁厂区已建</w:t>
                  </w:r>
                </w:p>
              </w:tc>
            </w:tr>
            <w:tr w14:paraId="155D2D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1BE89E66">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rPr>
                  </w:pPr>
                </w:p>
              </w:tc>
              <w:tc>
                <w:tcPr>
                  <w:tcW w:w="234" w:type="pct"/>
                  <w:vMerge w:val="continue"/>
                  <w:noWrap w:val="0"/>
                  <w:vAlign w:val="center"/>
                </w:tcPr>
                <w:p w14:paraId="647FD1AF">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bCs/>
                      <w:color w:val="auto"/>
                      <w:sz w:val="21"/>
                      <w:szCs w:val="21"/>
                    </w:rPr>
                  </w:pPr>
                </w:p>
              </w:tc>
              <w:tc>
                <w:tcPr>
                  <w:tcW w:w="706" w:type="pct"/>
                  <w:vMerge w:val="restart"/>
                  <w:noWrap w:val="0"/>
                  <w:vAlign w:val="center"/>
                </w:tcPr>
                <w:p w14:paraId="6749E0F1">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default"/>
                      <w:color w:val="auto"/>
                      <w:kern w:val="0"/>
                      <w:sz w:val="21"/>
                      <w:szCs w:val="21"/>
                      <w:lang w:val="en-US" w:eastAsia="zh-CN" w:bidi="ar-SA"/>
                    </w:rPr>
                  </w:pPr>
                  <w:r>
                    <w:rPr>
                      <w:rFonts w:hint="eastAsia"/>
                      <w:color w:val="auto"/>
                      <w:kern w:val="0"/>
                      <w:sz w:val="21"/>
                      <w:szCs w:val="21"/>
                      <w:lang w:val="en-US" w:eastAsia="zh-CN" w:bidi="ar-SA"/>
                    </w:rPr>
                    <w:t>生产废水</w:t>
                  </w:r>
                </w:p>
              </w:tc>
              <w:tc>
                <w:tcPr>
                  <w:tcW w:w="2532" w:type="pct"/>
                  <w:tcBorders>
                    <w:bottom w:val="single" w:color="auto" w:sz="4" w:space="0"/>
                  </w:tcBorders>
                  <w:noWrap w:val="0"/>
                  <w:vAlign w:val="center"/>
                </w:tcPr>
                <w:p w14:paraId="3712CF9F">
                  <w:pPr>
                    <w:pStyle w:val="9"/>
                    <w:keepNext w:val="0"/>
                    <w:keepLines w:val="0"/>
                    <w:pageBreakBefore w:val="0"/>
                    <w:widowControl w:val="0"/>
                    <w:kinsoku/>
                    <w:wordWrap/>
                    <w:overflowPunct/>
                    <w:topLinePunct w:val="0"/>
                    <w:autoSpaceDE/>
                    <w:bidi w:val="0"/>
                    <w:adjustRightInd/>
                    <w:snapToGrid w:val="0"/>
                    <w:spacing w:after="0" w:line="240" w:lineRule="auto"/>
                    <w:ind w:firstLine="0" w:firstLineChars="0"/>
                    <w:jc w:val="center"/>
                    <w:rPr>
                      <w:rFonts w:hint="default"/>
                      <w:color w:val="auto"/>
                      <w:kern w:val="0"/>
                      <w:sz w:val="21"/>
                      <w:szCs w:val="21"/>
                      <w:lang w:val="en-US" w:eastAsia="zh-CN" w:bidi="ar-SA"/>
                    </w:rPr>
                  </w:pPr>
                  <w:r>
                    <w:rPr>
                      <w:rFonts w:hint="eastAsia" w:hAnsi="宋体" w:eastAsia="宋体"/>
                      <w:color w:val="auto"/>
                      <w:szCs w:val="21"/>
                      <w:lang w:val="en-US" w:eastAsia="zh-CN"/>
                    </w:rPr>
                    <w:t>清洗</w:t>
                  </w:r>
                  <w:r>
                    <w:rPr>
                      <w:rFonts w:hint="eastAsia" w:hAnsi="宋体"/>
                      <w:color w:val="auto"/>
                      <w:szCs w:val="21"/>
                      <w:lang w:val="en-US" w:eastAsia="zh-CN"/>
                    </w:rPr>
                    <w:t>废</w:t>
                  </w:r>
                  <w:r>
                    <w:rPr>
                      <w:rFonts w:hint="eastAsia" w:hAnsi="宋体" w:eastAsia="宋体"/>
                      <w:color w:val="auto"/>
                      <w:szCs w:val="21"/>
                      <w:lang w:val="en-US" w:eastAsia="zh-CN"/>
                    </w:rPr>
                    <w:t>水</w:t>
                  </w:r>
                  <w:r>
                    <w:rPr>
                      <w:rFonts w:hint="eastAsia" w:hAnsi="宋体"/>
                      <w:color w:val="auto"/>
                      <w:szCs w:val="21"/>
                      <w:lang w:val="en-US" w:eastAsia="zh-CN"/>
                    </w:rPr>
                    <w:t>经三级沉淀池处理后</w:t>
                  </w:r>
                  <w:r>
                    <w:rPr>
                      <w:rFonts w:hint="eastAsia" w:hAnsi="宋体" w:eastAsia="宋体"/>
                      <w:color w:val="auto"/>
                      <w:szCs w:val="21"/>
                      <w:lang w:val="en-US" w:eastAsia="zh-CN"/>
                    </w:rPr>
                    <w:t>循环利用</w:t>
                  </w:r>
                  <w:r>
                    <w:rPr>
                      <w:rFonts w:hint="eastAsia" w:hAnsi="宋体"/>
                      <w:color w:val="auto"/>
                      <w:szCs w:val="21"/>
                      <w:lang w:val="en-US" w:eastAsia="zh-CN"/>
                    </w:rPr>
                    <w:t>，少量溢出上清液</w:t>
                  </w:r>
                  <w:r>
                    <w:rPr>
                      <w:rFonts w:hint="eastAsia"/>
                      <w:color w:val="auto"/>
                      <w:kern w:val="0"/>
                      <w:sz w:val="21"/>
                      <w:szCs w:val="21"/>
                      <w:lang w:val="en-US" w:eastAsia="zh-CN" w:bidi="ar-SA"/>
                    </w:rPr>
                    <w:t>通过市政污水管网排入龙潭镇污水处理厂综合处理</w:t>
                  </w:r>
                </w:p>
              </w:tc>
              <w:tc>
                <w:tcPr>
                  <w:tcW w:w="1118" w:type="pct"/>
                  <w:tcBorders>
                    <w:bottom w:val="single" w:color="auto" w:sz="4" w:space="0"/>
                  </w:tcBorders>
                  <w:noWrap w:val="0"/>
                  <w:vAlign w:val="center"/>
                </w:tcPr>
                <w:p w14:paraId="6DD7BFDC">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hAnsi="宋体" w:eastAsia="宋体"/>
                      <w:color w:val="auto"/>
                      <w:szCs w:val="21"/>
                      <w:lang w:val="en-US" w:eastAsia="zh-CN"/>
                    </w:rPr>
                  </w:pPr>
                  <w:r>
                    <w:rPr>
                      <w:rFonts w:hint="eastAsia"/>
                      <w:color w:val="auto"/>
                      <w:kern w:val="0"/>
                      <w:sz w:val="21"/>
                      <w:szCs w:val="21"/>
                      <w:lang w:val="en-US" w:eastAsia="zh-CN" w:bidi="ar-SA"/>
                    </w:rPr>
                    <w:t>增建清洗区3级沉淀循环池，容积共15m</w:t>
                  </w:r>
                  <w:r>
                    <w:rPr>
                      <w:rFonts w:hint="eastAsia"/>
                      <w:color w:val="auto"/>
                      <w:kern w:val="0"/>
                      <w:sz w:val="21"/>
                      <w:szCs w:val="21"/>
                      <w:vertAlign w:val="superscript"/>
                      <w:lang w:val="en-US" w:eastAsia="zh-CN" w:bidi="ar-SA"/>
                    </w:rPr>
                    <w:t>3</w:t>
                  </w:r>
                </w:p>
              </w:tc>
            </w:tr>
            <w:tr w14:paraId="596997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2CBE842C">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rPr>
                  </w:pPr>
                </w:p>
              </w:tc>
              <w:tc>
                <w:tcPr>
                  <w:tcW w:w="234" w:type="pct"/>
                  <w:vMerge w:val="continue"/>
                  <w:noWrap w:val="0"/>
                  <w:vAlign w:val="center"/>
                </w:tcPr>
                <w:p w14:paraId="50620BFE">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bCs/>
                      <w:color w:val="auto"/>
                      <w:sz w:val="21"/>
                      <w:szCs w:val="21"/>
                    </w:rPr>
                  </w:pPr>
                </w:p>
              </w:tc>
              <w:tc>
                <w:tcPr>
                  <w:tcW w:w="706" w:type="pct"/>
                  <w:vMerge w:val="continue"/>
                  <w:noWrap w:val="0"/>
                  <w:vAlign w:val="center"/>
                </w:tcPr>
                <w:p w14:paraId="36B7F1F2">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color w:val="auto"/>
                      <w:kern w:val="0"/>
                      <w:sz w:val="21"/>
                      <w:szCs w:val="21"/>
                      <w:lang w:val="en-US" w:eastAsia="zh-CN" w:bidi="ar-SA"/>
                    </w:rPr>
                  </w:pPr>
                </w:p>
              </w:tc>
              <w:tc>
                <w:tcPr>
                  <w:tcW w:w="2532" w:type="pct"/>
                  <w:tcBorders>
                    <w:top w:val="single" w:color="auto" w:sz="4" w:space="0"/>
                  </w:tcBorders>
                  <w:noWrap w:val="0"/>
                  <w:vAlign w:val="center"/>
                </w:tcPr>
                <w:p w14:paraId="62184DE1">
                  <w:pPr>
                    <w:pStyle w:val="9"/>
                    <w:keepNext w:val="0"/>
                    <w:keepLines w:val="0"/>
                    <w:pageBreakBefore w:val="0"/>
                    <w:widowControl w:val="0"/>
                    <w:kinsoku/>
                    <w:wordWrap/>
                    <w:overflowPunct/>
                    <w:topLinePunct w:val="0"/>
                    <w:autoSpaceDE/>
                    <w:bidi w:val="0"/>
                    <w:adjustRightInd/>
                    <w:snapToGrid w:val="0"/>
                    <w:spacing w:after="0" w:line="240" w:lineRule="auto"/>
                    <w:ind w:firstLine="0" w:firstLineChars="0"/>
                    <w:jc w:val="center"/>
                    <w:rPr>
                      <w:rFonts w:hint="default" w:hAnsi="宋体" w:eastAsia="宋体"/>
                      <w:color w:val="auto"/>
                      <w:szCs w:val="21"/>
                      <w:lang w:val="en-US" w:eastAsia="zh-CN"/>
                    </w:rPr>
                  </w:pPr>
                  <w:r>
                    <w:rPr>
                      <w:rFonts w:hint="eastAsia" w:hAnsi="宋体"/>
                      <w:color w:val="auto"/>
                      <w:szCs w:val="21"/>
                      <w:lang w:val="en-US" w:eastAsia="zh-CN"/>
                    </w:rPr>
                    <w:t>地面清洗废水经沉淀池处理后用于厂区绿化</w:t>
                  </w:r>
                </w:p>
              </w:tc>
              <w:tc>
                <w:tcPr>
                  <w:tcW w:w="1118" w:type="pct"/>
                  <w:tcBorders>
                    <w:top w:val="single" w:color="auto" w:sz="4" w:space="0"/>
                  </w:tcBorders>
                  <w:noWrap w:val="0"/>
                  <w:vAlign w:val="center"/>
                </w:tcPr>
                <w:p w14:paraId="677266F5">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color w:val="auto"/>
                      <w:kern w:val="0"/>
                      <w:sz w:val="21"/>
                      <w:szCs w:val="21"/>
                      <w:lang w:val="en-US" w:eastAsia="zh-CN" w:bidi="ar-SA"/>
                    </w:rPr>
                  </w:pPr>
                  <w:r>
                    <w:rPr>
                      <w:rFonts w:hint="eastAsia" w:hAnsi="宋体"/>
                      <w:color w:val="auto"/>
                      <w:szCs w:val="21"/>
                      <w:lang w:val="en-US" w:eastAsia="zh-CN"/>
                    </w:rPr>
                    <w:t>利用租赁厂区已建沉淀池</w:t>
                  </w:r>
                </w:p>
              </w:tc>
            </w:tr>
            <w:tr w14:paraId="51E761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62BE8087">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rPr>
                  </w:pPr>
                </w:p>
              </w:tc>
              <w:tc>
                <w:tcPr>
                  <w:tcW w:w="234" w:type="pct"/>
                  <w:vMerge w:val="restart"/>
                  <w:noWrap w:val="0"/>
                  <w:vAlign w:val="center"/>
                </w:tcPr>
                <w:p w14:paraId="23BD09B4">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bCs/>
                      <w:color w:val="auto"/>
                      <w:sz w:val="21"/>
                      <w:szCs w:val="21"/>
                    </w:rPr>
                  </w:pPr>
                  <w:r>
                    <w:rPr>
                      <w:rFonts w:hint="eastAsia"/>
                      <w:bCs/>
                      <w:color w:val="auto"/>
                      <w:sz w:val="21"/>
                      <w:szCs w:val="21"/>
                    </w:rPr>
                    <w:t>废气</w:t>
                  </w:r>
                </w:p>
              </w:tc>
              <w:tc>
                <w:tcPr>
                  <w:tcW w:w="706" w:type="pct"/>
                  <w:tcBorders>
                    <w:bottom w:val="single" w:color="auto" w:sz="4" w:space="0"/>
                  </w:tcBorders>
                  <w:noWrap w:val="0"/>
                  <w:vAlign w:val="center"/>
                </w:tcPr>
                <w:p w14:paraId="489AC4BD">
                  <w:pPr>
                    <w:pStyle w:val="9"/>
                    <w:keepNext w:val="0"/>
                    <w:keepLines w:val="0"/>
                    <w:pageBreakBefore w:val="0"/>
                    <w:widowControl w:val="0"/>
                    <w:kinsoku/>
                    <w:wordWrap/>
                    <w:overflowPunct/>
                    <w:topLinePunct w:val="0"/>
                    <w:autoSpaceDE/>
                    <w:bidi w:val="0"/>
                    <w:adjustRightInd/>
                    <w:snapToGrid w:val="0"/>
                    <w:spacing w:before="0" w:after="0" w:line="240" w:lineRule="auto"/>
                    <w:ind w:right="0" w:rightChars="0" w:firstLine="0" w:firstLineChars="0"/>
                    <w:jc w:val="center"/>
                    <w:rPr>
                      <w:rFonts w:hint="default" w:eastAsia="宋体"/>
                      <w:color w:val="auto"/>
                      <w:sz w:val="21"/>
                      <w:szCs w:val="21"/>
                      <w:lang w:val="en-US" w:eastAsia="zh-CN"/>
                    </w:rPr>
                  </w:pPr>
                  <w:r>
                    <w:rPr>
                      <w:rFonts w:hint="eastAsia" w:ascii="Times New Roman" w:hAnsi="宋体" w:eastAsia="宋体" w:cs="Times New Roman"/>
                      <w:color w:val="auto"/>
                      <w:szCs w:val="21"/>
                      <w:u w:val="single"/>
                      <w:lang w:val="en-US" w:eastAsia="zh-CN"/>
                    </w:rPr>
                    <w:t>蒸汽发生器废气</w:t>
                  </w:r>
                </w:p>
              </w:tc>
              <w:tc>
                <w:tcPr>
                  <w:tcW w:w="2532" w:type="pct"/>
                  <w:tcBorders>
                    <w:bottom w:val="single" w:color="auto" w:sz="4" w:space="0"/>
                  </w:tcBorders>
                  <w:noWrap w:val="0"/>
                  <w:vAlign w:val="center"/>
                </w:tcPr>
                <w:p w14:paraId="39994E1E">
                  <w:pPr>
                    <w:pStyle w:val="9"/>
                    <w:keepNext w:val="0"/>
                    <w:keepLines w:val="0"/>
                    <w:pageBreakBefore w:val="0"/>
                    <w:widowControl w:val="0"/>
                    <w:kinsoku/>
                    <w:wordWrap/>
                    <w:overflowPunct/>
                    <w:topLinePunct w:val="0"/>
                    <w:autoSpaceDE/>
                    <w:bidi w:val="0"/>
                    <w:adjustRightInd/>
                    <w:snapToGrid w:val="0"/>
                    <w:spacing w:before="0" w:after="0" w:line="240" w:lineRule="auto"/>
                    <w:ind w:right="0" w:rightChars="0" w:firstLine="0" w:firstLineChars="0"/>
                    <w:jc w:val="center"/>
                    <w:rPr>
                      <w:rFonts w:hint="default" w:hAnsi="宋体" w:eastAsia="宋体"/>
                      <w:color w:val="auto"/>
                      <w:sz w:val="21"/>
                      <w:szCs w:val="21"/>
                      <w:lang w:val="en-US" w:eastAsia="zh-CN"/>
                    </w:rPr>
                  </w:pPr>
                  <w:r>
                    <w:rPr>
                      <w:rFonts w:hint="default" w:ascii="Times New Roman" w:hAnsi="宋体" w:eastAsia="宋体" w:cs="Times New Roman"/>
                      <w:color w:val="auto"/>
                      <w:szCs w:val="21"/>
                      <w:u w:val="single"/>
                      <w:lang w:val="en-US" w:eastAsia="zh-CN"/>
                    </w:rPr>
                    <w:t>低氮燃烧装置、</w:t>
                  </w:r>
                  <w:r>
                    <w:rPr>
                      <w:rFonts w:hint="eastAsia" w:ascii="Times New Roman" w:hAnsi="宋体" w:eastAsia="宋体" w:cs="Times New Roman"/>
                      <w:color w:val="auto"/>
                      <w:szCs w:val="21"/>
                      <w:u w:val="single"/>
                      <w:lang w:val="en-US" w:eastAsia="zh-CN"/>
                    </w:rPr>
                    <w:t>布袋</w:t>
                  </w:r>
                  <w:r>
                    <w:rPr>
                      <w:rFonts w:hint="default" w:ascii="Times New Roman" w:hAnsi="宋体" w:eastAsia="宋体" w:cs="Times New Roman"/>
                      <w:color w:val="auto"/>
                      <w:szCs w:val="21"/>
                      <w:u w:val="single"/>
                      <w:lang w:val="en-US" w:eastAsia="zh-CN"/>
                    </w:rPr>
                    <w:t>除尘处理后+</w:t>
                  </w:r>
                  <w:r>
                    <w:rPr>
                      <w:rFonts w:hint="eastAsia" w:ascii="Times New Roman" w:hAnsi="宋体" w:eastAsia="宋体" w:cs="Times New Roman"/>
                      <w:color w:val="auto"/>
                      <w:szCs w:val="21"/>
                      <w:u w:val="single"/>
                      <w:lang w:val="en-US" w:eastAsia="zh-CN"/>
                    </w:rPr>
                    <w:t>1</w:t>
                  </w:r>
                  <w:r>
                    <w:rPr>
                      <w:rFonts w:hint="default" w:ascii="Times New Roman" w:hAnsi="宋体" w:eastAsia="宋体" w:cs="Times New Roman"/>
                      <w:color w:val="auto"/>
                      <w:szCs w:val="21"/>
                      <w:u w:val="single"/>
                      <w:lang w:val="en-US" w:eastAsia="zh-CN"/>
                    </w:rPr>
                    <w:t>5m高排气筒</w:t>
                  </w:r>
                  <w:r>
                    <w:rPr>
                      <w:rFonts w:hint="eastAsia" w:ascii="Times New Roman" w:hAnsi="宋体" w:eastAsia="宋体" w:cs="Times New Roman"/>
                      <w:color w:val="auto"/>
                      <w:szCs w:val="21"/>
                      <w:u w:val="single"/>
                      <w:lang w:val="en-US" w:eastAsia="zh-CN"/>
                    </w:rPr>
                    <w:t>（DA001）</w:t>
                  </w:r>
                  <w:r>
                    <w:rPr>
                      <w:rFonts w:hint="default" w:ascii="Times New Roman" w:hAnsi="宋体" w:eastAsia="宋体" w:cs="Times New Roman"/>
                      <w:color w:val="auto"/>
                      <w:szCs w:val="21"/>
                      <w:u w:val="single"/>
                      <w:lang w:val="en-US" w:eastAsia="zh-CN"/>
                    </w:rPr>
                    <w:t>排放</w:t>
                  </w:r>
                </w:p>
              </w:tc>
              <w:tc>
                <w:tcPr>
                  <w:tcW w:w="1118" w:type="pct"/>
                  <w:tcBorders>
                    <w:bottom w:val="single" w:color="auto" w:sz="4" w:space="0"/>
                  </w:tcBorders>
                  <w:noWrap w:val="0"/>
                  <w:vAlign w:val="center"/>
                </w:tcPr>
                <w:p w14:paraId="49C11965">
                  <w:pPr>
                    <w:keepNext w:val="0"/>
                    <w:keepLines w:val="0"/>
                    <w:pageBreakBefore w:val="0"/>
                    <w:widowControl w:val="0"/>
                    <w:kinsoku/>
                    <w:wordWrap/>
                    <w:overflowPunct/>
                    <w:topLinePunct w:val="0"/>
                    <w:autoSpaceDE/>
                    <w:autoSpaceDN w:val="0"/>
                    <w:bidi w:val="0"/>
                    <w:adjustRightInd/>
                    <w:ind w:firstLineChars="0"/>
                    <w:jc w:val="center"/>
                    <w:textAlignment w:val="center"/>
                    <w:rPr>
                      <w:rFonts w:hint="default" w:hAnsi="宋体"/>
                      <w:color w:val="auto"/>
                      <w:szCs w:val="21"/>
                      <w:u w:val="none"/>
                      <w:lang w:val="en-US"/>
                    </w:rPr>
                  </w:pPr>
                  <w:r>
                    <w:rPr>
                      <w:rFonts w:hint="eastAsia" w:cs="Times New Roman"/>
                      <w:color w:val="auto"/>
                      <w:u w:val="none"/>
                      <w:lang w:val="en-US" w:eastAsia="zh-CN"/>
                    </w:rPr>
                    <w:t>新建废气处理装置</w:t>
                  </w:r>
                </w:p>
              </w:tc>
            </w:tr>
            <w:tr w14:paraId="5A23D2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10FE487E">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rPr>
                  </w:pPr>
                </w:p>
              </w:tc>
              <w:tc>
                <w:tcPr>
                  <w:tcW w:w="234" w:type="pct"/>
                  <w:vMerge w:val="continue"/>
                  <w:noWrap w:val="0"/>
                  <w:vAlign w:val="center"/>
                </w:tcPr>
                <w:p w14:paraId="33F69FE0">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bCs/>
                      <w:color w:val="auto"/>
                      <w:sz w:val="21"/>
                      <w:szCs w:val="21"/>
                    </w:rPr>
                  </w:pPr>
                </w:p>
              </w:tc>
              <w:tc>
                <w:tcPr>
                  <w:tcW w:w="706" w:type="pct"/>
                  <w:tcBorders>
                    <w:bottom w:val="single" w:color="auto" w:sz="4" w:space="0"/>
                  </w:tcBorders>
                  <w:noWrap w:val="0"/>
                  <w:vAlign w:val="center"/>
                </w:tcPr>
                <w:p w14:paraId="0D01366A">
                  <w:pPr>
                    <w:pStyle w:val="9"/>
                    <w:keepNext w:val="0"/>
                    <w:keepLines w:val="0"/>
                    <w:pageBreakBefore w:val="0"/>
                    <w:widowControl w:val="0"/>
                    <w:kinsoku/>
                    <w:wordWrap/>
                    <w:overflowPunct/>
                    <w:topLinePunct w:val="0"/>
                    <w:autoSpaceDE/>
                    <w:bidi w:val="0"/>
                    <w:adjustRightInd/>
                    <w:snapToGrid w:val="0"/>
                    <w:spacing w:before="0" w:after="0" w:line="240" w:lineRule="auto"/>
                    <w:ind w:right="0" w:rightChars="0" w:firstLine="0" w:firstLineChars="0"/>
                    <w:jc w:val="center"/>
                    <w:rPr>
                      <w:rFonts w:hint="eastAsia" w:eastAsia="宋体"/>
                      <w:color w:val="auto"/>
                      <w:sz w:val="21"/>
                      <w:szCs w:val="21"/>
                      <w:lang w:val="en-US" w:eastAsia="zh-CN"/>
                    </w:rPr>
                  </w:pPr>
                  <w:r>
                    <w:rPr>
                      <w:rFonts w:hint="eastAsia" w:ascii="Times New Roman" w:hAnsi="宋体" w:eastAsia="宋体" w:cs="Times New Roman"/>
                      <w:color w:val="auto"/>
                      <w:szCs w:val="21"/>
                      <w:u w:val="single"/>
                      <w:lang w:val="en-US" w:eastAsia="zh-CN"/>
                    </w:rPr>
                    <w:t>热风炉废气</w:t>
                  </w:r>
                </w:p>
              </w:tc>
              <w:tc>
                <w:tcPr>
                  <w:tcW w:w="2532" w:type="pct"/>
                  <w:tcBorders>
                    <w:bottom w:val="single" w:color="auto" w:sz="4" w:space="0"/>
                  </w:tcBorders>
                  <w:noWrap w:val="0"/>
                  <w:vAlign w:val="center"/>
                </w:tcPr>
                <w:p w14:paraId="5243718B">
                  <w:pPr>
                    <w:pStyle w:val="9"/>
                    <w:keepNext w:val="0"/>
                    <w:keepLines w:val="0"/>
                    <w:pageBreakBefore w:val="0"/>
                    <w:widowControl w:val="0"/>
                    <w:kinsoku/>
                    <w:wordWrap/>
                    <w:overflowPunct/>
                    <w:topLinePunct w:val="0"/>
                    <w:autoSpaceDE/>
                    <w:bidi w:val="0"/>
                    <w:adjustRightInd/>
                    <w:snapToGrid w:val="0"/>
                    <w:spacing w:before="0" w:after="0" w:line="240" w:lineRule="auto"/>
                    <w:ind w:right="0" w:rightChars="0" w:firstLine="0" w:firstLineChars="0"/>
                    <w:jc w:val="center"/>
                    <w:rPr>
                      <w:rFonts w:hint="eastAsia" w:hAnsi="宋体" w:eastAsia="宋体"/>
                      <w:color w:val="auto"/>
                      <w:sz w:val="21"/>
                      <w:szCs w:val="21"/>
                      <w:lang w:val="en-US" w:eastAsia="zh-CN"/>
                    </w:rPr>
                  </w:pPr>
                  <w:r>
                    <w:rPr>
                      <w:rFonts w:hint="default" w:ascii="Times New Roman" w:hAnsi="宋体" w:eastAsia="宋体" w:cs="Times New Roman"/>
                      <w:color w:val="auto"/>
                      <w:szCs w:val="21"/>
                      <w:u w:val="single"/>
                      <w:lang w:val="en-US" w:eastAsia="zh-CN"/>
                    </w:rPr>
                    <w:t>低氮燃烧、</w:t>
                  </w:r>
                  <w:r>
                    <w:rPr>
                      <w:rFonts w:hint="eastAsia" w:hAnsi="宋体" w:cs="Times New Roman"/>
                      <w:color w:val="auto"/>
                      <w:szCs w:val="21"/>
                      <w:u w:val="single"/>
                      <w:lang w:val="en-US" w:eastAsia="zh-CN"/>
                    </w:rPr>
                    <w:t>“布袋除尘+活性炭”</w:t>
                  </w:r>
                  <w:r>
                    <w:rPr>
                      <w:rFonts w:hint="default" w:ascii="Times New Roman" w:hAnsi="宋体" w:eastAsia="宋体" w:cs="Times New Roman"/>
                      <w:color w:val="auto"/>
                      <w:szCs w:val="21"/>
                      <w:u w:val="single"/>
                      <w:lang w:val="en-US" w:eastAsia="zh-CN"/>
                    </w:rPr>
                    <w:t>+15m排气筒</w:t>
                  </w:r>
                  <w:r>
                    <w:rPr>
                      <w:rFonts w:hint="eastAsia" w:ascii="Times New Roman" w:hAnsi="宋体" w:eastAsia="宋体" w:cs="Times New Roman"/>
                      <w:color w:val="auto"/>
                      <w:szCs w:val="21"/>
                      <w:u w:val="single"/>
                      <w:lang w:val="en-US" w:eastAsia="zh-CN"/>
                    </w:rPr>
                    <w:t>（DA002）</w:t>
                  </w:r>
                  <w:r>
                    <w:rPr>
                      <w:rFonts w:hint="default" w:ascii="Times New Roman" w:hAnsi="宋体" w:eastAsia="宋体" w:cs="Times New Roman"/>
                      <w:color w:val="auto"/>
                      <w:szCs w:val="21"/>
                      <w:u w:val="single"/>
                      <w:lang w:val="en-US" w:eastAsia="zh-CN"/>
                    </w:rPr>
                    <w:t>高空排放</w:t>
                  </w:r>
                </w:p>
              </w:tc>
              <w:tc>
                <w:tcPr>
                  <w:tcW w:w="1118" w:type="pct"/>
                  <w:tcBorders>
                    <w:bottom w:val="single" w:color="auto" w:sz="4" w:space="0"/>
                  </w:tcBorders>
                  <w:noWrap w:val="0"/>
                  <w:vAlign w:val="center"/>
                </w:tcPr>
                <w:p w14:paraId="2360EE34">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s="Times New Roman"/>
                      <w:color w:val="auto"/>
                      <w:u w:val="none"/>
                      <w:lang w:val="en-US" w:eastAsia="zh-CN"/>
                    </w:rPr>
                  </w:pPr>
                  <w:r>
                    <w:rPr>
                      <w:rFonts w:hint="eastAsia" w:cs="Times New Roman"/>
                      <w:color w:val="auto"/>
                      <w:u w:val="none"/>
                      <w:lang w:val="en-US" w:eastAsia="zh-CN"/>
                    </w:rPr>
                    <w:t>新建废气处理装置</w:t>
                  </w:r>
                </w:p>
              </w:tc>
            </w:tr>
            <w:tr w14:paraId="0C8100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79963A16">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rPr>
                  </w:pPr>
                </w:p>
              </w:tc>
              <w:tc>
                <w:tcPr>
                  <w:tcW w:w="234" w:type="pct"/>
                  <w:vMerge w:val="continue"/>
                  <w:noWrap w:val="0"/>
                  <w:vAlign w:val="center"/>
                </w:tcPr>
                <w:p w14:paraId="7754744A">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bCs/>
                      <w:color w:val="auto"/>
                      <w:sz w:val="21"/>
                      <w:szCs w:val="21"/>
                    </w:rPr>
                  </w:pPr>
                </w:p>
              </w:tc>
              <w:tc>
                <w:tcPr>
                  <w:tcW w:w="706" w:type="pct"/>
                  <w:tcBorders>
                    <w:top w:val="single" w:color="auto" w:sz="4" w:space="0"/>
                    <w:bottom w:val="single" w:color="auto" w:sz="4" w:space="0"/>
                  </w:tcBorders>
                  <w:noWrap w:val="0"/>
                  <w:vAlign w:val="center"/>
                </w:tcPr>
                <w:p w14:paraId="1058E966">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破碎粉尘</w:t>
                  </w:r>
                </w:p>
              </w:tc>
              <w:tc>
                <w:tcPr>
                  <w:tcW w:w="2532" w:type="pct"/>
                  <w:tcBorders>
                    <w:top w:val="single" w:color="auto" w:sz="4" w:space="0"/>
                    <w:bottom w:val="single" w:color="auto" w:sz="4" w:space="0"/>
                  </w:tcBorders>
                  <w:noWrap w:val="0"/>
                  <w:vAlign w:val="center"/>
                </w:tcPr>
                <w:p w14:paraId="0B5D1622">
                  <w:pPr>
                    <w:pStyle w:val="9"/>
                    <w:keepNext w:val="0"/>
                    <w:keepLines w:val="0"/>
                    <w:pageBreakBefore w:val="0"/>
                    <w:widowControl w:val="0"/>
                    <w:kinsoku/>
                    <w:wordWrap/>
                    <w:overflowPunct/>
                    <w:topLinePunct w:val="0"/>
                    <w:autoSpaceDE/>
                    <w:bidi w:val="0"/>
                    <w:adjustRightInd/>
                    <w:snapToGrid w:val="0"/>
                    <w:spacing w:after="0" w:line="240" w:lineRule="auto"/>
                    <w:ind w:firstLine="0" w:firstLineChars="0"/>
                    <w:jc w:val="center"/>
                    <w:rPr>
                      <w:rFonts w:hint="default" w:hAnsi="宋体" w:eastAsia="宋体"/>
                      <w:color w:val="auto"/>
                      <w:sz w:val="21"/>
                      <w:szCs w:val="21"/>
                      <w:lang w:val="en-US" w:eastAsia="zh-CN"/>
                    </w:rPr>
                  </w:pPr>
                  <w:r>
                    <w:rPr>
                      <w:rFonts w:hint="eastAsia" w:hAnsi="宋体"/>
                      <w:color w:val="auto"/>
                      <w:sz w:val="21"/>
                      <w:szCs w:val="21"/>
                      <w:lang w:val="en-US" w:eastAsia="zh-CN"/>
                    </w:rPr>
                    <w:t>设备自带布袋除尘器处理后在车间内无组织排放</w:t>
                  </w:r>
                </w:p>
              </w:tc>
              <w:tc>
                <w:tcPr>
                  <w:tcW w:w="1118" w:type="pct"/>
                  <w:tcBorders>
                    <w:top w:val="single" w:color="auto" w:sz="4" w:space="0"/>
                    <w:bottom w:val="single" w:color="auto" w:sz="4" w:space="0"/>
                  </w:tcBorders>
                  <w:noWrap w:val="0"/>
                  <w:vAlign w:val="center"/>
                </w:tcPr>
                <w:p w14:paraId="4D7CA3EB">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hAnsi="宋体"/>
                      <w:color w:val="auto"/>
                      <w:szCs w:val="21"/>
                      <w:u w:val="none"/>
                    </w:rPr>
                  </w:pPr>
                  <w:r>
                    <w:rPr>
                      <w:rFonts w:hint="eastAsia" w:cs="Times New Roman"/>
                      <w:color w:val="auto"/>
                      <w:u w:val="none"/>
                      <w:lang w:val="en-US" w:eastAsia="zh-CN"/>
                    </w:rPr>
                    <w:t>新建废气处理装置</w:t>
                  </w:r>
                </w:p>
              </w:tc>
            </w:tr>
            <w:tr w14:paraId="50E286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31C4A3AB">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rPr>
                  </w:pPr>
                </w:p>
              </w:tc>
              <w:tc>
                <w:tcPr>
                  <w:tcW w:w="234" w:type="pct"/>
                  <w:vMerge w:val="continue"/>
                  <w:noWrap w:val="0"/>
                  <w:vAlign w:val="center"/>
                </w:tcPr>
                <w:p w14:paraId="7D112625">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bCs/>
                      <w:color w:val="auto"/>
                      <w:sz w:val="21"/>
                      <w:szCs w:val="21"/>
                    </w:rPr>
                  </w:pPr>
                </w:p>
              </w:tc>
              <w:tc>
                <w:tcPr>
                  <w:tcW w:w="706" w:type="pct"/>
                  <w:tcBorders>
                    <w:top w:val="single" w:color="auto" w:sz="4" w:space="0"/>
                  </w:tcBorders>
                  <w:noWrap w:val="0"/>
                  <w:vAlign w:val="center"/>
                </w:tcPr>
                <w:p w14:paraId="27E0F4CF">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食堂油烟</w:t>
                  </w:r>
                </w:p>
              </w:tc>
              <w:tc>
                <w:tcPr>
                  <w:tcW w:w="2532" w:type="pct"/>
                  <w:tcBorders>
                    <w:top w:val="single" w:color="auto" w:sz="4" w:space="0"/>
                  </w:tcBorders>
                  <w:noWrap w:val="0"/>
                  <w:vAlign w:val="center"/>
                </w:tcPr>
                <w:p w14:paraId="75EC110C">
                  <w:pPr>
                    <w:pStyle w:val="9"/>
                    <w:keepNext w:val="0"/>
                    <w:keepLines w:val="0"/>
                    <w:pageBreakBefore w:val="0"/>
                    <w:widowControl w:val="0"/>
                    <w:kinsoku/>
                    <w:wordWrap/>
                    <w:overflowPunct/>
                    <w:topLinePunct w:val="0"/>
                    <w:autoSpaceDE/>
                    <w:bidi w:val="0"/>
                    <w:adjustRightInd/>
                    <w:snapToGrid w:val="0"/>
                    <w:spacing w:after="0" w:line="240" w:lineRule="auto"/>
                    <w:ind w:firstLine="0" w:firstLineChars="0"/>
                    <w:jc w:val="center"/>
                    <w:rPr>
                      <w:rFonts w:hint="default" w:hAnsi="宋体" w:eastAsia="宋体"/>
                      <w:color w:val="auto"/>
                      <w:sz w:val="21"/>
                      <w:szCs w:val="21"/>
                      <w:lang w:val="en-US" w:eastAsia="zh-CN"/>
                    </w:rPr>
                  </w:pPr>
                  <w:r>
                    <w:rPr>
                      <w:rFonts w:hint="eastAsia" w:hAnsi="宋体"/>
                      <w:color w:val="auto"/>
                      <w:sz w:val="21"/>
                      <w:szCs w:val="21"/>
                      <w:lang w:val="en-US" w:eastAsia="zh-CN"/>
                    </w:rPr>
                    <w:t>经油烟净化装置处理后通过专用排气筒引至屋顶高空排放</w:t>
                  </w:r>
                </w:p>
              </w:tc>
              <w:tc>
                <w:tcPr>
                  <w:tcW w:w="1118" w:type="pct"/>
                  <w:tcBorders>
                    <w:top w:val="single" w:color="auto" w:sz="4" w:space="0"/>
                  </w:tcBorders>
                  <w:noWrap w:val="0"/>
                  <w:vAlign w:val="center"/>
                </w:tcPr>
                <w:p w14:paraId="3CAEDE25">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hAnsi="宋体"/>
                      <w:color w:val="auto"/>
                      <w:szCs w:val="21"/>
                      <w:u w:val="none"/>
                    </w:rPr>
                  </w:pPr>
                  <w:r>
                    <w:rPr>
                      <w:rFonts w:hint="eastAsia" w:cs="Times New Roman"/>
                      <w:color w:val="auto"/>
                      <w:u w:val="none"/>
                      <w:lang w:val="en-US" w:eastAsia="zh-CN"/>
                    </w:rPr>
                    <w:t>新建废气处理装置</w:t>
                  </w:r>
                </w:p>
              </w:tc>
            </w:tr>
            <w:tr w14:paraId="57F84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0732322D">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color w:val="auto"/>
                    </w:rPr>
                  </w:pPr>
                </w:p>
              </w:tc>
              <w:tc>
                <w:tcPr>
                  <w:tcW w:w="940" w:type="pct"/>
                  <w:gridSpan w:val="2"/>
                  <w:noWrap w:val="0"/>
                  <w:vAlign w:val="center"/>
                </w:tcPr>
                <w:p w14:paraId="6C63994A">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default" w:eastAsia="宋体"/>
                      <w:color w:val="auto"/>
                      <w:sz w:val="21"/>
                      <w:szCs w:val="21"/>
                      <w:u w:val="none"/>
                      <w:lang w:val="en-US" w:eastAsia="zh-CN"/>
                    </w:rPr>
                  </w:pPr>
                  <w:r>
                    <w:rPr>
                      <w:rFonts w:hint="eastAsia"/>
                      <w:color w:val="auto"/>
                      <w:sz w:val="21"/>
                      <w:szCs w:val="21"/>
                      <w:u w:val="none"/>
                      <w:lang w:val="en-US" w:eastAsia="zh-CN"/>
                    </w:rPr>
                    <w:t>噪声</w:t>
                  </w:r>
                </w:p>
              </w:tc>
              <w:tc>
                <w:tcPr>
                  <w:tcW w:w="2532" w:type="pct"/>
                  <w:tcBorders>
                    <w:top w:val="single" w:color="auto" w:sz="4" w:space="0"/>
                  </w:tcBorders>
                  <w:noWrap w:val="0"/>
                  <w:vAlign w:val="center"/>
                </w:tcPr>
                <w:p w14:paraId="22867B8B">
                  <w:pPr>
                    <w:pStyle w:val="9"/>
                    <w:keepNext w:val="0"/>
                    <w:keepLines w:val="0"/>
                    <w:pageBreakBefore w:val="0"/>
                    <w:widowControl w:val="0"/>
                    <w:kinsoku/>
                    <w:wordWrap/>
                    <w:overflowPunct/>
                    <w:topLinePunct w:val="0"/>
                    <w:autoSpaceDE/>
                    <w:bidi w:val="0"/>
                    <w:adjustRightInd/>
                    <w:snapToGrid w:val="0"/>
                    <w:spacing w:after="0" w:line="240" w:lineRule="auto"/>
                    <w:ind w:firstLine="0" w:firstLineChars="0"/>
                    <w:jc w:val="center"/>
                    <w:rPr>
                      <w:rFonts w:hint="default" w:hAnsi="宋体" w:eastAsia="宋体"/>
                      <w:color w:val="auto"/>
                      <w:sz w:val="21"/>
                      <w:szCs w:val="21"/>
                      <w:u w:val="none"/>
                      <w:lang w:val="en-US" w:eastAsia="zh-CN"/>
                    </w:rPr>
                  </w:pPr>
                  <w:r>
                    <w:rPr>
                      <w:rFonts w:hint="default" w:ascii="Times New Roman" w:hAnsi="Times New Roman" w:cs="Times New Roman"/>
                      <w:color w:val="auto"/>
                      <w:kern w:val="0"/>
                      <w:szCs w:val="21"/>
                      <w:u w:val="none"/>
                    </w:rPr>
                    <w:t>产噪设备基础安装减震垫</w:t>
                  </w:r>
                </w:p>
              </w:tc>
              <w:tc>
                <w:tcPr>
                  <w:tcW w:w="1118" w:type="pct"/>
                  <w:tcBorders>
                    <w:top w:val="single" w:color="auto" w:sz="4" w:space="0"/>
                  </w:tcBorders>
                  <w:noWrap w:val="0"/>
                  <w:vAlign w:val="center"/>
                </w:tcPr>
                <w:p w14:paraId="2A3AF582">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hAnsi="宋体"/>
                      <w:color w:val="auto"/>
                      <w:szCs w:val="21"/>
                      <w:u w:val="none"/>
                    </w:rPr>
                  </w:pPr>
                  <w:r>
                    <w:rPr>
                      <w:rFonts w:hint="eastAsia" w:cs="Times New Roman"/>
                      <w:color w:val="auto"/>
                      <w:u w:val="none"/>
                      <w:lang w:val="en-US" w:eastAsia="zh-CN"/>
                    </w:rPr>
                    <w:t>/</w:t>
                  </w:r>
                </w:p>
              </w:tc>
            </w:tr>
            <w:tr w14:paraId="7B2162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4E3EDD45">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restart"/>
                  <w:noWrap w:val="0"/>
                  <w:vAlign w:val="center"/>
                </w:tcPr>
                <w:p w14:paraId="5BFC5F54">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Ansi="宋体"/>
                      <w:color w:val="auto"/>
                      <w:sz w:val="21"/>
                      <w:szCs w:val="34"/>
                      <w:u w:val="none"/>
                    </w:rPr>
                  </w:pPr>
                  <w:r>
                    <w:rPr>
                      <w:rFonts w:hint="eastAsia" w:hAnsi="宋体"/>
                      <w:color w:val="auto"/>
                      <w:sz w:val="21"/>
                      <w:szCs w:val="34"/>
                      <w:u w:val="none"/>
                    </w:rPr>
                    <w:t>固废</w:t>
                  </w:r>
                </w:p>
              </w:tc>
              <w:tc>
                <w:tcPr>
                  <w:tcW w:w="706" w:type="pct"/>
                  <w:tcBorders>
                    <w:bottom w:val="single" w:color="auto" w:sz="4" w:space="0"/>
                  </w:tcBorders>
                  <w:noWrap w:val="0"/>
                  <w:vAlign w:val="center"/>
                </w:tcPr>
                <w:p w14:paraId="7FF08D10">
                  <w:pPr>
                    <w:widowControl/>
                    <w:spacing w:line="240" w:lineRule="atLeast"/>
                    <w:jc w:val="center"/>
                    <w:textAlignment w:val="center"/>
                    <w:rPr>
                      <w:rFonts w:hint="default" w:hAnsi="宋体" w:eastAsia="宋体"/>
                      <w:color w:val="auto"/>
                      <w:sz w:val="21"/>
                      <w:szCs w:val="34"/>
                      <w:u w:val="none"/>
                      <w:lang w:val="en-US" w:eastAsia="zh-CN"/>
                    </w:rPr>
                  </w:pPr>
                  <w:r>
                    <w:rPr>
                      <w:rFonts w:hint="default" w:ascii="Times New Roman" w:hAnsi="Times New Roman" w:cs="Times New Roman"/>
                      <w:color w:val="auto"/>
                      <w:kern w:val="0"/>
                      <w:szCs w:val="21"/>
                      <w:u w:val="none"/>
                    </w:rPr>
                    <w:t>生活垃圾</w:t>
                  </w:r>
                </w:p>
              </w:tc>
              <w:tc>
                <w:tcPr>
                  <w:tcW w:w="2532" w:type="pct"/>
                  <w:tcBorders>
                    <w:bottom w:val="single" w:color="auto" w:sz="4" w:space="0"/>
                  </w:tcBorders>
                  <w:noWrap w:val="0"/>
                  <w:vAlign w:val="center"/>
                </w:tcPr>
                <w:p w14:paraId="00690B61">
                  <w:pPr>
                    <w:spacing w:line="240" w:lineRule="atLeast"/>
                    <w:jc w:val="center"/>
                    <w:rPr>
                      <w:rFonts w:hint="eastAsia" w:hAnsi="宋体" w:eastAsia="宋体"/>
                      <w:color w:val="auto"/>
                      <w:sz w:val="21"/>
                      <w:szCs w:val="34"/>
                      <w:u w:val="none"/>
                      <w:lang w:val="en-US" w:eastAsia="zh-CN"/>
                    </w:rPr>
                  </w:pPr>
                  <w:r>
                    <w:rPr>
                      <w:rFonts w:hint="default" w:ascii="Times New Roman" w:hAnsi="Times New Roman" w:cs="Times New Roman"/>
                      <w:color w:val="auto"/>
                      <w:kern w:val="0"/>
                      <w:szCs w:val="21"/>
                      <w:u w:val="none"/>
                    </w:rPr>
                    <w:t>交给环卫部门清运</w:t>
                  </w:r>
                </w:p>
              </w:tc>
              <w:tc>
                <w:tcPr>
                  <w:tcW w:w="1118" w:type="pct"/>
                  <w:tcBorders>
                    <w:bottom w:val="single" w:color="auto" w:sz="4" w:space="0"/>
                  </w:tcBorders>
                  <w:noWrap w:val="0"/>
                  <w:vAlign w:val="center"/>
                </w:tcPr>
                <w:p w14:paraId="7C407EB2">
                  <w:pPr>
                    <w:spacing w:line="240" w:lineRule="atLeast"/>
                    <w:jc w:val="center"/>
                    <w:rPr>
                      <w:rFonts w:hint="eastAsia" w:hAnsi="宋体"/>
                      <w:color w:val="auto"/>
                      <w:szCs w:val="21"/>
                      <w:u w:val="none"/>
                    </w:rPr>
                  </w:pPr>
                  <w:r>
                    <w:rPr>
                      <w:rFonts w:hint="eastAsia" w:cs="Times New Roman"/>
                      <w:color w:val="auto"/>
                      <w:u w:val="none"/>
                      <w:lang w:val="en-US" w:eastAsia="zh-CN"/>
                    </w:rPr>
                    <w:t>/</w:t>
                  </w:r>
                </w:p>
              </w:tc>
            </w:tr>
            <w:tr w14:paraId="49DCD5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507B0F44">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5E6B1BE6">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u w:val="none"/>
                    </w:rPr>
                  </w:pPr>
                </w:p>
              </w:tc>
              <w:tc>
                <w:tcPr>
                  <w:tcW w:w="706" w:type="pct"/>
                  <w:tcBorders>
                    <w:bottom w:val="single" w:color="auto" w:sz="4" w:space="0"/>
                  </w:tcBorders>
                  <w:noWrap w:val="0"/>
                  <w:vAlign w:val="center"/>
                </w:tcPr>
                <w:p w14:paraId="4201F79D">
                  <w:pPr>
                    <w:spacing w:line="240" w:lineRule="atLeast"/>
                    <w:jc w:val="center"/>
                    <w:rPr>
                      <w:rFonts w:hint="eastAsia" w:hAnsi="宋体"/>
                      <w:color w:val="auto"/>
                      <w:sz w:val="21"/>
                      <w:szCs w:val="34"/>
                      <w:u w:val="none"/>
                      <w:lang w:val="en-US" w:eastAsia="zh-CN"/>
                    </w:rPr>
                  </w:pPr>
                  <w:r>
                    <w:rPr>
                      <w:rFonts w:hint="eastAsia" w:ascii="Times New Roman" w:hAnsi="Times New Roman" w:cs="Times New Roman"/>
                      <w:color w:val="auto"/>
                      <w:kern w:val="0"/>
                      <w:szCs w:val="21"/>
                      <w:u w:val="none"/>
                      <w:lang w:eastAsia="zh-CN"/>
                    </w:rPr>
                    <w:t>废包装袋</w:t>
                  </w:r>
                </w:p>
              </w:tc>
              <w:tc>
                <w:tcPr>
                  <w:tcW w:w="2532" w:type="pct"/>
                  <w:tcBorders>
                    <w:bottom w:val="single" w:color="auto" w:sz="4" w:space="0"/>
                  </w:tcBorders>
                  <w:noWrap w:val="0"/>
                  <w:vAlign w:val="center"/>
                </w:tcPr>
                <w:p w14:paraId="4E96F4E1">
                  <w:pPr>
                    <w:spacing w:line="240" w:lineRule="atLeast"/>
                    <w:jc w:val="center"/>
                    <w:rPr>
                      <w:rFonts w:hint="eastAsia" w:hAnsi="宋体"/>
                      <w:color w:val="auto"/>
                      <w:sz w:val="21"/>
                      <w:szCs w:val="34"/>
                      <w:u w:val="none"/>
                      <w:lang w:val="en-US" w:eastAsia="zh-CN"/>
                    </w:rPr>
                  </w:pPr>
                  <w:r>
                    <w:rPr>
                      <w:rFonts w:hint="eastAsia" w:ascii="Times New Roman" w:hAnsi="Times New Roman" w:eastAsia="宋体" w:cs="Times New Roman"/>
                      <w:color w:val="auto"/>
                      <w:kern w:val="0"/>
                      <w:szCs w:val="21"/>
                      <w:u w:val="none"/>
                      <w:lang w:eastAsia="zh-CN"/>
                    </w:rPr>
                    <w:t>外售物资回收公司</w:t>
                  </w:r>
                </w:p>
              </w:tc>
              <w:tc>
                <w:tcPr>
                  <w:tcW w:w="1118" w:type="pct"/>
                  <w:tcBorders>
                    <w:bottom w:val="single" w:color="auto" w:sz="4" w:space="0"/>
                  </w:tcBorders>
                  <w:noWrap w:val="0"/>
                  <w:vAlign w:val="center"/>
                </w:tcPr>
                <w:p w14:paraId="3A24D649">
                  <w:pPr>
                    <w:spacing w:line="240" w:lineRule="atLeast"/>
                    <w:jc w:val="center"/>
                    <w:rPr>
                      <w:rFonts w:hint="eastAsia" w:hAnsi="宋体"/>
                      <w:color w:val="auto"/>
                      <w:szCs w:val="21"/>
                      <w:u w:val="none"/>
                    </w:rPr>
                  </w:pPr>
                  <w:r>
                    <w:rPr>
                      <w:rFonts w:hint="eastAsia" w:ascii="Times New Roman" w:hAnsi="Times New Roman" w:eastAsia="宋体" w:cs="Times New Roman"/>
                      <w:color w:val="auto"/>
                      <w:u w:val="none"/>
                      <w:lang w:val="en-US" w:eastAsia="zh-CN"/>
                    </w:rPr>
                    <w:t>/</w:t>
                  </w:r>
                </w:p>
              </w:tc>
            </w:tr>
            <w:tr w14:paraId="32A897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4C119779">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15386769">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u w:val="none"/>
                    </w:rPr>
                  </w:pPr>
                </w:p>
              </w:tc>
              <w:tc>
                <w:tcPr>
                  <w:tcW w:w="706" w:type="pct"/>
                  <w:tcBorders>
                    <w:bottom w:val="single" w:color="auto" w:sz="4" w:space="0"/>
                  </w:tcBorders>
                  <w:noWrap w:val="0"/>
                  <w:vAlign w:val="center"/>
                </w:tcPr>
                <w:p w14:paraId="0D60FD0F">
                  <w:pPr>
                    <w:spacing w:line="240" w:lineRule="atLeast"/>
                    <w:jc w:val="center"/>
                    <w:rPr>
                      <w:rFonts w:hint="eastAsia" w:ascii="Times New Roman" w:hAnsi="Times New Roman" w:cs="Times New Roman"/>
                      <w:color w:val="auto"/>
                      <w:kern w:val="0"/>
                      <w:szCs w:val="21"/>
                      <w:u w:val="none"/>
                      <w:lang w:eastAsia="zh-CN"/>
                    </w:rPr>
                  </w:pPr>
                  <w:r>
                    <w:rPr>
                      <w:rFonts w:hint="eastAsia" w:ascii="Times New Roman" w:hAnsi="Times New Roman" w:cs="Times New Roman"/>
                      <w:snapToGrid w:val="0"/>
                      <w:color w:val="auto"/>
                      <w:sz w:val="21"/>
                      <w:szCs w:val="21"/>
                      <w:u w:val="none"/>
                      <w:lang w:eastAsia="zh-CN"/>
                    </w:rPr>
                    <w:t>筛选废弃叶子、树枝</w:t>
                  </w:r>
                </w:p>
              </w:tc>
              <w:tc>
                <w:tcPr>
                  <w:tcW w:w="2532" w:type="pct"/>
                  <w:tcBorders>
                    <w:bottom w:val="single" w:color="auto" w:sz="4" w:space="0"/>
                  </w:tcBorders>
                  <w:noWrap w:val="0"/>
                  <w:vAlign w:val="center"/>
                </w:tcPr>
                <w:p w14:paraId="221ABFFA">
                  <w:pPr>
                    <w:spacing w:line="240" w:lineRule="atLeast"/>
                    <w:jc w:val="center"/>
                    <w:rPr>
                      <w:rFonts w:hint="eastAsia" w:ascii="Times New Roman" w:hAnsi="Times New Roman" w:eastAsia="宋体" w:cs="Times New Roman"/>
                      <w:color w:val="auto"/>
                      <w:kern w:val="0"/>
                      <w:szCs w:val="21"/>
                      <w:u w:val="none"/>
                      <w:lang w:eastAsia="zh-CN"/>
                    </w:rPr>
                  </w:pPr>
                  <w:r>
                    <w:rPr>
                      <w:rFonts w:hint="eastAsia" w:ascii="Times New Roman" w:hAnsi="Times New Roman" w:eastAsia="宋体" w:cs="Times New Roman"/>
                      <w:color w:val="auto"/>
                      <w:kern w:val="0"/>
                      <w:szCs w:val="21"/>
                      <w:u w:val="none"/>
                      <w:lang w:eastAsia="zh-CN"/>
                    </w:rPr>
                    <w:t>外售物资回收公司</w:t>
                  </w:r>
                </w:p>
              </w:tc>
              <w:tc>
                <w:tcPr>
                  <w:tcW w:w="1118" w:type="pct"/>
                  <w:tcBorders>
                    <w:bottom w:val="single" w:color="auto" w:sz="4" w:space="0"/>
                  </w:tcBorders>
                  <w:noWrap w:val="0"/>
                  <w:vAlign w:val="center"/>
                </w:tcPr>
                <w:p w14:paraId="0931DB7A">
                  <w:pPr>
                    <w:spacing w:line="240" w:lineRule="atLeast"/>
                    <w:jc w:val="center"/>
                    <w:rPr>
                      <w:rFonts w:hint="eastAsia" w:ascii="Times New Roman" w:hAnsi="Times New Roman" w:eastAsia="宋体" w:cs="Times New Roman"/>
                      <w:color w:val="auto"/>
                      <w:u w:val="none"/>
                      <w:lang w:val="en-US" w:eastAsia="zh-CN"/>
                    </w:rPr>
                  </w:pPr>
                </w:p>
              </w:tc>
            </w:tr>
            <w:tr w14:paraId="2567E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1D1C2CDF">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2E5C06DF">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u w:val="none"/>
                    </w:rPr>
                  </w:pPr>
                </w:p>
              </w:tc>
              <w:tc>
                <w:tcPr>
                  <w:tcW w:w="706" w:type="pct"/>
                  <w:tcBorders>
                    <w:bottom w:val="single" w:color="auto" w:sz="4" w:space="0"/>
                  </w:tcBorders>
                  <w:noWrap w:val="0"/>
                  <w:vAlign w:val="center"/>
                </w:tcPr>
                <w:p w14:paraId="0F212438">
                  <w:pPr>
                    <w:spacing w:line="240" w:lineRule="atLeast"/>
                    <w:jc w:val="center"/>
                    <w:rPr>
                      <w:rFonts w:hint="eastAsia" w:hAnsi="宋体"/>
                      <w:color w:val="auto"/>
                      <w:sz w:val="21"/>
                      <w:szCs w:val="34"/>
                      <w:u w:val="none"/>
                      <w:lang w:val="en-US" w:eastAsia="zh-CN"/>
                    </w:rPr>
                  </w:pPr>
                  <w:r>
                    <w:rPr>
                      <w:rFonts w:hint="eastAsia" w:cs="Times New Roman"/>
                      <w:color w:val="auto"/>
                      <w:kern w:val="0"/>
                      <w:szCs w:val="21"/>
                      <w:u w:val="none"/>
                      <w:lang w:val="en-US" w:eastAsia="zh-CN"/>
                    </w:rPr>
                    <w:t>灰渣</w:t>
                  </w:r>
                </w:p>
              </w:tc>
              <w:tc>
                <w:tcPr>
                  <w:tcW w:w="2532" w:type="pct"/>
                  <w:tcBorders>
                    <w:bottom w:val="single" w:color="auto" w:sz="4" w:space="0"/>
                  </w:tcBorders>
                  <w:noWrap w:val="0"/>
                  <w:vAlign w:val="center"/>
                </w:tcPr>
                <w:p w14:paraId="3045B214">
                  <w:pPr>
                    <w:spacing w:line="240" w:lineRule="atLeast"/>
                    <w:jc w:val="center"/>
                    <w:rPr>
                      <w:rFonts w:hint="eastAsia" w:hAnsi="宋体"/>
                      <w:color w:val="auto"/>
                      <w:sz w:val="21"/>
                      <w:szCs w:val="34"/>
                      <w:u w:val="none"/>
                      <w:lang w:val="en-US" w:eastAsia="zh-CN"/>
                    </w:rPr>
                  </w:pPr>
                  <w:r>
                    <w:rPr>
                      <w:rFonts w:hint="eastAsia" w:ascii="Times New Roman" w:hAnsi="Times New Roman" w:eastAsia="宋体" w:cs="Times New Roman"/>
                      <w:color w:val="auto"/>
                      <w:kern w:val="0"/>
                      <w:szCs w:val="21"/>
                      <w:u w:val="none"/>
                      <w:lang w:eastAsia="zh-CN"/>
                    </w:rPr>
                    <w:t>外售物资回收公司</w:t>
                  </w:r>
                </w:p>
              </w:tc>
              <w:tc>
                <w:tcPr>
                  <w:tcW w:w="1118" w:type="pct"/>
                  <w:tcBorders>
                    <w:bottom w:val="single" w:color="auto" w:sz="4" w:space="0"/>
                  </w:tcBorders>
                  <w:noWrap w:val="0"/>
                  <w:vAlign w:val="center"/>
                </w:tcPr>
                <w:p w14:paraId="50D7BF95">
                  <w:pPr>
                    <w:spacing w:line="240" w:lineRule="atLeast"/>
                    <w:jc w:val="center"/>
                    <w:rPr>
                      <w:rFonts w:hint="eastAsia" w:hAnsi="宋体"/>
                      <w:color w:val="auto"/>
                      <w:szCs w:val="21"/>
                      <w:u w:val="none"/>
                    </w:rPr>
                  </w:pPr>
                  <w:r>
                    <w:rPr>
                      <w:rFonts w:hint="eastAsia" w:cs="Times New Roman"/>
                      <w:color w:val="auto"/>
                      <w:u w:val="none"/>
                      <w:lang w:val="en-US" w:eastAsia="zh-CN"/>
                    </w:rPr>
                    <w:t>/</w:t>
                  </w:r>
                </w:p>
              </w:tc>
            </w:tr>
            <w:tr w14:paraId="4EA6E5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5C7CF71E">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59896CF9">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u w:val="none"/>
                    </w:rPr>
                  </w:pPr>
                </w:p>
              </w:tc>
              <w:tc>
                <w:tcPr>
                  <w:tcW w:w="706" w:type="pct"/>
                  <w:tcBorders>
                    <w:bottom w:val="single" w:color="auto" w:sz="4" w:space="0"/>
                  </w:tcBorders>
                  <w:noWrap w:val="0"/>
                  <w:vAlign w:val="center"/>
                </w:tcPr>
                <w:p w14:paraId="0B79D640">
                  <w:pPr>
                    <w:spacing w:line="240" w:lineRule="atLeast"/>
                    <w:jc w:val="center"/>
                    <w:rPr>
                      <w:rFonts w:hint="eastAsia" w:cs="Times New Roman"/>
                      <w:color w:val="auto"/>
                      <w:kern w:val="0"/>
                      <w:szCs w:val="21"/>
                      <w:u w:val="none"/>
                      <w:lang w:val="en-US" w:eastAsia="zh-CN"/>
                    </w:rPr>
                  </w:pPr>
                  <w:r>
                    <w:rPr>
                      <w:rFonts w:hint="eastAsia" w:cs="Times New Roman"/>
                      <w:snapToGrid w:val="0"/>
                      <w:color w:val="auto"/>
                      <w:sz w:val="21"/>
                      <w:szCs w:val="21"/>
                      <w:u w:val="none"/>
                      <w:lang w:val="en-US" w:eastAsia="zh-CN"/>
                    </w:rPr>
                    <w:t>布袋收集粉尘</w:t>
                  </w:r>
                </w:p>
              </w:tc>
              <w:tc>
                <w:tcPr>
                  <w:tcW w:w="2532" w:type="pct"/>
                  <w:tcBorders>
                    <w:bottom w:val="single" w:color="auto" w:sz="4" w:space="0"/>
                  </w:tcBorders>
                  <w:noWrap w:val="0"/>
                  <w:vAlign w:val="center"/>
                </w:tcPr>
                <w:p w14:paraId="0B5A6B9D">
                  <w:pPr>
                    <w:spacing w:line="240" w:lineRule="atLeast"/>
                    <w:jc w:val="center"/>
                    <w:rPr>
                      <w:rFonts w:hint="eastAsia" w:ascii="Times New Roman" w:hAnsi="Times New Roman" w:eastAsia="宋体" w:cs="Times New Roman"/>
                      <w:color w:val="auto"/>
                      <w:kern w:val="0"/>
                      <w:szCs w:val="21"/>
                      <w:u w:val="none"/>
                      <w:lang w:eastAsia="zh-CN"/>
                    </w:rPr>
                  </w:pPr>
                  <w:r>
                    <w:rPr>
                      <w:rFonts w:hint="eastAsia" w:ascii="Times New Roman" w:hAnsi="Times New Roman" w:eastAsia="宋体" w:cs="Times New Roman"/>
                      <w:snapToGrid w:val="0"/>
                      <w:color w:val="auto"/>
                      <w:sz w:val="21"/>
                      <w:szCs w:val="21"/>
                      <w:u w:val="none"/>
                      <w:lang w:val="en-US" w:eastAsia="zh-CN"/>
                    </w:rPr>
                    <w:t>外售交给物资回收公司处理</w:t>
                  </w:r>
                </w:p>
              </w:tc>
              <w:tc>
                <w:tcPr>
                  <w:tcW w:w="1118" w:type="pct"/>
                  <w:tcBorders>
                    <w:bottom w:val="single" w:color="auto" w:sz="4" w:space="0"/>
                  </w:tcBorders>
                  <w:noWrap w:val="0"/>
                  <w:vAlign w:val="center"/>
                </w:tcPr>
                <w:p w14:paraId="49E7B71E">
                  <w:pPr>
                    <w:spacing w:line="240" w:lineRule="atLeast"/>
                    <w:jc w:val="center"/>
                    <w:rPr>
                      <w:rFonts w:hint="eastAsia" w:cs="Times New Roman"/>
                      <w:color w:val="auto"/>
                      <w:u w:val="none"/>
                      <w:lang w:val="en-US" w:eastAsia="zh-CN"/>
                    </w:rPr>
                  </w:pPr>
                  <w:r>
                    <w:rPr>
                      <w:rFonts w:hint="eastAsia" w:cs="Times New Roman"/>
                      <w:color w:val="auto"/>
                      <w:u w:val="none"/>
                      <w:lang w:val="en-US" w:eastAsia="zh-CN"/>
                    </w:rPr>
                    <w:t>/</w:t>
                  </w:r>
                </w:p>
              </w:tc>
            </w:tr>
            <w:tr w14:paraId="197E0C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41B270D5">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10797941">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u w:val="none"/>
                    </w:rPr>
                  </w:pPr>
                </w:p>
              </w:tc>
              <w:tc>
                <w:tcPr>
                  <w:tcW w:w="706" w:type="pct"/>
                  <w:tcBorders>
                    <w:bottom w:val="single" w:color="auto" w:sz="4" w:space="0"/>
                  </w:tcBorders>
                  <w:noWrap w:val="0"/>
                  <w:vAlign w:val="center"/>
                </w:tcPr>
                <w:p w14:paraId="41A2CFC2">
                  <w:pPr>
                    <w:spacing w:line="240" w:lineRule="atLeast"/>
                    <w:jc w:val="center"/>
                    <w:rPr>
                      <w:rFonts w:hint="default" w:ascii="Times New Roman" w:hAnsi="宋体" w:eastAsia="宋体" w:cs="Times New Roman"/>
                      <w:color w:val="auto"/>
                      <w:kern w:val="2"/>
                      <w:sz w:val="21"/>
                      <w:szCs w:val="34"/>
                      <w:u w:val="none"/>
                      <w:lang w:val="en-US" w:eastAsia="zh-CN" w:bidi="ar-SA"/>
                    </w:rPr>
                  </w:pPr>
                  <w:r>
                    <w:rPr>
                      <w:rFonts w:hint="eastAsia" w:ascii="Times New Roman" w:hAnsi="Times New Roman" w:cs="Times New Roman"/>
                      <w:color w:val="auto"/>
                      <w:kern w:val="0"/>
                      <w:szCs w:val="21"/>
                      <w:u w:val="none"/>
                      <w:lang w:eastAsia="zh-CN"/>
                    </w:rPr>
                    <w:t>筛分废弃</w:t>
                  </w:r>
                  <w:r>
                    <w:rPr>
                      <w:rFonts w:hint="eastAsia" w:ascii="Times New Roman" w:hAnsi="宋体" w:eastAsia="宋体" w:cs="Times New Roman"/>
                      <w:color w:val="auto"/>
                      <w:kern w:val="2"/>
                      <w:sz w:val="21"/>
                      <w:szCs w:val="34"/>
                      <w:u w:val="none"/>
                      <w:lang w:val="en-US" w:eastAsia="zh-CN" w:bidi="ar-SA"/>
                    </w:rPr>
                    <w:t>中药材尾料</w:t>
                  </w:r>
                </w:p>
              </w:tc>
              <w:tc>
                <w:tcPr>
                  <w:tcW w:w="2532" w:type="pct"/>
                  <w:tcBorders>
                    <w:bottom w:val="single" w:color="auto" w:sz="4" w:space="0"/>
                  </w:tcBorders>
                  <w:noWrap w:val="0"/>
                  <w:vAlign w:val="center"/>
                </w:tcPr>
                <w:p w14:paraId="2EB95A1F">
                  <w:pPr>
                    <w:spacing w:line="240" w:lineRule="atLeast"/>
                    <w:jc w:val="center"/>
                    <w:rPr>
                      <w:rFonts w:hint="default" w:ascii="Times New Roman" w:hAnsi="宋体" w:eastAsia="宋体" w:cs="Times New Roman"/>
                      <w:color w:val="auto"/>
                      <w:kern w:val="2"/>
                      <w:sz w:val="21"/>
                      <w:szCs w:val="34"/>
                      <w:u w:val="none"/>
                      <w:lang w:val="en-US" w:eastAsia="zh-CN" w:bidi="ar-SA"/>
                    </w:rPr>
                  </w:pPr>
                  <w:r>
                    <w:rPr>
                      <w:rFonts w:hint="eastAsia" w:hAnsi="宋体"/>
                      <w:color w:val="auto"/>
                      <w:szCs w:val="21"/>
                      <w:u w:val="none"/>
                      <w:lang w:val="en-US" w:eastAsia="zh-CN"/>
                    </w:rPr>
                    <w:t>改造原生产车间架空层及周边可利用空间，增加约100m</w:t>
                  </w:r>
                  <w:r>
                    <w:rPr>
                      <w:rFonts w:hint="eastAsia" w:hAnsi="宋体"/>
                      <w:color w:val="auto"/>
                      <w:szCs w:val="21"/>
                      <w:u w:val="none"/>
                      <w:vertAlign w:val="superscript"/>
                      <w:lang w:val="en-US" w:eastAsia="zh-CN"/>
                    </w:rPr>
                    <w:t>2</w:t>
                  </w:r>
                  <w:r>
                    <w:rPr>
                      <w:rFonts w:hint="eastAsia" w:hAnsi="宋体"/>
                      <w:color w:val="auto"/>
                      <w:szCs w:val="21"/>
                      <w:u w:val="none"/>
                      <w:lang w:val="en-US" w:eastAsia="zh-CN"/>
                    </w:rPr>
                    <w:t>钢架雨棚；</w:t>
                  </w:r>
                  <w:r>
                    <w:rPr>
                      <w:rFonts w:hint="eastAsia" w:ascii="Times New Roman" w:hAnsi="宋体" w:eastAsia="宋体" w:cs="Times New Roman"/>
                      <w:color w:val="auto"/>
                      <w:kern w:val="2"/>
                      <w:sz w:val="21"/>
                      <w:szCs w:val="34"/>
                      <w:u w:val="none"/>
                      <w:lang w:val="en-US" w:eastAsia="zh-CN" w:bidi="ar-SA"/>
                    </w:rPr>
                    <w:t>委托湖南坤凡农业有限公司资源化利用</w:t>
                  </w:r>
                </w:p>
              </w:tc>
              <w:tc>
                <w:tcPr>
                  <w:tcW w:w="1118" w:type="pct"/>
                  <w:tcBorders>
                    <w:bottom w:val="single" w:color="auto" w:sz="4" w:space="0"/>
                  </w:tcBorders>
                  <w:noWrap w:val="0"/>
                  <w:vAlign w:val="center"/>
                </w:tcPr>
                <w:p w14:paraId="099B1E1D">
                  <w:pPr>
                    <w:spacing w:line="240" w:lineRule="atLeast"/>
                    <w:jc w:val="center"/>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r>
            <w:tr w14:paraId="1EE1EC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2669FC07">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4B7A2965">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rPr>
                  </w:pPr>
                </w:p>
              </w:tc>
              <w:tc>
                <w:tcPr>
                  <w:tcW w:w="706" w:type="pct"/>
                  <w:tcBorders>
                    <w:bottom w:val="single" w:color="auto" w:sz="4" w:space="0"/>
                  </w:tcBorders>
                  <w:noWrap w:val="0"/>
                  <w:vAlign w:val="center"/>
                </w:tcPr>
                <w:p w14:paraId="7F8FD2BD">
                  <w:pPr>
                    <w:spacing w:line="240" w:lineRule="atLeast"/>
                    <w:jc w:val="center"/>
                    <w:rPr>
                      <w:rFonts w:hint="default" w:ascii="Times New Roman" w:hAnsi="宋体" w:eastAsia="宋体" w:cs="Times New Roman"/>
                      <w:color w:val="auto"/>
                      <w:kern w:val="2"/>
                      <w:sz w:val="21"/>
                      <w:szCs w:val="34"/>
                      <w:lang w:val="en-US" w:eastAsia="zh-CN" w:bidi="ar-SA"/>
                    </w:rPr>
                  </w:pPr>
                  <w:r>
                    <w:rPr>
                      <w:rFonts w:hint="eastAsia" w:hAnsi="宋体" w:cs="Times New Roman"/>
                      <w:color w:val="auto"/>
                      <w:kern w:val="2"/>
                      <w:sz w:val="21"/>
                      <w:szCs w:val="34"/>
                      <w:lang w:val="en-US" w:eastAsia="zh-CN" w:bidi="ar-SA"/>
                    </w:rPr>
                    <w:t>废弃</w:t>
                  </w:r>
                  <w:r>
                    <w:rPr>
                      <w:rFonts w:hint="eastAsia" w:ascii="Times New Roman" w:hAnsi="宋体" w:eastAsia="宋体" w:cs="Times New Roman"/>
                      <w:color w:val="auto"/>
                      <w:kern w:val="2"/>
                      <w:sz w:val="21"/>
                      <w:szCs w:val="34"/>
                      <w:lang w:val="en-US" w:eastAsia="zh-CN" w:bidi="ar-SA"/>
                    </w:rPr>
                    <w:t>泥土</w:t>
                  </w:r>
                </w:p>
              </w:tc>
              <w:tc>
                <w:tcPr>
                  <w:tcW w:w="2532" w:type="pct"/>
                  <w:tcBorders>
                    <w:bottom w:val="single" w:color="auto" w:sz="4" w:space="0"/>
                  </w:tcBorders>
                  <w:noWrap w:val="0"/>
                  <w:vAlign w:val="center"/>
                </w:tcPr>
                <w:p w14:paraId="7CBC24E6">
                  <w:pPr>
                    <w:spacing w:line="240" w:lineRule="atLeast"/>
                    <w:jc w:val="center"/>
                    <w:rPr>
                      <w:rFonts w:hint="default" w:ascii="Times New Roman" w:hAnsi="宋体" w:eastAsia="宋体" w:cs="Times New Roman"/>
                      <w:color w:val="auto"/>
                      <w:kern w:val="2"/>
                      <w:sz w:val="21"/>
                      <w:szCs w:val="34"/>
                      <w:lang w:val="en-US" w:eastAsia="zh-CN" w:bidi="ar-SA"/>
                    </w:rPr>
                  </w:pPr>
                  <w:r>
                    <w:rPr>
                      <w:rFonts w:hint="eastAsia" w:ascii="Times New Roman" w:hAnsi="宋体" w:eastAsia="宋体" w:cs="Times New Roman"/>
                      <w:color w:val="auto"/>
                      <w:kern w:val="2"/>
                      <w:sz w:val="21"/>
                      <w:szCs w:val="34"/>
                      <w:lang w:val="en-US" w:eastAsia="zh-CN" w:bidi="ar-SA"/>
                    </w:rPr>
                    <w:t>委托溆浦县龙潭页岩砖厂资源化利用</w:t>
                  </w:r>
                </w:p>
              </w:tc>
              <w:tc>
                <w:tcPr>
                  <w:tcW w:w="1118" w:type="pct"/>
                  <w:tcBorders>
                    <w:bottom w:val="single" w:color="auto" w:sz="4" w:space="0"/>
                  </w:tcBorders>
                  <w:noWrap w:val="0"/>
                  <w:vAlign w:val="center"/>
                </w:tcPr>
                <w:p w14:paraId="2F6576B5">
                  <w:pPr>
                    <w:spacing w:line="240" w:lineRule="atLeast"/>
                    <w:jc w:val="center"/>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r>
            <w:tr w14:paraId="2FBA75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36006F0B">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24E722DB">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rPr>
                  </w:pPr>
                </w:p>
              </w:tc>
              <w:tc>
                <w:tcPr>
                  <w:tcW w:w="706" w:type="pct"/>
                  <w:tcBorders>
                    <w:bottom w:val="single" w:color="auto" w:sz="4" w:space="0"/>
                  </w:tcBorders>
                  <w:noWrap w:val="0"/>
                  <w:vAlign w:val="center"/>
                </w:tcPr>
                <w:p w14:paraId="581AAEFD">
                  <w:pPr>
                    <w:pStyle w:val="134"/>
                    <w:rPr>
                      <w:rFonts w:hint="eastAsia" w:hAnsi="宋体" w:cs="Times New Roman"/>
                      <w:color w:val="auto"/>
                      <w:kern w:val="2"/>
                      <w:sz w:val="21"/>
                      <w:szCs w:val="34"/>
                      <w:lang w:val="en-US" w:eastAsia="zh-CN" w:bidi="ar-SA"/>
                    </w:rPr>
                  </w:pPr>
                  <w:r>
                    <w:rPr>
                      <w:rFonts w:hint="eastAsia" w:ascii="Times New Roman" w:hAnsi="Times New Roman" w:eastAsia="宋体" w:cs="Times New Roman"/>
                      <w:color w:val="auto"/>
                      <w:szCs w:val="21"/>
                      <w:u w:val="single"/>
                      <w:lang w:val="en-US" w:eastAsia="zh-CN"/>
                    </w:rPr>
                    <w:t>废离子交换树脂</w:t>
                  </w:r>
                </w:p>
              </w:tc>
              <w:tc>
                <w:tcPr>
                  <w:tcW w:w="2532" w:type="pct"/>
                  <w:tcBorders>
                    <w:bottom w:val="single" w:color="auto" w:sz="4" w:space="0"/>
                  </w:tcBorders>
                  <w:noWrap w:val="0"/>
                  <w:vAlign w:val="center"/>
                </w:tcPr>
                <w:p w14:paraId="7949C6F3">
                  <w:pPr>
                    <w:keepNext w:val="0"/>
                    <w:keepLines w:val="0"/>
                    <w:pageBreakBefore w:val="0"/>
                    <w:kinsoku/>
                    <w:wordWrap/>
                    <w:overflowPunct/>
                    <w:topLinePunct w:val="0"/>
                    <w:autoSpaceDE/>
                    <w:bidi w:val="0"/>
                    <w:adjustRightInd/>
                    <w:spacing w:line="240" w:lineRule="atLeast"/>
                    <w:ind w:right="0" w:rightChars="0"/>
                    <w:jc w:val="center"/>
                    <w:rPr>
                      <w:rFonts w:hint="eastAsia" w:ascii="Times New Roman" w:hAnsi="宋体" w:eastAsia="宋体" w:cs="Times New Roman"/>
                      <w:color w:val="auto"/>
                      <w:kern w:val="2"/>
                      <w:sz w:val="21"/>
                      <w:szCs w:val="34"/>
                      <w:lang w:val="en-US" w:eastAsia="zh-CN" w:bidi="ar-SA"/>
                    </w:rPr>
                  </w:pPr>
                  <w:r>
                    <w:rPr>
                      <w:rFonts w:hint="eastAsia" w:ascii="Times New Roman" w:hAnsi="Times New Roman" w:eastAsia="宋体" w:cs="Times New Roman"/>
                      <w:color w:val="auto"/>
                      <w:kern w:val="0"/>
                      <w:szCs w:val="21"/>
                      <w:u w:val="single"/>
                      <w:lang w:eastAsia="zh-CN"/>
                    </w:rPr>
                    <w:t>外售物资回收公司</w:t>
                  </w:r>
                </w:p>
              </w:tc>
              <w:tc>
                <w:tcPr>
                  <w:tcW w:w="1118" w:type="pct"/>
                  <w:tcBorders>
                    <w:bottom w:val="single" w:color="auto" w:sz="4" w:space="0"/>
                  </w:tcBorders>
                  <w:noWrap w:val="0"/>
                  <w:vAlign w:val="center"/>
                </w:tcPr>
                <w:p w14:paraId="63984BDD">
                  <w:pPr>
                    <w:spacing w:line="240" w:lineRule="atLeast"/>
                    <w:jc w:val="center"/>
                    <w:rPr>
                      <w:rFonts w:hint="eastAsia" w:cs="Times New Roman"/>
                      <w:color w:val="auto"/>
                      <w:u w:val="none"/>
                      <w:lang w:val="en-US" w:eastAsia="zh-CN"/>
                    </w:rPr>
                  </w:pPr>
                  <w:r>
                    <w:rPr>
                      <w:rFonts w:hint="eastAsia" w:cs="Times New Roman"/>
                      <w:color w:val="auto"/>
                      <w:u w:val="none"/>
                      <w:lang w:val="en-US" w:eastAsia="zh-CN"/>
                    </w:rPr>
                    <w:t>/</w:t>
                  </w:r>
                </w:p>
              </w:tc>
            </w:tr>
            <w:tr w14:paraId="44B104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5B3B8773">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56CCDA29">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rPr>
                  </w:pPr>
                </w:p>
              </w:tc>
              <w:tc>
                <w:tcPr>
                  <w:tcW w:w="706" w:type="pct"/>
                  <w:tcBorders>
                    <w:bottom w:val="single" w:color="auto" w:sz="4" w:space="0"/>
                  </w:tcBorders>
                  <w:noWrap w:val="0"/>
                  <w:vAlign w:val="center"/>
                </w:tcPr>
                <w:p w14:paraId="0F90D5F2">
                  <w:pPr>
                    <w:pStyle w:val="134"/>
                    <w:rPr>
                      <w:rFonts w:hint="eastAsia" w:hAnsi="宋体" w:cs="Times New Roman"/>
                      <w:color w:val="auto"/>
                      <w:kern w:val="2"/>
                      <w:sz w:val="21"/>
                      <w:szCs w:val="34"/>
                      <w:lang w:val="en-US" w:eastAsia="zh-CN" w:bidi="ar-SA"/>
                    </w:rPr>
                  </w:pPr>
                  <w:r>
                    <w:rPr>
                      <w:rFonts w:hint="default"/>
                      <w:color w:val="auto"/>
                      <w:szCs w:val="21"/>
                      <w:u w:val="single"/>
                    </w:rPr>
                    <w:t>废润滑油</w:t>
                  </w:r>
                </w:p>
              </w:tc>
              <w:tc>
                <w:tcPr>
                  <w:tcW w:w="2532" w:type="pct"/>
                  <w:vMerge w:val="restart"/>
                  <w:noWrap w:val="0"/>
                  <w:vAlign w:val="center"/>
                </w:tcPr>
                <w:p w14:paraId="31FF5049">
                  <w:pPr>
                    <w:keepNext w:val="0"/>
                    <w:keepLines w:val="0"/>
                    <w:pageBreakBefore w:val="0"/>
                    <w:kinsoku/>
                    <w:wordWrap/>
                    <w:overflowPunct/>
                    <w:topLinePunct w:val="0"/>
                    <w:autoSpaceDE/>
                    <w:bidi w:val="0"/>
                    <w:adjustRightInd/>
                    <w:spacing w:line="240" w:lineRule="atLeast"/>
                    <w:ind w:right="0" w:rightChars="0"/>
                    <w:jc w:val="center"/>
                    <w:rPr>
                      <w:rFonts w:hint="eastAsia" w:ascii="Times New Roman" w:hAnsi="宋体" w:eastAsia="宋体" w:cs="Times New Roman"/>
                      <w:color w:val="auto"/>
                      <w:kern w:val="2"/>
                      <w:sz w:val="21"/>
                      <w:szCs w:val="34"/>
                      <w:lang w:val="en-US" w:eastAsia="zh-CN" w:bidi="ar-SA"/>
                    </w:rPr>
                  </w:pPr>
                  <w:r>
                    <w:rPr>
                      <w:rFonts w:hint="eastAsia" w:ascii="Times New Roman" w:hAnsi="Times New Roman" w:eastAsia="宋体" w:cs="Times New Roman"/>
                      <w:color w:val="FF0000"/>
                      <w:sz w:val="21"/>
                      <w:szCs w:val="21"/>
                      <w:u w:val="single"/>
                      <w:lang w:val="en-US" w:eastAsia="zh-CN"/>
                    </w:rPr>
                    <w:t>分类暂存于危险废物暂存间，定期交由有资质单位处置</w:t>
                  </w:r>
                </w:p>
              </w:tc>
              <w:tc>
                <w:tcPr>
                  <w:tcW w:w="1118" w:type="pct"/>
                  <w:tcBorders>
                    <w:bottom w:val="single" w:color="auto" w:sz="4" w:space="0"/>
                  </w:tcBorders>
                  <w:noWrap w:val="0"/>
                  <w:vAlign w:val="center"/>
                </w:tcPr>
                <w:p w14:paraId="7EB7C83D">
                  <w:pPr>
                    <w:spacing w:line="240" w:lineRule="atLeast"/>
                    <w:jc w:val="center"/>
                    <w:rPr>
                      <w:rFonts w:hint="eastAsia" w:cs="Times New Roman"/>
                      <w:color w:val="auto"/>
                      <w:u w:val="none"/>
                      <w:lang w:val="en-US" w:eastAsia="zh-CN"/>
                    </w:rPr>
                  </w:pPr>
                  <w:r>
                    <w:rPr>
                      <w:rFonts w:hint="eastAsia" w:cs="Times New Roman"/>
                      <w:color w:val="auto"/>
                      <w:u w:val="none"/>
                      <w:lang w:val="en-US" w:eastAsia="zh-CN"/>
                    </w:rPr>
                    <w:t>/</w:t>
                  </w:r>
                </w:p>
              </w:tc>
            </w:tr>
            <w:tr w14:paraId="02272B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6312E6B6">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2AAABED9">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rPr>
                  </w:pPr>
                </w:p>
              </w:tc>
              <w:tc>
                <w:tcPr>
                  <w:tcW w:w="706" w:type="pct"/>
                  <w:tcBorders>
                    <w:bottom w:val="single" w:color="auto" w:sz="4" w:space="0"/>
                  </w:tcBorders>
                  <w:noWrap w:val="0"/>
                  <w:vAlign w:val="center"/>
                </w:tcPr>
                <w:p w14:paraId="7002FFD3">
                  <w:pPr>
                    <w:pStyle w:val="134"/>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含油抹布及手套</w:t>
                  </w:r>
                </w:p>
              </w:tc>
              <w:tc>
                <w:tcPr>
                  <w:tcW w:w="2532" w:type="pct"/>
                  <w:vMerge w:val="continue"/>
                  <w:tcBorders>
                    <w:bottom w:val="single" w:color="auto" w:sz="4" w:space="0"/>
                  </w:tcBorders>
                  <w:noWrap w:val="0"/>
                  <w:vAlign w:val="center"/>
                </w:tcPr>
                <w:p w14:paraId="41DF6237">
                  <w:pPr>
                    <w:spacing w:line="240" w:lineRule="atLeast"/>
                    <w:jc w:val="center"/>
                    <w:rPr>
                      <w:rFonts w:hint="eastAsia" w:ascii="Times New Roman" w:hAnsi="宋体" w:eastAsia="宋体" w:cs="Times New Roman"/>
                      <w:color w:val="auto"/>
                      <w:kern w:val="2"/>
                      <w:sz w:val="21"/>
                      <w:szCs w:val="34"/>
                      <w:lang w:val="en-US" w:eastAsia="zh-CN" w:bidi="ar-SA"/>
                    </w:rPr>
                  </w:pPr>
                </w:p>
              </w:tc>
              <w:tc>
                <w:tcPr>
                  <w:tcW w:w="1118" w:type="pct"/>
                  <w:tcBorders>
                    <w:bottom w:val="single" w:color="auto" w:sz="4" w:space="0"/>
                  </w:tcBorders>
                  <w:noWrap w:val="0"/>
                  <w:vAlign w:val="center"/>
                </w:tcPr>
                <w:p w14:paraId="43AAC78F">
                  <w:pPr>
                    <w:spacing w:line="240" w:lineRule="atLeast"/>
                    <w:jc w:val="center"/>
                    <w:rPr>
                      <w:rFonts w:hint="default" w:cs="Times New Roman"/>
                      <w:color w:val="auto"/>
                      <w:u w:val="none"/>
                      <w:lang w:val="en-US" w:eastAsia="zh-CN"/>
                    </w:rPr>
                  </w:pPr>
                  <w:r>
                    <w:rPr>
                      <w:rFonts w:hint="eastAsia" w:cs="Times New Roman"/>
                      <w:color w:val="auto"/>
                      <w:u w:val="none"/>
                      <w:lang w:val="en-US" w:eastAsia="zh-CN"/>
                    </w:rPr>
                    <w:t>/</w:t>
                  </w:r>
                </w:p>
              </w:tc>
            </w:tr>
            <w:tr w14:paraId="0921B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7F286BB4">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465E346A">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rPr>
                  </w:pPr>
                </w:p>
              </w:tc>
              <w:tc>
                <w:tcPr>
                  <w:tcW w:w="706" w:type="pct"/>
                  <w:tcBorders>
                    <w:bottom w:val="single" w:color="auto" w:sz="4" w:space="0"/>
                  </w:tcBorders>
                  <w:noWrap w:val="0"/>
                  <w:vAlign w:val="center"/>
                </w:tcPr>
                <w:p w14:paraId="1C8C0622">
                  <w:pPr>
                    <w:pStyle w:val="134"/>
                    <w:rPr>
                      <w:rFonts w:hint="default" w:hAnsi="宋体" w:cs="Times New Roman"/>
                      <w:color w:val="auto"/>
                      <w:kern w:val="2"/>
                      <w:sz w:val="21"/>
                      <w:szCs w:val="34"/>
                      <w:lang w:val="en-US" w:eastAsia="zh-CN" w:bidi="ar-SA"/>
                    </w:rPr>
                  </w:pPr>
                  <w:r>
                    <w:rPr>
                      <w:rFonts w:hint="eastAsia" w:hAnsi="宋体" w:cs="Times New Roman"/>
                      <w:color w:val="auto"/>
                      <w:kern w:val="2"/>
                      <w:sz w:val="21"/>
                      <w:szCs w:val="34"/>
                      <w:lang w:val="en-US" w:eastAsia="zh-CN" w:bidi="ar-SA"/>
                    </w:rPr>
                    <w:t>废活性炭</w:t>
                  </w:r>
                </w:p>
              </w:tc>
              <w:tc>
                <w:tcPr>
                  <w:tcW w:w="2532" w:type="pct"/>
                  <w:vMerge w:val="continue"/>
                  <w:tcBorders>
                    <w:bottom w:val="single" w:color="auto" w:sz="4" w:space="0"/>
                  </w:tcBorders>
                  <w:noWrap w:val="0"/>
                  <w:vAlign w:val="center"/>
                </w:tcPr>
                <w:p w14:paraId="07C4CEFC">
                  <w:pPr>
                    <w:spacing w:line="240" w:lineRule="atLeast"/>
                    <w:jc w:val="center"/>
                    <w:rPr>
                      <w:rFonts w:hint="eastAsia" w:ascii="Times New Roman" w:hAnsi="宋体" w:eastAsia="宋体" w:cs="Times New Roman"/>
                      <w:color w:val="auto"/>
                      <w:kern w:val="2"/>
                      <w:sz w:val="21"/>
                      <w:szCs w:val="34"/>
                      <w:lang w:val="en-US" w:eastAsia="zh-CN" w:bidi="ar-SA"/>
                    </w:rPr>
                  </w:pPr>
                </w:p>
              </w:tc>
              <w:tc>
                <w:tcPr>
                  <w:tcW w:w="1118" w:type="pct"/>
                  <w:tcBorders>
                    <w:bottom w:val="single" w:color="auto" w:sz="4" w:space="0"/>
                  </w:tcBorders>
                  <w:noWrap w:val="0"/>
                  <w:vAlign w:val="center"/>
                </w:tcPr>
                <w:p w14:paraId="6600C5F2">
                  <w:pPr>
                    <w:spacing w:line="240" w:lineRule="atLeast"/>
                    <w:jc w:val="center"/>
                    <w:rPr>
                      <w:rFonts w:hint="eastAsia" w:cs="Times New Roman"/>
                      <w:color w:val="auto"/>
                      <w:u w:val="none"/>
                      <w:lang w:val="en-US" w:eastAsia="zh-CN"/>
                    </w:rPr>
                  </w:pPr>
                  <w:r>
                    <w:rPr>
                      <w:rFonts w:hint="eastAsia" w:cs="Times New Roman"/>
                      <w:color w:val="auto"/>
                      <w:u w:val="none"/>
                      <w:lang w:val="en-US" w:eastAsia="zh-CN"/>
                    </w:rPr>
                    <w:t>/</w:t>
                  </w:r>
                </w:p>
              </w:tc>
            </w:tr>
            <w:tr w14:paraId="1498DF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1" w:type="dxa"/>
                  <w:bottom w:w="0" w:type="dxa"/>
                  <w:right w:w="51" w:type="dxa"/>
                </w:tblCellMar>
              </w:tblPrEx>
              <w:trPr>
                <w:trHeight w:val="397" w:hRule="atLeast"/>
                <w:jc w:val="center"/>
              </w:trPr>
              <w:tc>
                <w:tcPr>
                  <w:tcW w:w="407" w:type="pct"/>
                  <w:vMerge w:val="continue"/>
                  <w:noWrap w:val="0"/>
                  <w:vAlign w:val="center"/>
                </w:tcPr>
                <w:p w14:paraId="06D9D563">
                  <w:pPr>
                    <w:keepNext w:val="0"/>
                    <w:keepLines w:val="0"/>
                    <w:pageBreakBefore w:val="0"/>
                    <w:widowControl w:val="0"/>
                    <w:kinsoku/>
                    <w:wordWrap/>
                    <w:overflowPunct/>
                    <w:topLinePunct w:val="0"/>
                    <w:autoSpaceDE/>
                    <w:autoSpaceDN w:val="0"/>
                    <w:bidi w:val="0"/>
                    <w:adjustRightInd/>
                    <w:ind w:firstLineChars="0"/>
                    <w:jc w:val="center"/>
                    <w:textAlignment w:val="center"/>
                    <w:rPr>
                      <w:rFonts w:hAnsi="宋体"/>
                      <w:color w:val="auto"/>
                      <w:szCs w:val="21"/>
                    </w:rPr>
                  </w:pPr>
                </w:p>
              </w:tc>
              <w:tc>
                <w:tcPr>
                  <w:tcW w:w="234" w:type="pct"/>
                  <w:vMerge w:val="continue"/>
                  <w:noWrap w:val="0"/>
                  <w:vAlign w:val="center"/>
                </w:tcPr>
                <w:p w14:paraId="0D47EA6D">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eastAsia" w:hAnsi="宋体"/>
                      <w:color w:val="auto"/>
                      <w:sz w:val="21"/>
                      <w:szCs w:val="34"/>
                    </w:rPr>
                  </w:pPr>
                </w:p>
              </w:tc>
              <w:tc>
                <w:tcPr>
                  <w:tcW w:w="706" w:type="pct"/>
                  <w:tcBorders>
                    <w:top w:val="single" w:color="auto" w:sz="4" w:space="0"/>
                  </w:tcBorders>
                  <w:noWrap w:val="0"/>
                  <w:vAlign w:val="center"/>
                </w:tcPr>
                <w:p w14:paraId="6DA28404">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default" w:hAnsi="宋体" w:eastAsia="宋体"/>
                      <w:color w:val="auto"/>
                      <w:sz w:val="21"/>
                      <w:szCs w:val="34"/>
                      <w:lang w:val="en-US" w:eastAsia="zh-CN"/>
                    </w:rPr>
                  </w:pPr>
                  <w:r>
                    <w:rPr>
                      <w:rFonts w:hint="eastAsia" w:hAnsi="宋体"/>
                      <w:color w:val="auto"/>
                      <w:sz w:val="21"/>
                      <w:szCs w:val="34"/>
                      <w:lang w:val="en-US" w:eastAsia="zh-CN"/>
                    </w:rPr>
                    <w:t>生活垃圾</w:t>
                  </w:r>
                </w:p>
              </w:tc>
              <w:tc>
                <w:tcPr>
                  <w:tcW w:w="2532" w:type="pct"/>
                  <w:tcBorders>
                    <w:top w:val="single" w:color="auto" w:sz="4" w:space="0"/>
                  </w:tcBorders>
                  <w:noWrap w:val="0"/>
                  <w:vAlign w:val="center"/>
                </w:tcPr>
                <w:p w14:paraId="350596D4">
                  <w:pPr>
                    <w:pStyle w:val="9"/>
                    <w:keepNext w:val="0"/>
                    <w:keepLines w:val="0"/>
                    <w:pageBreakBefore w:val="0"/>
                    <w:widowControl w:val="0"/>
                    <w:kinsoku/>
                    <w:wordWrap/>
                    <w:overflowPunct/>
                    <w:topLinePunct w:val="0"/>
                    <w:autoSpaceDE/>
                    <w:bidi w:val="0"/>
                    <w:adjustRightInd/>
                    <w:spacing w:after="0" w:line="240" w:lineRule="auto"/>
                    <w:ind w:firstLine="0" w:firstLineChars="0"/>
                    <w:jc w:val="center"/>
                    <w:rPr>
                      <w:rFonts w:hint="default" w:hAnsi="宋体" w:eastAsia="宋体"/>
                      <w:color w:val="auto"/>
                      <w:sz w:val="21"/>
                      <w:szCs w:val="34"/>
                      <w:lang w:val="en-US" w:eastAsia="zh-CN"/>
                    </w:rPr>
                  </w:pPr>
                  <w:r>
                    <w:rPr>
                      <w:rFonts w:hint="eastAsia" w:hAnsi="宋体"/>
                      <w:color w:val="auto"/>
                      <w:sz w:val="21"/>
                      <w:szCs w:val="34"/>
                      <w:lang w:val="en-US" w:eastAsia="zh-CN"/>
                    </w:rPr>
                    <w:t>场内增加生活垃圾收集桶；</w:t>
                  </w:r>
                </w:p>
              </w:tc>
              <w:tc>
                <w:tcPr>
                  <w:tcW w:w="1118" w:type="pct"/>
                  <w:tcBorders>
                    <w:top w:val="single" w:color="auto" w:sz="4" w:space="0"/>
                  </w:tcBorders>
                  <w:noWrap w:val="0"/>
                  <w:vAlign w:val="center"/>
                </w:tcPr>
                <w:p w14:paraId="7554385F">
                  <w:pPr>
                    <w:keepNext w:val="0"/>
                    <w:keepLines w:val="0"/>
                    <w:pageBreakBefore w:val="0"/>
                    <w:widowControl w:val="0"/>
                    <w:kinsoku/>
                    <w:wordWrap/>
                    <w:overflowPunct/>
                    <w:topLinePunct w:val="0"/>
                    <w:autoSpaceDE/>
                    <w:autoSpaceDN w:val="0"/>
                    <w:bidi w:val="0"/>
                    <w:adjustRightInd/>
                    <w:ind w:firstLineChars="0"/>
                    <w:jc w:val="center"/>
                    <w:textAlignment w:val="center"/>
                    <w:rPr>
                      <w:rFonts w:hint="eastAsia" w:hAnsi="宋体" w:eastAsia="宋体"/>
                      <w:color w:val="auto"/>
                      <w:szCs w:val="21"/>
                      <w:u w:val="none"/>
                      <w:lang w:val="en-US" w:eastAsia="zh-CN"/>
                    </w:rPr>
                  </w:pPr>
                  <w:r>
                    <w:rPr>
                      <w:rFonts w:hint="eastAsia" w:cs="Times New Roman"/>
                      <w:color w:val="auto"/>
                      <w:u w:val="none"/>
                      <w:lang w:val="en-US" w:eastAsia="zh-CN"/>
                    </w:rPr>
                    <w:t>/</w:t>
                  </w:r>
                </w:p>
              </w:tc>
            </w:tr>
          </w:tbl>
          <w:p w14:paraId="3852AC2D">
            <w:pPr>
              <w:pStyle w:val="82"/>
              <w:keepNext w:val="0"/>
              <w:keepLines w:val="0"/>
              <w:pageBreakBefore w:val="0"/>
              <w:widowControl w:val="0"/>
              <w:kinsoku/>
              <w:wordWrap/>
              <w:overflowPunct/>
              <w:topLinePunct w:val="0"/>
              <w:autoSpaceDE/>
              <w:autoSpaceDN/>
              <w:bidi w:val="0"/>
              <w:adjustRightInd/>
              <w:snapToGrid/>
              <w:spacing w:before="95" w:beforeLines="30"/>
              <w:ind w:firstLine="482"/>
              <w:jc w:val="left"/>
              <w:textAlignment w:val="auto"/>
              <w:rPr>
                <w:rFonts w:hint="eastAsia" w:ascii="Times New Roman" w:hAnsi="Times New Roman" w:eastAsia="宋体" w:cs="Times New Roman"/>
                <w:b/>
                <w:color w:val="auto"/>
                <w:lang w:val="en-US" w:eastAsia="zh-CN"/>
              </w:rPr>
            </w:pPr>
            <w:r>
              <w:rPr>
                <w:rFonts w:hint="default" w:ascii="Times New Roman" w:hAnsi="Times New Roman" w:eastAsia="宋体" w:cs="Times New Roman"/>
                <w:b/>
                <w:color w:val="auto"/>
                <w:lang w:val="en-US" w:eastAsia="zh-CN"/>
              </w:rPr>
              <w:t>4</w:t>
            </w:r>
            <w:r>
              <w:rPr>
                <w:rFonts w:hint="default" w:ascii="Times New Roman" w:hAnsi="Times New Roman" w:eastAsia="宋体" w:cs="Times New Roman"/>
                <w:b/>
                <w:color w:val="auto"/>
                <w:lang w:eastAsia="zh-CN"/>
              </w:rPr>
              <w:t>、</w:t>
            </w:r>
            <w:r>
              <w:rPr>
                <w:rFonts w:hint="eastAsia" w:ascii="Times New Roman" w:hAnsi="Times New Roman" w:eastAsia="宋体" w:cs="Times New Roman"/>
                <w:b/>
                <w:color w:val="auto"/>
                <w:lang w:eastAsia="zh-CN"/>
              </w:rPr>
              <w:t>产品</w:t>
            </w:r>
            <w:r>
              <w:rPr>
                <w:rFonts w:hint="eastAsia" w:ascii="Times New Roman" w:hAnsi="Times New Roman" w:eastAsia="宋体" w:cs="Times New Roman"/>
                <w:b/>
                <w:color w:val="auto"/>
                <w:lang w:val="en-US" w:eastAsia="zh-CN"/>
              </w:rPr>
              <w:t>方案</w:t>
            </w:r>
          </w:p>
          <w:p w14:paraId="633EA2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color w:val="auto"/>
                <w:kern w:val="2"/>
                <w:sz w:val="24"/>
                <w:szCs w:val="28"/>
                <w:lang w:val="en-US" w:eastAsia="zh-CN" w:bidi="ar-SA"/>
              </w:rPr>
            </w:pPr>
            <w:r>
              <w:rPr>
                <w:color w:val="auto"/>
                <w:kern w:val="0"/>
                <w:sz w:val="24"/>
              </w:rPr>
              <w:t>项目</w:t>
            </w:r>
            <w:r>
              <w:rPr>
                <w:rFonts w:hint="eastAsia"/>
                <w:color w:val="auto"/>
                <w:kern w:val="0"/>
                <w:sz w:val="24"/>
                <w:lang w:val="en-US" w:eastAsia="zh-CN"/>
              </w:rPr>
              <w:t>运营期产品方案</w:t>
            </w:r>
            <w:r>
              <w:rPr>
                <w:color w:val="auto"/>
                <w:kern w:val="0"/>
                <w:sz w:val="24"/>
              </w:rPr>
              <w:t>见下表。</w:t>
            </w:r>
          </w:p>
          <w:p w14:paraId="0CEFCC52">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rPr>
              <w:t>表2-</w:t>
            </w:r>
            <w:r>
              <w:rPr>
                <w:rFonts w:hint="eastAsia"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rPr>
              <w:t xml:space="preserve">   </w:t>
            </w:r>
            <w:r>
              <w:rPr>
                <w:rFonts w:hint="eastAsia" w:ascii="Times New Roman" w:hAnsi="Times New Roman" w:eastAsia="宋体" w:cs="Times New Roman"/>
                <w:color w:val="auto"/>
                <w:sz w:val="24"/>
                <w:szCs w:val="24"/>
                <w:u w:val="none"/>
                <w:lang w:eastAsia="zh-CN"/>
              </w:rPr>
              <w:t>产品方案</w:t>
            </w:r>
            <w:r>
              <w:rPr>
                <w:rFonts w:hint="default" w:ascii="Times New Roman" w:hAnsi="Times New Roman" w:eastAsia="宋体" w:cs="Times New Roman"/>
                <w:color w:val="auto"/>
                <w:sz w:val="24"/>
                <w:szCs w:val="24"/>
                <w:u w:val="none"/>
              </w:rPr>
              <w:t>一览表</w:t>
            </w:r>
          </w:p>
          <w:tbl>
            <w:tblPr>
              <w:tblStyle w:val="126"/>
              <w:tblW w:w="7502" w:type="dxa"/>
              <w:tblInd w:w="-6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25"/>
              <w:gridCol w:w="739"/>
              <w:gridCol w:w="1704"/>
              <w:gridCol w:w="1350"/>
              <w:gridCol w:w="1296"/>
              <w:gridCol w:w="1888"/>
            </w:tblGrid>
            <w:tr w14:paraId="3D86E4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tcBorders>
                    <w:tl2br w:val="nil"/>
                    <w:tr2bl w:val="nil"/>
                  </w:tcBorders>
                  <w:noWrap w:val="0"/>
                  <w:vAlign w:val="center"/>
                </w:tcPr>
                <w:p w14:paraId="01B69DED">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b/>
                      <w:bCs/>
                      <w:color w:val="auto"/>
                      <w:spacing w:val="4"/>
                      <w:sz w:val="21"/>
                      <w:szCs w:val="21"/>
                      <w:u w:val="single"/>
                    </w:rPr>
                    <w:t>序号</w:t>
                  </w:r>
                </w:p>
              </w:tc>
              <w:tc>
                <w:tcPr>
                  <w:tcW w:w="1628" w:type="pct"/>
                  <w:gridSpan w:val="2"/>
                  <w:tcBorders>
                    <w:tl2br w:val="nil"/>
                    <w:tr2bl w:val="nil"/>
                  </w:tcBorders>
                  <w:noWrap w:val="0"/>
                  <w:vAlign w:val="center"/>
                </w:tcPr>
                <w:p w14:paraId="401F5036">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b/>
                      <w:bCs/>
                      <w:color w:val="auto"/>
                      <w:spacing w:val="6"/>
                      <w:sz w:val="21"/>
                      <w:szCs w:val="21"/>
                      <w:u w:val="single"/>
                    </w:rPr>
                    <w:t>产品名称</w:t>
                  </w:r>
                </w:p>
              </w:tc>
              <w:tc>
                <w:tcPr>
                  <w:tcW w:w="899" w:type="pct"/>
                  <w:tcBorders>
                    <w:tl2br w:val="nil"/>
                    <w:tr2bl w:val="nil"/>
                  </w:tcBorders>
                  <w:noWrap w:val="0"/>
                  <w:vAlign w:val="center"/>
                </w:tcPr>
                <w:p w14:paraId="2ED8B614">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cs="Times New Roman" w:eastAsiaTheme="minorEastAsia"/>
                      <w:b/>
                      <w:bCs/>
                      <w:color w:val="auto"/>
                      <w:spacing w:val="5"/>
                      <w:sz w:val="21"/>
                      <w:szCs w:val="21"/>
                      <w:u w:val="single"/>
                      <w:lang w:val="en-US" w:eastAsia="zh-CN"/>
                    </w:rPr>
                  </w:pPr>
                  <w:r>
                    <w:rPr>
                      <w:rFonts w:hint="eastAsia" w:ascii="Times New Roman" w:hAnsi="Times New Roman" w:cs="Times New Roman" w:eastAsiaTheme="minorEastAsia"/>
                      <w:b/>
                      <w:bCs/>
                      <w:color w:val="auto"/>
                      <w:spacing w:val="5"/>
                      <w:sz w:val="21"/>
                      <w:szCs w:val="21"/>
                      <w:u w:val="single"/>
                      <w:lang w:val="en-US" w:eastAsia="zh-CN"/>
                    </w:rPr>
                    <w:t>产量（</w:t>
                  </w:r>
                  <w:r>
                    <w:rPr>
                      <w:rFonts w:hint="default" w:ascii="Times New Roman" w:hAnsi="Times New Roman" w:cs="Times New Roman" w:eastAsiaTheme="minorEastAsia"/>
                      <w:b/>
                      <w:bCs/>
                      <w:color w:val="auto"/>
                      <w:spacing w:val="5"/>
                      <w:sz w:val="21"/>
                      <w:szCs w:val="21"/>
                      <w:u w:val="single"/>
                      <w:lang w:val="en-US" w:eastAsia="zh-CN"/>
                    </w:rPr>
                    <w:t>吨/年</w:t>
                  </w:r>
                  <w:r>
                    <w:rPr>
                      <w:rFonts w:hint="eastAsia" w:ascii="Times New Roman" w:hAnsi="Times New Roman" w:cs="Times New Roman" w:eastAsiaTheme="minorEastAsia"/>
                      <w:b/>
                      <w:bCs/>
                      <w:color w:val="auto"/>
                      <w:spacing w:val="5"/>
                      <w:sz w:val="21"/>
                      <w:szCs w:val="21"/>
                      <w:u w:val="single"/>
                      <w:lang w:val="en-US" w:eastAsia="zh-CN"/>
                    </w:rPr>
                    <w:t>）</w:t>
                  </w:r>
                </w:p>
              </w:tc>
              <w:tc>
                <w:tcPr>
                  <w:tcW w:w="863" w:type="pct"/>
                  <w:tcBorders>
                    <w:tl2br w:val="nil"/>
                    <w:tr2bl w:val="nil"/>
                  </w:tcBorders>
                  <w:noWrap w:val="0"/>
                  <w:vAlign w:val="center"/>
                </w:tcPr>
                <w:p w14:paraId="195E8216">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b/>
                      <w:bCs/>
                      <w:color w:val="auto"/>
                      <w:spacing w:val="5"/>
                      <w:sz w:val="21"/>
                      <w:szCs w:val="21"/>
                      <w:u w:val="single"/>
                      <w:lang w:val="en-US" w:eastAsia="zh-CN"/>
                    </w:rPr>
                  </w:pPr>
                  <w:r>
                    <w:rPr>
                      <w:rFonts w:hint="eastAsia" w:ascii="Times New Roman" w:hAnsi="Times New Roman" w:cs="Times New Roman" w:eastAsiaTheme="minorEastAsia"/>
                      <w:b/>
                      <w:bCs/>
                      <w:color w:val="auto"/>
                      <w:spacing w:val="5"/>
                      <w:sz w:val="21"/>
                      <w:szCs w:val="21"/>
                      <w:u w:val="single"/>
                      <w:lang w:val="en-US" w:eastAsia="zh-CN"/>
                    </w:rPr>
                    <w:t>含水率（%）</w:t>
                  </w:r>
                </w:p>
              </w:tc>
              <w:tc>
                <w:tcPr>
                  <w:tcW w:w="1258" w:type="pct"/>
                  <w:tcBorders>
                    <w:tl2br w:val="nil"/>
                    <w:tr2bl w:val="nil"/>
                  </w:tcBorders>
                  <w:noWrap w:val="0"/>
                  <w:vAlign w:val="center"/>
                </w:tcPr>
                <w:p w14:paraId="3154DDC4">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b/>
                      <w:bCs/>
                      <w:color w:val="auto"/>
                      <w:spacing w:val="2"/>
                      <w:sz w:val="21"/>
                      <w:szCs w:val="21"/>
                      <w:u w:val="single"/>
                    </w:rPr>
                    <w:t>备注</w:t>
                  </w:r>
                </w:p>
              </w:tc>
            </w:tr>
            <w:tr w14:paraId="01A8E4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vMerge w:val="restart"/>
                  <w:tcBorders>
                    <w:tl2br w:val="nil"/>
                    <w:tr2bl w:val="nil"/>
                  </w:tcBorders>
                  <w:noWrap w:val="0"/>
                  <w:vAlign w:val="center"/>
                </w:tcPr>
                <w:p w14:paraId="7A8E21C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color w:val="auto"/>
                      <w:sz w:val="21"/>
                      <w:szCs w:val="21"/>
                      <w:u w:val="single"/>
                    </w:rPr>
                    <w:t>1</w:t>
                  </w:r>
                </w:p>
              </w:tc>
              <w:tc>
                <w:tcPr>
                  <w:tcW w:w="492" w:type="pct"/>
                  <w:vMerge w:val="restart"/>
                  <w:tcBorders>
                    <w:right w:val="single" w:color="auto" w:sz="4" w:space="0"/>
                    <w:tl2br w:val="nil"/>
                    <w:tr2bl w:val="nil"/>
                  </w:tcBorders>
                  <w:noWrap w:val="0"/>
                  <w:vAlign w:val="center"/>
                </w:tcPr>
                <w:p w14:paraId="248241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玉竹</w:t>
                  </w:r>
                </w:p>
              </w:tc>
              <w:tc>
                <w:tcPr>
                  <w:tcW w:w="1135" w:type="pct"/>
                  <w:tcBorders>
                    <w:left w:val="single" w:color="auto" w:sz="4" w:space="0"/>
                    <w:tl2br w:val="nil"/>
                    <w:tr2bl w:val="nil"/>
                  </w:tcBorders>
                  <w:noWrap w:val="0"/>
                  <w:vAlign w:val="center"/>
                </w:tcPr>
                <w:p w14:paraId="193578F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干玉竹</w:t>
                  </w:r>
                </w:p>
              </w:tc>
              <w:tc>
                <w:tcPr>
                  <w:tcW w:w="899" w:type="pct"/>
                  <w:tcBorders>
                    <w:tl2br w:val="nil"/>
                    <w:tr2bl w:val="nil"/>
                  </w:tcBorders>
                  <w:noWrap w:val="0"/>
                  <w:vAlign w:val="center"/>
                </w:tcPr>
                <w:p w14:paraId="1A22254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cs="Times New Roman" w:eastAsiaTheme="minorEastAsia"/>
                      <w:color w:val="auto"/>
                      <w:sz w:val="21"/>
                      <w:szCs w:val="21"/>
                      <w:u w:val="single"/>
                      <w:lang w:val="en-US" w:eastAsia="zh-CN"/>
                    </w:rPr>
                    <w:t>15</w:t>
                  </w:r>
                  <w:r>
                    <w:rPr>
                      <w:rFonts w:hint="default" w:ascii="Times New Roman" w:hAnsi="Times New Roman" w:cs="Times New Roman" w:eastAsiaTheme="minorEastAsia"/>
                      <w:color w:val="auto"/>
                      <w:sz w:val="21"/>
                      <w:szCs w:val="21"/>
                      <w:u w:val="single"/>
                      <w:lang w:val="en-US" w:eastAsia="zh-CN"/>
                    </w:rPr>
                    <w:t>0</w:t>
                  </w:r>
                </w:p>
              </w:tc>
              <w:tc>
                <w:tcPr>
                  <w:tcW w:w="863" w:type="pct"/>
                  <w:tcBorders>
                    <w:tl2br w:val="nil"/>
                    <w:tr2bl w:val="nil"/>
                  </w:tcBorders>
                  <w:noWrap w:val="0"/>
                  <w:vAlign w:val="center"/>
                </w:tcPr>
                <w:p w14:paraId="6E5637F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cs="Times New Roman" w:eastAsiaTheme="minorEastAsia"/>
                      <w:color w:val="auto"/>
                      <w:sz w:val="21"/>
                      <w:szCs w:val="21"/>
                      <w:u w:val="single"/>
                      <w:lang w:val="en-US" w:eastAsia="zh-CN"/>
                    </w:rPr>
                    <w:t>16</w:t>
                  </w:r>
                </w:p>
              </w:tc>
              <w:tc>
                <w:tcPr>
                  <w:tcW w:w="1258" w:type="pct"/>
                  <w:tcBorders>
                    <w:tl2br w:val="nil"/>
                    <w:tr2bl w:val="nil"/>
                  </w:tcBorders>
                  <w:noWrap w:val="0"/>
                  <w:vAlign w:val="center"/>
                </w:tcPr>
                <w:p w14:paraId="605A723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pacing w:val="3"/>
                      <w:position w:val="3"/>
                      <w:sz w:val="21"/>
                      <w:szCs w:val="21"/>
                      <w:u w:val="single"/>
                      <w:lang w:val="en-US" w:eastAsia="zh-CN"/>
                    </w:rPr>
                    <w:t>作为产品直接外售</w:t>
                  </w:r>
                </w:p>
              </w:tc>
            </w:tr>
            <w:tr w14:paraId="3EE930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vMerge w:val="continue"/>
                  <w:tcBorders>
                    <w:tl2br w:val="nil"/>
                    <w:tr2bl w:val="nil"/>
                  </w:tcBorders>
                  <w:noWrap w:val="0"/>
                  <w:vAlign w:val="center"/>
                </w:tcPr>
                <w:p w14:paraId="608C602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p>
              </w:tc>
              <w:tc>
                <w:tcPr>
                  <w:tcW w:w="492" w:type="pct"/>
                  <w:vMerge w:val="continue"/>
                  <w:tcBorders>
                    <w:right w:val="single" w:color="auto" w:sz="4" w:space="0"/>
                    <w:tl2br w:val="nil"/>
                    <w:tr2bl w:val="nil"/>
                  </w:tcBorders>
                  <w:noWrap w:val="0"/>
                  <w:vAlign w:val="center"/>
                </w:tcPr>
                <w:p w14:paraId="7F8D18C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p>
              </w:tc>
              <w:tc>
                <w:tcPr>
                  <w:tcW w:w="1135" w:type="pct"/>
                  <w:tcBorders>
                    <w:left w:val="single" w:color="auto" w:sz="4" w:space="0"/>
                    <w:tl2br w:val="nil"/>
                    <w:tr2bl w:val="nil"/>
                  </w:tcBorders>
                  <w:noWrap w:val="0"/>
                  <w:vAlign w:val="center"/>
                </w:tcPr>
                <w:p w14:paraId="7E08F23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玉竹片（粉）</w:t>
                  </w:r>
                </w:p>
              </w:tc>
              <w:tc>
                <w:tcPr>
                  <w:tcW w:w="899" w:type="pct"/>
                  <w:tcBorders>
                    <w:tl2br w:val="nil"/>
                    <w:tr2bl w:val="nil"/>
                  </w:tcBorders>
                  <w:noWrap w:val="0"/>
                  <w:vAlign w:val="center"/>
                </w:tcPr>
                <w:p w14:paraId="1783088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50</w:t>
                  </w:r>
                </w:p>
              </w:tc>
              <w:tc>
                <w:tcPr>
                  <w:tcW w:w="863" w:type="pct"/>
                  <w:tcBorders>
                    <w:tl2br w:val="nil"/>
                    <w:tr2bl w:val="nil"/>
                  </w:tcBorders>
                  <w:noWrap w:val="0"/>
                  <w:vAlign w:val="center"/>
                </w:tcPr>
                <w:p w14:paraId="45ACC7B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cs="Times New Roman" w:eastAsiaTheme="minorEastAsia"/>
                      <w:color w:val="auto"/>
                      <w:sz w:val="21"/>
                      <w:szCs w:val="21"/>
                      <w:u w:val="single"/>
                      <w:lang w:val="en-US" w:eastAsia="zh-CN"/>
                    </w:rPr>
                    <w:t>16</w:t>
                  </w:r>
                </w:p>
              </w:tc>
              <w:tc>
                <w:tcPr>
                  <w:tcW w:w="1258" w:type="pct"/>
                  <w:tcBorders>
                    <w:tl2br w:val="nil"/>
                    <w:tr2bl w:val="nil"/>
                  </w:tcBorders>
                  <w:noWrap w:val="0"/>
                  <w:vAlign w:val="center"/>
                </w:tcPr>
                <w:p w14:paraId="2308F0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pacing w:val="3"/>
                      <w:position w:val="3"/>
                      <w:sz w:val="21"/>
                      <w:szCs w:val="21"/>
                      <w:u w:val="single"/>
                      <w:lang w:val="en-US" w:eastAsia="zh-CN"/>
                    </w:rPr>
                    <w:t>预包装</w:t>
                  </w:r>
                </w:p>
              </w:tc>
            </w:tr>
            <w:tr w14:paraId="2BA71A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vMerge w:val="restart"/>
                  <w:tcBorders>
                    <w:tl2br w:val="nil"/>
                    <w:tr2bl w:val="nil"/>
                  </w:tcBorders>
                  <w:noWrap w:val="0"/>
                  <w:vAlign w:val="center"/>
                </w:tcPr>
                <w:p w14:paraId="1ADB8D0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color w:val="auto"/>
                      <w:sz w:val="21"/>
                      <w:szCs w:val="21"/>
                      <w:u w:val="single"/>
                    </w:rPr>
                    <w:t>2</w:t>
                  </w:r>
                </w:p>
              </w:tc>
              <w:tc>
                <w:tcPr>
                  <w:tcW w:w="492" w:type="pct"/>
                  <w:vMerge w:val="restart"/>
                  <w:tcBorders>
                    <w:right w:val="single" w:color="auto" w:sz="4" w:space="0"/>
                    <w:tl2br w:val="nil"/>
                    <w:tr2bl w:val="nil"/>
                  </w:tcBorders>
                  <w:noWrap w:val="0"/>
                  <w:vAlign w:val="center"/>
                </w:tcPr>
                <w:p w14:paraId="6C12E969">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color w:val="auto"/>
                      <w:sz w:val="21"/>
                      <w:szCs w:val="21"/>
                      <w:u w:val="single"/>
                    </w:rPr>
                    <w:t>黄精</w:t>
                  </w:r>
                </w:p>
              </w:tc>
              <w:tc>
                <w:tcPr>
                  <w:tcW w:w="1135" w:type="pct"/>
                  <w:tcBorders>
                    <w:left w:val="single" w:color="auto" w:sz="4" w:space="0"/>
                    <w:tl2br w:val="nil"/>
                    <w:tr2bl w:val="nil"/>
                  </w:tcBorders>
                  <w:noWrap w:val="0"/>
                  <w:vAlign w:val="center"/>
                </w:tcPr>
                <w:p w14:paraId="251DA9EF">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干</w:t>
                  </w:r>
                  <w:r>
                    <w:rPr>
                      <w:rFonts w:hint="default" w:ascii="Times New Roman" w:hAnsi="Times New Roman" w:cs="Times New Roman" w:eastAsiaTheme="minorEastAsia"/>
                      <w:color w:val="auto"/>
                      <w:sz w:val="21"/>
                      <w:szCs w:val="21"/>
                      <w:u w:val="single"/>
                    </w:rPr>
                    <w:t>黄精</w:t>
                  </w:r>
                </w:p>
              </w:tc>
              <w:tc>
                <w:tcPr>
                  <w:tcW w:w="899" w:type="pct"/>
                  <w:tcBorders>
                    <w:tl2br w:val="nil"/>
                    <w:tr2bl w:val="nil"/>
                  </w:tcBorders>
                  <w:noWrap w:val="0"/>
                  <w:vAlign w:val="center"/>
                </w:tcPr>
                <w:p w14:paraId="3B6F2782">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eastAsia" w:ascii="Times New Roman" w:hAnsi="Times New Roman" w:cs="Times New Roman" w:eastAsiaTheme="minorEastAsia"/>
                      <w:color w:val="auto"/>
                      <w:sz w:val="21"/>
                      <w:szCs w:val="21"/>
                      <w:u w:val="single"/>
                      <w:lang w:val="en-US" w:eastAsia="zh-CN"/>
                    </w:rPr>
                    <w:t>5</w:t>
                  </w:r>
                  <w:r>
                    <w:rPr>
                      <w:rFonts w:hint="default" w:ascii="Times New Roman" w:hAnsi="Times New Roman" w:cs="Times New Roman" w:eastAsiaTheme="minorEastAsia"/>
                      <w:color w:val="auto"/>
                      <w:sz w:val="21"/>
                      <w:szCs w:val="21"/>
                      <w:u w:val="single"/>
                    </w:rPr>
                    <w:t>0</w:t>
                  </w:r>
                </w:p>
              </w:tc>
              <w:tc>
                <w:tcPr>
                  <w:tcW w:w="863" w:type="pct"/>
                  <w:tcBorders>
                    <w:tl2br w:val="nil"/>
                    <w:tr2bl w:val="nil"/>
                  </w:tcBorders>
                  <w:noWrap w:val="0"/>
                  <w:vAlign w:val="center"/>
                </w:tcPr>
                <w:p w14:paraId="3DBBD316">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15</w:t>
                  </w:r>
                </w:p>
              </w:tc>
              <w:tc>
                <w:tcPr>
                  <w:tcW w:w="1258" w:type="pct"/>
                  <w:tcBorders>
                    <w:tl2br w:val="nil"/>
                    <w:tr2bl w:val="nil"/>
                  </w:tcBorders>
                  <w:noWrap w:val="0"/>
                  <w:vAlign w:val="center"/>
                </w:tcPr>
                <w:p w14:paraId="1D4F91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color w:val="auto"/>
                      <w:spacing w:val="3"/>
                      <w:position w:val="3"/>
                      <w:sz w:val="21"/>
                      <w:szCs w:val="21"/>
                      <w:u w:val="single"/>
                      <w:lang w:val="en-US" w:eastAsia="zh-CN"/>
                    </w:rPr>
                    <w:t>作为产品直接外售</w:t>
                  </w:r>
                </w:p>
              </w:tc>
            </w:tr>
            <w:tr w14:paraId="245676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vMerge w:val="continue"/>
                  <w:tcBorders>
                    <w:tl2br w:val="nil"/>
                    <w:tr2bl w:val="nil"/>
                  </w:tcBorders>
                  <w:noWrap w:val="0"/>
                  <w:vAlign w:val="center"/>
                </w:tcPr>
                <w:p w14:paraId="435F901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p>
              </w:tc>
              <w:tc>
                <w:tcPr>
                  <w:tcW w:w="492" w:type="pct"/>
                  <w:vMerge w:val="continue"/>
                  <w:tcBorders>
                    <w:right w:val="single" w:color="auto" w:sz="4" w:space="0"/>
                    <w:tl2br w:val="nil"/>
                    <w:tr2bl w:val="nil"/>
                  </w:tcBorders>
                  <w:noWrap w:val="0"/>
                  <w:vAlign w:val="center"/>
                </w:tcPr>
                <w:p w14:paraId="24FBB56D">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p>
              </w:tc>
              <w:tc>
                <w:tcPr>
                  <w:tcW w:w="1135" w:type="pct"/>
                  <w:tcBorders>
                    <w:left w:val="single" w:color="auto" w:sz="4" w:space="0"/>
                    <w:tl2br w:val="nil"/>
                    <w:tr2bl w:val="nil"/>
                  </w:tcBorders>
                  <w:noWrap w:val="0"/>
                  <w:vAlign w:val="center"/>
                </w:tcPr>
                <w:p w14:paraId="2C33D93F">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黄精（九蒸九制）</w:t>
                  </w:r>
                </w:p>
              </w:tc>
              <w:tc>
                <w:tcPr>
                  <w:tcW w:w="899" w:type="pct"/>
                  <w:tcBorders>
                    <w:tl2br w:val="nil"/>
                    <w:tr2bl w:val="nil"/>
                  </w:tcBorders>
                  <w:noWrap w:val="0"/>
                  <w:vAlign w:val="center"/>
                </w:tcPr>
                <w:p w14:paraId="5A2E3B3E">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50</w:t>
                  </w:r>
                </w:p>
              </w:tc>
              <w:tc>
                <w:tcPr>
                  <w:tcW w:w="863" w:type="pct"/>
                  <w:tcBorders>
                    <w:tl2br w:val="nil"/>
                    <w:tr2bl w:val="nil"/>
                  </w:tcBorders>
                  <w:noWrap w:val="0"/>
                  <w:vAlign w:val="center"/>
                </w:tcPr>
                <w:p w14:paraId="062A9483">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15</w:t>
                  </w:r>
                </w:p>
              </w:tc>
              <w:tc>
                <w:tcPr>
                  <w:tcW w:w="1258" w:type="pct"/>
                  <w:tcBorders>
                    <w:tl2br w:val="nil"/>
                    <w:tr2bl w:val="nil"/>
                  </w:tcBorders>
                  <w:noWrap w:val="0"/>
                  <w:vAlign w:val="center"/>
                </w:tcPr>
                <w:p w14:paraId="124902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pacing w:val="3"/>
                      <w:position w:val="3"/>
                      <w:sz w:val="21"/>
                      <w:szCs w:val="21"/>
                      <w:u w:val="single"/>
                      <w:lang w:eastAsia="zh-CN"/>
                    </w:rPr>
                  </w:pPr>
                  <w:r>
                    <w:rPr>
                      <w:rFonts w:hint="default" w:ascii="Times New Roman" w:hAnsi="Times New Roman" w:cs="Times New Roman" w:eastAsiaTheme="minorEastAsia"/>
                      <w:color w:val="auto"/>
                      <w:spacing w:val="3"/>
                      <w:position w:val="3"/>
                      <w:sz w:val="21"/>
                      <w:szCs w:val="21"/>
                      <w:u w:val="single"/>
                      <w:lang w:val="en-US" w:eastAsia="zh-CN"/>
                    </w:rPr>
                    <w:t>预包装</w:t>
                  </w:r>
                </w:p>
              </w:tc>
            </w:tr>
            <w:tr w14:paraId="04E8CA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tcBorders>
                    <w:tl2br w:val="nil"/>
                    <w:tr2bl w:val="nil"/>
                  </w:tcBorders>
                  <w:noWrap w:val="0"/>
                  <w:vAlign w:val="center"/>
                </w:tcPr>
                <w:p w14:paraId="358D915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3</w:t>
                  </w:r>
                </w:p>
              </w:tc>
              <w:tc>
                <w:tcPr>
                  <w:tcW w:w="1628" w:type="pct"/>
                  <w:gridSpan w:val="2"/>
                  <w:tcBorders>
                    <w:tl2br w:val="nil"/>
                    <w:tr2bl w:val="nil"/>
                  </w:tcBorders>
                  <w:noWrap w:val="0"/>
                  <w:vAlign w:val="center"/>
                </w:tcPr>
                <w:p w14:paraId="7B6A4EDE">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color w:val="auto"/>
                      <w:sz w:val="21"/>
                      <w:szCs w:val="21"/>
                      <w:u w:val="single"/>
                      <w:lang w:val="en-US" w:eastAsia="zh-CN"/>
                    </w:rPr>
                    <w:t>干</w:t>
                  </w:r>
                  <w:r>
                    <w:rPr>
                      <w:rFonts w:hint="default" w:ascii="Times New Roman" w:hAnsi="Times New Roman" w:cs="Times New Roman" w:eastAsiaTheme="minorEastAsia"/>
                      <w:color w:val="auto"/>
                      <w:sz w:val="21"/>
                      <w:szCs w:val="21"/>
                      <w:u w:val="single"/>
                    </w:rPr>
                    <w:t>白术</w:t>
                  </w:r>
                </w:p>
              </w:tc>
              <w:tc>
                <w:tcPr>
                  <w:tcW w:w="899" w:type="pct"/>
                  <w:tcBorders>
                    <w:tl2br w:val="nil"/>
                    <w:tr2bl w:val="nil"/>
                  </w:tcBorders>
                  <w:noWrap w:val="0"/>
                  <w:vAlign w:val="center"/>
                </w:tcPr>
                <w:p w14:paraId="07F8338A">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color w:val="auto"/>
                      <w:sz w:val="21"/>
                      <w:szCs w:val="21"/>
                      <w:u w:val="single"/>
                    </w:rPr>
                    <w:t>100</w:t>
                  </w:r>
                </w:p>
              </w:tc>
              <w:tc>
                <w:tcPr>
                  <w:tcW w:w="863" w:type="pct"/>
                  <w:tcBorders>
                    <w:tl2br w:val="nil"/>
                    <w:tr2bl w:val="nil"/>
                  </w:tcBorders>
                  <w:noWrap w:val="0"/>
                  <w:vAlign w:val="center"/>
                </w:tcPr>
                <w:p w14:paraId="195983C9">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15</w:t>
                  </w:r>
                </w:p>
              </w:tc>
              <w:tc>
                <w:tcPr>
                  <w:tcW w:w="1258" w:type="pct"/>
                  <w:tcBorders>
                    <w:tl2br w:val="nil"/>
                    <w:tr2bl w:val="nil"/>
                  </w:tcBorders>
                  <w:noWrap w:val="0"/>
                  <w:vAlign w:val="center"/>
                </w:tcPr>
                <w:p w14:paraId="7EBF5F0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cs="Times New Roman" w:eastAsiaTheme="minorEastAsia"/>
                      <w:color w:val="auto"/>
                      <w:spacing w:val="3"/>
                      <w:position w:val="3"/>
                      <w:sz w:val="21"/>
                      <w:szCs w:val="21"/>
                      <w:u w:val="single"/>
                      <w:lang w:val="en-US" w:eastAsia="zh-CN"/>
                    </w:rPr>
                  </w:pPr>
                  <w:r>
                    <w:rPr>
                      <w:rFonts w:hint="eastAsia" w:cs="Times New Roman" w:eastAsiaTheme="minorEastAsia"/>
                      <w:color w:val="auto"/>
                      <w:spacing w:val="3"/>
                      <w:position w:val="3"/>
                      <w:sz w:val="21"/>
                      <w:szCs w:val="21"/>
                      <w:u w:val="single"/>
                      <w:lang w:val="en-US" w:eastAsia="zh-CN"/>
                    </w:rPr>
                    <w:t>/</w:t>
                  </w:r>
                </w:p>
              </w:tc>
            </w:tr>
            <w:tr w14:paraId="15D4BF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tcBorders>
                    <w:tl2br w:val="nil"/>
                    <w:tr2bl w:val="nil"/>
                  </w:tcBorders>
                  <w:noWrap w:val="0"/>
                  <w:vAlign w:val="center"/>
                </w:tcPr>
                <w:p w14:paraId="799F9AF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4</w:t>
                  </w:r>
                </w:p>
              </w:tc>
              <w:tc>
                <w:tcPr>
                  <w:tcW w:w="1628" w:type="pct"/>
                  <w:gridSpan w:val="2"/>
                  <w:tcBorders>
                    <w:tl2br w:val="nil"/>
                    <w:tr2bl w:val="nil"/>
                  </w:tcBorders>
                  <w:noWrap w:val="0"/>
                  <w:vAlign w:val="center"/>
                </w:tcPr>
                <w:p w14:paraId="01BB164A">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color w:val="auto"/>
                      <w:sz w:val="21"/>
                      <w:szCs w:val="21"/>
                      <w:u w:val="single"/>
                      <w:lang w:val="en-US" w:eastAsia="zh-CN"/>
                    </w:rPr>
                    <w:t>干</w:t>
                  </w:r>
                  <w:r>
                    <w:rPr>
                      <w:rFonts w:hint="default" w:ascii="Times New Roman" w:hAnsi="Times New Roman" w:cs="Times New Roman" w:eastAsiaTheme="minorEastAsia"/>
                      <w:color w:val="auto"/>
                      <w:sz w:val="21"/>
                      <w:szCs w:val="21"/>
                      <w:u w:val="single"/>
                    </w:rPr>
                    <w:t>黄柏</w:t>
                  </w:r>
                </w:p>
              </w:tc>
              <w:tc>
                <w:tcPr>
                  <w:tcW w:w="899" w:type="pct"/>
                  <w:tcBorders>
                    <w:tl2br w:val="nil"/>
                    <w:tr2bl w:val="nil"/>
                  </w:tcBorders>
                  <w:noWrap w:val="0"/>
                  <w:vAlign w:val="center"/>
                </w:tcPr>
                <w:p w14:paraId="558683BE">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color w:val="auto"/>
                      <w:sz w:val="21"/>
                      <w:szCs w:val="21"/>
                      <w:u w:val="single"/>
                    </w:rPr>
                    <w:t>100</w:t>
                  </w:r>
                </w:p>
              </w:tc>
              <w:tc>
                <w:tcPr>
                  <w:tcW w:w="863" w:type="pct"/>
                  <w:tcBorders>
                    <w:tl2br w:val="nil"/>
                    <w:tr2bl w:val="nil"/>
                  </w:tcBorders>
                  <w:noWrap w:val="0"/>
                  <w:vAlign w:val="center"/>
                </w:tcPr>
                <w:p w14:paraId="30F6C381">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eastAsia" w:ascii="Times New Roman" w:hAnsi="Times New Roman" w:cs="Times New Roman" w:eastAsiaTheme="minorEastAsia"/>
                      <w:color w:val="auto"/>
                      <w:sz w:val="21"/>
                      <w:szCs w:val="21"/>
                      <w:u w:val="single"/>
                      <w:lang w:val="en-US" w:eastAsia="zh-CN"/>
                    </w:rPr>
                    <w:t>15</w:t>
                  </w:r>
                </w:p>
              </w:tc>
              <w:tc>
                <w:tcPr>
                  <w:tcW w:w="1258" w:type="pct"/>
                  <w:tcBorders>
                    <w:tl2br w:val="nil"/>
                    <w:tr2bl w:val="nil"/>
                  </w:tcBorders>
                  <w:noWrap w:val="0"/>
                  <w:vAlign w:val="center"/>
                </w:tcPr>
                <w:p w14:paraId="53332A2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cs="Times New Roman" w:eastAsiaTheme="minorEastAsia"/>
                      <w:color w:val="auto"/>
                      <w:spacing w:val="3"/>
                      <w:position w:val="3"/>
                      <w:sz w:val="21"/>
                      <w:szCs w:val="21"/>
                      <w:u w:val="single"/>
                      <w:lang w:val="en-US" w:eastAsia="zh-CN"/>
                    </w:rPr>
                  </w:pPr>
                  <w:r>
                    <w:rPr>
                      <w:rFonts w:hint="eastAsia" w:cs="Times New Roman" w:eastAsiaTheme="minorEastAsia"/>
                      <w:color w:val="auto"/>
                      <w:spacing w:val="3"/>
                      <w:position w:val="3"/>
                      <w:sz w:val="21"/>
                      <w:szCs w:val="21"/>
                      <w:u w:val="single"/>
                      <w:lang w:val="en-US" w:eastAsia="zh-CN"/>
                    </w:rPr>
                    <w:t>/</w:t>
                  </w:r>
                </w:p>
              </w:tc>
            </w:tr>
            <w:tr w14:paraId="7F280A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vMerge w:val="restart"/>
                  <w:tcBorders>
                    <w:tl2br w:val="nil"/>
                    <w:tr2bl w:val="nil"/>
                  </w:tcBorders>
                  <w:noWrap w:val="0"/>
                  <w:vAlign w:val="center"/>
                </w:tcPr>
                <w:p w14:paraId="09D7ED4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5</w:t>
                  </w:r>
                </w:p>
              </w:tc>
              <w:tc>
                <w:tcPr>
                  <w:tcW w:w="492" w:type="pct"/>
                  <w:vMerge w:val="restart"/>
                  <w:tcBorders>
                    <w:right w:val="single" w:color="auto" w:sz="4" w:space="0"/>
                    <w:tl2br w:val="nil"/>
                    <w:tr2bl w:val="nil"/>
                  </w:tcBorders>
                  <w:noWrap w:val="0"/>
                  <w:vAlign w:val="center"/>
                </w:tcPr>
                <w:p w14:paraId="5C460167">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rPr>
                  </w:pPr>
                  <w:r>
                    <w:rPr>
                      <w:rFonts w:hint="default" w:ascii="Times New Roman" w:hAnsi="Times New Roman" w:cs="Times New Roman" w:eastAsiaTheme="minorEastAsia"/>
                      <w:color w:val="auto"/>
                      <w:sz w:val="21"/>
                      <w:szCs w:val="21"/>
                      <w:u w:val="single"/>
                    </w:rPr>
                    <w:t>山银花</w:t>
                  </w:r>
                </w:p>
              </w:tc>
              <w:tc>
                <w:tcPr>
                  <w:tcW w:w="1135" w:type="pct"/>
                  <w:tcBorders>
                    <w:left w:val="single" w:color="auto" w:sz="4" w:space="0"/>
                    <w:tl2br w:val="nil"/>
                    <w:tr2bl w:val="nil"/>
                  </w:tcBorders>
                  <w:noWrap w:val="0"/>
                  <w:vAlign w:val="center"/>
                </w:tcPr>
                <w:p w14:paraId="6082D0DA">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干</w:t>
                  </w:r>
                  <w:r>
                    <w:rPr>
                      <w:rFonts w:hint="default" w:ascii="Times New Roman" w:hAnsi="Times New Roman" w:cs="Times New Roman" w:eastAsiaTheme="minorEastAsia"/>
                      <w:color w:val="auto"/>
                      <w:sz w:val="21"/>
                      <w:szCs w:val="21"/>
                      <w:u w:val="single"/>
                    </w:rPr>
                    <w:t>山银花</w:t>
                  </w:r>
                </w:p>
              </w:tc>
              <w:tc>
                <w:tcPr>
                  <w:tcW w:w="899" w:type="pct"/>
                  <w:tcBorders>
                    <w:tl2br w:val="nil"/>
                    <w:tr2bl w:val="nil"/>
                  </w:tcBorders>
                  <w:noWrap w:val="0"/>
                  <w:vAlign w:val="center"/>
                </w:tcPr>
                <w:p w14:paraId="410051C7">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250</w:t>
                  </w:r>
                </w:p>
              </w:tc>
              <w:tc>
                <w:tcPr>
                  <w:tcW w:w="863" w:type="pct"/>
                  <w:tcBorders>
                    <w:tl2br w:val="nil"/>
                    <w:tr2bl w:val="nil"/>
                  </w:tcBorders>
                  <w:noWrap w:val="0"/>
                  <w:vAlign w:val="center"/>
                </w:tcPr>
                <w:p w14:paraId="7C554B78">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15</w:t>
                  </w:r>
                </w:p>
              </w:tc>
              <w:tc>
                <w:tcPr>
                  <w:tcW w:w="1258" w:type="pct"/>
                  <w:tcBorders>
                    <w:tl2br w:val="nil"/>
                    <w:tr2bl w:val="nil"/>
                  </w:tcBorders>
                  <w:noWrap w:val="0"/>
                  <w:vAlign w:val="center"/>
                </w:tcPr>
                <w:p w14:paraId="7BA805E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pacing w:val="3"/>
                      <w:position w:val="3"/>
                      <w:sz w:val="21"/>
                      <w:szCs w:val="21"/>
                      <w:u w:val="single"/>
                      <w:lang w:val="en-US" w:eastAsia="zh-CN"/>
                    </w:rPr>
                  </w:pPr>
                  <w:r>
                    <w:rPr>
                      <w:rFonts w:hint="default" w:ascii="Times New Roman" w:hAnsi="Times New Roman" w:cs="Times New Roman" w:eastAsiaTheme="minorEastAsia"/>
                      <w:color w:val="auto"/>
                      <w:spacing w:val="3"/>
                      <w:position w:val="3"/>
                      <w:sz w:val="21"/>
                      <w:szCs w:val="21"/>
                      <w:u w:val="single"/>
                      <w:lang w:val="en-US" w:eastAsia="zh-CN"/>
                    </w:rPr>
                    <w:t>作为产品直接外售</w:t>
                  </w:r>
                </w:p>
              </w:tc>
            </w:tr>
            <w:tr w14:paraId="1CBFA4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49" w:type="pct"/>
                  <w:vMerge w:val="continue"/>
                  <w:tcBorders>
                    <w:tl2br w:val="nil"/>
                    <w:tr2bl w:val="nil"/>
                  </w:tcBorders>
                  <w:noWrap w:val="0"/>
                  <w:vAlign w:val="center"/>
                </w:tcPr>
                <w:p w14:paraId="5B47E4F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p>
              </w:tc>
              <w:tc>
                <w:tcPr>
                  <w:tcW w:w="492" w:type="pct"/>
                  <w:vMerge w:val="continue"/>
                  <w:tcBorders>
                    <w:right w:val="single" w:color="auto" w:sz="4" w:space="0"/>
                    <w:tl2br w:val="nil"/>
                    <w:tr2bl w:val="nil"/>
                  </w:tcBorders>
                  <w:noWrap w:val="0"/>
                  <w:vAlign w:val="center"/>
                </w:tcPr>
                <w:p w14:paraId="5F32FEDB">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p>
              </w:tc>
              <w:tc>
                <w:tcPr>
                  <w:tcW w:w="1135" w:type="pct"/>
                  <w:tcBorders>
                    <w:left w:val="single" w:color="auto" w:sz="4" w:space="0"/>
                    <w:tl2br w:val="nil"/>
                    <w:tr2bl w:val="nil"/>
                  </w:tcBorders>
                  <w:noWrap w:val="0"/>
                  <w:vAlign w:val="center"/>
                </w:tcPr>
                <w:p w14:paraId="4FAE2C10">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山银花茶（粉）</w:t>
                  </w:r>
                </w:p>
              </w:tc>
              <w:tc>
                <w:tcPr>
                  <w:tcW w:w="899" w:type="pct"/>
                  <w:tcBorders>
                    <w:tl2br w:val="nil"/>
                    <w:tr2bl w:val="nil"/>
                  </w:tcBorders>
                  <w:noWrap w:val="0"/>
                  <w:vAlign w:val="center"/>
                </w:tcPr>
                <w:p w14:paraId="7C71C26B">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50</w:t>
                  </w:r>
                </w:p>
              </w:tc>
              <w:tc>
                <w:tcPr>
                  <w:tcW w:w="863" w:type="pct"/>
                  <w:tcBorders>
                    <w:tl2br w:val="nil"/>
                    <w:tr2bl w:val="nil"/>
                  </w:tcBorders>
                  <w:noWrap w:val="0"/>
                  <w:vAlign w:val="center"/>
                </w:tcPr>
                <w:p w14:paraId="327D1D03">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15</w:t>
                  </w:r>
                </w:p>
              </w:tc>
              <w:tc>
                <w:tcPr>
                  <w:tcW w:w="1258" w:type="pct"/>
                  <w:tcBorders>
                    <w:tl2br w:val="nil"/>
                    <w:tr2bl w:val="nil"/>
                  </w:tcBorders>
                  <w:noWrap w:val="0"/>
                  <w:vAlign w:val="center"/>
                </w:tcPr>
                <w:p w14:paraId="454424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eastAsiaTheme="minorEastAsia"/>
                      <w:color w:val="auto"/>
                      <w:spacing w:val="3"/>
                      <w:position w:val="3"/>
                      <w:sz w:val="21"/>
                      <w:szCs w:val="21"/>
                      <w:u w:val="single"/>
                      <w:lang w:eastAsia="zh-CN"/>
                    </w:rPr>
                  </w:pPr>
                  <w:r>
                    <w:rPr>
                      <w:rFonts w:hint="default" w:ascii="Times New Roman" w:hAnsi="Times New Roman" w:cs="Times New Roman" w:eastAsiaTheme="minorEastAsia"/>
                      <w:color w:val="auto"/>
                      <w:spacing w:val="3"/>
                      <w:position w:val="3"/>
                      <w:sz w:val="21"/>
                      <w:szCs w:val="21"/>
                      <w:u w:val="single"/>
                      <w:lang w:val="en-US" w:eastAsia="zh-CN"/>
                    </w:rPr>
                    <w:t>预包装</w:t>
                  </w:r>
                </w:p>
              </w:tc>
            </w:tr>
          </w:tbl>
          <w:p w14:paraId="7B7207EC">
            <w:pPr>
              <w:pStyle w:val="1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本项目产品质量按2025年版《中华人民共和国药典》执行。具体质量标准如下：</w:t>
            </w:r>
          </w:p>
          <w:p w14:paraId="17EA56C3">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rPr>
              <w:t>表2-</w:t>
            </w:r>
            <w:r>
              <w:rPr>
                <w:rFonts w:hint="eastAsia" w:ascii="Times New Roman" w:hAnsi="Times New Roman" w:eastAsia="宋体" w:cs="Times New Roman"/>
                <w:color w:val="auto"/>
                <w:sz w:val="24"/>
                <w:szCs w:val="24"/>
                <w:u w:val="single"/>
                <w:lang w:val="en-US" w:eastAsia="zh-CN"/>
              </w:rPr>
              <w:t>3</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干玉竹质量标准</w:t>
            </w:r>
          </w:p>
          <w:tbl>
            <w:tblPr>
              <w:tblStyle w:val="33"/>
              <w:tblW w:w="7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6370"/>
            </w:tblGrid>
            <w:tr w14:paraId="177C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noWrap w:val="0"/>
                  <w:vAlign w:val="center"/>
                </w:tcPr>
                <w:p w14:paraId="0D5D7D9B">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检测项目</w:t>
                  </w:r>
                </w:p>
              </w:tc>
              <w:tc>
                <w:tcPr>
                  <w:tcW w:w="6370" w:type="dxa"/>
                  <w:noWrap w:val="0"/>
                  <w:vAlign w:val="center"/>
                </w:tcPr>
                <w:p w14:paraId="4C6247ED">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控制标准</w:t>
                  </w:r>
                </w:p>
              </w:tc>
            </w:tr>
            <w:tr w14:paraId="58E0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noWrap w:val="0"/>
                  <w:vAlign w:val="center"/>
                </w:tcPr>
                <w:p w14:paraId="3769C43C">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性状</w:t>
                  </w:r>
                </w:p>
              </w:tc>
              <w:tc>
                <w:tcPr>
                  <w:tcW w:w="6370" w:type="dxa"/>
                  <w:noWrap w:val="0"/>
                  <w:vAlign w:val="center"/>
                </w:tcPr>
                <w:p w14:paraId="33FB0E0C">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本品呈长圆柱形，略扁，少有分枝，长4～18cm，直径0.3～1.6cm。表面黄白色或淡黄棕色，有的半透明，具纵皱纹和微隆起的环节，有白色圆点状的须根痕和圆盘状茎痕。质硬而脆或稍软，易折断，断面角质样或显颗粒性。气微，味甘，嚼之发黏。</w:t>
                  </w:r>
                </w:p>
              </w:tc>
            </w:tr>
            <w:tr w14:paraId="4164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noWrap w:val="0"/>
                  <w:vAlign w:val="center"/>
                </w:tcPr>
                <w:p w14:paraId="156F73F5">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鉴别</w:t>
                  </w:r>
                </w:p>
              </w:tc>
              <w:tc>
                <w:tcPr>
                  <w:tcW w:w="6370" w:type="dxa"/>
                  <w:noWrap w:val="0"/>
                  <w:vAlign w:val="center"/>
                </w:tcPr>
                <w:p w14:paraId="20BC259E">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本品横切面：表皮细胞扁圆形或扁长方形，外壁稍厚，角质化。薄壁组织中散有多数黏液细胞，直径80～140μm，内含草酸钙针晶束。维管束外韧型，稀有周木型，散列</w:t>
                  </w:r>
                </w:p>
              </w:tc>
            </w:tr>
            <w:tr w14:paraId="027D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noWrap w:val="0"/>
                  <w:vAlign w:val="center"/>
                </w:tcPr>
                <w:p w14:paraId="1AD01FD1">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val="en-US" w:eastAsia="zh-CN"/>
                    </w:rPr>
                    <w:t>水分</w:t>
                  </w:r>
                </w:p>
              </w:tc>
              <w:tc>
                <w:tcPr>
                  <w:tcW w:w="6370" w:type="dxa"/>
                  <w:noWrap w:val="0"/>
                  <w:vAlign w:val="center"/>
                </w:tcPr>
                <w:p w14:paraId="172BC476">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不</w:t>
                  </w:r>
                  <w:r>
                    <w:rPr>
                      <w:rFonts w:hint="eastAsia" w:cs="Times New Roman"/>
                      <w:b w:val="0"/>
                      <w:bCs w:val="0"/>
                      <w:color w:val="auto"/>
                      <w:sz w:val="21"/>
                      <w:szCs w:val="21"/>
                      <w:u w:val="single"/>
                      <w:lang w:eastAsia="zh-CN"/>
                    </w:rPr>
                    <w:t>得超</w:t>
                  </w:r>
                  <w:r>
                    <w:rPr>
                      <w:rFonts w:hint="eastAsia" w:ascii="Times New Roman" w:hAnsi="Times New Roman" w:eastAsia="宋体" w:cs="Times New Roman"/>
                      <w:b w:val="0"/>
                      <w:bCs w:val="0"/>
                      <w:color w:val="auto"/>
                      <w:sz w:val="21"/>
                      <w:szCs w:val="21"/>
                      <w:u w:val="single"/>
                      <w:lang w:eastAsia="zh-CN"/>
                    </w:rPr>
                    <w:t>过16.0%（通则0832第二法）。</w:t>
                  </w:r>
                </w:p>
              </w:tc>
            </w:tr>
            <w:tr w14:paraId="72A6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noWrap w:val="0"/>
                  <w:vAlign w:val="center"/>
                </w:tcPr>
                <w:p w14:paraId="59F03FD5">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总灰分</w:t>
                  </w:r>
                </w:p>
              </w:tc>
              <w:tc>
                <w:tcPr>
                  <w:tcW w:w="6370" w:type="dxa"/>
                  <w:noWrap w:val="0"/>
                  <w:vAlign w:val="center"/>
                </w:tcPr>
                <w:p w14:paraId="513260D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不</w:t>
                  </w:r>
                  <w:r>
                    <w:rPr>
                      <w:rFonts w:hint="eastAsia" w:cs="Times New Roman"/>
                      <w:b w:val="0"/>
                      <w:bCs w:val="0"/>
                      <w:color w:val="auto"/>
                      <w:sz w:val="21"/>
                      <w:szCs w:val="21"/>
                      <w:u w:val="single"/>
                      <w:lang w:eastAsia="zh-CN"/>
                    </w:rPr>
                    <w:t>得超</w:t>
                  </w:r>
                  <w:r>
                    <w:rPr>
                      <w:rFonts w:hint="eastAsia" w:ascii="Times New Roman" w:hAnsi="Times New Roman" w:eastAsia="宋体" w:cs="Times New Roman"/>
                      <w:b w:val="0"/>
                      <w:bCs w:val="0"/>
                      <w:color w:val="auto"/>
                      <w:sz w:val="21"/>
                      <w:szCs w:val="21"/>
                      <w:u w:val="single"/>
                      <w:lang w:eastAsia="zh-CN"/>
                    </w:rPr>
                    <w:t>过3.0%（通则2302）。</w:t>
                  </w:r>
                </w:p>
              </w:tc>
            </w:tr>
            <w:tr w14:paraId="214A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noWrap w:val="0"/>
                  <w:vAlign w:val="center"/>
                </w:tcPr>
                <w:p w14:paraId="2FADF855">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浸出物</w:t>
                  </w:r>
                </w:p>
              </w:tc>
              <w:tc>
                <w:tcPr>
                  <w:tcW w:w="6370" w:type="dxa"/>
                  <w:noWrap w:val="0"/>
                  <w:vAlign w:val="center"/>
                </w:tcPr>
                <w:p w14:paraId="4D9F61A1">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不得少于50.0%</w:t>
                  </w:r>
                </w:p>
              </w:tc>
            </w:tr>
            <w:tr w14:paraId="1681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noWrap w:val="0"/>
                  <w:vAlign w:val="center"/>
                </w:tcPr>
                <w:p w14:paraId="14DBAE98">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重金属</w:t>
                  </w:r>
                </w:p>
              </w:tc>
              <w:tc>
                <w:tcPr>
                  <w:tcW w:w="6370" w:type="dxa"/>
                  <w:noWrap w:val="0"/>
                  <w:vAlign w:val="center"/>
                </w:tcPr>
                <w:p w14:paraId="507E97B6">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0.001%</w:t>
                  </w:r>
                </w:p>
              </w:tc>
            </w:tr>
            <w:tr w14:paraId="14C2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5" w:type="dxa"/>
                  <w:noWrap w:val="0"/>
                  <w:vAlign w:val="center"/>
                </w:tcPr>
                <w:p w14:paraId="7B2541A5">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含量测定</w:t>
                  </w:r>
                </w:p>
              </w:tc>
              <w:tc>
                <w:tcPr>
                  <w:tcW w:w="6370" w:type="dxa"/>
                  <w:noWrap w:val="0"/>
                  <w:vAlign w:val="center"/>
                </w:tcPr>
                <w:p w14:paraId="429DBC2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eastAsia="zh-CN"/>
                    </w:rPr>
                  </w:pPr>
                  <w:r>
                    <w:rPr>
                      <w:rFonts w:hint="eastAsia" w:ascii="Times New Roman" w:hAnsi="Times New Roman" w:eastAsia="宋体" w:cs="Times New Roman"/>
                      <w:b w:val="0"/>
                      <w:bCs w:val="0"/>
                      <w:color w:val="auto"/>
                      <w:sz w:val="21"/>
                      <w:szCs w:val="21"/>
                      <w:u w:val="single"/>
                      <w:lang w:eastAsia="zh-CN"/>
                    </w:rPr>
                    <w:t>本品按干燥品计算，含玉竹多糖以葡萄糖（C6H12O6）计，不得少于6.0%</w:t>
                  </w:r>
                </w:p>
              </w:tc>
            </w:tr>
          </w:tbl>
          <w:p w14:paraId="26B1B3B4">
            <w:pPr>
              <w:pStyle w:val="84"/>
              <w:keepNext w:val="0"/>
              <w:keepLines w:val="0"/>
              <w:pageBreakBefore w:val="0"/>
              <w:widowControl w:val="0"/>
              <w:kinsoku/>
              <w:wordWrap/>
              <w:overflowPunct/>
              <w:topLinePunct w:val="0"/>
              <w:autoSpaceDE/>
              <w:autoSpaceDN/>
              <w:bidi w:val="0"/>
              <w:adjustRightInd/>
              <w:snapToGrid/>
              <w:spacing w:before="157" w:beforeLines="50" w:after="0" w:afterLines="0" w:line="240" w:lineRule="auto"/>
              <w:jc w:val="center"/>
              <w:textAlignment w:val="auto"/>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rPr>
              <w:t>表2-</w:t>
            </w:r>
            <w:r>
              <w:rPr>
                <w:rFonts w:hint="eastAsia" w:ascii="Times New Roman" w:hAnsi="Times New Roman" w:eastAsia="宋体" w:cs="Times New Roman"/>
                <w:color w:val="auto"/>
                <w:sz w:val="24"/>
                <w:szCs w:val="24"/>
                <w:u w:val="single"/>
                <w:lang w:val="en-US" w:eastAsia="zh-CN"/>
              </w:rPr>
              <w:t>4</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干黄精质量标准</w:t>
            </w:r>
          </w:p>
          <w:tbl>
            <w:tblPr>
              <w:tblStyle w:val="33"/>
              <w:tblW w:w="7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6397"/>
            </w:tblGrid>
            <w:tr w14:paraId="7BDE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82" w:type="dxa"/>
                  <w:noWrap w:val="0"/>
                  <w:vAlign w:val="center"/>
                </w:tcPr>
                <w:p w14:paraId="75BD205F">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检测项目</w:t>
                  </w:r>
                </w:p>
              </w:tc>
              <w:tc>
                <w:tcPr>
                  <w:tcW w:w="6397" w:type="dxa"/>
                  <w:noWrap w:val="0"/>
                  <w:vAlign w:val="center"/>
                </w:tcPr>
                <w:p w14:paraId="5E60DFB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控制标准</w:t>
                  </w:r>
                </w:p>
              </w:tc>
            </w:tr>
            <w:tr w14:paraId="4184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82" w:type="dxa"/>
                  <w:noWrap w:val="0"/>
                  <w:vAlign w:val="center"/>
                </w:tcPr>
                <w:p w14:paraId="1F2095B5">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性状</w:t>
                  </w:r>
                </w:p>
              </w:tc>
              <w:tc>
                <w:tcPr>
                  <w:tcW w:w="6397" w:type="dxa"/>
                  <w:noWrap w:val="0"/>
                  <w:vAlign w:val="center"/>
                </w:tcPr>
                <w:p w14:paraId="3D24BAB8">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本品呈类圆形、椭圆形薄片或厚片，切片厚度均匀：薄片2</w:t>
                  </w:r>
                  <w:r>
                    <w:rPr>
                      <w:rFonts w:hint="eastAsia" w:ascii="Times New Roman" w:hAnsi="Times New Roman" w:eastAsia="宋体" w:cs="Times New Roman"/>
                      <w:b w:val="0"/>
                      <w:bCs w:val="0"/>
                      <w:color w:val="auto"/>
                      <w:sz w:val="21"/>
                      <w:szCs w:val="21"/>
                      <w:u w:val="single"/>
                      <w:lang w:eastAsia="zh-CN"/>
                    </w:rPr>
                    <w:t>～</w:t>
                  </w:r>
                  <w:r>
                    <w:rPr>
                      <w:rFonts w:hint="default" w:ascii="Times New Roman" w:hAnsi="Times New Roman" w:eastAsia="宋体" w:cs="Times New Roman"/>
                      <w:b w:val="0"/>
                      <w:bCs w:val="0"/>
                      <w:color w:val="auto"/>
                      <w:sz w:val="21"/>
                      <w:szCs w:val="21"/>
                      <w:u w:val="single"/>
                      <w:lang w:val="en-US" w:eastAsia="zh-CN"/>
                    </w:rPr>
                    <w:t>3mm，厚片3</w:t>
                  </w:r>
                  <w:r>
                    <w:rPr>
                      <w:rFonts w:hint="eastAsia" w:ascii="Times New Roman" w:hAnsi="Times New Roman" w:eastAsia="宋体" w:cs="Times New Roman"/>
                      <w:b w:val="0"/>
                      <w:bCs w:val="0"/>
                      <w:color w:val="auto"/>
                      <w:sz w:val="21"/>
                      <w:szCs w:val="21"/>
                      <w:u w:val="single"/>
                      <w:lang w:eastAsia="zh-CN"/>
                    </w:rPr>
                    <w:t>～</w:t>
                  </w:r>
                  <w:r>
                    <w:rPr>
                      <w:rFonts w:hint="default" w:ascii="Times New Roman" w:hAnsi="Times New Roman" w:eastAsia="宋体" w:cs="Times New Roman"/>
                      <w:b w:val="0"/>
                      <w:bCs w:val="0"/>
                      <w:color w:val="auto"/>
                      <w:sz w:val="21"/>
                      <w:szCs w:val="21"/>
                      <w:u w:val="single"/>
                      <w:lang w:val="en-US" w:eastAsia="zh-CN"/>
                    </w:rPr>
                    <w:t>4mm，无破碎片（破损面积≤自身总面积1/5）。切面淡黄色至黄棕色，具光泽，有多数细纵纹，质地角质样；表面淡黄色至棕褐色，有细纵皱纹。气微，味甘，具黄精特有的清香气味，无酸败味、霉味、</w:t>
                  </w:r>
                  <w:r>
                    <w:rPr>
                      <w:rFonts w:hint="eastAsia" w:cs="Times New Roman"/>
                      <w:b w:val="0"/>
                      <w:bCs w:val="0"/>
                      <w:color w:val="auto"/>
                      <w:sz w:val="21"/>
                      <w:szCs w:val="21"/>
                      <w:u w:val="single"/>
                      <w:lang w:val="en-US" w:eastAsia="zh-CN"/>
                    </w:rPr>
                    <w:t>焦煳味</w:t>
                  </w:r>
                  <w:r>
                    <w:rPr>
                      <w:rFonts w:hint="default" w:ascii="Times New Roman" w:hAnsi="Times New Roman" w:eastAsia="宋体" w:cs="Times New Roman"/>
                      <w:b w:val="0"/>
                      <w:bCs w:val="0"/>
                      <w:color w:val="auto"/>
                      <w:sz w:val="21"/>
                      <w:szCs w:val="21"/>
                      <w:u w:val="single"/>
                      <w:lang w:val="en-US" w:eastAsia="zh-CN"/>
                    </w:rPr>
                    <w:t>等异味。无杂质（不得含有泥沙、须根、芦头、杂草、虫卵、金属异物等非药用部位及污染物）。</w:t>
                  </w:r>
                </w:p>
              </w:tc>
            </w:tr>
            <w:tr w14:paraId="7A2B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82" w:type="dxa"/>
                  <w:noWrap w:val="0"/>
                  <w:vAlign w:val="center"/>
                </w:tcPr>
                <w:p w14:paraId="216B68CC">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鉴别</w:t>
                  </w:r>
                </w:p>
              </w:tc>
              <w:tc>
                <w:tcPr>
                  <w:tcW w:w="6397" w:type="dxa"/>
                  <w:noWrap w:val="0"/>
                  <w:vAlign w:val="center"/>
                </w:tcPr>
                <w:p w14:paraId="005F54E0">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本品横切面：大黄精表皮细胞外壁较厚。薄壁组织间散有多数大的黏液细胞，内含草酸钙针晶束。维管束散列，大多为周木型。</w:t>
                  </w:r>
                </w:p>
                <w:p w14:paraId="14DAF87A">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鸡头黄精、姜形黄精维管束多为外韧型。</w:t>
                  </w:r>
                </w:p>
              </w:tc>
            </w:tr>
            <w:tr w14:paraId="78F3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82" w:type="dxa"/>
                  <w:noWrap w:val="0"/>
                  <w:vAlign w:val="center"/>
                </w:tcPr>
                <w:p w14:paraId="55835FDB">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水分</w:t>
                  </w:r>
                </w:p>
              </w:tc>
              <w:tc>
                <w:tcPr>
                  <w:tcW w:w="6397" w:type="dxa"/>
                  <w:noWrap w:val="0"/>
                  <w:vAlign w:val="center"/>
                </w:tcPr>
                <w:p w14:paraId="565D5136">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w:t>
                  </w:r>
                  <w:r>
                    <w:rPr>
                      <w:rFonts w:hint="eastAsia" w:cs="Times New Roman"/>
                      <w:b w:val="0"/>
                      <w:bCs w:val="0"/>
                      <w:color w:val="auto"/>
                      <w:sz w:val="21"/>
                      <w:szCs w:val="21"/>
                      <w:u w:val="single"/>
                      <w:lang w:val="en-US" w:eastAsia="zh-CN"/>
                    </w:rPr>
                    <w:t>得超</w:t>
                  </w:r>
                  <w:r>
                    <w:rPr>
                      <w:rFonts w:hint="default" w:ascii="Times New Roman" w:hAnsi="Times New Roman" w:eastAsia="宋体" w:cs="Times New Roman"/>
                      <w:b w:val="0"/>
                      <w:bCs w:val="0"/>
                      <w:color w:val="auto"/>
                      <w:sz w:val="21"/>
                      <w:szCs w:val="21"/>
                      <w:u w:val="single"/>
                      <w:lang w:val="en-US" w:eastAsia="zh-CN"/>
                    </w:rPr>
                    <w:t>过15.0%（通则0832第二法）。</w:t>
                  </w:r>
                </w:p>
              </w:tc>
            </w:tr>
            <w:tr w14:paraId="6B0A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82" w:type="dxa"/>
                  <w:noWrap w:val="0"/>
                  <w:vAlign w:val="center"/>
                </w:tcPr>
                <w:p w14:paraId="4333D91E">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总灰分</w:t>
                  </w:r>
                </w:p>
              </w:tc>
              <w:tc>
                <w:tcPr>
                  <w:tcW w:w="6397" w:type="dxa"/>
                  <w:noWrap w:val="0"/>
                  <w:vAlign w:val="center"/>
                </w:tcPr>
                <w:p w14:paraId="4EB3D16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不得过4.0%（通则2302）。</w:t>
                  </w:r>
                </w:p>
              </w:tc>
            </w:tr>
            <w:tr w14:paraId="0798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82" w:type="dxa"/>
                  <w:noWrap w:val="0"/>
                  <w:vAlign w:val="center"/>
                </w:tcPr>
                <w:p w14:paraId="3024FA2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浸出物</w:t>
                  </w:r>
                </w:p>
              </w:tc>
              <w:tc>
                <w:tcPr>
                  <w:tcW w:w="6397" w:type="dxa"/>
                  <w:noWrap w:val="0"/>
                  <w:vAlign w:val="center"/>
                </w:tcPr>
                <w:p w14:paraId="2549C7E3">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不得少于45.0%。</w:t>
                  </w:r>
                </w:p>
              </w:tc>
            </w:tr>
            <w:tr w14:paraId="60C1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82" w:type="dxa"/>
                  <w:noWrap w:val="0"/>
                  <w:vAlign w:val="center"/>
                </w:tcPr>
                <w:p w14:paraId="73959AEF">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含量测定</w:t>
                  </w:r>
                </w:p>
              </w:tc>
              <w:tc>
                <w:tcPr>
                  <w:tcW w:w="6397" w:type="dxa"/>
                  <w:noWrap w:val="0"/>
                  <w:vAlign w:val="center"/>
                </w:tcPr>
                <w:p w14:paraId="312E68B4">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本品含黄精多糖以无水葡萄糖（C6H12O6）计，不得少于7.0%。</w:t>
                  </w:r>
                </w:p>
              </w:tc>
            </w:tr>
          </w:tbl>
          <w:p w14:paraId="28D22BE5">
            <w:pPr>
              <w:pStyle w:val="84"/>
              <w:keepNext w:val="0"/>
              <w:keepLines w:val="0"/>
              <w:pageBreakBefore w:val="0"/>
              <w:widowControl w:val="0"/>
              <w:kinsoku/>
              <w:wordWrap/>
              <w:overflowPunct/>
              <w:topLinePunct w:val="0"/>
              <w:autoSpaceDE/>
              <w:autoSpaceDN/>
              <w:bidi w:val="0"/>
              <w:adjustRightInd/>
              <w:snapToGrid/>
              <w:spacing w:before="157" w:beforeLines="50" w:after="0" w:afterLines="0" w:line="240" w:lineRule="auto"/>
              <w:jc w:val="center"/>
              <w:textAlignment w:val="auto"/>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rPr>
              <w:t>表2-</w:t>
            </w:r>
            <w:r>
              <w:rPr>
                <w:rFonts w:hint="eastAsia" w:ascii="Times New Roman" w:hAnsi="Times New Roman" w:eastAsia="宋体" w:cs="Times New Roman"/>
                <w:color w:val="auto"/>
                <w:sz w:val="24"/>
                <w:szCs w:val="24"/>
                <w:u w:val="single"/>
                <w:lang w:val="en-US" w:eastAsia="zh-CN"/>
              </w:rPr>
              <w:t>5</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黄精（蒸）质量标准</w:t>
            </w:r>
          </w:p>
          <w:tbl>
            <w:tblPr>
              <w:tblStyle w:val="33"/>
              <w:tblW w:w="7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6408"/>
            </w:tblGrid>
            <w:tr w14:paraId="0A17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noWrap w:val="0"/>
                  <w:vAlign w:val="center"/>
                </w:tcPr>
                <w:p w14:paraId="57680FF3">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检测项目</w:t>
                  </w:r>
                </w:p>
              </w:tc>
              <w:tc>
                <w:tcPr>
                  <w:tcW w:w="6408" w:type="dxa"/>
                  <w:noWrap w:val="0"/>
                  <w:vAlign w:val="center"/>
                </w:tcPr>
                <w:p w14:paraId="75353F9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控制标准</w:t>
                  </w:r>
                </w:p>
              </w:tc>
            </w:tr>
            <w:tr w14:paraId="775C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noWrap w:val="0"/>
                  <w:vAlign w:val="center"/>
                </w:tcPr>
                <w:p w14:paraId="0C6F3CB4">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性状</w:t>
                  </w:r>
                </w:p>
              </w:tc>
              <w:tc>
                <w:tcPr>
                  <w:tcW w:w="6408" w:type="dxa"/>
                  <w:noWrap w:val="0"/>
                  <w:vAlign w:val="center"/>
                </w:tcPr>
                <w:p w14:paraId="6FF91352">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本品呈不规则的厚片。表面棕褐色至黑色，有光泽，中心棕色至浅褐色，可见筋脉小点。质较柔软。味甜。</w:t>
                  </w:r>
                </w:p>
              </w:tc>
            </w:tr>
            <w:tr w14:paraId="5606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noWrap w:val="0"/>
                  <w:vAlign w:val="center"/>
                </w:tcPr>
                <w:p w14:paraId="7E998F4F">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鉴别</w:t>
                  </w:r>
                </w:p>
              </w:tc>
              <w:tc>
                <w:tcPr>
                  <w:tcW w:w="6408" w:type="dxa"/>
                  <w:noWrap w:val="0"/>
                  <w:vAlign w:val="center"/>
                </w:tcPr>
                <w:p w14:paraId="14A7798F">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本品横切面：大黄精表皮细胞外壁较厚。薄壁组织间散有多数大的黏液细胞，内含草酸钙针晶束。维管束散列，大多为周木型。</w:t>
                  </w:r>
                </w:p>
                <w:p w14:paraId="0586F91B">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鸡头黄精、姜形黄精维管束多为外韧型。</w:t>
                  </w:r>
                </w:p>
              </w:tc>
            </w:tr>
            <w:tr w14:paraId="2679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noWrap w:val="0"/>
                  <w:vAlign w:val="center"/>
                </w:tcPr>
                <w:p w14:paraId="7D19C968">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水分</w:t>
                  </w:r>
                </w:p>
              </w:tc>
              <w:tc>
                <w:tcPr>
                  <w:tcW w:w="6408" w:type="dxa"/>
                  <w:noWrap w:val="0"/>
                  <w:vAlign w:val="center"/>
                </w:tcPr>
                <w:p w14:paraId="3B1024C4">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不</w:t>
                  </w:r>
                  <w:r>
                    <w:rPr>
                      <w:rFonts w:hint="eastAsia" w:cs="Times New Roman"/>
                      <w:b w:val="0"/>
                      <w:bCs w:val="0"/>
                      <w:color w:val="auto"/>
                      <w:sz w:val="21"/>
                      <w:szCs w:val="21"/>
                      <w:u w:val="single"/>
                      <w:lang w:val="en-US" w:eastAsia="zh-CN"/>
                    </w:rPr>
                    <w:t>得超</w:t>
                  </w:r>
                  <w:r>
                    <w:rPr>
                      <w:rFonts w:hint="eastAsia" w:ascii="Times New Roman" w:hAnsi="Times New Roman" w:eastAsia="宋体" w:cs="Times New Roman"/>
                      <w:b w:val="0"/>
                      <w:bCs w:val="0"/>
                      <w:color w:val="auto"/>
                      <w:sz w:val="21"/>
                      <w:szCs w:val="21"/>
                      <w:u w:val="single"/>
                      <w:lang w:val="en-US" w:eastAsia="zh-CN"/>
                    </w:rPr>
                    <w:t>过15.0%（通则0832第二法）。</w:t>
                  </w:r>
                </w:p>
              </w:tc>
            </w:tr>
            <w:tr w14:paraId="5DD9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noWrap w:val="0"/>
                  <w:vAlign w:val="center"/>
                </w:tcPr>
                <w:p w14:paraId="4ECF0826">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总灰分</w:t>
                  </w:r>
                </w:p>
              </w:tc>
              <w:tc>
                <w:tcPr>
                  <w:tcW w:w="6408" w:type="dxa"/>
                  <w:noWrap w:val="0"/>
                  <w:vAlign w:val="center"/>
                </w:tcPr>
                <w:p w14:paraId="685661A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不得过4.0%（通则2302）。</w:t>
                  </w:r>
                </w:p>
              </w:tc>
            </w:tr>
            <w:tr w14:paraId="7A7E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noWrap w:val="0"/>
                  <w:vAlign w:val="center"/>
                </w:tcPr>
                <w:p w14:paraId="46300B1E">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浸出物</w:t>
                  </w:r>
                </w:p>
              </w:tc>
              <w:tc>
                <w:tcPr>
                  <w:tcW w:w="6408" w:type="dxa"/>
                  <w:noWrap w:val="0"/>
                  <w:vAlign w:val="center"/>
                </w:tcPr>
                <w:p w14:paraId="74193383">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不得少于45.0%。</w:t>
                  </w:r>
                </w:p>
              </w:tc>
            </w:tr>
            <w:tr w14:paraId="4971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noWrap w:val="0"/>
                  <w:vAlign w:val="center"/>
                </w:tcPr>
                <w:p w14:paraId="055E6F50">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eastAsia" w:ascii="Times New Roman" w:hAnsi="Times New Roman" w:eastAsia="宋体" w:cs="Times New Roman"/>
                      <w:b w:val="0"/>
                      <w:bCs w:val="0"/>
                      <w:color w:val="auto"/>
                      <w:sz w:val="21"/>
                      <w:szCs w:val="21"/>
                      <w:u w:val="single"/>
                      <w:lang w:val="en-US" w:eastAsia="zh-CN"/>
                    </w:rPr>
                    <w:t>含量测定</w:t>
                  </w:r>
                </w:p>
              </w:tc>
              <w:tc>
                <w:tcPr>
                  <w:tcW w:w="6408" w:type="dxa"/>
                  <w:noWrap w:val="0"/>
                  <w:vAlign w:val="center"/>
                </w:tcPr>
                <w:p w14:paraId="5598B5BA">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本品含黄精多糖以无水葡萄糖（C6H12O6）计，不得少于7.0%。</w:t>
                  </w:r>
                </w:p>
              </w:tc>
            </w:tr>
          </w:tbl>
          <w:p w14:paraId="73AC777C">
            <w:pPr>
              <w:pStyle w:val="84"/>
              <w:keepNext w:val="0"/>
              <w:keepLines w:val="0"/>
              <w:pageBreakBefore w:val="0"/>
              <w:widowControl w:val="0"/>
              <w:kinsoku/>
              <w:wordWrap/>
              <w:overflowPunct/>
              <w:topLinePunct w:val="0"/>
              <w:autoSpaceDE/>
              <w:autoSpaceDN/>
              <w:bidi w:val="0"/>
              <w:adjustRightInd/>
              <w:snapToGrid/>
              <w:spacing w:before="157" w:beforeLines="50" w:after="0" w:afterLines="0" w:line="240" w:lineRule="auto"/>
              <w:jc w:val="center"/>
              <w:textAlignment w:val="auto"/>
              <w:rPr>
                <w:rFonts w:hint="eastAsia"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rPr>
              <w:t>表2-</w:t>
            </w:r>
            <w:r>
              <w:rPr>
                <w:rFonts w:hint="eastAsia" w:ascii="Times New Roman" w:hAnsi="Times New Roman" w:eastAsia="宋体" w:cs="Times New Roman"/>
                <w:color w:val="auto"/>
                <w:sz w:val="24"/>
                <w:szCs w:val="24"/>
                <w:u w:val="single"/>
                <w:lang w:val="en-US" w:eastAsia="zh-CN"/>
              </w:rPr>
              <w:t>6</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干白术质量标准</w:t>
            </w:r>
          </w:p>
          <w:tbl>
            <w:tblPr>
              <w:tblStyle w:val="33"/>
              <w:tblW w:w="7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6308"/>
            </w:tblGrid>
            <w:tr w14:paraId="60A1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1" w:type="dxa"/>
                  <w:noWrap w:val="0"/>
                  <w:vAlign w:val="center"/>
                </w:tcPr>
                <w:p w14:paraId="3F02C0B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检测项目</w:t>
                  </w:r>
                </w:p>
              </w:tc>
              <w:tc>
                <w:tcPr>
                  <w:tcW w:w="6308" w:type="dxa"/>
                  <w:noWrap w:val="0"/>
                  <w:vAlign w:val="center"/>
                </w:tcPr>
                <w:p w14:paraId="7FFBBC6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控制标准</w:t>
                  </w:r>
                </w:p>
              </w:tc>
            </w:tr>
            <w:tr w14:paraId="75D5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1" w:type="dxa"/>
                  <w:noWrap w:val="0"/>
                  <w:vAlign w:val="center"/>
                </w:tcPr>
                <w:p w14:paraId="0F70D8CA">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性状</w:t>
                  </w:r>
                </w:p>
              </w:tc>
              <w:tc>
                <w:tcPr>
                  <w:tcW w:w="6308" w:type="dxa"/>
                  <w:noWrap w:val="0"/>
                  <w:vAlign w:val="center"/>
                </w:tcPr>
                <w:p w14:paraId="06D61206">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本品呈不规则的厚片。外表皮灰黄色或灰棕色。切面黄白色至淡棕色，散生棕黄色的点状油室，木部具放射状纹理；烘干者切面角质样，色较深或有裂隙。气清香，味甘、微辛，嚼之略带黏性。</w:t>
                  </w:r>
                </w:p>
              </w:tc>
            </w:tr>
            <w:tr w14:paraId="6E4D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1" w:type="dxa"/>
                  <w:noWrap w:val="0"/>
                  <w:vAlign w:val="center"/>
                </w:tcPr>
                <w:p w14:paraId="4B58034D">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鉴别</w:t>
                  </w:r>
                </w:p>
              </w:tc>
              <w:tc>
                <w:tcPr>
                  <w:tcW w:w="6308" w:type="dxa"/>
                  <w:noWrap w:val="0"/>
                  <w:vAlign w:val="center"/>
                </w:tcPr>
                <w:p w14:paraId="1DFA85C2">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粉末淡黄棕色。草酸钙针晶细小，长10～32μm，存在于薄壁细胞中，少数针晶直径至4μm。纤维黄色，大多成束，长梭形，直径约至40μm，壁甚厚，木化，孔沟明显。石细胞淡黄色，类圆形、多角形、长方形或少数纺锤形，直径37～64μm。薄壁细胞含菊糖，表面显放射状纹理。导管分子短，为网纹导管及具缘纹孔导管，直径至48μm。</w:t>
                  </w:r>
                </w:p>
              </w:tc>
            </w:tr>
            <w:tr w14:paraId="7118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1" w:type="dxa"/>
                  <w:noWrap w:val="0"/>
                  <w:vAlign w:val="center"/>
                </w:tcPr>
                <w:p w14:paraId="060CE5A5">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水分</w:t>
                  </w:r>
                </w:p>
              </w:tc>
              <w:tc>
                <w:tcPr>
                  <w:tcW w:w="6308" w:type="dxa"/>
                  <w:noWrap w:val="0"/>
                  <w:vAlign w:val="center"/>
                </w:tcPr>
                <w:p w14:paraId="59DE3035">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w:t>
                  </w:r>
                  <w:r>
                    <w:rPr>
                      <w:rFonts w:hint="eastAsia" w:cs="Times New Roman"/>
                      <w:b w:val="0"/>
                      <w:bCs w:val="0"/>
                      <w:color w:val="auto"/>
                      <w:sz w:val="21"/>
                      <w:szCs w:val="21"/>
                      <w:u w:val="single"/>
                      <w:lang w:val="en-US" w:eastAsia="zh-CN"/>
                    </w:rPr>
                    <w:t>得超</w:t>
                  </w:r>
                  <w:r>
                    <w:rPr>
                      <w:rFonts w:hint="default" w:ascii="Times New Roman" w:hAnsi="Times New Roman" w:eastAsia="宋体" w:cs="Times New Roman"/>
                      <w:b w:val="0"/>
                      <w:bCs w:val="0"/>
                      <w:color w:val="auto"/>
                      <w:sz w:val="21"/>
                      <w:szCs w:val="21"/>
                      <w:u w:val="single"/>
                      <w:lang w:val="en-US" w:eastAsia="zh-CN"/>
                    </w:rPr>
                    <w:t>过15.0%（通则0832第二法）。</w:t>
                  </w:r>
                </w:p>
              </w:tc>
            </w:tr>
            <w:tr w14:paraId="7191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1" w:type="dxa"/>
                  <w:noWrap w:val="0"/>
                  <w:vAlign w:val="center"/>
                </w:tcPr>
                <w:p w14:paraId="52953FF0">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总灰分</w:t>
                  </w:r>
                </w:p>
              </w:tc>
              <w:tc>
                <w:tcPr>
                  <w:tcW w:w="6308" w:type="dxa"/>
                  <w:noWrap w:val="0"/>
                  <w:vAlign w:val="center"/>
                </w:tcPr>
                <w:p w14:paraId="4079C09E">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w:t>
                  </w:r>
                  <w:r>
                    <w:rPr>
                      <w:rFonts w:hint="eastAsia" w:cs="Times New Roman"/>
                      <w:b w:val="0"/>
                      <w:bCs w:val="0"/>
                      <w:color w:val="auto"/>
                      <w:sz w:val="21"/>
                      <w:szCs w:val="21"/>
                      <w:u w:val="single"/>
                      <w:lang w:val="en-US" w:eastAsia="zh-CN"/>
                    </w:rPr>
                    <w:t>得超</w:t>
                  </w:r>
                  <w:r>
                    <w:rPr>
                      <w:rFonts w:hint="default" w:ascii="Times New Roman" w:hAnsi="Times New Roman" w:eastAsia="宋体" w:cs="Times New Roman"/>
                      <w:b w:val="0"/>
                      <w:bCs w:val="0"/>
                      <w:color w:val="auto"/>
                      <w:sz w:val="21"/>
                      <w:szCs w:val="21"/>
                      <w:u w:val="single"/>
                      <w:lang w:val="en-US" w:eastAsia="zh-CN"/>
                    </w:rPr>
                    <w:t>过5.0%（通则2302）。</w:t>
                  </w:r>
                </w:p>
              </w:tc>
            </w:tr>
            <w:tr w14:paraId="2573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1" w:type="dxa"/>
                  <w:noWrap w:val="0"/>
                  <w:vAlign w:val="center"/>
                </w:tcPr>
                <w:p w14:paraId="21A1E91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浸出物</w:t>
                  </w:r>
                </w:p>
              </w:tc>
              <w:tc>
                <w:tcPr>
                  <w:tcW w:w="6308" w:type="dxa"/>
                  <w:noWrap w:val="0"/>
                  <w:vAlign w:val="center"/>
                </w:tcPr>
                <w:p w14:paraId="3675C0C5">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不得少于35.0%。</w:t>
                  </w:r>
                </w:p>
              </w:tc>
            </w:tr>
            <w:tr w14:paraId="4F45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1" w:type="dxa"/>
                  <w:noWrap w:val="0"/>
                  <w:vAlign w:val="center"/>
                </w:tcPr>
                <w:p w14:paraId="0949E781">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二氧化硫残留量</w:t>
                  </w:r>
                </w:p>
              </w:tc>
              <w:tc>
                <w:tcPr>
                  <w:tcW w:w="6308" w:type="dxa"/>
                  <w:noWrap w:val="0"/>
                  <w:vAlign w:val="center"/>
                </w:tcPr>
                <w:p w14:paraId="650C9FB6">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w:t>
                  </w:r>
                  <w:r>
                    <w:rPr>
                      <w:rFonts w:hint="eastAsia" w:cs="Times New Roman"/>
                      <w:b w:val="0"/>
                      <w:bCs w:val="0"/>
                      <w:color w:val="auto"/>
                      <w:sz w:val="21"/>
                      <w:szCs w:val="21"/>
                      <w:u w:val="single"/>
                      <w:lang w:val="en-US" w:eastAsia="zh-CN"/>
                    </w:rPr>
                    <w:t>超过</w:t>
                  </w:r>
                  <w:r>
                    <w:rPr>
                      <w:rFonts w:hint="default" w:ascii="Times New Roman" w:hAnsi="Times New Roman" w:eastAsia="宋体" w:cs="Times New Roman"/>
                      <w:b w:val="0"/>
                      <w:bCs w:val="0"/>
                      <w:color w:val="auto"/>
                      <w:sz w:val="21"/>
                      <w:szCs w:val="21"/>
                      <w:u w:val="single"/>
                      <w:lang w:val="en-US" w:eastAsia="zh-CN"/>
                    </w:rPr>
                    <w:t>400mg/kg</w:t>
                  </w:r>
                </w:p>
              </w:tc>
            </w:tr>
            <w:tr w14:paraId="4741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1" w:type="dxa"/>
                  <w:noWrap w:val="0"/>
                  <w:vAlign w:val="center"/>
                </w:tcPr>
                <w:p w14:paraId="52A1757C">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色度</w:t>
                  </w:r>
                </w:p>
              </w:tc>
              <w:tc>
                <w:tcPr>
                  <w:tcW w:w="6308" w:type="dxa"/>
                  <w:noWrap w:val="0"/>
                  <w:vAlign w:val="center"/>
                </w:tcPr>
                <w:p w14:paraId="75DE60C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与黄色9号标准比色液比较，不得更深</w:t>
                  </w:r>
                </w:p>
              </w:tc>
            </w:tr>
          </w:tbl>
          <w:p w14:paraId="68D68234">
            <w:pPr>
              <w:pStyle w:val="84"/>
              <w:keepNext w:val="0"/>
              <w:keepLines w:val="0"/>
              <w:pageBreakBefore w:val="0"/>
              <w:widowControl w:val="0"/>
              <w:kinsoku/>
              <w:wordWrap/>
              <w:overflowPunct/>
              <w:topLinePunct w:val="0"/>
              <w:autoSpaceDE/>
              <w:autoSpaceDN/>
              <w:bidi w:val="0"/>
              <w:adjustRightInd/>
              <w:snapToGrid/>
              <w:spacing w:before="157" w:beforeLines="50" w:after="0" w:afterLines="0" w:line="240" w:lineRule="auto"/>
              <w:jc w:val="center"/>
              <w:textAlignment w:val="auto"/>
              <w:rPr>
                <w:rFonts w:hint="eastAsia"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rPr>
              <w:t>表2-</w:t>
            </w:r>
            <w:r>
              <w:rPr>
                <w:rFonts w:hint="eastAsia" w:ascii="Times New Roman" w:hAnsi="Times New Roman" w:eastAsia="宋体" w:cs="Times New Roman"/>
                <w:color w:val="auto"/>
                <w:sz w:val="24"/>
                <w:szCs w:val="24"/>
                <w:u w:val="single"/>
                <w:lang w:val="en-US" w:eastAsia="zh-CN"/>
              </w:rPr>
              <w:t>7</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干黄柏质量标准</w:t>
            </w:r>
          </w:p>
          <w:tbl>
            <w:tblPr>
              <w:tblStyle w:val="33"/>
              <w:tblW w:w="7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6325"/>
            </w:tblGrid>
            <w:tr w14:paraId="30CE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noWrap w:val="0"/>
                  <w:vAlign w:val="center"/>
                </w:tcPr>
                <w:p w14:paraId="24F8C32B">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检测项目</w:t>
                  </w:r>
                </w:p>
              </w:tc>
              <w:tc>
                <w:tcPr>
                  <w:tcW w:w="6325" w:type="dxa"/>
                  <w:noWrap w:val="0"/>
                  <w:vAlign w:val="center"/>
                </w:tcPr>
                <w:p w14:paraId="5DBD1C51">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控制标准</w:t>
                  </w:r>
                </w:p>
              </w:tc>
            </w:tr>
            <w:tr w14:paraId="623D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noWrap w:val="0"/>
                  <w:vAlign w:val="center"/>
                </w:tcPr>
                <w:p w14:paraId="0EB447A3">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性状</w:t>
                  </w:r>
                </w:p>
              </w:tc>
              <w:tc>
                <w:tcPr>
                  <w:tcW w:w="6325" w:type="dxa"/>
                  <w:noWrap w:val="0"/>
                  <w:vAlign w:val="center"/>
                </w:tcPr>
                <w:p w14:paraId="2761DD20">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本品呈丝条状，或卷曲。外表面黄褐色或黄棕色。内表面暗黄色或淡棕色，具纵棱纹。切面纤维性，呈裂片状分层，深黄色。气微，味极苦，嚼之有黏性。</w:t>
                  </w:r>
                </w:p>
              </w:tc>
            </w:tr>
            <w:tr w14:paraId="33EC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noWrap w:val="0"/>
                  <w:vAlign w:val="center"/>
                </w:tcPr>
                <w:p w14:paraId="5B641C28">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鉴别</w:t>
                  </w:r>
                </w:p>
              </w:tc>
              <w:tc>
                <w:tcPr>
                  <w:tcW w:w="6325" w:type="dxa"/>
                  <w:noWrap w:val="0"/>
                  <w:vAlign w:val="center"/>
                </w:tcPr>
                <w:p w14:paraId="23302BD1">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本品粉末鲜黄色。纤维鲜黄色，直径16～38μm</w:t>
                  </w:r>
                  <w:r>
                    <w:rPr>
                      <w:rFonts w:hint="eastAsia" w:cs="Times New Roman"/>
                      <w:b w:val="0"/>
                      <w:bCs w:val="0"/>
                      <w:color w:val="auto"/>
                      <w:sz w:val="21"/>
                      <w:szCs w:val="21"/>
                      <w:u w:val="single"/>
                      <w:lang w:val="en-US" w:eastAsia="zh-CN"/>
                    </w:rPr>
                    <w:t>，</w:t>
                  </w:r>
                  <w:r>
                    <w:rPr>
                      <w:rFonts w:hint="default" w:ascii="Times New Roman" w:hAnsi="Times New Roman" w:eastAsia="宋体" w:cs="Times New Roman"/>
                      <w:b w:val="0"/>
                      <w:bCs w:val="0"/>
                      <w:color w:val="auto"/>
                      <w:sz w:val="21"/>
                      <w:szCs w:val="21"/>
                      <w:u w:val="single"/>
                      <w:lang w:val="en-US" w:eastAsia="zh-CN"/>
                    </w:rPr>
                    <w:t>常成束，周围细胞含草酸钙方晶，形成晶纤维；含晶细胞壁木化增厚。石细胞鲜黄色，类圆形或纺锤形，直径35～128μm，有的呈分枝状，枝端锐尖，壁厚，层纹明显；有的可见大型纤维状的石细胞，长可达900μm。草酸钙方晶众多。</w:t>
                  </w:r>
                </w:p>
              </w:tc>
            </w:tr>
            <w:tr w14:paraId="6C2B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noWrap w:val="0"/>
                  <w:vAlign w:val="center"/>
                </w:tcPr>
                <w:p w14:paraId="09D03A7A">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水分</w:t>
                  </w:r>
                </w:p>
              </w:tc>
              <w:tc>
                <w:tcPr>
                  <w:tcW w:w="6325" w:type="dxa"/>
                  <w:noWrap w:val="0"/>
                  <w:vAlign w:val="center"/>
                </w:tcPr>
                <w:p w14:paraId="44F897BE">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w:t>
                  </w:r>
                  <w:r>
                    <w:rPr>
                      <w:rFonts w:hint="eastAsia" w:cs="Times New Roman"/>
                      <w:b w:val="0"/>
                      <w:bCs w:val="0"/>
                      <w:color w:val="auto"/>
                      <w:sz w:val="21"/>
                      <w:szCs w:val="21"/>
                      <w:u w:val="single"/>
                      <w:lang w:val="en-US" w:eastAsia="zh-CN"/>
                    </w:rPr>
                    <w:t>得超</w:t>
                  </w:r>
                  <w:r>
                    <w:rPr>
                      <w:rFonts w:hint="default" w:ascii="Times New Roman" w:hAnsi="Times New Roman" w:eastAsia="宋体" w:cs="Times New Roman"/>
                      <w:b w:val="0"/>
                      <w:bCs w:val="0"/>
                      <w:color w:val="auto"/>
                      <w:sz w:val="21"/>
                      <w:szCs w:val="21"/>
                      <w:u w:val="single"/>
                      <w:lang w:val="en-US" w:eastAsia="zh-CN"/>
                    </w:rPr>
                    <w:t>过12.0%（通则0832第二法）。</w:t>
                  </w:r>
                </w:p>
              </w:tc>
            </w:tr>
            <w:tr w14:paraId="6FBE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noWrap w:val="0"/>
                  <w:vAlign w:val="center"/>
                </w:tcPr>
                <w:p w14:paraId="10E6C12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总灰分</w:t>
                  </w:r>
                </w:p>
              </w:tc>
              <w:tc>
                <w:tcPr>
                  <w:tcW w:w="6325" w:type="dxa"/>
                  <w:noWrap w:val="0"/>
                  <w:vAlign w:val="center"/>
                </w:tcPr>
                <w:p w14:paraId="4998B90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w:t>
                  </w:r>
                  <w:r>
                    <w:rPr>
                      <w:rFonts w:hint="eastAsia" w:cs="Times New Roman"/>
                      <w:b w:val="0"/>
                      <w:bCs w:val="0"/>
                      <w:color w:val="auto"/>
                      <w:sz w:val="21"/>
                      <w:szCs w:val="21"/>
                      <w:u w:val="single"/>
                      <w:lang w:val="en-US" w:eastAsia="zh-CN"/>
                    </w:rPr>
                    <w:t>得超</w:t>
                  </w:r>
                  <w:r>
                    <w:rPr>
                      <w:rFonts w:hint="default" w:ascii="Times New Roman" w:hAnsi="Times New Roman" w:eastAsia="宋体" w:cs="Times New Roman"/>
                      <w:b w:val="0"/>
                      <w:bCs w:val="0"/>
                      <w:color w:val="auto"/>
                      <w:sz w:val="21"/>
                      <w:szCs w:val="21"/>
                      <w:u w:val="single"/>
                      <w:lang w:val="en-US" w:eastAsia="zh-CN"/>
                    </w:rPr>
                    <w:t>过8.0%（通则2302）。</w:t>
                  </w:r>
                </w:p>
              </w:tc>
            </w:tr>
            <w:tr w14:paraId="772F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noWrap w:val="0"/>
                  <w:vAlign w:val="center"/>
                </w:tcPr>
                <w:p w14:paraId="1B132B8D">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浸出物</w:t>
                  </w:r>
                </w:p>
              </w:tc>
              <w:tc>
                <w:tcPr>
                  <w:tcW w:w="6325" w:type="dxa"/>
                  <w:noWrap w:val="0"/>
                  <w:vAlign w:val="center"/>
                </w:tcPr>
                <w:p w14:paraId="74F7F00B">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不得少于14.0%。</w:t>
                  </w:r>
                </w:p>
              </w:tc>
            </w:tr>
            <w:tr w14:paraId="2DC0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55" w:type="dxa"/>
                  <w:noWrap w:val="0"/>
                  <w:vAlign w:val="center"/>
                </w:tcPr>
                <w:p w14:paraId="2A74CE22">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含量</w:t>
                  </w:r>
                </w:p>
              </w:tc>
              <w:tc>
                <w:tcPr>
                  <w:tcW w:w="6325" w:type="dxa"/>
                  <w:noWrap w:val="0"/>
                  <w:vAlign w:val="center"/>
                </w:tcPr>
                <w:p w14:paraId="47438AB0">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本品按干燥品计算，含小檗碱以盐酸小檗碱（C20H17NO4•HCl）计，不得少于3.0%。</w:t>
                  </w:r>
                </w:p>
              </w:tc>
            </w:tr>
          </w:tbl>
          <w:p w14:paraId="24363353">
            <w:pPr>
              <w:pStyle w:val="84"/>
              <w:keepNext w:val="0"/>
              <w:keepLines w:val="0"/>
              <w:pageBreakBefore w:val="0"/>
              <w:widowControl w:val="0"/>
              <w:kinsoku/>
              <w:wordWrap/>
              <w:overflowPunct/>
              <w:topLinePunct w:val="0"/>
              <w:autoSpaceDE/>
              <w:autoSpaceDN/>
              <w:bidi w:val="0"/>
              <w:adjustRightInd/>
              <w:snapToGrid/>
              <w:spacing w:before="157" w:beforeLines="50" w:after="0" w:afterLines="0" w:line="240" w:lineRule="auto"/>
              <w:jc w:val="center"/>
              <w:textAlignment w:val="auto"/>
              <w:rPr>
                <w:rFonts w:hint="eastAsia"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rPr>
              <w:t>表2-</w:t>
            </w:r>
            <w:r>
              <w:rPr>
                <w:rFonts w:hint="eastAsia" w:ascii="Times New Roman" w:hAnsi="Times New Roman" w:eastAsia="宋体" w:cs="Times New Roman"/>
                <w:color w:val="auto"/>
                <w:sz w:val="24"/>
                <w:szCs w:val="24"/>
                <w:u w:val="single"/>
                <w:lang w:val="en-US" w:eastAsia="zh-CN"/>
              </w:rPr>
              <w:t>8</w:t>
            </w:r>
            <w:r>
              <w:rPr>
                <w:rFonts w:hint="default" w:ascii="Times New Roman" w:hAnsi="Times New Roman" w:eastAsia="宋体" w:cs="Times New Roman"/>
                <w:color w:val="auto"/>
                <w:sz w:val="24"/>
                <w:szCs w:val="24"/>
                <w:u w:val="single"/>
              </w:rPr>
              <w:t xml:space="preserve">   </w:t>
            </w:r>
            <w:r>
              <w:rPr>
                <w:rFonts w:hint="eastAsia" w:ascii="Times New Roman" w:hAnsi="Times New Roman" w:eastAsia="宋体" w:cs="Times New Roman"/>
                <w:color w:val="auto"/>
                <w:sz w:val="24"/>
                <w:szCs w:val="24"/>
                <w:u w:val="single"/>
                <w:lang w:val="en-US" w:eastAsia="zh-CN"/>
              </w:rPr>
              <w:t>山银花质量标准</w:t>
            </w:r>
          </w:p>
          <w:tbl>
            <w:tblPr>
              <w:tblStyle w:val="33"/>
              <w:tblW w:w="7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6340"/>
            </w:tblGrid>
            <w:tr w14:paraId="0120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9" w:type="dxa"/>
                  <w:noWrap w:val="0"/>
                  <w:vAlign w:val="center"/>
                </w:tcPr>
                <w:p w14:paraId="167C98D5">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检测项目</w:t>
                  </w:r>
                </w:p>
              </w:tc>
              <w:tc>
                <w:tcPr>
                  <w:tcW w:w="6340" w:type="dxa"/>
                  <w:noWrap w:val="0"/>
                  <w:vAlign w:val="center"/>
                </w:tcPr>
                <w:p w14:paraId="2410FE92">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控制标准</w:t>
                  </w:r>
                </w:p>
              </w:tc>
            </w:tr>
            <w:tr w14:paraId="5989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9" w:type="dxa"/>
                  <w:noWrap w:val="0"/>
                  <w:vAlign w:val="center"/>
                </w:tcPr>
                <w:p w14:paraId="64981A8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性状</w:t>
                  </w:r>
                </w:p>
              </w:tc>
              <w:tc>
                <w:tcPr>
                  <w:tcW w:w="6340" w:type="dxa"/>
                  <w:noWrap w:val="0"/>
                  <w:vAlign w:val="center"/>
                </w:tcPr>
                <w:p w14:paraId="4812A9E0">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w:t>
                  </w:r>
                  <w:r>
                    <w:rPr>
                      <w:rFonts w:hint="default" w:ascii="Times New Roman" w:hAnsi="Times New Roman" w:eastAsia="宋体" w:cs="Times New Roman"/>
                      <w:b w:val="0"/>
                      <w:bCs w:val="0"/>
                      <w:color w:val="auto"/>
                      <w:kern w:val="0"/>
                      <w:sz w:val="21"/>
                      <w:szCs w:val="21"/>
                      <w:u w:val="single"/>
                    </w:rPr>
                    <w:t>呈棒状而稍弯曲，长3～4.5cm，上部直径约2mm，下部直径约1mm。表面黄色或黄绿色。总花梗集结成簇，开放者花冠裂片不及全长之半。质稍硬，手捏之稍有弹性。气清香，味微苦甘。</w:t>
                  </w:r>
                </w:p>
              </w:tc>
            </w:tr>
            <w:tr w14:paraId="179C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9" w:type="dxa"/>
                  <w:noWrap w:val="0"/>
                  <w:vAlign w:val="center"/>
                </w:tcPr>
                <w:p w14:paraId="4D03A9F5">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鉴别</w:t>
                  </w:r>
                </w:p>
              </w:tc>
              <w:tc>
                <w:tcPr>
                  <w:tcW w:w="6340" w:type="dxa"/>
                  <w:noWrap w:val="0"/>
                  <w:vAlign w:val="center"/>
                </w:tcPr>
                <w:p w14:paraId="491A67DC">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本品</w:t>
                  </w:r>
                  <w:r>
                    <w:rPr>
                      <w:rFonts w:hint="default" w:ascii="Times New Roman" w:hAnsi="Times New Roman" w:eastAsia="宋体" w:cs="Times New Roman"/>
                      <w:b w:val="0"/>
                      <w:bCs w:val="0"/>
                      <w:color w:val="auto"/>
                      <w:kern w:val="0"/>
                      <w:sz w:val="21"/>
                      <w:szCs w:val="21"/>
                      <w:u w:val="single"/>
                    </w:rPr>
                    <w:t>腺毛较少，头部大多圆盘形，顶端平坦或微凹，侧面观5～16细胞，直径37～228μm；柄部2～5细胞，与头部相接处常为2～3细胞并列，长32～240μm，直径15～51μm。厚壁非腺毛较多，单细胞，似角状，多数甚短，长21～240（～315）μm，表面微具疣状突起，有的可见螺纹，呈短角状者体部胞腔不明显；基部稍扩大，似三角状。草酸钙簇晶，偶见。花粉粒，直径54～82μm。</w:t>
                  </w:r>
                </w:p>
              </w:tc>
            </w:tr>
            <w:tr w14:paraId="7C32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9" w:type="dxa"/>
                  <w:noWrap w:val="0"/>
                  <w:vAlign w:val="center"/>
                </w:tcPr>
                <w:p w14:paraId="3975637F">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水分</w:t>
                  </w:r>
                </w:p>
              </w:tc>
              <w:tc>
                <w:tcPr>
                  <w:tcW w:w="6340" w:type="dxa"/>
                  <w:noWrap w:val="0"/>
                  <w:vAlign w:val="center"/>
                </w:tcPr>
                <w:p w14:paraId="3F512497">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w:t>
                  </w:r>
                  <w:r>
                    <w:rPr>
                      <w:rFonts w:hint="eastAsia" w:cs="Times New Roman"/>
                      <w:b w:val="0"/>
                      <w:bCs w:val="0"/>
                      <w:color w:val="auto"/>
                      <w:sz w:val="21"/>
                      <w:szCs w:val="21"/>
                      <w:u w:val="single"/>
                      <w:lang w:val="en-US" w:eastAsia="zh-CN"/>
                    </w:rPr>
                    <w:t>得超</w:t>
                  </w:r>
                  <w:r>
                    <w:rPr>
                      <w:rFonts w:hint="default" w:ascii="Times New Roman" w:hAnsi="Times New Roman" w:eastAsia="宋体" w:cs="Times New Roman"/>
                      <w:b w:val="0"/>
                      <w:bCs w:val="0"/>
                      <w:color w:val="auto"/>
                      <w:sz w:val="21"/>
                      <w:szCs w:val="21"/>
                      <w:u w:val="single"/>
                      <w:lang w:val="en-US" w:eastAsia="zh-CN"/>
                    </w:rPr>
                    <w:t>过15.0%（通则0832第二法）。</w:t>
                  </w:r>
                </w:p>
              </w:tc>
            </w:tr>
            <w:tr w14:paraId="61A2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9" w:type="dxa"/>
                  <w:noWrap w:val="0"/>
                  <w:vAlign w:val="center"/>
                </w:tcPr>
                <w:p w14:paraId="0A9C1A1C">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总灰分</w:t>
                  </w:r>
                </w:p>
              </w:tc>
              <w:tc>
                <w:tcPr>
                  <w:tcW w:w="6340" w:type="dxa"/>
                  <w:noWrap w:val="0"/>
                  <w:vAlign w:val="center"/>
                </w:tcPr>
                <w:p w14:paraId="53AACC6B">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sz w:val="21"/>
                      <w:szCs w:val="21"/>
                      <w:u w:val="single"/>
                      <w:lang w:val="en-US" w:eastAsia="zh-CN"/>
                    </w:rPr>
                    <w:t>不</w:t>
                  </w:r>
                  <w:r>
                    <w:rPr>
                      <w:rFonts w:hint="eastAsia" w:cs="Times New Roman"/>
                      <w:b w:val="0"/>
                      <w:bCs w:val="0"/>
                      <w:color w:val="auto"/>
                      <w:sz w:val="21"/>
                      <w:szCs w:val="21"/>
                      <w:u w:val="single"/>
                      <w:lang w:val="en-US" w:eastAsia="zh-CN"/>
                    </w:rPr>
                    <w:t>得超</w:t>
                  </w:r>
                  <w:r>
                    <w:rPr>
                      <w:rFonts w:hint="default" w:ascii="Times New Roman" w:hAnsi="Times New Roman" w:eastAsia="宋体" w:cs="Times New Roman"/>
                      <w:b w:val="0"/>
                      <w:bCs w:val="0"/>
                      <w:color w:val="auto"/>
                      <w:sz w:val="21"/>
                      <w:szCs w:val="21"/>
                      <w:u w:val="single"/>
                      <w:lang w:val="en-US" w:eastAsia="zh-CN"/>
                    </w:rPr>
                    <w:t>过10%（通则2302）。</w:t>
                  </w:r>
                </w:p>
              </w:tc>
            </w:tr>
            <w:tr w14:paraId="066C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9" w:type="dxa"/>
                  <w:noWrap w:val="0"/>
                  <w:vAlign w:val="center"/>
                </w:tcPr>
                <w:p w14:paraId="383AF38E">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kern w:val="0"/>
                      <w:sz w:val="21"/>
                      <w:szCs w:val="21"/>
                      <w:u w:val="single"/>
                    </w:rPr>
                    <w:t>酸不溶性灰分</w:t>
                  </w:r>
                </w:p>
              </w:tc>
              <w:tc>
                <w:tcPr>
                  <w:tcW w:w="6340" w:type="dxa"/>
                  <w:noWrap w:val="0"/>
                  <w:vAlign w:val="center"/>
                </w:tcPr>
                <w:p w14:paraId="4C7CBAAA">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sz w:val="21"/>
                      <w:szCs w:val="21"/>
                      <w:u w:val="single"/>
                      <w:lang w:val="en-US" w:eastAsia="zh-CN"/>
                    </w:rPr>
                  </w:pPr>
                  <w:r>
                    <w:rPr>
                      <w:rFonts w:hint="default" w:ascii="Times New Roman" w:hAnsi="Times New Roman" w:eastAsia="宋体" w:cs="Times New Roman"/>
                      <w:b w:val="0"/>
                      <w:bCs w:val="0"/>
                      <w:color w:val="auto"/>
                      <w:kern w:val="0"/>
                      <w:sz w:val="21"/>
                      <w:szCs w:val="21"/>
                      <w:u w:val="single"/>
                    </w:rPr>
                    <w:t>不</w:t>
                  </w:r>
                  <w:r>
                    <w:rPr>
                      <w:rFonts w:hint="eastAsia" w:cs="Times New Roman"/>
                      <w:b w:val="0"/>
                      <w:bCs w:val="0"/>
                      <w:color w:val="auto"/>
                      <w:kern w:val="0"/>
                      <w:sz w:val="21"/>
                      <w:szCs w:val="21"/>
                      <w:u w:val="single"/>
                      <w:lang w:eastAsia="zh-CN"/>
                    </w:rPr>
                    <w:t>得超</w:t>
                  </w:r>
                  <w:r>
                    <w:rPr>
                      <w:rFonts w:hint="default" w:ascii="Times New Roman" w:hAnsi="Times New Roman" w:eastAsia="宋体" w:cs="Times New Roman"/>
                      <w:b w:val="0"/>
                      <w:bCs w:val="0"/>
                      <w:color w:val="auto"/>
                      <w:kern w:val="0"/>
                      <w:sz w:val="21"/>
                      <w:szCs w:val="21"/>
                      <w:u w:val="single"/>
                    </w:rPr>
                    <w:t>过3.0%（通则2302）</w:t>
                  </w:r>
                </w:p>
              </w:tc>
            </w:tr>
            <w:tr w14:paraId="615B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19" w:type="dxa"/>
                  <w:noWrap w:val="0"/>
                  <w:vAlign w:val="center"/>
                </w:tcPr>
                <w:p w14:paraId="536FAA6E">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kern w:val="0"/>
                      <w:sz w:val="21"/>
                      <w:szCs w:val="21"/>
                      <w:u w:val="single"/>
                      <w:lang w:val="en-US" w:eastAsia="zh-CN"/>
                    </w:rPr>
                  </w:pPr>
                  <w:r>
                    <w:rPr>
                      <w:rFonts w:hint="default" w:ascii="Times New Roman" w:hAnsi="Times New Roman" w:eastAsia="宋体" w:cs="Times New Roman"/>
                      <w:b w:val="0"/>
                      <w:bCs w:val="0"/>
                      <w:color w:val="auto"/>
                      <w:kern w:val="0"/>
                      <w:sz w:val="21"/>
                      <w:szCs w:val="21"/>
                      <w:u w:val="single"/>
                      <w:lang w:val="en-US" w:eastAsia="zh-CN"/>
                    </w:rPr>
                    <w:t>含量</w:t>
                  </w:r>
                </w:p>
              </w:tc>
              <w:tc>
                <w:tcPr>
                  <w:tcW w:w="6340" w:type="dxa"/>
                  <w:noWrap w:val="0"/>
                  <w:vAlign w:val="center"/>
                </w:tcPr>
                <w:p w14:paraId="58C6697B">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b w:val="0"/>
                      <w:bCs w:val="0"/>
                      <w:color w:val="auto"/>
                      <w:kern w:val="0"/>
                      <w:sz w:val="21"/>
                      <w:szCs w:val="21"/>
                      <w:u w:val="single"/>
                      <w:lang w:val="en-US" w:eastAsia="zh-CN"/>
                    </w:rPr>
                  </w:pPr>
                  <w:r>
                    <w:rPr>
                      <w:rFonts w:hint="default" w:ascii="Times New Roman" w:hAnsi="Times New Roman" w:eastAsia="宋体" w:cs="Times New Roman"/>
                      <w:b w:val="0"/>
                      <w:bCs w:val="0"/>
                      <w:color w:val="auto"/>
                      <w:kern w:val="0"/>
                      <w:sz w:val="21"/>
                      <w:szCs w:val="21"/>
                      <w:u w:val="single"/>
                    </w:rPr>
                    <w:t>本品按干燥品计算，含绿原酸（C16H18O9）不得少于2.0%，含灰毡毛忍冬皂苷乙（C65H106O32）和川续断皂苷乙（C53H86O22）的总量不得少于5.0%。</w:t>
                  </w:r>
                </w:p>
              </w:tc>
            </w:tr>
          </w:tbl>
          <w:p w14:paraId="15B8BDF1">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lang w:val="en-US" w:eastAsia="zh-CN"/>
              </w:rPr>
              <w:t>原辅</w:t>
            </w:r>
            <w:r>
              <w:rPr>
                <w:rFonts w:hint="eastAsia" w:ascii="Times New Roman" w:hAnsi="Times New Roman" w:eastAsia="宋体" w:cs="Times New Roman"/>
                <w:b/>
                <w:color w:val="auto"/>
                <w:sz w:val="24"/>
                <w:szCs w:val="24"/>
                <w:lang w:val="en-US" w:eastAsia="zh-CN"/>
              </w:rPr>
              <w:t>材料</w:t>
            </w:r>
          </w:p>
          <w:p w14:paraId="6371E573">
            <w:pPr>
              <w:pStyle w:val="1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项目运营期主要原辅材料见下表。</w:t>
            </w:r>
          </w:p>
          <w:p w14:paraId="27156C82">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表2-</w:t>
            </w:r>
            <w:r>
              <w:rPr>
                <w:rFonts w:hint="eastAsia" w:cs="Times New Roman"/>
                <w:color w:val="auto"/>
                <w:sz w:val="24"/>
                <w:szCs w:val="24"/>
                <w:u w:val="none"/>
                <w:lang w:val="en-US" w:eastAsia="zh-CN"/>
              </w:rPr>
              <w:t>9</w:t>
            </w:r>
            <w:r>
              <w:rPr>
                <w:rFonts w:hint="default" w:ascii="Times New Roman" w:hAnsi="Times New Roman" w:eastAsia="宋体" w:cs="Times New Roman"/>
                <w:color w:val="auto"/>
                <w:sz w:val="24"/>
                <w:szCs w:val="24"/>
                <w:u w:val="none"/>
                <w:lang w:val="en-US" w:eastAsia="zh-CN"/>
              </w:rPr>
              <w:t xml:space="preserve">   主要原辅材料及能耗清单一览表</w:t>
            </w:r>
          </w:p>
          <w:tbl>
            <w:tblPr>
              <w:tblStyle w:val="32"/>
              <w:tblW w:w="75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040"/>
              <w:gridCol w:w="825"/>
              <w:gridCol w:w="937"/>
              <w:gridCol w:w="1106"/>
              <w:gridCol w:w="1091"/>
              <w:gridCol w:w="2111"/>
            </w:tblGrid>
            <w:tr w14:paraId="3DDAE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noWrap w:val="0"/>
                  <w:vAlign w:val="center"/>
                </w:tcPr>
                <w:p w14:paraId="04C08B34">
                  <w:pPr>
                    <w:widowControl/>
                    <w:jc w:val="center"/>
                    <w:rPr>
                      <w:color w:val="auto"/>
                      <w:kern w:val="0"/>
                      <w:szCs w:val="21"/>
                    </w:rPr>
                  </w:pPr>
                  <w:r>
                    <w:rPr>
                      <w:color w:val="auto"/>
                      <w:kern w:val="0"/>
                      <w:szCs w:val="21"/>
                    </w:rPr>
                    <w:t>序号</w:t>
                  </w:r>
                </w:p>
              </w:tc>
              <w:tc>
                <w:tcPr>
                  <w:tcW w:w="690" w:type="pct"/>
                  <w:noWrap w:val="0"/>
                  <w:vAlign w:val="center"/>
                </w:tcPr>
                <w:p w14:paraId="15C8FED9">
                  <w:pPr>
                    <w:widowControl/>
                    <w:jc w:val="center"/>
                    <w:rPr>
                      <w:color w:val="auto"/>
                      <w:kern w:val="0"/>
                      <w:szCs w:val="21"/>
                    </w:rPr>
                  </w:pPr>
                  <w:r>
                    <w:rPr>
                      <w:color w:val="auto"/>
                      <w:kern w:val="0"/>
                      <w:szCs w:val="21"/>
                    </w:rPr>
                    <w:t>原料名称</w:t>
                  </w:r>
                </w:p>
              </w:tc>
              <w:tc>
                <w:tcPr>
                  <w:tcW w:w="547" w:type="pct"/>
                  <w:noWrap w:val="0"/>
                  <w:vAlign w:val="center"/>
                </w:tcPr>
                <w:p w14:paraId="70A537DA">
                  <w:pPr>
                    <w:widowControl/>
                    <w:jc w:val="center"/>
                    <w:rPr>
                      <w:color w:val="auto"/>
                      <w:kern w:val="0"/>
                      <w:szCs w:val="21"/>
                    </w:rPr>
                  </w:pPr>
                  <w:r>
                    <w:rPr>
                      <w:color w:val="auto"/>
                      <w:kern w:val="0"/>
                      <w:szCs w:val="21"/>
                    </w:rPr>
                    <w:t>单位</w:t>
                  </w:r>
                </w:p>
              </w:tc>
              <w:tc>
                <w:tcPr>
                  <w:tcW w:w="621" w:type="pct"/>
                  <w:noWrap w:val="0"/>
                  <w:vAlign w:val="center"/>
                </w:tcPr>
                <w:p w14:paraId="49634706">
                  <w:pPr>
                    <w:widowControl/>
                    <w:jc w:val="center"/>
                    <w:rPr>
                      <w:color w:val="auto"/>
                      <w:kern w:val="0"/>
                      <w:szCs w:val="21"/>
                    </w:rPr>
                  </w:pPr>
                  <w:r>
                    <w:rPr>
                      <w:rFonts w:hint="eastAsia"/>
                      <w:color w:val="auto"/>
                      <w:kern w:val="0"/>
                      <w:szCs w:val="21"/>
                      <w:lang w:val="en-US" w:eastAsia="zh-CN"/>
                    </w:rPr>
                    <w:t>年用</w:t>
                  </w:r>
                  <w:r>
                    <w:rPr>
                      <w:color w:val="auto"/>
                      <w:kern w:val="0"/>
                      <w:szCs w:val="21"/>
                    </w:rPr>
                    <w:t>量</w:t>
                  </w:r>
                </w:p>
              </w:tc>
              <w:tc>
                <w:tcPr>
                  <w:tcW w:w="733" w:type="pct"/>
                  <w:noWrap w:val="0"/>
                  <w:vAlign w:val="center"/>
                </w:tcPr>
                <w:p w14:paraId="248AB91B">
                  <w:pPr>
                    <w:widowControl/>
                    <w:jc w:val="center"/>
                    <w:rPr>
                      <w:rFonts w:hint="default" w:eastAsia="宋体"/>
                      <w:color w:val="auto"/>
                      <w:kern w:val="0"/>
                      <w:szCs w:val="21"/>
                      <w:lang w:val="en-US" w:eastAsia="zh-CN"/>
                    </w:rPr>
                  </w:pPr>
                  <w:r>
                    <w:rPr>
                      <w:rFonts w:hint="eastAsia"/>
                      <w:color w:val="auto"/>
                      <w:kern w:val="0"/>
                      <w:szCs w:val="21"/>
                      <w:lang w:val="en-US" w:eastAsia="zh-CN"/>
                    </w:rPr>
                    <w:t>厂区最大储存量</w:t>
                  </w:r>
                </w:p>
              </w:tc>
              <w:tc>
                <w:tcPr>
                  <w:tcW w:w="723" w:type="pct"/>
                  <w:noWrap w:val="0"/>
                  <w:vAlign w:val="center"/>
                </w:tcPr>
                <w:p w14:paraId="65C7FC27">
                  <w:pPr>
                    <w:widowControl/>
                    <w:jc w:val="center"/>
                    <w:rPr>
                      <w:rFonts w:hint="default"/>
                      <w:color w:val="auto"/>
                      <w:kern w:val="0"/>
                      <w:szCs w:val="21"/>
                      <w:lang w:val="en-US" w:eastAsia="zh-CN"/>
                    </w:rPr>
                  </w:pPr>
                  <w:r>
                    <w:rPr>
                      <w:rFonts w:hint="eastAsia"/>
                      <w:color w:val="auto"/>
                      <w:kern w:val="0"/>
                      <w:szCs w:val="21"/>
                      <w:lang w:val="en-US" w:eastAsia="zh-CN"/>
                    </w:rPr>
                    <w:t>储存位置</w:t>
                  </w:r>
                </w:p>
              </w:tc>
              <w:tc>
                <w:tcPr>
                  <w:tcW w:w="1400" w:type="pct"/>
                  <w:noWrap w:val="0"/>
                  <w:vAlign w:val="center"/>
                </w:tcPr>
                <w:p w14:paraId="65F45B40">
                  <w:pPr>
                    <w:widowControl/>
                    <w:jc w:val="center"/>
                    <w:rPr>
                      <w:rFonts w:hint="default" w:eastAsia="宋体"/>
                      <w:color w:val="auto"/>
                      <w:kern w:val="0"/>
                      <w:szCs w:val="21"/>
                      <w:lang w:val="en-US" w:eastAsia="zh-CN"/>
                    </w:rPr>
                  </w:pPr>
                  <w:r>
                    <w:rPr>
                      <w:rFonts w:hint="eastAsia"/>
                      <w:color w:val="auto"/>
                      <w:kern w:val="0"/>
                      <w:szCs w:val="21"/>
                      <w:lang w:val="en-US" w:eastAsia="zh-CN"/>
                    </w:rPr>
                    <w:t>原辅材料来源</w:t>
                  </w:r>
                </w:p>
              </w:tc>
            </w:tr>
            <w:tr w14:paraId="778E2C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shd w:val="clear" w:color="auto" w:fill="auto"/>
                  <w:noWrap w:val="0"/>
                  <w:vAlign w:val="center"/>
                </w:tcPr>
                <w:p w14:paraId="3A2CBC06">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690" w:type="pct"/>
                  <w:shd w:val="clear" w:color="auto" w:fill="auto"/>
                  <w:noWrap w:val="0"/>
                  <w:vAlign w:val="center"/>
                </w:tcPr>
                <w:p w14:paraId="78611559">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鲜玉竹</w:t>
                  </w:r>
                </w:p>
              </w:tc>
              <w:tc>
                <w:tcPr>
                  <w:tcW w:w="547" w:type="pct"/>
                  <w:shd w:val="clear" w:color="auto" w:fill="auto"/>
                  <w:noWrap w:val="0"/>
                  <w:vAlign w:val="center"/>
                </w:tcPr>
                <w:p w14:paraId="34BED318">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吨/年</w:t>
                  </w:r>
                </w:p>
              </w:tc>
              <w:tc>
                <w:tcPr>
                  <w:tcW w:w="621" w:type="pct"/>
                  <w:noWrap w:val="0"/>
                  <w:vAlign w:val="center"/>
                </w:tcPr>
                <w:p w14:paraId="7AEF2119">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1000</w:t>
                  </w:r>
                </w:p>
              </w:tc>
              <w:tc>
                <w:tcPr>
                  <w:tcW w:w="733" w:type="pct"/>
                  <w:noWrap w:val="0"/>
                  <w:vAlign w:val="center"/>
                </w:tcPr>
                <w:p w14:paraId="3B3069B7">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50</w:t>
                  </w:r>
                </w:p>
              </w:tc>
              <w:tc>
                <w:tcPr>
                  <w:tcW w:w="723" w:type="pct"/>
                  <w:noWrap w:val="0"/>
                  <w:vAlign w:val="center"/>
                </w:tcPr>
                <w:p w14:paraId="1C4CAD02">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暂存清洗区</w:t>
                  </w:r>
                </w:p>
              </w:tc>
              <w:tc>
                <w:tcPr>
                  <w:tcW w:w="1400" w:type="pct"/>
                  <w:noWrap w:val="0"/>
                  <w:vAlign w:val="center"/>
                </w:tcPr>
                <w:p w14:paraId="1C724C89">
                  <w:pPr>
                    <w:widowControl/>
                    <w:jc w:val="center"/>
                    <w:rPr>
                      <w:rFonts w:hint="default" w:eastAsia="宋体"/>
                      <w:color w:val="auto"/>
                      <w:kern w:val="0"/>
                      <w:szCs w:val="21"/>
                      <w:lang w:val="en-US" w:eastAsia="zh-CN"/>
                    </w:rPr>
                  </w:pPr>
                  <w:r>
                    <w:rPr>
                      <w:rFonts w:hint="eastAsia"/>
                      <w:color w:val="auto"/>
                      <w:kern w:val="0"/>
                      <w:szCs w:val="21"/>
                      <w:lang w:val="en-US" w:eastAsia="zh-CN"/>
                    </w:rPr>
                    <w:t>农户收购，含水率约83%</w:t>
                  </w:r>
                </w:p>
              </w:tc>
            </w:tr>
            <w:tr w14:paraId="580F12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shd w:val="clear" w:color="auto" w:fill="auto"/>
                  <w:noWrap w:val="0"/>
                  <w:vAlign w:val="center"/>
                </w:tcPr>
                <w:p w14:paraId="3FA64736">
                  <w:pPr>
                    <w:widowControl/>
                    <w:jc w:val="center"/>
                    <w:rPr>
                      <w:rFonts w:hint="eastAsia" w:eastAsia="宋体"/>
                      <w:color w:val="auto"/>
                      <w:kern w:val="0"/>
                      <w:szCs w:val="21"/>
                      <w:lang w:val="en-US" w:eastAsia="zh-CN"/>
                    </w:rPr>
                  </w:pPr>
                  <w:r>
                    <w:rPr>
                      <w:rFonts w:hint="eastAsia"/>
                      <w:color w:val="auto"/>
                      <w:kern w:val="0"/>
                      <w:szCs w:val="21"/>
                      <w:lang w:val="en-US" w:eastAsia="zh-CN"/>
                    </w:rPr>
                    <w:t>2</w:t>
                  </w:r>
                </w:p>
              </w:tc>
              <w:tc>
                <w:tcPr>
                  <w:tcW w:w="690" w:type="pct"/>
                  <w:shd w:val="clear" w:color="auto" w:fill="auto"/>
                  <w:noWrap w:val="0"/>
                  <w:vAlign w:val="center"/>
                </w:tcPr>
                <w:p w14:paraId="1C5EAF75">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鲜黄精</w:t>
                  </w:r>
                </w:p>
              </w:tc>
              <w:tc>
                <w:tcPr>
                  <w:tcW w:w="547" w:type="pct"/>
                  <w:shd w:val="clear" w:color="auto" w:fill="auto"/>
                  <w:noWrap w:val="0"/>
                  <w:vAlign w:val="center"/>
                </w:tcPr>
                <w:p w14:paraId="73D84BC2">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吨/年</w:t>
                  </w:r>
                </w:p>
              </w:tc>
              <w:tc>
                <w:tcPr>
                  <w:tcW w:w="621" w:type="pct"/>
                  <w:noWrap w:val="0"/>
                  <w:vAlign w:val="center"/>
                </w:tcPr>
                <w:p w14:paraId="71D6E317">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500</w:t>
                  </w:r>
                </w:p>
              </w:tc>
              <w:tc>
                <w:tcPr>
                  <w:tcW w:w="733" w:type="pct"/>
                  <w:noWrap w:val="0"/>
                  <w:vAlign w:val="center"/>
                </w:tcPr>
                <w:p w14:paraId="068D929C">
                  <w:pPr>
                    <w:widowControl/>
                    <w:jc w:val="center"/>
                    <w:rPr>
                      <w:rFonts w:hint="eastAsia" w:eastAsia="宋体"/>
                      <w:color w:val="auto"/>
                      <w:kern w:val="0"/>
                      <w:szCs w:val="21"/>
                      <w:lang w:val="en-US" w:eastAsia="zh-CN"/>
                    </w:rPr>
                  </w:pPr>
                  <w:r>
                    <w:rPr>
                      <w:rFonts w:hint="eastAsia" w:eastAsia="宋体"/>
                      <w:color w:val="auto"/>
                      <w:kern w:val="0"/>
                      <w:szCs w:val="21"/>
                      <w:lang w:val="en-US" w:eastAsia="zh-CN"/>
                    </w:rPr>
                    <w:t>50</w:t>
                  </w:r>
                </w:p>
              </w:tc>
              <w:tc>
                <w:tcPr>
                  <w:tcW w:w="723" w:type="pct"/>
                  <w:noWrap w:val="0"/>
                  <w:vAlign w:val="center"/>
                </w:tcPr>
                <w:p w14:paraId="0357A9C2">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暂存清洗区</w:t>
                  </w:r>
                </w:p>
              </w:tc>
              <w:tc>
                <w:tcPr>
                  <w:tcW w:w="1400" w:type="pct"/>
                  <w:noWrap w:val="0"/>
                  <w:vAlign w:val="center"/>
                </w:tcPr>
                <w:p w14:paraId="65C0FE19">
                  <w:pPr>
                    <w:widowControl/>
                    <w:jc w:val="center"/>
                    <w:rPr>
                      <w:color w:val="auto"/>
                      <w:kern w:val="0"/>
                      <w:szCs w:val="21"/>
                    </w:rPr>
                  </w:pPr>
                  <w:r>
                    <w:rPr>
                      <w:rFonts w:hint="eastAsia"/>
                      <w:color w:val="auto"/>
                      <w:kern w:val="0"/>
                      <w:szCs w:val="21"/>
                      <w:lang w:val="en-US" w:eastAsia="zh-CN"/>
                    </w:rPr>
                    <w:t>农户收购，含水率约83%</w:t>
                  </w:r>
                </w:p>
              </w:tc>
            </w:tr>
            <w:tr w14:paraId="51B83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shd w:val="clear" w:color="auto" w:fill="auto"/>
                  <w:noWrap w:val="0"/>
                  <w:vAlign w:val="center"/>
                </w:tcPr>
                <w:p w14:paraId="11D7F9E0">
                  <w:pPr>
                    <w:widowControl/>
                    <w:jc w:val="center"/>
                    <w:rPr>
                      <w:rFonts w:hint="eastAsia" w:eastAsia="宋体"/>
                      <w:color w:val="auto"/>
                      <w:kern w:val="0"/>
                      <w:szCs w:val="21"/>
                      <w:lang w:val="en-US" w:eastAsia="zh-CN"/>
                    </w:rPr>
                  </w:pPr>
                  <w:r>
                    <w:rPr>
                      <w:rFonts w:hint="eastAsia"/>
                      <w:color w:val="auto"/>
                      <w:kern w:val="0"/>
                      <w:szCs w:val="21"/>
                      <w:lang w:val="en-US" w:eastAsia="zh-CN"/>
                    </w:rPr>
                    <w:t>3</w:t>
                  </w:r>
                </w:p>
              </w:tc>
              <w:tc>
                <w:tcPr>
                  <w:tcW w:w="690" w:type="pct"/>
                  <w:shd w:val="clear" w:color="auto" w:fill="auto"/>
                  <w:noWrap w:val="0"/>
                  <w:vAlign w:val="center"/>
                </w:tcPr>
                <w:p w14:paraId="5C405FD4">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鲜白术</w:t>
                  </w:r>
                </w:p>
              </w:tc>
              <w:tc>
                <w:tcPr>
                  <w:tcW w:w="547" w:type="pct"/>
                  <w:shd w:val="clear" w:color="auto" w:fill="auto"/>
                  <w:noWrap w:val="0"/>
                  <w:vAlign w:val="center"/>
                </w:tcPr>
                <w:p w14:paraId="29863BD6">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吨/年</w:t>
                  </w:r>
                </w:p>
              </w:tc>
              <w:tc>
                <w:tcPr>
                  <w:tcW w:w="621" w:type="pct"/>
                  <w:noWrap w:val="0"/>
                  <w:vAlign w:val="center"/>
                </w:tcPr>
                <w:p w14:paraId="0606009E">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500</w:t>
                  </w:r>
                </w:p>
              </w:tc>
              <w:tc>
                <w:tcPr>
                  <w:tcW w:w="733" w:type="pct"/>
                  <w:noWrap w:val="0"/>
                  <w:vAlign w:val="center"/>
                </w:tcPr>
                <w:p w14:paraId="745FB0D1">
                  <w:pPr>
                    <w:widowControl/>
                    <w:jc w:val="center"/>
                    <w:rPr>
                      <w:rFonts w:hint="eastAsia" w:eastAsia="宋体"/>
                      <w:color w:val="auto"/>
                      <w:kern w:val="0"/>
                      <w:szCs w:val="21"/>
                      <w:lang w:val="en-US" w:eastAsia="zh-CN"/>
                    </w:rPr>
                  </w:pPr>
                  <w:r>
                    <w:rPr>
                      <w:rFonts w:hint="eastAsia" w:eastAsia="宋体"/>
                      <w:color w:val="auto"/>
                      <w:kern w:val="0"/>
                      <w:szCs w:val="21"/>
                      <w:lang w:val="en-US" w:eastAsia="zh-CN"/>
                    </w:rPr>
                    <w:t>50</w:t>
                  </w:r>
                </w:p>
              </w:tc>
              <w:tc>
                <w:tcPr>
                  <w:tcW w:w="723" w:type="pct"/>
                  <w:noWrap w:val="0"/>
                  <w:vAlign w:val="center"/>
                </w:tcPr>
                <w:p w14:paraId="747DE9CC">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暂存清洗区</w:t>
                  </w:r>
                </w:p>
              </w:tc>
              <w:tc>
                <w:tcPr>
                  <w:tcW w:w="1400" w:type="pct"/>
                  <w:noWrap w:val="0"/>
                  <w:vAlign w:val="center"/>
                </w:tcPr>
                <w:p w14:paraId="71D29E57">
                  <w:pPr>
                    <w:widowControl/>
                    <w:jc w:val="center"/>
                    <w:rPr>
                      <w:color w:val="auto"/>
                      <w:kern w:val="0"/>
                      <w:szCs w:val="21"/>
                    </w:rPr>
                  </w:pPr>
                  <w:r>
                    <w:rPr>
                      <w:rFonts w:hint="eastAsia"/>
                      <w:color w:val="auto"/>
                      <w:kern w:val="0"/>
                      <w:szCs w:val="21"/>
                      <w:lang w:val="en-US" w:eastAsia="zh-CN"/>
                    </w:rPr>
                    <w:t>农户收购，含水率约83%</w:t>
                  </w:r>
                </w:p>
              </w:tc>
            </w:tr>
            <w:tr w14:paraId="0F92F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shd w:val="clear" w:color="auto" w:fill="auto"/>
                  <w:noWrap w:val="0"/>
                  <w:vAlign w:val="center"/>
                </w:tcPr>
                <w:p w14:paraId="3B67623A">
                  <w:pPr>
                    <w:widowControl/>
                    <w:jc w:val="center"/>
                    <w:rPr>
                      <w:rFonts w:hint="eastAsia" w:eastAsia="宋体"/>
                      <w:color w:val="auto"/>
                      <w:kern w:val="0"/>
                      <w:szCs w:val="21"/>
                      <w:lang w:val="en-US" w:eastAsia="zh-CN"/>
                    </w:rPr>
                  </w:pPr>
                  <w:r>
                    <w:rPr>
                      <w:rFonts w:hint="eastAsia"/>
                      <w:color w:val="auto"/>
                      <w:kern w:val="0"/>
                      <w:szCs w:val="21"/>
                      <w:lang w:val="en-US" w:eastAsia="zh-CN"/>
                    </w:rPr>
                    <w:t>4</w:t>
                  </w:r>
                </w:p>
              </w:tc>
              <w:tc>
                <w:tcPr>
                  <w:tcW w:w="690" w:type="pct"/>
                  <w:shd w:val="clear" w:color="auto" w:fill="auto"/>
                  <w:noWrap w:val="0"/>
                  <w:vAlign w:val="center"/>
                </w:tcPr>
                <w:p w14:paraId="07C66379">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鲜黄柏</w:t>
                  </w:r>
                </w:p>
              </w:tc>
              <w:tc>
                <w:tcPr>
                  <w:tcW w:w="547" w:type="pct"/>
                  <w:shd w:val="clear" w:color="auto" w:fill="auto"/>
                  <w:noWrap w:val="0"/>
                  <w:vAlign w:val="center"/>
                </w:tcPr>
                <w:p w14:paraId="41BBA97A">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吨/年</w:t>
                  </w:r>
                </w:p>
              </w:tc>
              <w:tc>
                <w:tcPr>
                  <w:tcW w:w="621" w:type="pct"/>
                  <w:noWrap w:val="0"/>
                  <w:vAlign w:val="center"/>
                </w:tcPr>
                <w:p w14:paraId="28974E2A">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500</w:t>
                  </w:r>
                </w:p>
              </w:tc>
              <w:tc>
                <w:tcPr>
                  <w:tcW w:w="733" w:type="pct"/>
                  <w:noWrap w:val="0"/>
                  <w:vAlign w:val="center"/>
                </w:tcPr>
                <w:p w14:paraId="5EA93B73">
                  <w:pPr>
                    <w:widowControl/>
                    <w:jc w:val="center"/>
                    <w:rPr>
                      <w:rFonts w:hint="eastAsia" w:eastAsia="宋体"/>
                      <w:color w:val="auto"/>
                      <w:kern w:val="0"/>
                      <w:szCs w:val="21"/>
                      <w:lang w:val="en-US" w:eastAsia="zh-CN"/>
                    </w:rPr>
                  </w:pPr>
                  <w:r>
                    <w:rPr>
                      <w:rFonts w:hint="eastAsia" w:eastAsia="宋体"/>
                      <w:color w:val="auto"/>
                      <w:kern w:val="0"/>
                      <w:szCs w:val="21"/>
                      <w:lang w:val="en-US" w:eastAsia="zh-CN"/>
                    </w:rPr>
                    <w:t>50</w:t>
                  </w:r>
                </w:p>
              </w:tc>
              <w:tc>
                <w:tcPr>
                  <w:tcW w:w="723" w:type="pct"/>
                  <w:noWrap w:val="0"/>
                  <w:vAlign w:val="center"/>
                </w:tcPr>
                <w:p w14:paraId="08AF1C8A">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暂存清洗区</w:t>
                  </w:r>
                </w:p>
              </w:tc>
              <w:tc>
                <w:tcPr>
                  <w:tcW w:w="1400" w:type="pct"/>
                  <w:noWrap w:val="0"/>
                  <w:vAlign w:val="center"/>
                </w:tcPr>
                <w:p w14:paraId="1A3319AE">
                  <w:pPr>
                    <w:widowControl/>
                    <w:jc w:val="center"/>
                    <w:rPr>
                      <w:color w:val="auto"/>
                      <w:kern w:val="0"/>
                      <w:szCs w:val="21"/>
                    </w:rPr>
                  </w:pPr>
                  <w:r>
                    <w:rPr>
                      <w:rFonts w:hint="eastAsia"/>
                      <w:color w:val="auto"/>
                      <w:kern w:val="0"/>
                      <w:szCs w:val="21"/>
                      <w:lang w:val="en-US" w:eastAsia="zh-CN"/>
                    </w:rPr>
                    <w:t>农户收购，含水率约50%</w:t>
                  </w:r>
                </w:p>
              </w:tc>
            </w:tr>
            <w:tr w14:paraId="2C527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shd w:val="clear" w:color="auto" w:fill="auto"/>
                  <w:noWrap w:val="0"/>
                  <w:vAlign w:val="center"/>
                </w:tcPr>
                <w:p w14:paraId="4C3A93DD">
                  <w:pPr>
                    <w:widowControl/>
                    <w:jc w:val="center"/>
                    <w:rPr>
                      <w:rFonts w:hint="eastAsia" w:eastAsia="宋体"/>
                      <w:color w:val="auto"/>
                      <w:kern w:val="0"/>
                      <w:szCs w:val="21"/>
                      <w:lang w:val="en-US" w:eastAsia="zh-CN"/>
                    </w:rPr>
                  </w:pPr>
                  <w:r>
                    <w:rPr>
                      <w:rFonts w:hint="eastAsia"/>
                      <w:color w:val="auto"/>
                      <w:kern w:val="0"/>
                      <w:szCs w:val="21"/>
                      <w:lang w:val="en-US" w:eastAsia="zh-CN"/>
                    </w:rPr>
                    <w:t>5</w:t>
                  </w:r>
                </w:p>
              </w:tc>
              <w:tc>
                <w:tcPr>
                  <w:tcW w:w="690" w:type="pct"/>
                  <w:shd w:val="clear" w:color="auto" w:fill="auto"/>
                  <w:noWrap w:val="0"/>
                  <w:vAlign w:val="center"/>
                </w:tcPr>
                <w:p w14:paraId="0EE90046">
                  <w:pPr>
                    <w:widowControl/>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山银花鲜花</w:t>
                  </w:r>
                </w:p>
              </w:tc>
              <w:tc>
                <w:tcPr>
                  <w:tcW w:w="547" w:type="pct"/>
                  <w:shd w:val="clear" w:color="auto" w:fill="auto"/>
                  <w:noWrap w:val="0"/>
                  <w:vAlign w:val="center"/>
                </w:tcPr>
                <w:p w14:paraId="3B0A28AE">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吨/年</w:t>
                  </w:r>
                </w:p>
              </w:tc>
              <w:tc>
                <w:tcPr>
                  <w:tcW w:w="621" w:type="pct"/>
                  <w:noWrap w:val="0"/>
                  <w:vAlign w:val="center"/>
                </w:tcPr>
                <w:p w14:paraId="7E0D344F">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1500</w:t>
                  </w:r>
                </w:p>
              </w:tc>
              <w:tc>
                <w:tcPr>
                  <w:tcW w:w="733" w:type="pct"/>
                  <w:noWrap w:val="0"/>
                  <w:vAlign w:val="center"/>
                </w:tcPr>
                <w:p w14:paraId="05C0C0EE">
                  <w:pPr>
                    <w:widowControl/>
                    <w:jc w:val="center"/>
                    <w:rPr>
                      <w:rFonts w:hint="eastAsia" w:eastAsia="宋体"/>
                      <w:color w:val="auto"/>
                      <w:kern w:val="0"/>
                      <w:szCs w:val="21"/>
                      <w:lang w:val="en-US" w:eastAsia="zh-CN"/>
                    </w:rPr>
                  </w:pPr>
                  <w:r>
                    <w:rPr>
                      <w:rFonts w:hint="eastAsia" w:eastAsia="宋体"/>
                      <w:color w:val="auto"/>
                      <w:kern w:val="0"/>
                      <w:szCs w:val="21"/>
                      <w:lang w:val="en-US" w:eastAsia="zh-CN"/>
                    </w:rPr>
                    <w:t>50</w:t>
                  </w:r>
                </w:p>
              </w:tc>
              <w:tc>
                <w:tcPr>
                  <w:tcW w:w="723" w:type="pct"/>
                  <w:noWrap w:val="0"/>
                  <w:vAlign w:val="center"/>
                </w:tcPr>
                <w:p w14:paraId="78DAEEB4">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暂存清洗区+晾晒区</w:t>
                  </w:r>
                </w:p>
              </w:tc>
              <w:tc>
                <w:tcPr>
                  <w:tcW w:w="1400" w:type="pct"/>
                  <w:noWrap w:val="0"/>
                  <w:vAlign w:val="center"/>
                </w:tcPr>
                <w:p w14:paraId="4CE9C295">
                  <w:pPr>
                    <w:widowControl/>
                    <w:jc w:val="center"/>
                    <w:rPr>
                      <w:color w:val="auto"/>
                      <w:kern w:val="0"/>
                      <w:szCs w:val="21"/>
                    </w:rPr>
                  </w:pPr>
                  <w:r>
                    <w:rPr>
                      <w:rFonts w:hint="eastAsia"/>
                      <w:color w:val="auto"/>
                      <w:kern w:val="0"/>
                      <w:szCs w:val="21"/>
                      <w:lang w:val="en-US" w:eastAsia="zh-CN"/>
                    </w:rPr>
                    <w:t>农户收购，含水率约83%</w:t>
                  </w:r>
                </w:p>
              </w:tc>
            </w:tr>
            <w:tr w14:paraId="6BBC8D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noWrap w:val="0"/>
                  <w:vAlign w:val="center"/>
                </w:tcPr>
                <w:p w14:paraId="09BDE076">
                  <w:pPr>
                    <w:widowControl/>
                    <w:jc w:val="center"/>
                    <w:rPr>
                      <w:rFonts w:hint="eastAsia" w:eastAsia="宋体"/>
                      <w:color w:val="auto"/>
                      <w:kern w:val="0"/>
                      <w:szCs w:val="21"/>
                      <w:lang w:val="en-US" w:eastAsia="zh-CN"/>
                    </w:rPr>
                  </w:pPr>
                  <w:r>
                    <w:rPr>
                      <w:rFonts w:hint="eastAsia"/>
                      <w:color w:val="auto"/>
                      <w:kern w:val="0"/>
                      <w:szCs w:val="21"/>
                      <w:lang w:val="en-US" w:eastAsia="zh-CN"/>
                    </w:rPr>
                    <w:t>6</w:t>
                  </w:r>
                </w:p>
              </w:tc>
              <w:tc>
                <w:tcPr>
                  <w:tcW w:w="690" w:type="pct"/>
                  <w:noWrap w:val="0"/>
                  <w:vAlign w:val="center"/>
                </w:tcPr>
                <w:p w14:paraId="517FF128">
                  <w:pPr>
                    <w:keepNext/>
                    <w:keepLines/>
                    <w:jc w:val="center"/>
                    <w:rPr>
                      <w:rFonts w:hint="default" w:eastAsia="宋体"/>
                      <w:color w:val="auto"/>
                      <w:szCs w:val="21"/>
                      <w:lang w:val="en-US" w:eastAsia="zh-CN"/>
                    </w:rPr>
                  </w:pPr>
                  <w:r>
                    <w:rPr>
                      <w:rFonts w:hint="eastAsia" w:eastAsia="宋体"/>
                      <w:color w:val="auto"/>
                      <w:szCs w:val="21"/>
                      <w:lang w:val="en-US" w:eastAsia="zh-CN"/>
                    </w:rPr>
                    <w:t>生物质燃料</w:t>
                  </w:r>
                </w:p>
              </w:tc>
              <w:tc>
                <w:tcPr>
                  <w:tcW w:w="547" w:type="pct"/>
                  <w:noWrap w:val="0"/>
                  <w:vAlign w:val="center"/>
                </w:tcPr>
                <w:p w14:paraId="4F0E175F">
                  <w:pPr>
                    <w:widowControl/>
                    <w:jc w:val="center"/>
                    <w:rPr>
                      <w:rFonts w:hint="default" w:eastAsia="宋体"/>
                      <w:color w:val="auto"/>
                      <w:kern w:val="0"/>
                      <w:szCs w:val="21"/>
                      <w:lang w:val="en-US" w:eastAsia="zh-CN"/>
                    </w:rPr>
                  </w:pPr>
                  <w:r>
                    <w:rPr>
                      <w:rFonts w:hint="eastAsia"/>
                      <w:color w:val="auto"/>
                      <w:kern w:val="0"/>
                      <w:szCs w:val="21"/>
                      <w:lang w:val="en-US" w:eastAsia="zh-CN"/>
                    </w:rPr>
                    <w:t>吨/年</w:t>
                  </w:r>
                </w:p>
              </w:tc>
              <w:tc>
                <w:tcPr>
                  <w:tcW w:w="621" w:type="pct"/>
                  <w:noWrap w:val="0"/>
                  <w:vAlign w:val="center"/>
                </w:tcPr>
                <w:p w14:paraId="5CA197ED">
                  <w:pPr>
                    <w:widowControl/>
                    <w:jc w:val="center"/>
                    <w:rPr>
                      <w:rFonts w:hint="default" w:eastAsia="宋体"/>
                      <w:color w:val="auto"/>
                      <w:kern w:val="0"/>
                      <w:szCs w:val="21"/>
                      <w:lang w:val="en-US" w:eastAsia="zh-CN"/>
                    </w:rPr>
                  </w:pPr>
                  <w:r>
                    <w:rPr>
                      <w:rFonts w:hint="eastAsia"/>
                      <w:color w:val="auto"/>
                      <w:kern w:val="0"/>
                      <w:szCs w:val="21"/>
                      <w:lang w:val="en-US" w:eastAsia="zh-CN"/>
                    </w:rPr>
                    <w:t>736.02</w:t>
                  </w:r>
                </w:p>
              </w:tc>
              <w:tc>
                <w:tcPr>
                  <w:tcW w:w="733" w:type="pct"/>
                  <w:noWrap w:val="0"/>
                  <w:vAlign w:val="center"/>
                </w:tcPr>
                <w:p w14:paraId="5B2C4E67">
                  <w:pPr>
                    <w:widowControl/>
                    <w:jc w:val="center"/>
                    <w:rPr>
                      <w:rFonts w:hint="default" w:eastAsia="宋体"/>
                      <w:color w:val="auto"/>
                      <w:kern w:val="0"/>
                      <w:szCs w:val="21"/>
                      <w:lang w:val="en-US" w:eastAsia="zh-CN"/>
                    </w:rPr>
                  </w:pPr>
                  <w:r>
                    <w:rPr>
                      <w:rFonts w:hint="eastAsia" w:eastAsia="宋体"/>
                      <w:color w:val="auto"/>
                      <w:kern w:val="0"/>
                      <w:szCs w:val="21"/>
                      <w:lang w:val="en-US" w:eastAsia="zh-CN"/>
                    </w:rPr>
                    <w:t>50</w:t>
                  </w:r>
                </w:p>
              </w:tc>
              <w:tc>
                <w:tcPr>
                  <w:tcW w:w="723" w:type="pct"/>
                  <w:noWrap w:val="0"/>
                  <w:vAlign w:val="center"/>
                </w:tcPr>
                <w:p w14:paraId="3A19FC6C">
                  <w:pPr>
                    <w:widowControl/>
                    <w:jc w:val="center"/>
                    <w:rPr>
                      <w:rFonts w:hint="eastAsia" w:eastAsia="宋体"/>
                      <w:color w:val="auto"/>
                      <w:kern w:val="0"/>
                      <w:szCs w:val="21"/>
                      <w:lang w:val="en-US" w:eastAsia="zh-CN"/>
                    </w:rPr>
                  </w:pPr>
                  <w:r>
                    <w:rPr>
                      <w:rFonts w:hint="eastAsia"/>
                      <w:color w:val="auto"/>
                      <w:lang w:val="en-US" w:eastAsia="zh-CN"/>
                    </w:rPr>
                    <w:t>生物质颗粒暂存区</w:t>
                  </w:r>
                </w:p>
              </w:tc>
              <w:tc>
                <w:tcPr>
                  <w:tcW w:w="1400" w:type="pct"/>
                  <w:noWrap w:val="0"/>
                  <w:vAlign w:val="center"/>
                </w:tcPr>
                <w:p w14:paraId="6D8809D3">
                  <w:pPr>
                    <w:widowControl/>
                    <w:jc w:val="center"/>
                    <w:rPr>
                      <w:rFonts w:hint="eastAsia" w:eastAsia="宋体"/>
                      <w:color w:val="auto"/>
                      <w:kern w:val="0"/>
                      <w:szCs w:val="21"/>
                      <w:lang w:val="en-US" w:eastAsia="zh-CN"/>
                    </w:rPr>
                  </w:pPr>
                  <w:r>
                    <w:rPr>
                      <w:rFonts w:hint="eastAsia"/>
                      <w:color w:val="auto"/>
                      <w:lang w:val="en-US" w:eastAsia="zh-CN"/>
                    </w:rPr>
                    <w:t>外购，需满足NYT1878-2010生物质固体成型燃料技术条件中质量标准且含硫量低于0.1%</w:t>
                  </w:r>
                </w:p>
              </w:tc>
            </w:tr>
            <w:tr w14:paraId="1CE66F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shd w:val="clear" w:color="auto" w:fill="auto"/>
                  <w:noWrap w:val="0"/>
                  <w:vAlign w:val="center"/>
                </w:tcPr>
                <w:p w14:paraId="14C78CE0">
                  <w:pPr>
                    <w:widowControl/>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7</w:t>
                  </w:r>
                </w:p>
              </w:tc>
              <w:tc>
                <w:tcPr>
                  <w:tcW w:w="690" w:type="pct"/>
                  <w:noWrap w:val="0"/>
                  <w:vAlign w:val="center"/>
                </w:tcPr>
                <w:p w14:paraId="7789A1F6">
                  <w:pPr>
                    <w:keepNext/>
                    <w:keepLines/>
                    <w:jc w:val="center"/>
                    <w:rPr>
                      <w:rFonts w:hint="default" w:eastAsia="宋体"/>
                      <w:color w:val="FF0000"/>
                      <w:szCs w:val="21"/>
                      <w:lang w:val="en-US" w:eastAsia="zh-CN"/>
                    </w:rPr>
                  </w:pPr>
                  <w:r>
                    <w:rPr>
                      <w:rFonts w:hint="eastAsia"/>
                      <w:color w:val="FF0000"/>
                      <w:szCs w:val="21"/>
                      <w:lang w:val="en-US" w:eastAsia="zh-CN"/>
                    </w:rPr>
                    <w:t>活性炭</w:t>
                  </w:r>
                </w:p>
              </w:tc>
              <w:tc>
                <w:tcPr>
                  <w:tcW w:w="547" w:type="pct"/>
                  <w:noWrap w:val="0"/>
                  <w:vAlign w:val="center"/>
                </w:tcPr>
                <w:p w14:paraId="3EF1C377">
                  <w:pPr>
                    <w:widowControl/>
                    <w:jc w:val="center"/>
                    <w:rPr>
                      <w:rFonts w:hint="eastAsia"/>
                      <w:color w:val="FF0000"/>
                      <w:kern w:val="0"/>
                      <w:szCs w:val="21"/>
                      <w:lang w:val="en-US" w:eastAsia="zh-CN"/>
                    </w:rPr>
                  </w:pPr>
                  <w:r>
                    <w:rPr>
                      <w:rFonts w:hint="eastAsia"/>
                      <w:color w:val="FF0000"/>
                      <w:kern w:val="0"/>
                      <w:szCs w:val="21"/>
                      <w:lang w:val="en-US" w:eastAsia="zh-CN"/>
                    </w:rPr>
                    <w:t>吨/年</w:t>
                  </w:r>
                </w:p>
              </w:tc>
              <w:tc>
                <w:tcPr>
                  <w:tcW w:w="621" w:type="pct"/>
                  <w:noWrap w:val="0"/>
                  <w:vAlign w:val="center"/>
                </w:tcPr>
                <w:p w14:paraId="3E6EBADD">
                  <w:pPr>
                    <w:widowControl/>
                    <w:jc w:val="center"/>
                    <w:rPr>
                      <w:rFonts w:hint="eastAsia"/>
                      <w:color w:val="FF0000"/>
                      <w:kern w:val="0"/>
                      <w:szCs w:val="21"/>
                      <w:lang w:val="en-US" w:eastAsia="zh-CN"/>
                    </w:rPr>
                  </w:pPr>
                  <w:r>
                    <w:rPr>
                      <w:rFonts w:hint="eastAsia" w:ascii="Times New Roman" w:hAnsi="Times New Roman" w:eastAsia="宋体" w:cs="Times New Roman"/>
                      <w:color w:val="FF0000"/>
                      <w:kern w:val="0"/>
                      <w:szCs w:val="21"/>
                      <w:lang w:val="en-US" w:eastAsia="zh-CN"/>
                    </w:rPr>
                    <w:t>13.84</w:t>
                  </w:r>
                </w:p>
              </w:tc>
              <w:tc>
                <w:tcPr>
                  <w:tcW w:w="733" w:type="pct"/>
                  <w:noWrap w:val="0"/>
                  <w:vAlign w:val="center"/>
                </w:tcPr>
                <w:p w14:paraId="706EFDC4">
                  <w:pPr>
                    <w:widowControl/>
                    <w:jc w:val="center"/>
                    <w:rPr>
                      <w:rFonts w:hint="default" w:eastAsia="宋体"/>
                      <w:color w:val="FF0000"/>
                      <w:kern w:val="0"/>
                      <w:szCs w:val="21"/>
                      <w:lang w:val="en-US" w:eastAsia="zh-CN"/>
                    </w:rPr>
                  </w:pPr>
                  <w:r>
                    <w:rPr>
                      <w:rFonts w:hint="eastAsia"/>
                      <w:color w:val="FF0000"/>
                      <w:kern w:val="0"/>
                      <w:szCs w:val="21"/>
                      <w:lang w:val="en-US" w:eastAsia="zh-CN"/>
                    </w:rPr>
                    <w:t>/</w:t>
                  </w:r>
                </w:p>
              </w:tc>
              <w:tc>
                <w:tcPr>
                  <w:tcW w:w="723" w:type="pct"/>
                  <w:noWrap w:val="0"/>
                  <w:vAlign w:val="center"/>
                </w:tcPr>
                <w:p w14:paraId="627D9C32">
                  <w:pPr>
                    <w:widowControl/>
                    <w:jc w:val="center"/>
                    <w:rPr>
                      <w:rFonts w:hint="default"/>
                      <w:color w:val="FF0000"/>
                      <w:lang w:val="en-US" w:eastAsia="zh-CN"/>
                    </w:rPr>
                  </w:pPr>
                  <w:r>
                    <w:rPr>
                      <w:rFonts w:hint="eastAsia"/>
                      <w:color w:val="FF0000"/>
                      <w:lang w:val="en-US" w:eastAsia="zh-CN"/>
                    </w:rPr>
                    <w:t>废气处理装置内</w:t>
                  </w:r>
                </w:p>
              </w:tc>
              <w:tc>
                <w:tcPr>
                  <w:tcW w:w="1400" w:type="pct"/>
                  <w:noWrap w:val="0"/>
                  <w:vAlign w:val="center"/>
                </w:tcPr>
                <w:p w14:paraId="07AD26F8">
                  <w:pPr>
                    <w:widowControl/>
                    <w:jc w:val="center"/>
                    <w:rPr>
                      <w:rFonts w:hint="eastAsia"/>
                      <w:color w:val="FF0000"/>
                      <w:lang w:val="en-US" w:eastAsia="zh-CN"/>
                    </w:rPr>
                  </w:pPr>
                  <w:r>
                    <w:rPr>
                      <w:rFonts w:hint="eastAsia"/>
                      <w:color w:val="FF0000"/>
                      <w:lang w:val="en-US" w:eastAsia="zh-CN"/>
                    </w:rPr>
                    <w:t>外购</w:t>
                  </w:r>
                </w:p>
              </w:tc>
            </w:tr>
            <w:tr w14:paraId="03DFF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shd w:val="clear" w:color="auto" w:fill="auto"/>
                  <w:noWrap w:val="0"/>
                  <w:vAlign w:val="center"/>
                </w:tcPr>
                <w:p w14:paraId="3A086787">
                  <w:pPr>
                    <w:widowControl/>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8</w:t>
                  </w:r>
                </w:p>
              </w:tc>
              <w:tc>
                <w:tcPr>
                  <w:tcW w:w="690" w:type="pct"/>
                  <w:shd w:val="clear" w:color="auto" w:fill="auto"/>
                  <w:noWrap w:val="0"/>
                  <w:vAlign w:val="center"/>
                </w:tcPr>
                <w:p w14:paraId="3BD53512">
                  <w:pPr>
                    <w:adjustRightInd w:val="0"/>
                    <w:snapToGrid w:val="0"/>
                    <w:jc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szCs w:val="21"/>
                      <w:u w:val="none"/>
                      <w:lang w:eastAsia="zh-CN"/>
                    </w:rPr>
                    <w:t>黄油（润滑用）</w:t>
                  </w:r>
                </w:p>
              </w:tc>
              <w:tc>
                <w:tcPr>
                  <w:tcW w:w="547" w:type="pct"/>
                  <w:shd w:val="clear" w:color="auto" w:fill="auto"/>
                  <w:noWrap w:val="0"/>
                  <w:vAlign w:val="center"/>
                </w:tcPr>
                <w:p w14:paraId="3C3ECDCE">
                  <w:pPr>
                    <w:adjustRightInd w:val="0"/>
                    <w:snapToGrid w:val="0"/>
                    <w:jc w:val="center"/>
                    <w:rPr>
                      <w:rFonts w:hint="eastAsia"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Cs w:val="21"/>
                      <w:u w:val="none"/>
                    </w:rPr>
                    <w:t>t/a</w:t>
                  </w:r>
                </w:p>
              </w:tc>
              <w:tc>
                <w:tcPr>
                  <w:tcW w:w="621" w:type="pct"/>
                  <w:shd w:val="clear" w:color="auto" w:fill="auto"/>
                  <w:noWrap w:val="0"/>
                  <w:vAlign w:val="center"/>
                </w:tcPr>
                <w:p w14:paraId="054DFD7F">
                  <w:pPr>
                    <w:adjustRightInd w:val="0"/>
                    <w:snapToGrid w:val="0"/>
                    <w:jc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szCs w:val="21"/>
                      <w:u w:val="none"/>
                      <w:lang w:val="en-US" w:eastAsia="zh-CN"/>
                    </w:rPr>
                    <w:t>0.5</w:t>
                  </w:r>
                </w:p>
              </w:tc>
              <w:tc>
                <w:tcPr>
                  <w:tcW w:w="733" w:type="pct"/>
                  <w:shd w:val="clear" w:color="auto" w:fill="auto"/>
                  <w:noWrap w:val="0"/>
                  <w:vAlign w:val="center"/>
                </w:tcPr>
                <w:p w14:paraId="54C4712A">
                  <w:pPr>
                    <w:adjustRightInd w:val="0"/>
                    <w:snapToGrid w:val="0"/>
                    <w:jc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0.5</w:t>
                  </w:r>
                </w:p>
              </w:tc>
              <w:tc>
                <w:tcPr>
                  <w:tcW w:w="723" w:type="pct"/>
                  <w:shd w:val="clear" w:color="auto" w:fill="auto"/>
                  <w:noWrap w:val="0"/>
                  <w:vAlign w:val="center"/>
                </w:tcPr>
                <w:p w14:paraId="0DC215E4">
                  <w:pPr>
                    <w:widowControl/>
                    <w:jc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color w:val="auto"/>
                      <w:kern w:val="0"/>
                      <w:sz w:val="21"/>
                      <w:szCs w:val="21"/>
                      <w:lang w:val="en-US" w:eastAsia="zh-CN" w:bidi="ar-SA"/>
                    </w:rPr>
                    <w:t>/</w:t>
                  </w:r>
                </w:p>
              </w:tc>
              <w:tc>
                <w:tcPr>
                  <w:tcW w:w="1400" w:type="pct"/>
                  <w:shd w:val="clear" w:color="auto" w:fill="auto"/>
                  <w:noWrap w:val="0"/>
                  <w:vAlign w:val="center"/>
                </w:tcPr>
                <w:p w14:paraId="6730B4AB">
                  <w:pPr>
                    <w:widowControl/>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lang w:val="en-US" w:eastAsia="zh-CN"/>
                    </w:rPr>
                    <w:t>外购</w:t>
                  </w:r>
                </w:p>
              </w:tc>
            </w:tr>
            <w:tr w14:paraId="343C5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shd w:val="clear" w:color="auto" w:fill="auto"/>
                  <w:noWrap w:val="0"/>
                  <w:vAlign w:val="center"/>
                </w:tcPr>
                <w:p w14:paraId="463F25F4">
                  <w:pPr>
                    <w:widowControl/>
                    <w:jc w:val="center"/>
                    <w:rPr>
                      <w:rFonts w:hint="eastAsia" w:ascii="Times New Roman" w:hAnsi="Times New Roman" w:eastAsia="宋体" w:cs="Times New Roman"/>
                      <w:color w:val="auto"/>
                      <w:kern w:val="0"/>
                      <w:sz w:val="21"/>
                      <w:szCs w:val="21"/>
                      <w:u w:val="none"/>
                      <w:lang w:val="en-US" w:eastAsia="zh-CN" w:bidi="ar-SA"/>
                    </w:rPr>
                  </w:pPr>
                  <w:r>
                    <w:rPr>
                      <w:rFonts w:hint="eastAsia"/>
                      <w:color w:val="auto"/>
                      <w:kern w:val="0"/>
                      <w:szCs w:val="21"/>
                      <w:u w:val="none"/>
                      <w:lang w:val="en-US" w:eastAsia="zh-CN"/>
                    </w:rPr>
                    <w:t>9</w:t>
                  </w:r>
                </w:p>
              </w:tc>
              <w:tc>
                <w:tcPr>
                  <w:tcW w:w="690" w:type="pct"/>
                  <w:noWrap w:val="0"/>
                  <w:vAlign w:val="center"/>
                </w:tcPr>
                <w:p w14:paraId="7D549B10">
                  <w:pPr>
                    <w:keepNext/>
                    <w:keepLines/>
                    <w:jc w:val="center"/>
                    <w:rPr>
                      <w:color w:val="auto"/>
                      <w:szCs w:val="21"/>
                    </w:rPr>
                  </w:pPr>
                  <w:r>
                    <w:rPr>
                      <w:color w:val="auto"/>
                      <w:szCs w:val="21"/>
                    </w:rPr>
                    <w:t>水</w:t>
                  </w:r>
                </w:p>
              </w:tc>
              <w:tc>
                <w:tcPr>
                  <w:tcW w:w="547" w:type="pct"/>
                  <w:noWrap w:val="0"/>
                  <w:vAlign w:val="center"/>
                </w:tcPr>
                <w:p w14:paraId="5E772579">
                  <w:pPr>
                    <w:widowControl/>
                    <w:jc w:val="center"/>
                    <w:rPr>
                      <w:color w:val="auto"/>
                      <w:kern w:val="0"/>
                      <w:szCs w:val="21"/>
                    </w:rPr>
                  </w:pPr>
                  <w:r>
                    <w:rPr>
                      <w:color w:val="auto"/>
                      <w:kern w:val="0"/>
                      <w:szCs w:val="21"/>
                    </w:rPr>
                    <w:t>吨/年</w:t>
                  </w:r>
                </w:p>
              </w:tc>
              <w:tc>
                <w:tcPr>
                  <w:tcW w:w="621" w:type="pct"/>
                  <w:noWrap w:val="0"/>
                  <w:vAlign w:val="center"/>
                </w:tcPr>
                <w:p w14:paraId="7F5263A3">
                  <w:pPr>
                    <w:widowControl/>
                    <w:jc w:val="center"/>
                    <w:rPr>
                      <w:rFonts w:hint="default" w:eastAsia="宋体"/>
                      <w:color w:val="auto"/>
                      <w:kern w:val="0"/>
                      <w:szCs w:val="21"/>
                      <w:lang w:val="en-US" w:eastAsia="zh-CN"/>
                    </w:rPr>
                  </w:pPr>
                  <w:r>
                    <w:rPr>
                      <w:rFonts w:hint="eastAsia"/>
                      <w:color w:val="auto"/>
                      <w:kern w:val="0"/>
                      <w:szCs w:val="21"/>
                      <w:lang w:val="en-US" w:eastAsia="zh-CN"/>
                    </w:rPr>
                    <w:t>1599.33</w:t>
                  </w:r>
                </w:p>
              </w:tc>
              <w:tc>
                <w:tcPr>
                  <w:tcW w:w="733" w:type="pct"/>
                  <w:shd w:val="clear" w:color="auto" w:fill="auto"/>
                  <w:noWrap w:val="0"/>
                  <w:vAlign w:val="center"/>
                </w:tcPr>
                <w:p w14:paraId="1C2FA4BF">
                  <w:pPr>
                    <w:widowControl/>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723" w:type="pct"/>
                  <w:noWrap w:val="0"/>
                  <w:vAlign w:val="center"/>
                </w:tcPr>
                <w:p w14:paraId="5FDA9F02">
                  <w:pPr>
                    <w:widowControl/>
                    <w:jc w:val="center"/>
                    <w:rPr>
                      <w:rFonts w:hint="eastAsia"/>
                      <w:color w:val="auto"/>
                      <w:kern w:val="0"/>
                      <w:szCs w:val="21"/>
                    </w:rPr>
                  </w:pPr>
                  <w:r>
                    <w:rPr>
                      <w:rFonts w:hint="eastAsia"/>
                      <w:color w:val="auto"/>
                      <w:kern w:val="0"/>
                      <w:szCs w:val="21"/>
                      <w:lang w:val="en-US" w:eastAsia="zh-CN"/>
                    </w:rPr>
                    <w:t>/</w:t>
                  </w:r>
                </w:p>
              </w:tc>
              <w:tc>
                <w:tcPr>
                  <w:tcW w:w="1400" w:type="pct"/>
                  <w:noWrap w:val="0"/>
                  <w:vAlign w:val="center"/>
                </w:tcPr>
                <w:p w14:paraId="54047819">
                  <w:pPr>
                    <w:widowControl/>
                    <w:jc w:val="center"/>
                    <w:rPr>
                      <w:rFonts w:hint="default" w:eastAsia="宋体"/>
                      <w:color w:val="auto"/>
                      <w:kern w:val="0"/>
                      <w:szCs w:val="21"/>
                      <w:lang w:val="en-US" w:eastAsia="zh-CN"/>
                    </w:rPr>
                  </w:pPr>
                  <w:r>
                    <w:rPr>
                      <w:rFonts w:hint="eastAsia"/>
                      <w:color w:val="auto"/>
                      <w:kern w:val="0"/>
                      <w:szCs w:val="21"/>
                      <w:lang w:val="en-US" w:eastAsia="zh-CN"/>
                    </w:rPr>
                    <w:t>市政供水</w:t>
                  </w:r>
                </w:p>
              </w:tc>
            </w:tr>
            <w:tr w14:paraId="1B7DAA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2" w:type="pct"/>
                  <w:shd w:val="clear" w:color="auto" w:fill="auto"/>
                  <w:noWrap w:val="0"/>
                  <w:vAlign w:val="center"/>
                </w:tcPr>
                <w:p w14:paraId="546CA082">
                  <w:pPr>
                    <w:widowControl/>
                    <w:jc w:val="center"/>
                    <w:rPr>
                      <w:rFonts w:hint="default" w:ascii="Times New Roman" w:hAnsi="Times New Roman" w:eastAsia="宋体" w:cs="Times New Roman"/>
                      <w:color w:val="auto"/>
                      <w:kern w:val="0"/>
                      <w:sz w:val="21"/>
                      <w:szCs w:val="21"/>
                      <w:u w:val="none"/>
                      <w:lang w:val="en-US" w:eastAsia="zh-CN" w:bidi="ar-SA"/>
                    </w:rPr>
                  </w:pPr>
                  <w:r>
                    <w:rPr>
                      <w:rFonts w:hint="eastAsia" w:cs="Times New Roman"/>
                      <w:color w:val="auto"/>
                      <w:kern w:val="0"/>
                      <w:sz w:val="21"/>
                      <w:szCs w:val="21"/>
                      <w:u w:val="none"/>
                      <w:lang w:val="en-US" w:eastAsia="zh-CN" w:bidi="ar-SA"/>
                    </w:rPr>
                    <w:t>10</w:t>
                  </w:r>
                </w:p>
              </w:tc>
              <w:tc>
                <w:tcPr>
                  <w:tcW w:w="690" w:type="pct"/>
                  <w:noWrap w:val="0"/>
                  <w:vAlign w:val="center"/>
                </w:tcPr>
                <w:p w14:paraId="57EA25BE">
                  <w:pPr>
                    <w:keepNext/>
                    <w:keepLines/>
                    <w:jc w:val="center"/>
                    <w:rPr>
                      <w:rFonts w:hint="eastAsia"/>
                      <w:color w:val="auto"/>
                      <w:szCs w:val="21"/>
                    </w:rPr>
                  </w:pPr>
                  <w:r>
                    <w:rPr>
                      <w:rFonts w:hint="eastAsia"/>
                      <w:color w:val="auto"/>
                      <w:szCs w:val="21"/>
                    </w:rPr>
                    <w:t>电</w:t>
                  </w:r>
                </w:p>
              </w:tc>
              <w:tc>
                <w:tcPr>
                  <w:tcW w:w="547" w:type="pct"/>
                  <w:noWrap w:val="0"/>
                  <w:vAlign w:val="center"/>
                </w:tcPr>
                <w:p w14:paraId="389F3B5A">
                  <w:pPr>
                    <w:widowControl/>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KW/小时</w:t>
                  </w:r>
                </w:p>
              </w:tc>
              <w:tc>
                <w:tcPr>
                  <w:tcW w:w="621" w:type="pct"/>
                  <w:noWrap w:val="0"/>
                  <w:vAlign w:val="center"/>
                </w:tcPr>
                <w:p w14:paraId="61EFCF0F">
                  <w:pPr>
                    <w:widowControl/>
                    <w:jc w:val="center"/>
                    <w:rPr>
                      <w:rFonts w:hint="default" w:eastAsia="宋体"/>
                      <w:color w:val="auto"/>
                      <w:kern w:val="0"/>
                      <w:szCs w:val="21"/>
                      <w:lang w:val="en-US" w:eastAsia="zh-CN"/>
                    </w:rPr>
                  </w:pPr>
                  <w:r>
                    <w:rPr>
                      <w:rFonts w:hint="eastAsia"/>
                      <w:color w:val="auto"/>
                      <w:kern w:val="0"/>
                      <w:szCs w:val="21"/>
                      <w:lang w:val="en-US" w:eastAsia="zh-CN"/>
                    </w:rPr>
                    <w:t>80000</w:t>
                  </w:r>
                </w:p>
              </w:tc>
              <w:tc>
                <w:tcPr>
                  <w:tcW w:w="733" w:type="pct"/>
                  <w:noWrap w:val="0"/>
                  <w:vAlign w:val="center"/>
                </w:tcPr>
                <w:p w14:paraId="7449026A">
                  <w:pPr>
                    <w:widowControl/>
                    <w:jc w:val="center"/>
                    <w:rPr>
                      <w:rFonts w:hint="default" w:eastAsia="宋体"/>
                      <w:color w:val="auto"/>
                      <w:kern w:val="0"/>
                      <w:szCs w:val="21"/>
                      <w:lang w:val="en-US" w:eastAsia="zh-CN"/>
                    </w:rPr>
                  </w:pPr>
                  <w:r>
                    <w:rPr>
                      <w:rFonts w:hint="eastAsia"/>
                      <w:color w:val="auto"/>
                      <w:kern w:val="0"/>
                      <w:szCs w:val="21"/>
                      <w:lang w:val="en-US" w:eastAsia="zh-CN"/>
                    </w:rPr>
                    <w:t>/</w:t>
                  </w:r>
                </w:p>
              </w:tc>
              <w:tc>
                <w:tcPr>
                  <w:tcW w:w="723" w:type="pct"/>
                  <w:noWrap w:val="0"/>
                  <w:vAlign w:val="center"/>
                </w:tcPr>
                <w:p w14:paraId="0FE60269">
                  <w:pPr>
                    <w:widowControl/>
                    <w:jc w:val="center"/>
                    <w:rPr>
                      <w:rFonts w:hint="default" w:eastAsia="宋体"/>
                      <w:color w:val="auto"/>
                      <w:kern w:val="0"/>
                      <w:szCs w:val="21"/>
                      <w:lang w:val="en-US" w:eastAsia="zh-CN"/>
                    </w:rPr>
                  </w:pPr>
                  <w:r>
                    <w:rPr>
                      <w:rFonts w:hint="eastAsia" w:cs="Times New Roman"/>
                      <w:color w:val="auto"/>
                      <w:kern w:val="0"/>
                      <w:sz w:val="21"/>
                      <w:szCs w:val="21"/>
                      <w:lang w:val="en-US" w:eastAsia="zh-CN" w:bidi="ar-SA"/>
                    </w:rPr>
                    <w:t>/</w:t>
                  </w:r>
                </w:p>
              </w:tc>
              <w:tc>
                <w:tcPr>
                  <w:tcW w:w="1400" w:type="pct"/>
                  <w:noWrap w:val="0"/>
                  <w:vAlign w:val="center"/>
                </w:tcPr>
                <w:p w14:paraId="2B645BE1">
                  <w:pPr>
                    <w:widowControl/>
                    <w:jc w:val="center"/>
                    <w:rPr>
                      <w:rFonts w:hint="default" w:eastAsia="宋体"/>
                      <w:color w:val="auto"/>
                      <w:kern w:val="0"/>
                      <w:szCs w:val="21"/>
                      <w:lang w:val="en-US" w:eastAsia="zh-CN"/>
                    </w:rPr>
                  </w:pPr>
                  <w:r>
                    <w:rPr>
                      <w:rFonts w:hint="eastAsia"/>
                      <w:color w:val="auto"/>
                      <w:kern w:val="0"/>
                      <w:szCs w:val="21"/>
                      <w:lang w:val="en-US" w:eastAsia="zh-CN"/>
                    </w:rPr>
                    <w:t>市政供电</w:t>
                  </w:r>
                </w:p>
              </w:tc>
            </w:tr>
          </w:tbl>
          <w:p w14:paraId="7A482EC4">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both"/>
              <w:textAlignment w:val="auto"/>
              <w:rPr>
                <w:rFonts w:hint="eastAsia" w:cs="Times New Roman"/>
                <w:color w:val="auto"/>
                <w:kern w:val="0"/>
                <w:sz w:val="24"/>
                <w:u w:val="none"/>
                <w:lang w:val="en-US" w:eastAsia="zh-CN"/>
              </w:rPr>
            </w:pPr>
            <w:bookmarkStart w:id="8" w:name="_Toc12436"/>
            <w:r>
              <w:rPr>
                <w:rFonts w:hint="eastAsia" w:ascii="Times New Roman" w:hAnsi="Times New Roman" w:eastAsia="宋体" w:cs="Times New Roman"/>
                <w:color w:val="auto"/>
                <w:kern w:val="0"/>
                <w:sz w:val="24"/>
                <w:u w:val="none"/>
                <w:lang w:eastAsia="zh-CN"/>
              </w:rPr>
              <w:t>生物质颗粒：外购符合</w:t>
            </w:r>
            <w:r>
              <w:rPr>
                <w:rFonts w:hint="eastAsia" w:ascii="Times New Roman" w:hAnsi="Times New Roman" w:eastAsia="宋体" w:cs="Times New Roman"/>
                <w:color w:val="auto"/>
                <w:kern w:val="0"/>
                <w:sz w:val="24"/>
                <w:u w:val="none"/>
                <w:lang w:val="en-US" w:eastAsia="zh-CN"/>
              </w:rPr>
              <w:t>《</w:t>
            </w:r>
            <w:r>
              <w:rPr>
                <w:rFonts w:hint="eastAsia" w:ascii="Times New Roman" w:hAnsi="Times New Roman" w:eastAsia="宋体" w:cs="Times New Roman"/>
                <w:color w:val="auto"/>
                <w:kern w:val="0"/>
                <w:sz w:val="24"/>
                <w:u w:val="none"/>
                <w:lang w:eastAsia="zh-CN"/>
              </w:rPr>
              <w:t>生物质固体成型燃料技术条件</w:t>
            </w:r>
            <w:r>
              <w:rPr>
                <w:rFonts w:hint="eastAsia" w:ascii="Times New Roman" w:hAnsi="Times New Roman" w:eastAsia="宋体" w:cs="Times New Roman"/>
                <w:color w:val="auto"/>
                <w:kern w:val="0"/>
                <w:sz w:val="24"/>
                <w:u w:val="none"/>
                <w:lang w:val="en-US" w:eastAsia="zh-CN"/>
              </w:rPr>
              <w:t>》（</w:t>
            </w:r>
            <w:r>
              <w:rPr>
                <w:rFonts w:hint="eastAsia" w:ascii="Times New Roman" w:hAnsi="Times New Roman" w:eastAsia="宋体" w:cs="Times New Roman"/>
                <w:color w:val="auto"/>
                <w:kern w:val="0"/>
                <w:sz w:val="24"/>
                <w:u w:val="none"/>
                <w:lang w:eastAsia="zh-CN"/>
              </w:rPr>
              <w:t>NY_T1878-2010</w:t>
            </w:r>
            <w:r>
              <w:rPr>
                <w:rFonts w:hint="eastAsia" w:ascii="Times New Roman" w:hAnsi="Times New Roman" w:eastAsia="宋体" w:cs="Times New Roman"/>
                <w:color w:val="auto"/>
                <w:kern w:val="0"/>
                <w:sz w:val="24"/>
                <w:u w:val="none"/>
                <w:lang w:val="en-US" w:eastAsia="zh-CN"/>
              </w:rPr>
              <w:t>）的</w:t>
            </w:r>
            <w:r>
              <w:rPr>
                <w:rFonts w:hint="eastAsia" w:cs="Times New Roman"/>
                <w:color w:val="auto"/>
                <w:kern w:val="0"/>
                <w:sz w:val="24"/>
                <w:u w:val="none"/>
                <w:lang w:val="en-US" w:eastAsia="zh-CN"/>
              </w:rPr>
              <w:t>生物质</w:t>
            </w:r>
            <w:r>
              <w:rPr>
                <w:rFonts w:hint="eastAsia" w:ascii="Times New Roman" w:hAnsi="Times New Roman" w:eastAsia="宋体" w:cs="Times New Roman"/>
                <w:color w:val="auto"/>
                <w:kern w:val="0"/>
                <w:sz w:val="24"/>
                <w:u w:val="none"/>
                <w:lang w:val="en-US" w:eastAsia="zh-CN"/>
              </w:rPr>
              <w:t>颗粒，其中含硫量不超</w:t>
            </w:r>
            <w:r>
              <w:rPr>
                <w:rFonts w:hint="eastAsia" w:cs="Times New Roman"/>
                <w:color w:val="auto"/>
                <w:kern w:val="0"/>
                <w:sz w:val="24"/>
                <w:u w:val="none"/>
                <w:lang w:val="en-US" w:eastAsia="zh-CN"/>
              </w:rPr>
              <w:t>过</w:t>
            </w:r>
            <w:r>
              <w:rPr>
                <w:rFonts w:hint="eastAsia" w:ascii="Times New Roman" w:hAnsi="Times New Roman" w:eastAsia="宋体" w:cs="Times New Roman"/>
                <w:color w:val="auto"/>
                <w:kern w:val="0"/>
                <w:sz w:val="24"/>
                <w:u w:val="none"/>
                <w:lang w:val="en-US" w:eastAsia="zh-CN"/>
              </w:rPr>
              <w:t>0.1%，</w:t>
            </w:r>
            <w:r>
              <w:rPr>
                <w:rFonts w:hint="eastAsia" w:cs="Times New Roman"/>
                <w:color w:val="auto"/>
                <w:kern w:val="0"/>
                <w:sz w:val="24"/>
                <w:u w:val="none"/>
                <w:lang w:val="en-US" w:eastAsia="zh-CN"/>
              </w:rPr>
              <w:t>灰分</w:t>
            </w:r>
            <w:r>
              <w:rPr>
                <w:rFonts w:hint="eastAsia" w:ascii="Times New Roman" w:hAnsi="Times New Roman" w:eastAsia="宋体" w:cs="Times New Roman"/>
                <w:color w:val="auto"/>
                <w:kern w:val="0"/>
                <w:sz w:val="24"/>
                <w:u w:val="none"/>
                <w:lang w:val="en-US" w:eastAsia="zh-CN"/>
              </w:rPr>
              <w:t>不超过12%</w:t>
            </w:r>
            <w:r>
              <w:rPr>
                <w:rFonts w:hint="eastAsia" w:cs="Times New Roman"/>
                <w:color w:val="auto"/>
                <w:kern w:val="0"/>
                <w:sz w:val="24"/>
                <w:u w:val="none"/>
                <w:lang w:val="en-US" w:eastAsia="zh-CN"/>
              </w:rPr>
              <w:t>。每批次采购时，要求供应商提供相应检测报告。</w:t>
            </w:r>
          </w:p>
          <w:p w14:paraId="5A8B96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highlight w:val="none"/>
                <w:u w:val="single" w:color="auto"/>
                <w:lang w:val="en-US" w:eastAsia="zh-CN"/>
              </w:rPr>
            </w:pPr>
            <w:r>
              <w:rPr>
                <w:rFonts w:hint="eastAsia" w:ascii="Times New Roman" w:hAnsi="Times New Roman" w:eastAsia="宋体" w:cs="Times New Roman"/>
                <w:color w:val="auto"/>
                <w:kern w:val="0"/>
                <w:sz w:val="24"/>
                <w:highlight w:val="none"/>
                <w:u w:val="single" w:color="auto"/>
                <w:lang w:eastAsia="zh-CN"/>
              </w:rPr>
              <w:t>生物质</w:t>
            </w:r>
            <w:r>
              <w:rPr>
                <w:rFonts w:hint="eastAsia" w:cs="Times New Roman"/>
                <w:color w:val="auto"/>
                <w:kern w:val="0"/>
                <w:sz w:val="24"/>
                <w:highlight w:val="none"/>
                <w:u w:val="single" w:color="auto"/>
                <w:lang w:val="en-US" w:eastAsia="zh-CN"/>
              </w:rPr>
              <w:t>用量核算：</w:t>
            </w:r>
          </w:p>
          <w:p w14:paraId="2F64BD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highlight w:val="none"/>
                <w:u w:val="single" w:color="auto"/>
                <w:lang w:val="en-US" w:eastAsia="zh-CN"/>
              </w:rPr>
            </w:pPr>
            <w:r>
              <w:rPr>
                <w:rFonts w:hint="eastAsia" w:ascii="Times New Roman" w:hAnsi="Times New Roman" w:eastAsia="宋体" w:cs="Times New Roman"/>
                <w:color w:val="auto"/>
                <w:sz w:val="24"/>
                <w:szCs w:val="21"/>
                <w:highlight w:val="none"/>
                <w:u w:val="single" w:color="auto"/>
                <w:lang w:val="en-US" w:eastAsia="zh-CN"/>
              </w:rPr>
              <w:t>蒸汽发生器主要供中药材杀青用，热风炉供中药材烘干用。本项目山银花需杀青后再进行烘干，</w:t>
            </w:r>
            <w:r>
              <w:rPr>
                <w:rFonts w:hint="default" w:ascii="Times New Roman" w:hAnsi="Times New Roman" w:cs="Times New Roman"/>
                <w:color w:val="auto"/>
                <w:sz w:val="24"/>
                <w:szCs w:val="21"/>
                <w:highlight w:val="none"/>
                <w:u w:val="single" w:color="auto"/>
                <w:lang w:val="en-US" w:eastAsia="zh-CN"/>
              </w:rPr>
              <w:t>玉竹、</w:t>
            </w:r>
            <w:r>
              <w:rPr>
                <w:rFonts w:hint="eastAsia" w:cs="Times New Roman"/>
                <w:color w:val="auto"/>
                <w:sz w:val="24"/>
                <w:szCs w:val="21"/>
                <w:highlight w:val="none"/>
                <w:u w:val="single" w:color="auto"/>
                <w:lang w:val="en-US" w:eastAsia="zh-CN"/>
              </w:rPr>
              <w:t>黄精、白术、</w:t>
            </w:r>
            <w:r>
              <w:rPr>
                <w:rFonts w:hint="eastAsia" w:ascii="Times New Roman" w:hAnsi="Times New Roman" w:eastAsia="宋体" w:cs="Times New Roman"/>
                <w:color w:val="auto"/>
                <w:sz w:val="24"/>
                <w:szCs w:val="21"/>
                <w:highlight w:val="none"/>
                <w:u w:val="single" w:color="auto"/>
                <w:lang w:val="en-US" w:eastAsia="zh-CN"/>
              </w:rPr>
              <w:t>黄柏直接进行烘干。</w:t>
            </w:r>
          </w:p>
          <w:p w14:paraId="5B674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highlight w:val="none"/>
                <w:u w:val="single" w:color="auto"/>
                <w:lang w:val="en-US" w:eastAsia="zh-CN"/>
              </w:rPr>
            </w:pPr>
            <w:r>
              <w:rPr>
                <w:rFonts w:hint="eastAsia" w:cs="Times New Roman"/>
                <w:color w:val="auto"/>
                <w:kern w:val="0"/>
                <w:sz w:val="24"/>
                <w:highlight w:val="none"/>
                <w:u w:val="single" w:color="auto"/>
                <w:lang w:val="en-US" w:eastAsia="zh-CN"/>
              </w:rPr>
              <w:t>（1）蒸汽发生器生物质用量</w:t>
            </w:r>
          </w:p>
          <w:p w14:paraId="2DE3F7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highlight w:val="yellow"/>
                <w:u w:val="single" w:color="auto"/>
                <w:lang w:val="en-US" w:eastAsia="zh-CN"/>
              </w:rPr>
            </w:pPr>
            <w:r>
              <w:rPr>
                <w:rFonts w:hint="eastAsia" w:ascii="Times New Roman" w:hAnsi="Times New Roman" w:eastAsia="宋体" w:cs="Times New Roman"/>
                <w:color w:val="auto"/>
                <w:sz w:val="24"/>
                <w:szCs w:val="21"/>
                <w:highlight w:val="none"/>
                <w:u w:val="single" w:color="auto"/>
                <w:lang w:val="en-US" w:eastAsia="zh-CN"/>
              </w:rPr>
              <w:t>山银花需杀青</w:t>
            </w:r>
            <w:r>
              <w:rPr>
                <w:rFonts w:hint="eastAsia" w:cs="Times New Roman"/>
                <w:color w:val="auto"/>
                <w:sz w:val="24"/>
                <w:szCs w:val="21"/>
                <w:highlight w:val="none"/>
                <w:u w:val="single" w:color="auto"/>
                <w:lang w:val="en-US" w:eastAsia="zh-CN"/>
              </w:rPr>
              <w:t>至五成干需蒸发990t</w:t>
            </w:r>
            <w:r>
              <w:rPr>
                <w:rFonts w:hint="eastAsia" w:cs="Times New Roman"/>
                <w:color w:val="auto"/>
                <w:kern w:val="0"/>
                <w:sz w:val="24"/>
                <w:highlight w:val="none"/>
                <w:u w:val="single" w:color="auto"/>
                <w:lang w:val="en-US" w:eastAsia="zh-CN"/>
              </w:rPr>
              <w:t>水分，外加清洗后带入水分4.5吨，共需蒸发994.5t水分。考虑损耗，蒸发1kg水约需要1.4kg蒸汽，则需要提供约1392.3t蒸汽，本项目生物质蒸汽发生器年运行1440小时能提供3600t蒸汽，能满足烘干需求；按生物质颗粒热值4060大卡/公斤计，生物质蒸汽发生器热效率均75%，则1吨蒸汽约需要203.6公斤生物质颗粒，蒸发994.5水分约需要生物质颗粒约为283.47吨/年。</w:t>
            </w:r>
          </w:p>
          <w:p w14:paraId="28C59D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cs="Times New Roman"/>
                <w:color w:val="auto"/>
                <w:kern w:val="0"/>
                <w:sz w:val="24"/>
                <w:highlight w:val="none"/>
                <w:u w:val="single" w:color="auto"/>
                <w:lang w:val="en-US" w:eastAsia="zh-CN"/>
              </w:rPr>
            </w:pPr>
            <w:r>
              <w:rPr>
                <w:rFonts w:hint="eastAsia" w:cs="Times New Roman"/>
                <w:color w:val="auto"/>
                <w:kern w:val="0"/>
                <w:sz w:val="24"/>
                <w:highlight w:val="none"/>
                <w:u w:val="single" w:color="auto"/>
                <w:lang w:val="en-US" w:eastAsia="zh-CN"/>
              </w:rPr>
              <w:t>（2）热风炉生物质用量</w:t>
            </w:r>
          </w:p>
          <w:p w14:paraId="313EF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 w:val="24"/>
                <w:highlight w:val="yellow"/>
                <w:u w:val="single" w:color="auto"/>
                <w:lang w:val="en-US" w:eastAsia="zh-CN"/>
              </w:rPr>
            </w:pPr>
            <w:r>
              <w:rPr>
                <w:rFonts w:hint="default" w:ascii="Times New Roman" w:hAnsi="Times New Roman" w:eastAsia="宋体" w:cs="Times New Roman"/>
                <w:color w:val="auto"/>
                <w:sz w:val="24"/>
                <w:szCs w:val="21"/>
                <w:highlight w:val="none"/>
                <w:u w:val="single" w:color="auto"/>
                <w:lang w:val="en-US" w:eastAsia="zh-CN"/>
              </w:rPr>
              <w:t>杀青</w:t>
            </w:r>
            <w:r>
              <w:rPr>
                <w:rFonts w:hint="default" w:ascii="Times New Roman" w:hAnsi="Times New Roman" w:cs="Times New Roman"/>
                <w:color w:val="auto"/>
                <w:sz w:val="24"/>
                <w:szCs w:val="21"/>
                <w:highlight w:val="none"/>
                <w:u w:val="single" w:color="auto"/>
                <w:lang w:val="en-US" w:eastAsia="zh-CN"/>
              </w:rPr>
              <w:t>至五成干</w:t>
            </w:r>
            <w:r>
              <w:rPr>
                <w:rFonts w:hint="default" w:ascii="Times New Roman" w:hAnsi="Times New Roman" w:eastAsia="宋体" w:cs="Times New Roman"/>
                <w:color w:val="auto"/>
                <w:sz w:val="24"/>
                <w:szCs w:val="21"/>
                <w:highlight w:val="none"/>
                <w:u w:val="single" w:color="auto"/>
                <w:lang w:val="en-US" w:eastAsia="zh-CN"/>
              </w:rPr>
              <w:t>山银花</w:t>
            </w:r>
            <w:r>
              <w:rPr>
                <w:rFonts w:hint="default" w:ascii="Times New Roman" w:hAnsi="Times New Roman" w:cs="Times New Roman"/>
                <w:color w:val="auto"/>
                <w:kern w:val="0"/>
                <w:sz w:val="24"/>
                <w:highlight w:val="none"/>
                <w:u w:val="single" w:color="auto"/>
                <w:lang w:val="en-US" w:eastAsia="zh-CN"/>
              </w:rPr>
              <w:t>到干成品</w:t>
            </w:r>
            <w:r>
              <w:rPr>
                <w:rFonts w:hint="default" w:ascii="Times New Roman" w:hAnsi="Times New Roman" w:cs="Times New Roman"/>
                <w:color w:val="auto"/>
                <w:sz w:val="24"/>
                <w:szCs w:val="21"/>
                <w:highlight w:val="none"/>
                <w:u w:val="single" w:color="auto"/>
                <w:lang w:val="en-US" w:eastAsia="zh-CN"/>
              </w:rPr>
              <w:t>及玉竹、</w:t>
            </w:r>
            <w:r>
              <w:rPr>
                <w:rFonts w:hint="eastAsia" w:cs="Times New Roman"/>
                <w:color w:val="auto"/>
                <w:sz w:val="24"/>
                <w:szCs w:val="21"/>
                <w:highlight w:val="none"/>
                <w:u w:val="single" w:color="auto"/>
                <w:lang w:val="en-US" w:eastAsia="zh-CN"/>
              </w:rPr>
              <w:t>黄精、白术、</w:t>
            </w:r>
            <w:r>
              <w:rPr>
                <w:rFonts w:hint="eastAsia" w:ascii="Times New Roman" w:hAnsi="Times New Roman" w:eastAsia="宋体" w:cs="Times New Roman"/>
                <w:color w:val="auto"/>
                <w:sz w:val="24"/>
                <w:szCs w:val="21"/>
                <w:highlight w:val="none"/>
                <w:u w:val="single" w:color="auto"/>
                <w:lang w:val="en-US" w:eastAsia="zh-CN"/>
              </w:rPr>
              <w:t>黄柏</w:t>
            </w:r>
            <w:r>
              <w:rPr>
                <w:rFonts w:hint="default" w:ascii="Times New Roman" w:hAnsi="Times New Roman" w:cs="Times New Roman"/>
                <w:color w:val="auto"/>
                <w:kern w:val="0"/>
                <w:sz w:val="24"/>
                <w:highlight w:val="none"/>
                <w:u w:val="single" w:color="auto"/>
                <w:lang w:val="en-US" w:eastAsia="zh-CN"/>
              </w:rPr>
              <w:t>原辅材料由新鲜到干成品，需蒸发</w:t>
            </w:r>
            <w:r>
              <w:rPr>
                <w:rFonts w:hint="eastAsia" w:cs="Times New Roman"/>
                <w:color w:val="auto"/>
                <w:kern w:val="0"/>
                <w:sz w:val="24"/>
                <w:highlight w:val="none"/>
                <w:u w:val="single" w:color="auto"/>
                <w:lang w:val="en-US" w:eastAsia="zh-CN"/>
              </w:rPr>
              <w:t>2210</w:t>
            </w:r>
            <w:r>
              <w:rPr>
                <w:rFonts w:hint="default" w:ascii="Times New Roman" w:hAnsi="Times New Roman" w:cs="Times New Roman"/>
                <w:color w:val="auto"/>
                <w:kern w:val="0"/>
                <w:sz w:val="24"/>
                <w:highlight w:val="none"/>
                <w:u w:val="single" w:color="auto"/>
                <w:lang w:val="en-US" w:eastAsia="zh-CN"/>
              </w:rPr>
              <w:t>吨水分，外加清洗后带入水分</w:t>
            </w:r>
            <w:r>
              <w:rPr>
                <w:rFonts w:hint="eastAsia" w:cs="Times New Roman"/>
                <w:color w:val="auto"/>
                <w:kern w:val="0"/>
                <w:sz w:val="24"/>
                <w:highlight w:val="none"/>
                <w:u w:val="single" w:color="auto"/>
                <w:lang w:val="en-US" w:eastAsia="zh-CN"/>
              </w:rPr>
              <w:t>7.5</w:t>
            </w:r>
            <w:r>
              <w:rPr>
                <w:rFonts w:hint="default" w:ascii="Times New Roman" w:hAnsi="Times New Roman" w:cs="Times New Roman"/>
                <w:color w:val="auto"/>
                <w:kern w:val="0"/>
                <w:sz w:val="24"/>
                <w:highlight w:val="none"/>
                <w:u w:val="single" w:color="auto"/>
                <w:lang w:val="en-US" w:eastAsia="zh-CN"/>
              </w:rPr>
              <w:t>吨，共需蒸发</w:t>
            </w:r>
            <w:r>
              <w:rPr>
                <w:rFonts w:hint="eastAsia" w:cs="Times New Roman"/>
                <w:color w:val="auto"/>
                <w:kern w:val="0"/>
                <w:sz w:val="24"/>
                <w:highlight w:val="none"/>
                <w:u w:val="single" w:color="auto"/>
                <w:lang w:val="en-US" w:eastAsia="zh-CN"/>
              </w:rPr>
              <w:t>2217.5</w:t>
            </w:r>
            <w:r>
              <w:rPr>
                <w:rFonts w:hint="default" w:ascii="Times New Roman" w:hAnsi="Times New Roman" w:cs="Times New Roman"/>
                <w:color w:val="auto"/>
                <w:kern w:val="0"/>
                <w:sz w:val="24"/>
                <w:highlight w:val="none"/>
                <w:u w:val="single" w:color="auto"/>
                <w:lang w:val="en-US" w:eastAsia="zh-CN"/>
              </w:rPr>
              <w:t>t水分。蒸发1kg水所需理论热量约2600kJ/kg（621大卡/公斤），按生物质颗粒热值40</w:t>
            </w:r>
            <w:r>
              <w:rPr>
                <w:rFonts w:hint="eastAsia" w:ascii="Times New Roman" w:hAnsi="Times New Roman" w:cs="Times New Roman"/>
                <w:color w:val="auto"/>
                <w:kern w:val="0"/>
                <w:sz w:val="24"/>
                <w:highlight w:val="none"/>
                <w:u w:val="single" w:color="auto"/>
                <w:lang w:val="en-US" w:eastAsia="zh-CN"/>
              </w:rPr>
              <w:t>6</w:t>
            </w:r>
            <w:r>
              <w:rPr>
                <w:rFonts w:hint="default" w:ascii="Times New Roman" w:hAnsi="Times New Roman" w:cs="Times New Roman"/>
                <w:color w:val="auto"/>
                <w:kern w:val="0"/>
                <w:sz w:val="24"/>
                <w:highlight w:val="none"/>
                <w:u w:val="single" w:color="auto"/>
                <w:lang w:val="en-US" w:eastAsia="zh-CN"/>
              </w:rPr>
              <w:t>0大卡/公斤计，热风炉热效率</w:t>
            </w:r>
            <w:r>
              <w:rPr>
                <w:rFonts w:hint="eastAsia" w:ascii="Times New Roman" w:hAnsi="Times New Roman" w:cs="Times New Roman"/>
                <w:color w:val="auto"/>
                <w:kern w:val="0"/>
                <w:sz w:val="24"/>
                <w:highlight w:val="none"/>
                <w:u w:val="single" w:color="auto"/>
                <w:lang w:val="en-US" w:eastAsia="zh-CN"/>
              </w:rPr>
              <w:t>约</w:t>
            </w:r>
            <w:r>
              <w:rPr>
                <w:rFonts w:hint="default" w:ascii="Times New Roman" w:hAnsi="Times New Roman" w:cs="Times New Roman"/>
                <w:color w:val="auto"/>
                <w:kern w:val="0"/>
                <w:sz w:val="24"/>
                <w:highlight w:val="none"/>
                <w:u w:val="single" w:color="auto"/>
                <w:lang w:val="en-US" w:eastAsia="zh-CN"/>
              </w:rPr>
              <w:t>75%，则蒸发</w:t>
            </w:r>
            <w:r>
              <w:rPr>
                <w:rFonts w:hint="eastAsia" w:cs="Times New Roman"/>
                <w:color w:val="auto"/>
                <w:kern w:val="0"/>
                <w:sz w:val="24"/>
                <w:highlight w:val="none"/>
                <w:u w:val="single" w:color="auto"/>
                <w:lang w:val="en-US" w:eastAsia="zh-CN"/>
              </w:rPr>
              <w:t>2217.5</w:t>
            </w:r>
            <w:r>
              <w:rPr>
                <w:rFonts w:hint="default" w:ascii="Times New Roman" w:hAnsi="Times New Roman" w:cs="Times New Roman"/>
                <w:color w:val="auto"/>
                <w:kern w:val="0"/>
                <w:sz w:val="24"/>
                <w:highlight w:val="none"/>
                <w:u w:val="single" w:color="auto"/>
                <w:lang w:val="en-US" w:eastAsia="zh-CN"/>
              </w:rPr>
              <w:t>水分约需要生物质颗粒约为</w:t>
            </w:r>
            <w:r>
              <w:rPr>
                <w:rFonts w:hint="eastAsia" w:cs="Times New Roman"/>
                <w:color w:val="auto"/>
                <w:kern w:val="0"/>
                <w:sz w:val="24"/>
                <w:highlight w:val="none"/>
                <w:u w:val="single" w:color="auto"/>
                <w:lang w:val="en-US" w:eastAsia="zh-CN"/>
              </w:rPr>
              <w:t>452.55</w:t>
            </w:r>
            <w:r>
              <w:rPr>
                <w:rFonts w:hint="default" w:ascii="Times New Roman" w:hAnsi="Times New Roman" w:cs="Times New Roman"/>
                <w:color w:val="auto"/>
                <w:kern w:val="0"/>
                <w:sz w:val="24"/>
                <w:highlight w:val="none"/>
                <w:u w:val="single" w:color="auto"/>
                <w:lang w:val="en-US" w:eastAsia="zh-CN"/>
              </w:rPr>
              <w:t>吨/年。</w:t>
            </w:r>
          </w:p>
          <w:p w14:paraId="4FE2B397">
            <w:pPr>
              <w:pStyle w:val="13"/>
              <w:rPr>
                <w:rFonts w:hint="default"/>
                <w:color w:val="auto"/>
                <w:highlight w:val="none"/>
                <w:lang w:val="en-US" w:eastAsia="zh-CN"/>
              </w:rPr>
            </w:pPr>
            <w:r>
              <w:rPr>
                <w:rFonts w:hint="eastAsia" w:cs="Times New Roman"/>
                <w:color w:val="auto"/>
                <w:kern w:val="0"/>
                <w:sz w:val="24"/>
                <w:highlight w:val="none"/>
                <w:u w:val="single" w:color="auto"/>
                <w:lang w:val="en-US" w:eastAsia="zh-CN"/>
              </w:rPr>
              <w:t>本项目运营期热值平衡见下表：</w:t>
            </w:r>
          </w:p>
          <w:p w14:paraId="63124B13">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表</w:t>
            </w:r>
            <w:r>
              <w:rPr>
                <w:rFonts w:hint="eastAsia" w:ascii="Times New Roman" w:hAnsi="Times New Roman" w:eastAsia="宋体" w:cs="Times New Roman"/>
                <w:color w:val="auto"/>
                <w:sz w:val="24"/>
                <w:szCs w:val="24"/>
                <w:highlight w:val="none"/>
                <w:u w:val="single"/>
                <w:lang w:val="en-US" w:eastAsia="zh-CN"/>
              </w:rPr>
              <w:t>2-</w:t>
            </w:r>
            <w:r>
              <w:rPr>
                <w:rFonts w:hint="eastAsia" w:cs="Times New Roman"/>
                <w:color w:val="auto"/>
                <w:sz w:val="24"/>
                <w:szCs w:val="24"/>
                <w:highlight w:val="none"/>
                <w:u w:val="single"/>
                <w:lang w:val="en-US" w:eastAsia="zh-CN"/>
              </w:rPr>
              <w:t>10</w:t>
            </w:r>
            <w:r>
              <w:rPr>
                <w:rFonts w:hint="eastAsia"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lang w:val="en-US" w:eastAsia="zh-CN"/>
              </w:rPr>
              <w:t>项目</w:t>
            </w:r>
            <w:r>
              <w:rPr>
                <w:rFonts w:hint="eastAsia" w:ascii="Times New Roman" w:hAnsi="Times New Roman" w:eastAsia="宋体" w:cs="Times New Roman"/>
                <w:color w:val="auto"/>
                <w:sz w:val="24"/>
                <w:szCs w:val="24"/>
                <w:highlight w:val="none"/>
                <w:u w:val="single"/>
                <w:lang w:val="en-US" w:eastAsia="zh-CN"/>
              </w:rPr>
              <w:t>热值</w:t>
            </w:r>
            <w:r>
              <w:rPr>
                <w:rFonts w:hint="default" w:ascii="Times New Roman" w:hAnsi="Times New Roman" w:eastAsia="宋体" w:cs="Times New Roman"/>
                <w:color w:val="auto"/>
                <w:sz w:val="24"/>
                <w:szCs w:val="24"/>
                <w:highlight w:val="none"/>
                <w:u w:val="single"/>
                <w:lang w:val="en-US" w:eastAsia="zh-CN"/>
              </w:rPr>
              <w:t>平衡一览表</w:t>
            </w:r>
          </w:p>
          <w:tbl>
            <w:tblPr>
              <w:tblStyle w:val="12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581"/>
              <w:gridCol w:w="1254"/>
              <w:gridCol w:w="2264"/>
              <w:gridCol w:w="1282"/>
            </w:tblGrid>
            <w:tr w14:paraId="3C6D95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97" w:type="pct"/>
                  <w:gridSpan w:val="2"/>
                  <w:tcBorders>
                    <w:tl2br w:val="nil"/>
                    <w:tr2bl w:val="nil"/>
                  </w:tcBorders>
                  <w:vAlign w:val="center"/>
                </w:tcPr>
                <w:p w14:paraId="356B2E05">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2"/>
                      <w:sz w:val="21"/>
                      <w:szCs w:val="21"/>
                      <w:highlight w:val="none"/>
                      <w:u w:val="single"/>
                    </w:rPr>
                    <w:t>投入</w:t>
                  </w:r>
                </w:p>
              </w:tc>
              <w:tc>
                <w:tcPr>
                  <w:tcW w:w="2402" w:type="pct"/>
                  <w:gridSpan w:val="2"/>
                  <w:tcBorders>
                    <w:tl2br w:val="nil"/>
                    <w:tr2bl w:val="nil"/>
                  </w:tcBorders>
                  <w:vAlign w:val="center"/>
                </w:tcPr>
                <w:p w14:paraId="27E4ABF7">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3"/>
                      <w:sz w:val="21"/>
                      <w:szCs w:val="21"/>
                      <w:highlight w:val="none"/>
                      <w:u w:val="single"/>
                    </w:rPr>
                    <w:t>产出</w:t>
                  </w:r>
                </w:p>
              </w:tc>
            </w:tr>
            <w:tr w14:paraId="08258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48" w:type="pct"/>
                  <w:tcBorders>
                    <w:tl2br w:val="nil"/>
                    <w:tr2bl w:val="nil"/>
                  </w:tcBorders>
                  <w:vAlign w:val="center"/>
                </w:tcPr>
                <w:p w14:paraId="7F9D2697">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6"/>
                      <w:sz w:val="21"/>
                      <w:szCs w:val="21"/>
                      <w:highlight w:val="none"/>
                      <w:u w:val="single"/>
                    </w:rPr>
                    <w:t>物料名称</w:t>
                  </w:r>
                </w:p>
              </w:tc>
              <w:tc>
                <w:tcPr>
                  <w:tcW w:w="849" w:type="pct"/>
                  <w:tcBorders>
                    <w:tl2br w:val="nil"/>
                    <w:tr2bl w:val="nil"/>
                  </w:tcBorders>
                  <w:vAlign w:val="center"/>
                </w:tcPr>
                <w:p w14:paraId="4AA5531F">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3"/>
                      <w:position w:val="2"/>
                      <w:sz w:val="21"/>
                      <w:szCs w:val="21"/>
                      <w:highlight w:val="none"/>
                      <w:u w:val="single"/>
                    </w:rPr>
                  </w:pPr>
                  <w:r>
                    <w:rPr>
                      <w:rFonts w:hint="default" w:ascii="Times New Roman" w:hAnsi="Times New Roman" w:eastAsia="宋体" w:cs="Times New Roman"/>
                      <w:b/>
                      <w:bCs/>
                      <w:color w:val="auto"/>
                      <w:spacing w:val="3"/>
                      <w:position w:val="2"/>
                      <w:sz w:val="21"/>
                      <w:szCs w:val="21"/>
                      <w:highlight w:val="none"/>
                      <w:u w:val="single"/>
                    </w:rPr>
                    <w:t>投入量</w:t>
                  </w:r>
                </w:p>
                <w:p w14:paraId="22CBD52D">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3"/>
                      <w:position w:val="2"/>
                      <w:sz w:val="21"/>
                      <w:szCs w:val="21"/>
                      <w:highlight w:val="none"/>
                      <w:u w:val="single"/>
                    </w:rPr>
                    <w:t>（</w:t>
                  </w:r>
                  <w:r>
                    <w:rPr>
                      <w:rFonts w:hint="eastAsia" w:ascii="Times New Roman" w:hAnsi="Times New Roman" w:eastAsia="宋体" w:cs="Times New Roman"/>
                      <w:b/>
                      <w:bCs/>
                      <w:color w:val="auto"/>
                      <w:spacing w:val="3"/>
                      <w:position w:val="2"/>
                      <w:sz w:val="21"/>
                      <w:szCs w:val="21"/>
                      <w:highlight w:val="none"/>
                      <w:u w:val="single"/>
                      <w:lang w:val="en-US" w:eastAsia="zh-CN"/>
                    </w:rPr>
                    <w:t>万大卡</w:t>
                  </w:r>
                  <w:r>
                    <w:rPr>
                      <w:rFonts w:hint="default" w:ascii="Times New Roman" w:hAnsi="Times New Roman" w:eastAsia="宋体" w:cs="Times New Roman"/>
                      <w:b/>
                      <w:bCs/>
                      <w:color w:val="auto"/>
                      <w:spacing w:val="3"/>
                      <w:position w:val="2"/>
                      <w:sz w:val="21"/>
                      <w:szCs w:val="21"/>
                      <w:highlight w:val="none"/>
                      <w:u w:val="single"/>
                    </w:rPr>
                    <w:t>）</w:t>
                  </w:r>
                </w:p>
              </w:tc>
              <w:tc>
                <w:tcPr>
                  <w:tcW w:w="1533" w:type="pct"/>
                  <w:tcBorders>
                    <w:tl2br w:val="nil"/>
                    <w:tr2bl w:val="nil"/>
                  </w:tcBorders>
                  <w:vAlign w:val="center"/>
                </w:tcPr>
                <w:p w14:paraId="2A56AA8E">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6"/>
                      <w:sz w:val="21"/>
                      <w:szCs w:val="21"/>
                      <w:highlight w:val="none"/>
                      <w:u w:val="single"/>
                    </w:rPr>
                    <w:t>物料名称</w:t>
                  </w:r>
                </w:p>
              </w:tc>
              <w:tc>
                <w:tcPr>
                  <w:tcW w:w="868" w:type="pct"/>
                  <w:tcBorders>
                    <w:tl2br w:val="nil"/>
                    <w:tr2bl w:val="nil"/>
                  </w:tcBorders>
                  <w:vAlign w:val="center"/>
                </w:tcPr>
                <w:p w14:paraId="41D35D0A">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4"/>
                      <w:position w:val="2"/>
                      <w:sz w:val="21"/>
                      <w:szCs w:val="21"/>
                      <w:highlight w:val="none"/>
                      <w:u w:val="single"/>
                    </w:rPr>
                  </w:pPr>
                  <w:r>
                    <w:rPr>
                      <w:rFonts w:hint="default" w:ascii="Times New Roman" w:hAnsi="Times New Roman" w:eastAsia="宋体" w:cs="Times New Roman"/>
                      <w:b/>
                      <w:bCs/>
                      <w:color w:val="auto"/>
                      <w:spacing w:val="4"/>
                      <w:position w:val="2"/>
                      <w:sz w:val="21"/>
                      <w:szCs w:val="21"/>
                      <w:highlight w:val="none"/>
                      <w:u w:val="single"/>
                    </w:rPr>
                    <w:t>产生量</w:t>
                  </w:r>
                </w:p>
                <w:p w14:paraId="7BCA2786">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4"/>
                      <w:position w:val="2"/>
                      <w:sz w:val="21"/>
                      <w:szCs w:val="21"/>
                      <w:highlight w:val="none"/>
                      <w:u w:val="single"/>
                    </w:rPr>
                    <w:t>（</w:t>
                  </w:r>
                  <w:r>
                    <w:rPr>
                      <w:rFonts w:hint="eastAsia" w:ascii="Times New Roman" w:hAnsi="Times New Roman" w:eastAsia="宋体" w:cs="Times New Roman"/>
                      <w:b/>
                      <w:bCs/>
                      <w:color w:val="auto"/>
                      <w:spacing w:val="3"/>
                      <w:position w:val="2"/>
                      <w:sz w:val="21"/>
                      <w:szCs w:val="21"/>
                      <w:highlight w:val="none"/>
                      <w:u w:val="single"/>
                      <w:lang w:val="en-US" w:eastAsia="zh-CN"/>
                    </w:rPr>
                    <w:t>万大卡</w:t>
                  </w:r>
                  <w:r>
                    <w:rPr>
                      <w:rFonts w:hint="default" w:ascii="Times New Roman" w:hAnsi="Times New Roman" w:eastAsia="宋体" w:cs="Times New Roman"/>
                      <w:b/>
                      <w:bCs/>
                      <w:color w:val="auto"/>
                      <w:spacing w:val="4"/>
                      <w:position w:val="2"/>
                      <w:sz w:val="21"/>
                      <w:szCs w:val="21"/>
                      <w:highlight w:val="none"/>
                      <w:u w:val="single"/>
                    </w:rPr>
                    <w:t>）</w:t>
                  </w:r>
                </w:p>
              </w:tc>
            </w:tr>
            <w:tr w14:paraId="409BD5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48" w:type="pct"/>
                  <w:tcBorders>
                    <w:tl2br w:val="nil"/>
                    <w:tr2bl w:val="nil"/>
                  </w:tcBorders>
                  <w:shd w:val="clear" w:color="auto" w:fill="auto"/>
                  <w:vAlign w:val="center"/>
                </w:tcPr>
                <w:p w14:paraId="4DA917F1">
                  <w:pPr>
                    <w:keepNext/>
                    <w:keepLines/>
                    <w:jc w:val="center"/>
                    <w:rPr>
                      <w:rFonts w:hint="default" w:ascii="Times New Roman" w:hAnsi="Times New Roman" w:eastAsia="宋体" w:cs="Times New Roman"/>
                      <w:color w:val="auto"/>
                      <w:kern w:val="0"/>
                      <w:sz w:val="21"/>
                      <w:szCs w:val="21"/>
                      <w:highlight w:val="none"/>
                      <w:u w:val="single"/>
                      <w:lang w:val="en-US" w:eastAsia="zh-CN" w:bidi="ar-SA"/>
                    </w:rPr>
                  </w:pPr>
                  <w:r>
                    <w:rPr>
                      <w:rFonts w:hint="eastAsia"/>
                      <w:color w:val="auto"/>
                      <w:szCs w:val="21"/>
                      <w:highlight w:val="none"/>
                      <w:u w:val="single"/>
                      <w:lang w:val="en-US" w:eastAsia="zh-CN"/>
                    </w:rPr>
                    <w:t>蒸汽发生器燃烧生物质热量</w:t>
                  </w:r>
                </w:p>
              </w:tc>
              <w:tc>
                <w:tcPr>
                  <w:tcW w:w="849" w:type="pct"/>
                  <w:tcBorders>
                    <w:tl2br w:val="nil"/>
                    <w:tr2bl w:val="nil"/>
                  </w:tcBorders>
                  <w:vAlign w:val="center"/>
                </w:tcPr>
                <w:p w14:paraId="53C2B765">
                  <w:pPr>
                    <w:widowControl/>
                    <w:jc w:val="center"/>
                    <w:rPr>
                      <w:rFonts w:hint="default" w:ascii="Times New Roman" w:hAnsi="Times New Roman" w:eastAsia="宋体" w:cs="Times New Roman"/>
                      <w:color w:val="FF0000"/>
                      <w:sz w:val="21"/>
                      <w:szCs w:val="21"/>
                      <w:highlight w:val="none"/>
                      <w:u w:val="single"/>
                      <w:lang w:val="en-US" w:eastAsia="zh-CN"/>
                    </w:rPr>
                  </w:pPr>
                  <w:r>
                    <w:rPr>
                      <w:rFonts w:hint="eastAsia" w:cs="Times New Roman"/>
                      <w:color w:val="FF0000"/>
                      <w:sz w:val="21"/>
                      <w:szCs w:val="21"/>
                      <w:highlight w:val="none"/>
                      <w:u w:val="single"/>
                      <w:lang w:val="en-US" w:eastAsia="zh-CN"/>
                    </w:rPr>
                    <w:t>115088.82</w:t>
                  </w:r>
                </w:p>
              </w:tc>
              <w:tc>
                <w:tcPr>
                  <w:tcW w:w="1533" w:type="pct"/>
                  <w:tcBorders>
                    <w:tl2br w:val="nil"/>
                    <w:tr2bl w:val="nil"/>
                  </w:tcBorders>
                  <w:shd w:val="clear" w:color="auto" w:fill="auto"/>
                  <w:vAlign w:val="center"/>
                </w:tcPr>
                <w:p w14:paraId="579953D9">
                  <w:pPr>
                    <w:keepNext/>
                    <w:keepLines/>
                    <w:jc w:val="center"/>
                    <w:rPr>
                      <w:rFonts w:hint="default"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val="en-US" w:eastAsia="zh-CN"/>
                    </w:rPr>
                    <w:t>杀青蒸发水量所需热量</w:t>
                  </w:r>
                </w:p>
              </w:tc>
              <w:tc>
                <w:tcPr>
                  <w:tcW w:w="868" w:type="pct"/>
                  <w:tcBorders>
                    <w:tl2br w:val="nil"/>
                    <w:tr2bl w:val="nil"/>
                  </w:tcBorders>
                  <w:shd w:val="clear" w:color="auto" w:fill="auto"/>
                  <w:vAlign w:val="center"/>
                </w:tcPr>
                <w:p w14:paraId="1AA525D9">
                  <w:pPr>
                    <w:widowControl/>
                    <w:jc w:val="center"/>
                    <w:rPr>
                      <w:rFonts w:hint="default" w:ascii="Times New Roman" w:hAnsi="Times New Roman" w:eastAsia="宋体" w:cs="Times New Roman"/>
                      <w:color w:val="FF0000"/>
                      <w:sz w:val="21"/>
                      <w:szCs w:val="21"/>
                      <w:highlight w:val="none"/>
                      <w:u w:val="single"/>
                      <w:lang w:val="en-US" w:eastAsia="zh-CN"/>
                    </w:rPr>
                  </w:pPr>
                  <w:r>
                    <w:rPr>
                      <w:rFonts w:hint="eastAsia" w:cs="Times New Roman"/>
                      <w:color w:val="FF0000"/>
                      <w:sz w:val="21"/>
                      <w:szCs w:val="21"/>
                      <w:highlight w:val="none"/>
                      <w:u w:val="single"/>
                      <w:lang w:val="en-US" w:eastAsia="zh-CN"/>
                    </w:rPr>
                    <w:t>86316.615</w:t>
                  </w:r>
                </w:p>
              </w:tc>
            </w:tr>
            <w:tr w14:paraId="187AA6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48" w:type="pct"/>
                  <w:tcBorders>
                    <w:tl2br w:val="nil"/>
                    <w:tr2bl w:val="nil"/>
                  </w:tcBorders>
                  <w:shd w:val="clear" w:color="auto" w:fill="auto"/>
                  <w:vAlign w:val="center"/>
                </w:tcPr>
                <w:p w14:paraId="4CE8F617">
                  <w:pPr>
                    <w:keepNext/>
                    <w:keepLines/>
                    <w:jc w:val="center"/>
                    <w:rPr>
                      <w:rFonts w:hint="default" w:ascii="Times New Roman" w:hAnsi="Times New Roman" w:eastAsia="宋体" w:cs="Times New Roman"/>
                      <w:color w:val="auto"/>
                      <w:kern w:val="0"/>
                      <w:sz w:val="21"/>
                      <w:szCs w:val="21"/>
                      <w:highlight w:val="none"/>
                      <w:u w:val="single"/>
                      <w:lang w:val="en-US" w:eastAsia="zh-CN" w:bidi="ar-SA"/>
                    </w:rPr>
                  </w:pPr>
                  <w:r>
                    <w:rPr>
                      <w:rFonts w:hint="eastAsia"/>
                      <w:color w:val="auto"/>
                      <w:szCs w:val="21"/>
                      <w:highlight w:val="none"/>
                      <w:u w:val="single"/>
                      <w:lang w:val="en-US" w:eastAsia="zh-CN"/>
                    </w:rPr>
                    <w:t>热风炉燃烧生物质热量</w:t>
                  </w:r>
                </w:p>
              </w:tc>
              <w:tc>
                <w:tcPr>
                  <w:tcW w:w="849" w:type="pct"/>
                  <w:tcBorders>
                    <w:tl2br w:val="nil"/>
                    <w:tr2bl w:val="nil"/>
                  </w:tcBorders>
                  <w:vAlign w:val="center"/>
                </w:tcPr>
                <w:p w14:paraId="28A96677">
                  <w:pPr>
                    <w:widowControl/>
                    <w:jc w:val="center"/>
                    <w:rPr>
                      <w:rFonts w:hint="default" w:ascii="Times New Roman" w:hAnsi="Times New Roman" w:eastAsia="宋体" w:cs="Times New Roman"/>
                      <w:color w:val="FF0000"/>
                      <w:sz w:val="21"/>
                      <w:szCs w:val="21"/>
                      <w:highlight w:val="none"/>
                      <w:u w:val="single"/>
                      <w:lang w:val="en-US" w:eastAsia="zh-CN"/>
                    </w:rPr>
                  </w:pPr>
                  <w:r>
                    <w:rPr>
                      <w:rFonts w:hint="eastAsia" w:cs="Times New Roman"/>
                      <w:color w:val="FF0000"/>
                      <w:sz w:val="21"/>
                      <w:szCs w:val="21"/>
                      <w:highlight w:val="none"/>
                      <w:u w:val="single"/>
                      <w:lang w:val="en-US" w:eastAsia="zh-CN"/>
                    </w:rPr>
                    <w:t>183735.3</w:t>
                  </w:r>
                </w:p>
              </w:tc>
              <w:tc>
                <w:tcPr>
                  <w:tcW w:w="1533" w:type="pct"/>
                  <w:tcBorders>
                    <w:tl2br w:val="nil"/>
                    <w:tr2bl w:val="nil"/>
                  </w:tcBorders>
                  <w:shd w:val="clear" w:color="auto" w:fill="auto"/>
                  <w:vAlign w:val="center"/>
                </w:tcPr>
                <w:p w14:paraId="15E20914">
                  <w:pPr>
                    <w:keepNext/>
                    <w:keepLines/>
                    <w:jc w:val="center"/>
                    <w:rPr>
                      <w:rFonts w:hint="default"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val="en-US" w:eastAsia="zh-CN"/>
                    </w:rPr>
                    <w:t>蒸汽发生器损耗热量</w:t>
                  </w:r>
                </w:p>
              </w:tc>
              <w:tc>
                <w:tcPr>
                  <w:tcW w:w="868" w:type="pct"/>
                  <w:tcBorders>
                    <w:tl2br w:val="nil"/>
                    <w:tr2bl w:val="nil"/>
                  </w:tcBorders>
                  <w:shd w:val="clear" w:color="auto" w:fill="auto"/>
                  <w:vAlign w:val="center"/>
                </w:tcPr>
                <w:p w14:paraId="372A36B2">
                  <w:pPr>
                    <w:widowControl/>
                    <w:jc w:val="center"/>
                    <w:rPr>
                      <w:rFonts w:hint="default" w:ascii="Times New Roman" w:hAnsi="Times New Roman" w:eastAsia="宋体" w:cs="Times New Roman"/>
                      <w:color w:val="FF0000"/>
                      <w:sz w:val="21"/>
                      <w:szCs w:val="21"/>
                      <w:highlight w:val="none"/>
                      <w:u w:val="single"/>
                      <w:lang w:val="en-US" w:eastAsia="zh-CN"/>
                    </w:rPr>
                  </w:pPr>
                  <w:r>
                    <w:rPr>
                      <w:rFonts w:hint="eastAsia" w:cs="Times New Roman"/>
                      <w:color w:val="FF0000"/>
                      <w:sz w:val="21"/>
                      <w:szCs w:val="21"/>
                      <w:highlight w:val="none"/>
                      <w:u w:val="single"/>
                      <w:lang w:val="en-US" w:eastAsia="zh-CN"/>
                    </w:rPr>
                    <w:t>28772.205</w:t>
                  </w:r>
                </w:p>
              </w:tc>
            </w:tr>
            <w:tr w14:paraId="076883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48" w:type="pct"/>
                  <w:tcBorders>
                    <w:tl2br w:val="nil"/>
                    <w:tr2bl w:val="nil"/>
                  </w:tcBorders>
                  <w:shd w:val="clear" w:color="auto" w:fill="auto"/>
                  <w:vAlign w:val="center"/>
                </w:tcPr>
                <w:p w14:paraId="3F80E0FB">
                  <w:pPr>
                    <w:keepNext/>
                    <w:keepLines/>
                    <w:jc w:val="center"/>
                    <w:rPr>
                      <w:rFonts w:hint="default" w:ascii="Times New Roman" w:hAnsi="Times New Roman" w:eastAsia="宋体" w:cs="Times New Roman"/>
                      <w:color w:val="auto"/>
                      <w:kern w:val="0"/>
                      <w:sz w:val="21"/>
                      <w:szCs w:val="21"/>
                      <w:highlight w:val="none"/>
                      <w:u w:val="single"/>
                      <w:lang w:val="en-US" w:eastAsia="zh-CN" w:bidi="ar-SA"/>
                    </w:rPr>
                  </w:pPr>
                </w:p>
              </w:tc>
              <w:tc>
                <w:tcPr>
                  <w:tcW w:w="849" w:type="pct"/>
                  <w:tcBorders>
                    <w:tl2br w:val="nil"/>
                    <w:tr2bl w:val="nil"/>
                  </w:tcBorders>
                  <w:vAlign w:val="center"/>
                </w:tcPr>
                <w:p w14:paraId="69D5E82A">
                  <w:pPr>
                    <w:widowControl/>
                    <w:jc w:val="center"/>
                    <w:rPr>
                      <w:rFonts w:hint="default" w:ascii="Times New Roman" w:hAnsi="Times New Roman" w:eastAsia="宋体" w:cs="Times New Roman"/>
                      <w:color w:val="auto"/>
                      <w:sz w:val="21"/>
                      <w:szCs w:val="21"/>
                      <w:highlight w:val="none"/>
                      <w:u w:val="single"/>
                      <w:lang w:val="en-US" w:eastAsia="zh-CN"/>
                    </w:rPr>
                  </w:pPr>
                </w:p>
              </w:tc>
              <w:tc>
                <w:tcPr>
                  <w:tcW w:w="1533" w:type="pct"/>
                  <w:tcBorders>
                    <w:tl2br w:val="nil"/>
                    <w:tr2bl w:val="nil"/>
                  </w:tcBorders>
                  <w:shd w:val="clear" w:color="auto" w:fill="auto"/>
                  <w:vAlign w:val="center"/>
                </w:tcPr>
                <w:p w14:paraId="799CFFAB">
                  <w:pPr>
                    <w:keepNext/>
                    <w:keepLines/>
                    <w:jc w:val="center"/>
                    <w:rPr>
                      <w:rFonts w:hint="default" w:ascii="Times New Roman" w:hAnsi="Times New Roman" w:eastAsia="宋体" w:cs="Times New Roman"/>
                      <w:color w:val="auto"/>
                      <w:szCs w:val="21"/>
                      <w:highlight w:val="none"/>
                      <w:u w:val="single"/>
                      <w:lang w:val="en-US" w:eastAsia="zh-CN"/>
                    </w:rPr>
                  </w:pPr>
                  <w:r>
                    <w:rPr>
                      <w:rFonts w:hint="eastAsia" w:ascii="Times New Roman" w:hAnsi="Times New Roman" w:eastAsia="宋体" w:cs="Times New Roman"/>
                      <w:color w:val="auto"/>
                      <w:szCs w:val="21"/>
                      <w:highlight w:val="none"/>
                      <w:u w:val="single"/>
                      <w:lang w:val="en-US" w:eastAsia="zh-CN"/>
                    </w:rPr>
                    <w:t>烘干蒸发水量所需热量</w:t>
                  </w:r>
                </w:p>
              </w:tc>
              <w:tc>
                <w:tcPr>
                  <w:tcW w:w="868" w:type="pct"/>
                  <w:tcBorders>
                    <w:tl2br w:val="nil"/>
                    <w:tr2bl w:val="nil"/>
                  </w:tcBorders>
                  <w:shd w:val="clear" w:color="auto" w:fill="auto"/>
                  <w:vAlign w:val="center"/>
                </w:tcPr>
                <w:p w14:paraId="1D4C5121">
                  <w:pPr>
                    <w:widowControl/>
                    <w:jc w:val="center"/>
                    <w:rPr>
                      <w:rFonts w:hint="default" w:ascii="Times New Roman" w:hAnsi="Times New Roman" w:eastAsia="宋体" w:cs="Times New Roman"/>
                      <w:color w:val="FF0000"/>
                      <w:sz w:val="21"/>
                      <w:szCs w:val="21"/>
                      <w:highlight w:val="none"/>
                      <w:u w:val="single"/>
                      <w:lang w:val="en-US" w:eastAsia="zh-CN"/>
                    </w:rPr>
                  </w:pPr>
                  <w:r>
                    <w:rPr>
                      <w:rFonts w:hint="eastAsia" w:cs="Times New Roman"/>
                      <w:color w:val="FF0000"/>
                      <w:sz w:val="21"/>
                      <w:szCs w:val="21"/>
                      <w:highlight w:val="none"/>
                      <w:u w:val="single"/>
                      <w:lang w:val="en-US" w:eastAsia="zh-CN"/>
                    </w:rPr>
                    <w:t>137801.475</w:t>
                  </w:r>
                </w:p>
              </w:tc>
            </w:tr>
            <w:tr w14:paraId="3AB44F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48" w:type="pct"/>
                  <w:tcBorders>
                    <w:tl2br w:val="nil"/>
                    <w:tr2bl w:val="nil"/>
                  </w:tcBorders>
                  <w:shd w:val="clear" w:color="auto" w:fill="auto"/>
                  <w:vAlign w:val="center"/>
                </w:tcPr>
                <w:p w14:paraId="284EB444">
                  <w:pPr>
                    <w:keepNext/>
                    <w:keepLines/>
                    <w:jc w:val="center"/>
                    <w:rPr>
                      <w:rFonts w:hint="default" w:ascii="Times New Roman" w:hAnsi="Times New Roman" w:eastAsia="宋体" w:cs="Times New Roman"/>
                      <w:color w:val="auto"/>
                      <w:kern w:val="0"/>
                      <w:sz w:val="21"/>
                      <w:szCs w:val="21"/>
                      <w:highlight w:val="none"/>
                      <w:u w:val="single"/>
                      <w:lang w:val="en-US" w:eastAsia="zh-CN" w:bidi="ar-SA"/>
                    </w:rPr>
                  </w:pPr>
                </w:p>
              </w:tc>
              <w:tc>
                <w:tcPr>
                  <w:tcW w:w="849" w:type="pct"/>
                  <w:tcBorders>
                    <w:tl2br w:val="nil"/>
                    <w:tr2bl w:val="nil"/>
                  </w:tcBorders>
                  <w:vAlign w:val="center"/>
                </w:tcPr>
                <w:p w14:paraId="57C77D99">
                  <w:pPr>
                    <w:widowControl/>
                    <w:jc w:val="center"/>
                    <w:rPr>
                      <w:rFonts w:hint="default" w:ascii="Times New Roman" w:hAnsi="Times New Roman" w:eastAsia="宋体" w:cs="Times New Roman"/>
                      <w:color w:val="auto"/>
                      <w:sz w:val="21"/>
                      <w:szCs w:val="21"/>
                      <w:highlight w:val="none"/>
                      <w:u w:val="single"/>
                      <w:lang w:val="en-US" w:eastAsia="zh-CN"/>
                    </w:rPr>
                  </w:pPr>
                </w:p>
              </w:tc>
              <w:tc>
                <w:tcPr>
                  <w:tcW w:w="1533" w:type="pct"/>
                  <w:tcBorders>
                    <w:tl2br w:val="nil"/>
                    <w:tr2bl w:val="nil"/>
                  </w:tcBorders>
                  <w:shd w:val="clear" w:color="auto" w:fill="auto"/>
                  <w:vAlign w:val="center"/>
                </w:tcPr>
                <w:p w14:paraId="25796995">
                  <w:pPr>
                    <w:keepNext/>
                    <w:keepLines/>
                    <w:jc w:val="center"/>
                    <w:rPr>
                      <w:rFonts w:hint="default" w:ascii="Times New Roman" w:hAnsi="Times New Roman" w:eastAsia="宋体" w:cs="Times New Roman"/>
                      <w:color w:val="auto"/>
                      <w:kern w:val="2"/>
                      <w:sz w:val="21"/>
                      <w:szCs w:val="21"/>
                      <w:highlight w:val="none"/>
                      <w:u w:val="single"/>
                      <w:lang w:val="en-US" w:eastAsia="zh-CN" w:bidi="ar-SA"/>
                    </w:rPr>
                  </w:pPr>
                  <w:r>
                    <w:rPr>
                      <w:rFonts w:hint="eastAsia" w:ascii="Times New Roman" w:hAnsi="Times New Roman" w:eastAsia="宋体" w:cs="Times New Roman"/>
                      <w:color w:val="auto"/>
                      <w:kern w:val="2"/>
                      <w:sz w:val="21"/>
                      <w:szCs w:val="21"/>
                      <w:highlight w:val="none"/>
                      <w:u w:val="single"/>
                      <w:lang w:val="en-US" w:eastAsia="zh-CN" w:bidi="ar-SA"/>
                    </w:rPr>
                    <w:t>热风炉</w:t>
                  </w:r>
                  <w:r>
                    <w:rPr>
                      <w:rFonts w:hint="eastAsia" w:ascii="Times New Roman" w:hAnsi="Times New Roman" w:eastAsia="宋体" w:cs="Times New Roman"/>
                      <w:color w:val="auto"/>
                      <w:szCs w:val="21"/>
                      <w:highlight w:val="none"/>
                      <w:u w:val="single"/>
                      <w:lang w:val="en-US" w:eastAsia="zh-CN"/>
                    </w:rPr>
                    <w:t>损耗热量</w:t>
                  </w:r>
                </w:p>
              </w:tc>
              <w:tc>
                <w:tcPr>
                  <w:tcW w:w="868" w:type="pct"/>
                  <w:tcBorders>
                    <w:tl2br w:val="nil"/>
                    <w:tr2bl w:val="nil"/>
                  </w:tcBorders>
                  <w:shd w:val="clear" w:color="auto" w:fill="auto"/>
                  <w:vAlign w:val="center"/>
                </w:tcPr>
                <w:p w14:paraId="6A78D080">
                  <w:pPr>
                    <w:widowControl/>
                    <w:jc w:val="center"/>
                    <w:rPr>
                      <w:rFonts w:hint="default" w:ascii="Times New Roman" w:hAnsi="Times New Roman" w:eastAsia="宋体" w:cs="Times New Roman"/>
                      <w:color w:val="FF0000"/>
                      <w:sz w:val="21"/>
                      <w:szCs w:val="21"/>
                      <w:highlight w:val="none"/>
                      <w:u w:val="single"/>
                      <w:lang w:val="en-US" w:eastAsia="zh-CN"/>
                    </w:rPr>
                  </w:pPr>
                  <w:r>
                    <w:rPr>
                      <w:rFonts w:hint="eastAsia" w:cs="Times New Roman"/>
                      <w:color w:val="FF0000"/>
                      <w:sz w:val="21"/>
                      <w:szCs w:val="21"/>
                      <w:highlight w:val="none"/>
                      <w:u w:val="single"/>
                      <w:lang w:val="en-US" w:eastAsia="zh-CN"/>
                    </w:rPr>
                    <w:t>45933.825</w:t>
                  </w:r>
                </w:p>
              </w:tc>
            </w:tr>
            <w:tr w14:paraId="78FA22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48" w:type="pct"/>
                  <w:tcBorders>
                    <w:tl2br w:val="nil"/>
                    <w:tr2bl w:val="nil"/>
                  </w:tcBorders>
                  <w:vAlign w:val="center"/>
                </w:tcPr>
                <w:p w14:paraId="106C1C43">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pacing w:val="2"/>
                      <w:sz w:val="21"/>
                      <w:szCs w:val="21"/>
                      <w:highlight w:val="none"/>
                      <w:u w:val="single"/>
                    </w:rPr>
                    <w:t>总计</w:t>
                  </w:r>
                </w:p>
              </w:tc>
              <w:tc>
                <w:tcPr>
                  <w:tcW w:w="849" w:type="pct"/>
                  <w:tcBorders>
                    <w:tl2br w:val="nil"/>
                    <w:tr2bl w:val="nil"/>
                  </w:tcBorders>
                  <w:shd w:val="clear" w:color="auto" w:fill="auto"/>
                  <w:vAlign w:val="center"/>
                </w:tcPr>
                <w:p w14:paraId="4006FE6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highlight w:val="none"/>
                      <w:u w:val="single"/>
                      <w:lang w:val="en-US" w:eastAsia="zh-CN" w:bidi="ar-SA"/>
                    </w:rPr>
                  </w:pPr>
                  <w:r>
                    <w:rPr>
                      <w:rFonts w:hint="eastAsia" w:cs="Times New Roman"/>
                      <w:i w:val="0"/>
                      <w:iCs w:val="0"/>
                      <w:color w:val="FF0000"/>
                      <w:kern w:val="2"/>
                      <w:sz w:val="21"/>
                      <w:szCs w:val="21"/>
                      <w:highlight w:val="none"/>
                      <w:u w:val="single"/>
                      <w:lang w:val="en-US" w:eastAsia="zh-CN" w:bidi="ar-SA"/>
                    </w:rPr>
                    <w:t>298824.12</w:t>
                  </w:r>
                </w:p>
              </w:tc>
              <w:tc>
                <w:tcPr>
                  <w:tcW w:w="1533" w:type="pct"/>
                  <w:tcBorders>
                    <w:tl2br w:val="nil"/>
                    <w:tr2bl w:val="nil"/>
                  </w:tcBorders>
                  <w:vAlign w:val="center"/>
                </w:tcPr>
                <w:p w14:paraId="79FBE796">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pacing w:val="2"/>
                      <w:sz w:val="21"/>
                      <w:szCs w:val="21"/>
                      <w:highlight w:val="none"/>
                      <w:u w:val="single"/>
                    </w:rPr>
                    <w:t>总计</w:t>
                  </w:r>
                </w:p>
              </w:tc>
              <w:tc>
                <w:tcPr>
                  <w:tcW w:w="868" w:type="pct"/>
                  <w:tcBorders>
                    <w:tl2br w:val="nil"/>
                    <w:tr2bl w:val="nil"/>
                  </w:tcBorders>
                  <w:shd w:val="clear" w:color="auto" w:fill="auto"/>
                  <w:vAlign w:val="center"/>
                </w:tcPr>
                <w:p w14:paraId="51CC9233">
                  <w:pPr>
                    <w:keepNext w:val="0"/>
                    <w:keepLines w:val="0"/>
                    <w:widowControl/>
                    <w:suppressLineNumbers w:val="0"/>
                    <w:jc w:val="center"/>
                    <w:textAlignment w:val="center"/>
                    <w:rPr>
                      <w:rFonts w:hint="default" w:ascii="Times New Roman" w:hAnsi="Times New Roman" w:eastAsia="宋体" w:cs="Times New Roman"/>
                      <w:i w:val="0"/>
                      <w:iCs w:val="0"/>
                      <w:color w:val="FF0000"/>
                      <w:kern w:val="2"/>
                      <w:sz w:val="21"/>
                      <w:szCs w:val="21"/>
                      <w:highlight w:val="none"/>
                      <w:u w:val="single"/>
                      <w:lang w:val="en-US" w:eastAsia="zh-CN" w:bidi="ar-SA"/>
                    </w:rPr>
                  </w:pPr>
                  <w:r>
                    <w:rPr>
                      <w:rFonts w:hint="eastAsia" w:cs="Times New Roman"/>
                      <w:i w:val="0"/>
                      <w:iCs w:val="0"/>
                      <w:color w:val="FF0000"/>
                      <w:kern w:val="2"/>
                      <w:sz w:val="21"/>
                      <w:szCs w:val="21"/>
                      <w:highlight w:val="none"/>
                      <w:u w:val="single"/>
                      <w:lang w:val="en-US" w:eastAsia="zh-CN" w:bidi="ar-SA"/>
                    </w:rPr>
                    <w:t>298824.12</w:t>
                  </w:r>
                </w:p>
              </w:tc>
            </w:tr>
          </w:tbl>
          <w:p w14:paraId="3B8E6278">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color w:val="auto"/>
                <w:kern w:val="0"/>
                <w:sz w:val="24"/>
                <w:highlight w:val="none"/>
                <w:u w:val="single"/>
                <w:lang w:val="en-US" w:eastAsia="zh-CN"/>
              </w:rPr>
            </w:pPr>
            <w:r>
              <w:rPr>
                <w:rFonts w:hint="eastAsia" w:ascii="Times New Roman" w:hAnsi="Times New Roman" w:eastAsia="宋体" w:cs="Times New Roman"/>
                <w:color w:val="auto"/>
                <w:kern w:val="0"/>
                <w:sz w:val="24"/>
                <w:highlight w:val="none"/>
                <w:u w:val="single"/>
                <w:lang w:val="en-US" w:eastAsia="zh-CN"/>
              </w:rPr>
              <w:t>本项目运营期物料平衡见下表：</w:t>
            </w:r>
          </w:p>
          <w:p w14:paraId="0718D671">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eastAsia="宋体" w:cs="Times New Roman"/>
                <w:color w:val="auto"/>
                <w:sz w:val="24"/>
                <w:szCs w:val="24"/>
                <w:highlight w:val="none"/>
                <w:u w:val="single"/>
                <w:lang w:val="en-US" w:eastAsia="zh-CN"/>
              </w:rPr>
              <w:t>表</w:t>
            </w:r>
            <w:r>
              <w:rPr>
                <w:rFonts w:hint="eastAsia" w:ascii="Times New Roman" w:hAnsi="Times New Roman" w:eastAsia="宋体" w:cs="Times New Roman"/>
                <w:color w:val="auto"/>
                <w:sz w:val="24"/>
                <w:szCs w:val="24"/>
                <w:highlight w:val="none"/>
                <w:u w:val="single"/>
                <w:lang w:val="en-US" w:eastAsia="zh-CN"/>
              </w:rPr>
              <w:t>2-</w:t>
            </w:r>
            <w:r>
              <w:rPr>
                <w:rFonts w:hint="eastAsia" w:cs="Times New Roman"/>
                <w:color w:val="auto"/>
                <w:sz w:val="24"/>
                <w:szCs w:val="24"/>
                <w:highlight w:val="none"/>
                <w:u w:val="single"/>
                <w:lang w:val="en-US" w:eastAsia="zh-CN"/>
              </w:rPr>
              <w:t>11</w:t>
            </w:r>
            <w:r>
              <w:rPr>
                <w:rFonts w:hint="eastAsia" w:ascii="Times New Roman" w:hAnsi="Times New Roman" w:eastAsia="宋体" w:cs="Times New Roman"/>
                <w:color w:val="auto"/>
                <w:sz w:val="24"/>
                <w:szCs w:val="24"/>
                <w:highlight w:val="none"/>
                <w:u w:val="single"/>
                <w:lang w:val="en-US" w:eastAsia="zh-CN"/>
              </w:rPr>
              <w:t xml:space="preserve">   </w:t>
            </w:r>
            <w:r>
              <w:rPr>
                <w:rFonts w:hint="default" w:ascii="Times New Roman" w:hAnsi="Times New Roman" w:eastAsia="宋体" w:cs="Times New Roman"/>
                <w:color w:val="auto"/>
                <w:sz w:val="24"/>
                <w:szCs w:val="24"/>
                <w:highlight w:val="none"/>
                <w:u w:val="single"/>
                <w:lang w:val="en-US" w:eastAsia="zh-CN"/>
              </w:rPr>
              <w:t>项目物料平衡一览表</w:t>
            </w:r>
          </w:p>
          <w:tbl>
            <w:tblPr>
              <w:tblStyle w:val="12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45"/>
              <w:gridCol w:w="1841"/>
              <w:gridCol w:w="1839"/>
              <w:gridCol w:w="1855"/>
            </w:tblGrid>
            <w:tr w14:paraId="671E04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97" w:type="pct"/>
                  <w:gridSpan w:val="2"/>
                  <w:tcBorders>
                    <w:tl2br w:val="nil"/>
                    <w:tr2bl w:val="nil"/>
                  </w:tcBorders>
                  <w:vAlign w:val="center"/>
                </w:tcPr>
                <w:p w14:paraId="35E09B25">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2"/>
                      <w:sz w:val="21"/>
                      <w:szCs w:val="21"/>
                      <w:highlight w:val="none"/>
                      <w:u w:val="single"/>
                    </w:rPr>
                    <w:t>投入</w:t>
                  </w:r>
                </w:p>
              </w:tc>
              <w:tc>
                <w:tcPr>
                  <w:tcW w:w="2502" w:type="pct"/>
                  <w:gridSpan w:val="2"/>
                  <w:tcBorders>
                    <w:tl2br w:val="nil"/>
                    <w:tr2bl w:val="nil"/>
                  </w:tcBorders>
                  <w:vAlign w:val="center"/>
                </w:tcPr>
                <w:p w14:paraId="23DFAAE5">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3"/>
                      <w:sz w:val="21"/>
                      <w:szCs w:val="21"/>
                      <w:highlight w:val="none"/>
                      <w:u w:val="single"/>
                    </w:rPr>
                    <w:t>产出</w:t>
                  </w:r>
                </w:p>
              </w:tc>
            </w:tr>
            <w:tr w14:paraId="48BFE2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50" w:type="pct"/>
                  <w:tcBorders>
                    <w:tl2br w:val="nil"/>
                    <w:tr2bl w:val="nil"/>
                  </w:tcBorders>
                  <w:vAlign w:val="center"/>
                </w:tcPr>
                <w:p w14:paraId="1C32383B">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6"/>
                      <w:sz w:val="21"/>
                      <w:szCs w:val="21"/>
                      <w:highlight w:val="none"/>
                      <w:u w:val="single"/>
                    </w:rPr>
                    <w:t>物料名称</w:t>
                  </w:r>
                </w:p>
              </w:tc>
              <w:tc>
                <w:tcPr>
                  <w:tcW w:w="1247" w:type="pct"/>
                  <w:tcBorders>
                    <w:tl2br w:val="nil"/>
                    <w:tr2bl w:val="nil"/>
                  </w:tcBorders>
                  <w:vAlign w:val="center"/>
                </w:tcPr>
                <w:p w14:paraId="2FFED5A0">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3"/>
                      <w:position w:val="2"/>
                      <w:sz w:val="21"/>
                      <w:szCs w:val="21"/>
                      <w:highlight w:val="none"/>
                      <w:u w:val="single"/>
                    </w:rPr>
                    <w:t>投入量（t/a）</w:t>
                  </w:r>
                </w:p>
              </w:tc>
              <w:tc>
                <w:tcPr>
                  <w:tcW w:w="1246" w:type="pct"/>
                  <w:tcBorders>
                    <w:tl2br w:val="nil"/>
                    <w:tr2bl w:val="nil"/>
                  </w:tcBorders>
                  <w:vAlign w:val="center"/>
                </w:tcPr>
                <w:p w14:paraId="731401B8">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6"/>
                      <w:sz w:val="21"/>
                      <w:szCs w:val="21"/>
                      <w:highlight w:val="none"/>
                      <w:u w:val="single"/>
                    </w:rPr>
                    <w:t>物料名称</w:t>
                  </w:r>
                </w:p>
              </w:tc>
              <w:tc>
                <w:tcPr>
                  <w:tcW w:w="1256" w:type="pct"/>
                  <w:tcBorders>
                    <w:tl2br w:val="nil"/>
                    <w:tr2bl w:val="nil"/>
                  </w:tcBorders>
                  <w:vAlign w:val="center"/>
                </w:tcPr>
                <w:p w14:paraId="27BA7467">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bCs/>
                      <w:color w:val="auto"/>
                      <w:spacing w:val="4"/>
                      <w:position w:val="2"/>
                      <w:sz w:val="21"/>
                      <w:szCs w:val="21"/>
                      <w:highlight w:val="none"/>
                      <w:u w:val="single"/>
                    </w:rPr>
                    <w:t>产生量（t/a）</w:t>
                  </w:r>
                </w:p>
              </w:tc>
            </w:tr>
            <w:tr w14:paraId="787704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5" w:type="dxa"/>
                  <w:tcBorders>
                    <w:tl2br w:val="nil"/>
                    <w:tr2bl w:val="nil"/>
                  </w:tcBorders>
                  <w:shd w:val="clear" w:color="auto" w:fill="auto"/>
                  <w:vAlign w:val="center"/>
                </w:tcPr>
                <w:p w14:paraId="26A823C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yellow"/>
                      <w:u w:val="single"/>
                      <w:lang w:val="en-US" w:eastAsia="zh-CN" w:bidi="ar-SA"/>
                    </w:rPr>
                  </w:pPr>
                  <w:r>
                    <w:rPr>
                      <w:rFonts w:hint="eastAsia" w:ascii="宋体" w:hAnsi="宋体" w:eastAsia="宋体" w:cs="宋体"/>
                      <w:i w:val="0"/>
                      <w:iCs w:val="0"/>
                      <w:color w:val="auto"/>
                      <w:kern w:val="0"/>
                      <w:sz w:val="21"/>
                      <w:szCs w:val="21"/>
                      <w:u w:val="single"/>
                      <w:lang w:val="en-US" w:eastAsia="zh-CN" w:bidi="ar"/>
                    </w:rPr>
                    <w:t>鲜玉竹</w:t>
                  </w:r>
                </w:p>
              </w:tc>
              <w:tc>
                <w:tcPr>
                  <w:tcW w:w="1841" w:type="dxa"/>
                  <w:tcBorders>
                    <w:tl2br w:val="nil"/>
                    <w:tr2bl w:val="nil"/>
                  </w:tcBorders>
                  <w:vAlign w:val="center"/>
                </w:tcPr>
                <w:p w14:paraId="1A8FF59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u w:val="single"/>
                      <w:lang w:val="en-US" w:eastAsia="zh-CN"/>
                    </w:rPr>
                  </w:pPr>
                  <w:r>
                    <w:rPr>
                      <w:rFonts w:hint="default" w:ascii="Times New Roman" w:hAnsi="Times New Roman" w:eastAsia="宋体" w:cs="Times New Roman"/>
                      <w:i w:val="0"/>
                      <w:iCs w:val="0"/>
                      <w:color w:val="auto"/>
                      <w:kern w:val="0"/>
                      <w:sz w:val="21"/>
                      <w:szCs w:val="21"/>
                      <w:u w:val="single"/>
                      <w:lang w:val="en-US" w:eastAsia="zh-CN" w:bidi="ar"/>
                    </w:rPr>
                    <w:t>1000</w:t>
                  </w:r>
                </w:p>
              </w:tc>
              <w:tc>
                <w:tcPr>
                  <w:tcW w:w="1839" w:type="dxa"/>
                  <w:tcBorders>
                    <w:tl2br w:val="nil"/>
                    <w:tr2bl w:val="nil"/>
                  </w:tcBorders>
                  <w:shd w:val="clear" w:color="auto" w:fill="auto"/>
                  <w:vAlign w:val="center"/>
                </w:tcPr>
                <w:p w14:paraId="663535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highlight w:val="yellow"/>
                      <w:u w:val="single"/>
                      <w:lang w:val="en-US" w:eastAsia="zh-CN" w:bidi="ar-SA"/>
                    </w:rPr>
                  </w:pPr>
                  <w:r>
                    <w:rPr>
                      <w:rFonts w:hint="default" w:ascii="Times New Roman" w:hAnsi="Times New Roman" w:cs="Times New Roman" w:eastAsiaTheme="minorEastAsia"/>
                      <w:color w:val="auto"/>
                      <w:sz w:val="21"/>
                      <w:szCs w:val="21"/>
                      <w:u w:val="single"/>
                      <w:lang w:val="en-US" w:eastAsia="zh-CN"/>
                    </w:rPr>
                    <w:t>干玉竹</w:t>
                  </w:r>
                </w:p>
              </w:tc>
              <w:tc>
                <w:tcPr>
                  <w:tcW w:w="1855" w:type="dxa"/>
                  <w:tcBorders>
                    <w:tl2br w:val="nil"/>
                    <w:tr2bl w:val="nil"/>
                  </w:tcBorders>
                  <w:shd w:val="clear" w:color="auto" w:fill="auto"/>
                  <w:vAlign w:val="center"/>
                </w:tcPr>
                <w:p w14:paraId="3B174D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highlight w:val="yellow"/>
                      <w:u w:val="single"/>
                      <w:lang w:val="en-US" w:eastAsia="zh-CN" w:bidi="ar-SA"/>
                    </w:rPr>
                  </w:pPr>
                  <w:r>
                    <w:rPr>
                      <w:rFonts w:hint="eastAsia" w:cs="Times New Roman" w:eastAsiaTheme="minorEastAsia"/>
                      <w:color w:val="auto"/>
                      <w:sz w:val="21"/>
                      <w:szCs w:val="21"/>
                      <w:u w:val="single"/>
                      <w:lang w:val="en-US" w:eastAsia="zh-CN"/>
                    </w:rPr>
                    <w:t>15</w:t>
                  </w:r>
                  <w:r>
                    <w:rPr>
                      <w:rFonts w:hint="default" w:ascii="Times New Roman" w:hAnsi="Times New Roman" w:cs="Times New Roman" w:eastAsiaTheme="minorEastAsia"/>
                      <w:color w:val="auto"/>
                      <w:sz w:val="21"/>
                      <w:szCs w:val="21"/>
                      <w:u w:val="single"/>
                      <w:lang w:val="en-US" w:eastAsia="zh-CN"/>
                    </w:rPr>
                    <w:t>0</w:t>
                  </w:r>
                </w:p>
              </w:tc>
            </w:tr>
            <w:tr w14:paraId="4AA531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5" w:type="dxa"/>
                  <w:tcBorders>
                    <w:tl2br w:val="nil"/>
                    <w:tr2bl w:val="nil"/>
                  </w:tcBorders>
                  <w:shd w:val="clear" w:color="auto" w:fill="auto"/>
                  <w:vAlign w:val="center"/>
                </w:tcPr>
                <w:p w14:paraId="486C8FC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yellow"/>
                      <w:u w:val="single"/>
                      <w:lang w:val="en-US" w:eastAsia="zh-CN" w:bidi="ar-SA"/>
                    </w:rPr>
                  </w:pPr>
                  <w:r>
                    <w:rPr>
                      <w:rFonts w:hint="eastAsia" w:ascii="宋体" w:hAnsi="宋体" w:eastAsia="宋体" w:cs="宋体"/>
                      <w:i w:val="0"/>
                      <w:iCs w:val="0"/>
                      <w:color w:val="auto"/>
                      <w:kern w:val="0"/>
                      <w:sz w:val="21"/>
                      <w:szCs w:val="21"/>
                      <w:u w:val="single"/>
                      <w:lang w:val="en-US" w:eastAsia="zh-CN" w:bidi="ar"/>
                    </w:rPr>
                    <w:t>鲜黄精</w:t>
                  </w:r>
                </w:p>
              </w:tc>
              <w:tc>
                <w:tcPr>
                  <w:tcW w:w="1841" w:type="dxa"/>
                  <w:tcBorders>
                    <w:tl2br w:val="nil"/>
                    <w:tr2bl w:val="nil"/>
                  </w:tcBorders>
                  <w:vAlign w:val="center"/>
                </w:tcPr>
                <w:p w14:paraId="64B53F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u w:val="single"/>
                      <w:lang w:val="en-US" w:eastAsia="zh-CN"/>
                    </w:rPr>
                  </w:pPr>
                  <w:r>
                    <w:rPr>
                      <w:rFonts w:hint="default" w:ascii="Times New Roman" w:hAnsi="Times New Roman" w:eastAsia="宋体" w:cs="Times New Roman"/>
                      <w:i w:val="0"/>
                      <w:iCs w:val="0"/>
                      <w:color w:val="auto"/>
                      <w:kern w:val="0"/>
                      <w:sz w:val="21"/>
                      <w:szCs w:val="21"/>
                      <w:u w:val="single"/>
                      <w:lang w:val="en-US" w:eastAsia="zh-CN" w:bidi="ar"/>
                    </w:rPr>
                    <w:t>500</w:t>
                  </w:r>
                </w:p>
              </w:tc>
              <w:tc>
                <w:tcPr>
                  <w:tcW w:w="1839" w:type="dxa"/>
                  <w:tcBorders>
                    <w:tl2br w:val="nil"/>
                    <w:tr2bl w:val="nil"/>
                  </w:tcBorders>
                  <w:shd w:val="clear" w:color="auto" w:fill="auto"/>
                  <w:vAlign w:val="center"/>
                </w:tcPr>
                <w:p w14:paraId="4CBB1B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highlight w:val="yellow"/>
                      <w:u w:val="single"/>
                      <w:lang w:val="en-US" w:eastAsia="zh-CN" w:bidi="ar-SA"/>
                    </w:rPr>
                  </w:pPr>
                  <w:r>
                    <w:rPr>
                      <w:rFonts w:hint="default" w:ascii="Times New Roman" w:hAnsi="Times New Roman" w:cs="Times New Roman" w:eastAsiaTheme="minorEastAsia"/>
                      <w:color w:val="auto"/>
                      <w:sz w:val="21"/>
                      <w:szCs w:val="21"/>
                      <w:u w:val="single"/>
                      <w:lang w:val="en-US" w:eastAsia="zh-CN"/>
                    </w:rPr>
                    <w:t>玉竹片（粉）</w:t>
                  </w:r>
                </w:p>
              </w:tc>
              <w:tc>
                <w:tcPr>
                  <w:tcW w:w="1855" w:type="dxa"/>
                  <w:tcBorders>
                    <w:tl2br w:val="nil"/>
                    <w:tr2bl w:val="nil"/>
                  </w:tcBorders>
                  <w:shd w:val="clear" w:color="auto" w:fill="auto"/>
                  <w:vAlign w:val="center"/>
                </w:tcPr>
                <w:p w14:paraId="237B0B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0"/>
                      <w:sz w:val="21"/>
                      <w:szCs w:val="21"/>
                      <w:highlight w:val="yellow"/>
                      <w:u w:val="single"/>
                      <w:lang w:val="en-US" w:eastAsia="zh-CN" w:bidi="ar-SA"/>
                    </w:rPr>
                  </w:pPr>
                  <w:r>
                    <w:rPr>
                      <w:rFonts w:hint="default" w:ascii="Times New Roman" w:hAnsi="Times New Roman" w:cs="Times New Roman" w:eastAsiaTheme="minorEastAsia"/>
                      <w:color w:val="auto"/>
                      <w:sz w:val="21"/>
                      <w:szCs w:val="21"/>
                      <w:u w:val="single"/>
                      <w:lang w:val="en-US" w:eastAsia="zh-CN"/>
                    </w:rPr>
                    <w:t>50</w:t>
                  </w:r>
                </w:p>
              </w:tc>
            </w:tr>
            <w:tr w14:paraId="78E158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5" w:type="dxa"/>
                  <w:tcBorders>
                    <w:tl2br w:val="nil"/>
                    <w:tr2bl w:val="nil"/>
                  </w:tcBorders>
                  <w:shd w:val="clear" w:color="auto" w:fill="auto"/>
                  <w:vAlign w:val="center"/>
                </w:tcPr>
                <w:p w14:paraId="2D9419E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yellow"/>
                      <w:u w:val="single"/>
                      <w:lang w:val="en-US" w:eastAsia="zh-CN" w:bidi="ar-SA"/>
                    </w:rPr>
                  </w:pPr>
                  <w:r>
                    <w:rPr>
                      <w:rFonts w:hint="eastAsia" w:ascii="宋体" w:hAnsi="宋体" w:eastAsia="宋体" w:cs="宋体"/>
                      <w:i w:val="0"/>
                      <w:iCs w:val="0"/>
                      <w:color w:val="auto"/>
                      <w:kern w:val="0"/>
                      <w:sz w:val="21"/>
                      <w:szCs w:val="21"/>
                      <w:u w:val="single"/>
                      <w:lang w:val="en-US" w:eastAsia="zh-CN" w:bidi="ar"/>
                    </w:rPr>
                    <w:t>鲜白术</w:t>
                  </w:r>
                </w:p>
              </w:tc>
              <w:tc>
                <w:tcPr>
                  <w:tcW w:w="1841" w:type="dxa"/>
                  <w:tcBorders>
                    <w:tl2br w:val="nil"/>
                    <w:tr2bl w:val="nil"/>
                  </w:tcBorders>
                  <w:vAlign w:val="center"/>
                </w:tcPr>
                <w:p w14:paraId="429011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u w:val="single"/>
                      <w:lang w:val="en-US" w:eastAsia="zh-CN"/>
                    </w:rPr>
                  </w:pPr>
                  <w:r>
                    <w:rPr>
                      <w:rFonts w:hint="default" w:ascii="Times New Roman" w:hAnsi="Times New Roman" w:eastAsia="宋体" w:cs="Times New Roman"/>
                      <w:i w:val="0"/>
                      <w:iCs w:val="0"/>
                      <w:color w:val="auto"/>
                      <w:kern w:val="0"/>
                      <w:sz w:val="21"/>
                      <w:szCs w:val="21"/>
                      <w:u w:val="single"/>
                      <w:lang w:val="en-US" w:eastAsia="zh-CN" w:bidi="ar"/>
                    </w:rPr>
                    <w:t>500</w:t>
                  </w:r>
                </w:p>
              </w:tc>
              <w:tc>
                <w:tcPr>
                  <w:tcW w:w="1839" w:type="dxa"/>
                  <w:tcBorders>
                    <w:tl2br w:val="nil"/>
                    <w:tr2bl w:val="nil"/>
                  </w:tcBorders>
                  <w:shd w:val="clear" w:color="auto" w:fill="auto"/>
                  <w:vAlign w:val="center"/>
                </w:tcPr>
                <w:p w14:paraId="0967EAD2">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highlight w:val="yellow"/>
                      <w:u w:val="single"/>
                      <w:lang w:val="en-US" w:eastAsia="zh-CN" w:bidi="ar-SA"/>
                    </w:rPr>
                  </w:pPr>
                  <w:r>
                    <w:rPr>
                      <w:rFonts w:hint="default" w:ascii="Times New Roman" w:hAnsi="Times New Roman" w:cs="Times New Roman" w:eastAsiaTheme="minorEastAsia"/>
                      <w:color w:val="auto"/>
                      <w:sz w:val="21"/>
                      <w:szCs w:val="21"/>
                      <w:u w:val="single"/>
                      <w:lang w:val="en-US" w:eastAsia="zh-CN"/>
                    </w:rPr>
                    <w:t>干</w:t>
                  </w:r>
                  <w:r>
                    <w:rPr>
                      <w:rFonts w:hint="default" w:ascii="Times New Roman" w:hAnsi="Times New Roman" w:cs="Times New Roman" w:eastAsiaTheme="minorEastAsia"/>
                      <w:color w:val="auto"/>
                      <w:sz w:val="21"/>
                      <w:szCs w:val="21"/>
                      <w:u w:val="single"/>
                    </w:rPr>
                    <w:t>黄精</w:t>
                  </w:r>
                </w:p>
              </w:tc>
              <w:tc>
                <w:tcPr>
                  <w:tcW w:w="1855" w:type="dxa"/>
                  <w:tcBorders>
                    <w:tl2br w:val="nil"/>
                    <w:tr2bl w:val="nil"/>
                  </w:tcBorders>
                  <w:shd w:val="clear" w:color="auto" w:fill="auto"/>
                  <w:vAlign w:val="center"/>
                </w:tcPr>
                <w:p w14:paraId="075E489B">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0"/>
                      <w:sz w:val="21"/>
                      <w:szCs w:val="21"/>
                      <w:highlight w:val="yellow"/>
                      <w:u w:val="single"/>
                      <w:lang w:val="en-US" w:eastAsia="zh-CN" w:bidi="ar-SA"/>
                    </w:rPr>
                  </w:pPr>
                  <w:r>
                    <w:rPr>
                      <w:rFonts w:hint="eastAsia" w:ascii="Times New Roman" w:hAnsi="Times New Roman" w:cs="Times New Roman" w:eastAsiaTheme="minorEastAsia"/>
                      <w:color w:val="auto"/>
                      <w:sz w:val="21"/>
                      <w:szCs w:val="21"/>
                      <w:u w:val="single"/>
                      <w:lang w:val="en-US" w:eastAsia="zh-CN"/>
                    </w:rPr>
                    <w:t>5</w:t>
                  </w:r>
                  <w:r>
                    <w:rPr>
                      <w:rFonts w:hint="default" w:ascii="Times New Roman" w:hAnsi="Times New Roman" w:cs="Times New Roman" w:eastAsiaTheme="minorEastAsia"/>
                      <w:color w:val="auto"/>
                      <w:sz w:val="21"/>
                      <w:szCs w:val="21"/>
                      <w:u w:val="single"/>
                    </w:rPr>
                    <w:t>0</w:t>
                  </w:r>
                </w:p>
              </w:tc>
            </w:tr>
            <w:tr w14:paraId="3CA92E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5" w:type="dxa"/>
                  <w:tcBorders>
                    <w:tl2br w:val="nil"/>
                    <w:tr2bl w:val="nil"/>
                  </w:tcBorders>
                  <w:shd w:val="clear" w:color="auto" w:fill="auto"/>
                  <w:vAlign w:val="center"/>
                </w:tcPr>
                <w:p w14:paraId="15C3F1B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yellow"/>
                      <w:u w:val="single"/>
                      <w:lang w:val="en-US" w:eastAsia="zh-CN" w:bidi="ar-SA"/>
                    </w:rPr>
                  </w:pPr>
                  <w:r>
                    <w:rPr>
                      <w:rFonts w:hint="eastAsia" w:ascii="宋体" w:hAnsi="宋体" w:eastAsia="宋体" w:cs="宋体"/>
                      <w:i w:val="0"/>
                      <w:iCs w:val="0"/>
                      <w:color w:val="auto"/>
                      <w:kern w:val="0"/>
                      <w:sz w:val="21"/>
                      <w:szCs w:val="21"/>
                      <w:u w:val="single"/>
                      <w:lang w:val="en-US" w:eastAsia="zh-CN" w:bidi="ar"/>
                    </w:rPr>
                    <w:t>鲜黄柏</w:t>
                  </w:r>
                </w:p>
              </w:tc>
              <w:tc>
                <w:tcPr>
                  <w:tcW w:w="1841" w:type="dxa"/>
                  <w:tcBorders>
                    <w:tl2br w:val="nil"/>
                    <w:tr2bl w:val="nil"/>
                  </w:tcBorders>
                  <w:vAlign w:val="center"/>
                </w:tcPr>
                <w:p w14:paraId="202F816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u w:val="single"/>
                      <w:lang w:val="en-US" w:eastAsia="zh-CN"/>
                    </w:rPr>
                  </w:pPr>
                  <w:r>
                    <w:rPr>
                      <w:rFonts w:hint="default" w:ascii="Times New Roman" w:hAnsi="Times New Roman" w:eastAsia="宋体" w:cs="Times New Roman"/>
                      <w:i w:val="0"/>
                      <w:iCs w:val="0"/>
                      <w:color w:val="auto"/>
                      <w:kern w:val="0"/>
                      <w:sz w:val="21"/>
                      <w:szCs w:val="21"/>
                      <w:u w:val="single"/>
                      <w:lang w:val="en-US" w:eastAsia="zh-CN" w:bidi="ar"/>
                    </w:rPr>
                    <w:t>500</w:t>
                  </w:r>
                </w:p>
              </w:tc>
              <w:tc>
                <w:tcPr>
                  <w:tcW w:w="1839" w:type="dxa"/>
                  <w:tcBorders>
                    <w:tl2br w:val="nil"/>
                    <w:tr2bl w:val="nil"/>
                  </w:tcBorders>
                  <w:shd w:val="clear" w:color="auto" w:fill="auto"/>
                  <w:vAlign w:val="center"/>
                </w:tcPr>
                <w:p w14:paraId="369AF13D">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highlight w:val="yellow"/>
                      <w:u w:val="single"/>
                      <w:lang w:val="en-US" w:eastAsia="zh-CN" w:bidi="ar-SA"/>
                    </w:rPr>
                  </w:pPr>
                  <w:r>
                    <w:rPr>
                      <w:rFonts w:hint="default" w:ascii="Times New Roman" w:hAnsi="Times New Roman" w:cs="Times New Roman" w:eastAsiaTheme="minorEastAsia"/>
                      <w:color w:val="auto"/>
                      <w:sz w:val="21"/>
                      <w:szCs w:val="21"/>
                      <w:u w:val="single"/>
                      <w:lang w:val="en-US" w:eastAsia="zh-CN"/>
                    </w:rPr>
                    <w:t>黄精（九蒸九制）</w:t>
                  </w:r>
                </w:p>
              </w:tc>
              <w:tc>
                <w:tcPr>
                  <w:tcW w:w="1855" w:type="dxa"/>
                  <w:tcBorders>
                    <w:tl2br w:val="nil"/>
                    <w:tr2bl w:val="nil"/>
                  </w:tcBorders>
                  <w:shd w:val="clear" w:color="auto" w:fill="auto"/>
                  <w:vAlign w:val="center"/>
                </w:tcPr>
                <w:p w14:paraId="79E74722">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0"/>
                      <w:sz w:val="21"/>
                      <w:szCs w:val="21"/>
                      <w:highlight w:val="yellow"/>
                      <w:u w:val="single"/>
                      <w:lang w:val="en-US" w:eastAsia="zh-CN" w:bidi="ar-SA"/>
                    </w:rPr>
                  </w:pPr>
                  <w:r>
                    <w:rPr>
                      <w:rFonts w:hint="default" w:ascii="Times New Roman" w:hAnsi="Times New Roman" w:cs="Times New Roman" w:eastAsiaTheme="minorEastAsia"/>
                      <w:color w:val="auto"/>
                      <w:sz w:val="21"/>
                      <w:szCs w:val="21"/>
                      <w:u w:val="single"/>
                      <w:lang w:val="en-US" w:eastAsia="zh-CN"/>
                    </w:rPr>
                    <w:t>50</w:t>
                  </w:r>
                </w:p>
              </w:tc>
            </w:tr>
            <w:tr w14:paraId="2AAFC3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5" w:type="dxa"/>
                  <w:tcBorders>
                    <w:tl2br w:val="nil"/>
                    <w:tr2bl w:val="nil"/>
                  </w:tcBorders>
                  <w:shd w:val="clear" w:color="auto" w:fill="auto"/>
                  <w:vAlign w:val="center"/>
                </w:tcPr>
                <w:p w14:paraId="6F5017A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yellow"/>
                      <w:u w:val="single"/>
                      <w:lang w:val="en-US" w:eastAsia="zh-CN" w:bidi="ar-SA"/>
                    </w:rPr>
                  </w:pPr>
                  <w:r>
                    <w:rPr>
                      <w:rFonts w:hint="eastAsia" w:ascii="宋体" w:hAnsi="宋体" w:eastAsia="宋体" w:cs="宋体"/>
                      <w:i w:val="0"/>
                      <w:iCs w:val="0"/>
                      <w:color w:val="auto"/>
                      <w:kern w:val="0"/>
                      <w:sz w:val="21"/>
                      <w:szCs w:val="21"/>
                      <w:u w:val="single"/>
                      <w:lang w:val="en-US" w:eastAsia="zh-CN" w:bidi="ar"/>
                    </w:rPr>
                    <w:t>山银花鲜花</w:t>
                  </w:r>
                </w:p>
              </w:tc>
              <w:tc>
                <w:tcPr>
                  <w:tcW w:w="1841" w:type="dxa"/>
                  <w:tcBorders>
                    <w:tl2br w:val="nil"/>
                    <w:tr2bl w:val="nil"/>
                  </w:tcBorders>
                  <w:vAlign w:val="center"/>
                </w:tcPr>
                <w:p w14:paraId="756251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u w:val="single"/>
                      <w:lang w:val="en-US" w:eastAsia="zh-CN"/>
                    </w:rPr>
                  </w:pPr>
                  <w:r>
                    <w:rPr>
                      <w:rFonts w:hint="default" w:ascii="Times New Roman" w:hAnsi="Times New Roman" w:eastAsia="宋体" w:cs="Times New Roman"/>
                      <w:i w:val="0"/>
                      <w:iCs w:val="0"/>
                      <w:color w:val="auto"/>
                      <w:kern w:val="0"/>
                      <w:sz w:val="21"/>
                      <w:szCs w:val="21"/>
                      <w:u w:val="single"/>
                      <w:lang w:val="en-US" w:eastAsia="zh-CN" w:bidi="ar"/>
                    </w:rPr>
                    <w:t>1500</w:t>
                  </w:r>
                </w:p>
              </w:tc>
              <w:tc>
                <w:tcPr>
                  <w:tcW w:w="1839" w:type="dxa"/>
                  <w:tcBorders>
                    <w:tl2br w:val="nil"/>
                    <w:tr2bl w:val="nil"/>
                  </w:tcBorders>
                  <w:shd w:val="clear" w:color="auto" w:fill="auto"/>
                  <w:vAlign w:val="center"/>
                </w:tcPr>
                <w:p w14:paraId="78D6A80F">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2"/>
                      <w:sz w:val="21"/>
                      <w:szCs w:val="21"/>
                      <w:highlight w:val="yellow"/>
                      <w:u w:val="single"/>
                      <w:lang w:val="en-US" w:eastAsia="zh-CN" w:bidi="ar-SA"/>
                    </w:rPr>
                  </w:pPr>
                  <w:r>
                    <w:rPr>
                      <w:rFonts w:hint="default" w:ascii="Times New Roman" w:hAnsi="Times New Roman" w:cs="Times New Roman" w:eastAsiaTheme="minorEastAsia"/>
                      <w:color w:val="auto"/>
                      <w:sz w:val="21"/>
                      <w:szCs w:val="21"/>
                      <w:u w:val="single"/>
                      <w:lang w:val="en-US" w:eastAsia="zh-CN"/>
                    </w:rPr>
                    <w:t>干</w:t>
                  </w:r>
                  <w:r>
                    <w:rPr>
                      <w:rFonts w:hint="default" w:ascii="Times New Roman" w:hAnsi="Times New Roman" w:cs="Times New Roman" w:eastAsiaTheme="minorEastAsia"/>
                      <w:color w:val="auto"/>
                      <w:sz w:val="21"/>
                      <w:szCs w:val="21"/>
                      <w:u w:val="single"/>
                    </w:rPr>
                    <w:t>白术</w:t>
                  </w:r>
                </w:p>
              </w:tc>
              <w:tc>
                <w:tcPr>
                  <w:tcW w:w="1855" w:type="dxa"/>
                  <w:tcBorders>
                    <w:tl2br w:val="nil"/>
                    <w:tr2bl w:val="nil"/>
                  </w:tcBorders>
                  <w:shd w:val="clear" w:color="auto" w:fill="auto"/>
                  <w:vAlign w:val="center"/>
                </w:tcPr>
                <w:p w14:paraId="10B5A442">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eastAsia="宋体" w:cs="Times New Roman"/>
                      <w:color w:val="auto"/>
                      <w:kern w:val="0"/>
                      <w:sz w:val="21"/>
                      <w:szCs w:val="21"/>
                      <w:highlight w:val="yellow"/>
                      <w:u w:val="single"/>
                      <w:lang w:val="en-US" w:eastAsia="zh-CN" w:bidi="ar-SA"/>
                    </w:rPr>
                  </w:pPr>
                  <w:r>
                    <w:rPr>
                      <w:rFonts w:hint="default" w:ascii="Times New Roman" w:hAnsi="Times New Roman" w:cs="Times New Roman" w:eastAsiaTheme="minorEastAsia"/>
                      <w:color w:val="auto"/>
                      <w:sz w:val="21"/>
                      <w:szCs w:val="21"/>
                      <w:u w:val="single"/>
                    </w:rPr>
                    <w:t>100</w:t>
                  </w:r>
                </w:p>
              </w:tc>
            </w:tr>
            <w:tr w14:paraId="3573BF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5" w:type="dxa"/>
                  <w:tcBorders>
                    <w:tl2br w:val="nil"/>
                    <w:tr2bl w:val="nil"/>
                  </w:tcBorders>
                  <w:shd w:val="clear" w:color="auto" w:fill="auto"/>
                  <w:vAlign w:val="center"/>
                </w:tcPr>
                <w:p w14:paraId="6542187C">
                  <w:pPr>
                    <w:keepNext w:val="0"/>
                    <w:keepLines w:val="0"/>
                    <w:widowControl/>
                    <w:suppressLineNumbers w:val="0"/>
                    <w:jc w:val="center"/>
                    <w:textAlignment w:val="center"/>
                    <w:rPr>
                      <w:rFonts w:hint="eastAsia" w:ascii="宋体" w:hAnsi="宋体" w:eastAsia="宋体" w:cs="宋体"/>
                      <w:i w:val="0"/>
                      <w:iCs w:val="0"/>
                      <w:color w:val="auto"/>
                      <w:kern w:val="0"/>
                      <w:sz w:val="21"/>
                      <w:szCs w:val="21"/>
                      <w:u w:val="single"/>
                      <w:lang w:val="en-US" w:eastAsia="zh-CN" w:bidi="ar"/>
                    </w:rPr>
                  </w:pPr>
                </w:p>
              </w:tc>
              <w:tc>
                <w:tcPr>
                  <w:tcW w:w="1841" w:type="dxa"/>
                  <w:tcBorders>
                    <w:tl2br w:val="nil"/>
                    <w:tr2bl w:val="nil"/>
                  </w:tcBorders>
                  <w:vAlign w:val="center"/>
                </w:tcPr>
                <w:p w14:paraId="0B8D10B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1839" w:type="dxa"/>
                  <w:tcBorders>
                    <w:tl2br w:val="nil"/>
                    <w:tr2bl w:val="nil"/>
                  </w:tcBorders>
                  <w:shd w:val="clear" w:color="auto" w:fill="auto"/>
                  <w:vAlign w:val="center"/>
                </w:tcPr>
                <w:p w14:paraId="6DD8E3D4">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highlight w:val="yellow"/>
                      <w:u w:val="single"/>
                      <w:lang w:val="en-US" w:eastAsia="zh-CN"/>
                    </w:rPr>
                  </w:pPr>
                  <w:r>
                    <w:rPr>
                      <w:rFonts w:hint="default" w:ascii="Times New Roman" w:hAnsi="Times New Roman" w:cs="Times New Roman" w:eastAsiaTheme="minorEastAsia"/>
                      <w:color w:val="auto"/>
                      <w:sz w:val="21"/>
                      <w:szCs w:val="21"/>
                      <w:u w:val="single"/>
                      <w:lang w:val="en-US" w:eastAsia="zh-CN"/>
                    </w:rPr>
                    <w:t>干</w:t>
                  </w:r>
                  <w:r>
                    <w:rPr>
                      <w:rFonts w:hint="default" w:ascii="Times New Roman" w:hAnsi="Times New Roman" w:cs="Times New Roman" w:eastAsiaTheme="minorEastAsia"/>
                      <w:color w:val="auto"/>
                      <w:sz w:val="21"/>
                      <w:szCs w:val="21"/>
                      <w:u w:val="single"/>
                    </w:rPr>
                    <w:t>黄柏</w:t>
                  </w:r>
                </w:p>
              </w:tc>
              <w:tc>
                <w:tcPr>
                  <w:tcW w:w="1855" w:type="dxa"/>
                  <w:tcBorders>
                    <w:tl2br w:val="nil"/>
                    <w:tr2bl w:val="nil"/>
                  </w:tcBorders>
                  <w:shd w:val="clear" w:color="auto" w:fill="auto"/>
                  <w:vAlign w:val="center"/>
                </w:tcPr>
                <w:p w14:paraId="7AD15627">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eastAsia="宋体"/>
                      <w:color w:val="auto"/>
                      <w:kern w:val="0"/>
                      <w:szCs w:val="21"/>
                      <w:highlight w:val="yellow"/>
                      <w:u w:val="single"/>
                      <w:lang w:val="en-US" w:eastAsia="zh-CN"/>
                    </w:rPr>
                  </w:pPr>
                  <w:r>
                    <w:rPr>
                      <w:rFonts w:hint="default" w:ascii="Times New Roman" w:hAnsi="Times New Roman" w:cs="Times New Roman" w:eastAsiaTheme="minorEastAsia"/>
                      <w:color w:val="auto"/>
                      <w:sz w:val="21"/>
                      <w:szCs w:val="21"/>
                      <w:u w:val="single"/>
                    </w:rPr>
                    <w:t>100</w:t>
                  </w:r>
                </w:p>
              </w:tc>
            </w:tr>
            <w:tr w14:paraId="38BA69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5" w:type="dxa"/>
                  <w:tcBorders>
                    <w:tl2br w:val="nil"/>
                    <w:tr2bl w:val="nil"/>
                  </w:tcBorders>
                  <w:shd w:val="clear" w:color="auto" w:fill="auto"/>
                  <w:vAlign w:val="center"/>
                </w:tcPr>
                <w:p w14:paraId="68E63A5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single"/>
                      <w:lang w:val="en-US" w:eastAsia="zh-CN" w:bidi="ar"/>
                    </w:rPr>
                  </w:pPr>
                </w:p>
              </w:tc>
              <w:tc>
                <w:tcPr>
                  <w:tcW w:w="1841" w:type="dxa"/>
                  <w:tcBorders>
                    <w:tl2br w:val="nil"/>
                    <w:tr2bl w:val="nil"/>
                  </w:tcBorders>
                  <w:vAlign w:val="center"/>
                </w:tcPr>
                <w:p w14:paraId="176036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1839" w:type="dxa"/>
                  <w:tcBorders>
                    <w:tl2br w:val="nil"/>
                    <w:tr2bl w:val="nil"/>
                  </w:tcBorders>
                  <w:shd w:val="clear" w:color="auto" w:fill="auto"/>
                  <w:vAlign w:val="center"/>
                </w:tcPr>
                <w:p w14:paraId="6CC163C1">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highlight w:val="yellow"/>
                      <w:u w:val="single"/>
                      <w:lang w:val="en-US" w:eastAsia="zh-CN"/>
                    </w:rPr>
                  </w:pPr>
                  <w:r>
                    <w:rPr>
                      <w:rFonts w:hint="default" w:ascii="Times New Roman" w:hAnsi="Times New Roman" w:cs="Times New Roman" w:eastAsiaTheme="minorEastAsia"/>
                      <w:color w:val="auto"/>
                      <w:sz w:val="21"/>
                      <w:szCs w:val="21"/>
                      <w:u w:val="single"/>
                      <w:lang w:val="en-US" w:eastAsia="zh-CN"/>
                    </w:rPr>
                    <w:t>干</w:t>
                  </w:r>
                  <w:r>
                    <w:rPr>
                      <w:rFonts w:hint="default" w:ascii="Times New Roman" w:hAnsi="Times New Roman" w:cs="Times New Roman" w:eastAsiaTheme="minorEastAsia"/>
                      <w:color w:val="auto"/>
                      <w:sz w:val="21"/>
                      <w:szCs w:val="21"/>
                      <w:u w:val="single"/>
                    </w:rPr>
                    <w:t>山银花</w:t>
                  </w:r>
                </w:p>
              </w:tc>
              <w:tc>
                <w:tcPr>
                  <w:tcW w:w="1855" w:type="dxa"/>
                  <w:tcBorders>
                    <w:tl2br w:val="nil"/>
                    <w:tr2bl w:val="nil"/>
                  </w:tcBorders>
                  <w:shd w:val="clear" w:color="auto" w:fill="auto"/>
                  <w:vAlign w:val="center"/>
                </w:tcPr>
                <w:p w14:paraId="5D61BCC1">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eastAsia="宋体"/>
                      <w:color w:val="auto"/>
                      <w:kern w:val="0"/>
                      <w:szCs w:val="21"/>
                      <w:highlight w:val="yellow"/>
                      <w:u w:val="single"/>
                      <w:lang w:val="en-US" w:eastAsia="zh-CN"/>
                    </w:rPr>
                  </w:pPr>
                  <w:r>
                    <w:rPr>
                      <w:rFonts w:hint="eastAsia" w:ascii="Times New Roman" w:hAnsi="Times New Roman" w:cs="Times New Roman" w:eastAsiaTheme="minorEastAsia"/>
                      <w:color w:val="auto"/>
                      <w:sz w:val="21"/>
                      <w:szCs w:val="21"/>
                      <w:u w:val="single"/>
                      <w:lang w:val="en-US" w:eastAsia="zh-CN"/>
                    </w:rPr>
                    <w:t>250</w:t>
                  </w:r>
                </w:p>
              </w:tc>
            </w:tr>
            <w:tr w14:paraId="61BF71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845" w:type="dxa"/>
                  <w:tcBorders>
                    <w:tl2br w:val="nil"/>
                    <w:tr2bl w:val="nil"/>
                  </w:tcBorders>
                  <w:shd w:val="clear" w:color="auto" w:fill="auto"/>
                  <w:vAlign w:val="center"/>
                </w:tcPr>
                <w:p w14:paraId="421E144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single"/>
                      <w:lang w:val="en-US" w:eastAsia="zh-CN" w:bidi="ar"/>
                    </w:rPr>
                  </w:pPr>
                </w:p>
              </w:tc>
              <w:tc>
                <w:tcPr>
                  <w:tcW w:w="1841" w:type="dxa"/>
                  <w:tcBorders>
                    <w:tl2br w:val="nil"/>
                    <w:tr2bl w:val="nil"/>
                  </w:tcBorders>
                  <w:vAlign w:val="center"/>
                </w:tcPr>
                <w:p w14:paraId="2DCF999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1839" w:type="dxa"/>
                  <w:tcBorders>
                    <w:tl2br w:val="nil"/>
                    <w:tr2bl w:val="nil"/>
                  </w:tcBorders>
                  <w:shd w:val="clear" w:color="auto" w:fill="auto"/>
                  <w:vAlign w:val="center"/>
                </w:tcPr>
                <w:p w14:paraId="37B7BAD0">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highlight w:val="yellow"/>
                      <w:u w:val="single"/>
                      <w:lang w:val="en-US" w:eastAsia="zh-CN"/>
                    </w:rPr>
                  </w:pPr>
                  <w:r>
                    <w:rPr>
                      <w:rFonts w:hint="default" w:ascii="Times New Roman" w:hAnsi="Times New Roman" w:cs="Times New Roman" w:eastAsiaTheme="minorEastAsia"/>
                      <w:color w:val="auto"/>
                      <w:sz w:val="21"/>
                      <w:szCs w:val="21"/>
                      <w:u w:val="single"/>
                      <w:lang w:val="en-US" w:eastAsia="zh-CN"/>
                    </w:rPr>
                    <w:t>山银花茶（粉）</w:t>
                  </w:r>
                </w:p>
              </w:tc>
              <w:tc>
                <w:tcPr>
                  <w:tcW w:w="1855" w:type="dxa"/>
                  <w:tcBorders>
                    <w:tl2br w:val="nil"/>
                    <w:tr2bl w:val="nil"/>
                  </w:tcBorders>
                  <w:shd w:val="clear" w:color="auto" w:fill="auto"/>
                  <w:vAlign w:val="center"/>
                </w:tcPr>
                <w:p w14:paraId="427FBB59">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eastAsia" w:eastAsia="宋体"/>
                      <w:color w:val="auto"/>
                      <w:kern w:val="0"/>
                      <w:szCs w:val="21"/>
                      <w:highlight w:val="yellow"/>
                      <w:u w:val="single"/>
                      <w:lang w:val="en-US" w:eastAsia="zh-CN"/>
                    </w:rPr>
                  </w:pPr>
                  <w:r>
                    <w:rPr>
                      <w:rFonts w:hint="default" w:ascii="Times New Roman" w:hAnsi="Times New Roman" w:cs="Times New Roman" w:eastAsiaTheme="minorEastAsia"/>
                      <w:color w:val="auto"/>
                      <w:sz w:val="21"/>
                      <w:szCs w:val="21"/>
                      <w:u w:val="single"/>
                      <w:lang w:val="en-US" w:eastAsia="zh-CN"/>
                    </w:rPr>
                    <w:t>50</w:t>
                  </w:r>
                </w:p>
              </w:tc>
            </w:tr>
            <w:tr w14:paraId="793B16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50" w:type="pct"/>
                  <w:tcBorders>
                    <w:tl2br w:val="nil"/>
                    <w:tr2bl w:val="nil"/>
                  </w:tcBorders>
                  <w:vAlign w:val="center"/>
                </w:tcPr>
                <w:p w14:paraId="320007D6">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p>
              </w:tc>
              <w:tc>
                <w:tcPr>
                  <w:tcW w:w="1247" w:type="pct"/>
                  <w:tcBorders>
                    <w:tl2br w:val="nil"/>
                    <w:tr2bl w:val="nil"/>
                  </w:tcBorders>
                  <w:vAlign w:val="center"/>
                </w:tcPr>
                <w:p w14:paraId="0F737052">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p>
              </w:tc>
              <w:tc>
                <w:tcPr>
                  <w:tcW w:w="1246" w:type="pct"/>
                  <w:tcBorders>
                    <w:tl2br w:val="nil"/>
                    <w:tr2bl w:val="nil"/>
                  </w:tcBorders>
                  <w:vAlign w:val="center"/>
                </w:tcPr>
                <w:p w14:paraId="52300018">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蒸发水分</w:t>
                  </w:r>
                </w:p>
              </w:tc>
              <w:tc>
                <w:tcPr>
                  <w:tcW w:w="1256" w:type="pct"/>
                  <w:tcBorders>
                    <w:tl2br w:val="nil"/>
                    <w:tr2bl w:val="nil"/>
                  </w:tcBorders>
                  <w:vAlign w:val="center"/>
                </w:tcPr>
                <w:p w14:paraId="468695A2">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3200</w:t>
                  </w:r>
                </w:p>
              </w:tc>
            </w:tr>
            <w:tr w14:paraId="085E43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50" w:type="pct"/>
                  <w:tcBorders>
                    <w:tl2br w:val="nil"/>
                    <w:tr2bl w:val="nil"/>
                  </w:tcBorders>
                  <w:vAlign w:val="center"/>
                </w:tcPr>
                <w:p w14:paraId="678614F3">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总计</w:t>
                  </w:r>
                </w:p>
              </w:tc>
              <w:tc>
                <w:tcPr>
                  <w:tcW w:w="1247" w:type="pct"/>
                  <w:tcBorders>
                    <w:tl2br w:val="nil"/>
                    <w:tr2bl w:val="nil"/>
                  </w:tcBorders>
                  <w:vAlign w:val="center"/>
                </w:tcPr>
                <w:p w14:paraId="7E25FBA4">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4000</w:t>
                  </w:r>
                </w:p>
              </w:tc>
              <w:tc>
                <w:tcPr>
                  <w:tcW w:w="1246" w:type="pct"/>
                  <w:tcBorders>
                    <w:tl2br w:val="nil"/>
                    <w:tr2bl w:val="nil"/>
                  </w:tcBorders>
                  <w:vAlign w:val="center"/>
                </w:tcPr>
                <w:p w14:paraId="4AC30894">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default" w:ascii="Times New Roman" w:hAnsi="Times New Roman" w:cs="Times New Roman" w:eastAsiaTheme="minorEastAsia"/>
                      <w:color w:val="auto"/>
                      <w:sz w:val="21"/>
                      <w:szCs w:val="21"/>
                      <w:u w:val="single"/>
                      <w:lang w:val="en-US" w:eastAsia="zh-CN"/>
                    </w:rPr>
                    <w:t>总计</w:t>
                  </w:r>
                </w:p>
              </w:tc>
              <w:tc>
                <w:tcPr>
                  <w:tcW w:w="1256" w:type="pct"/>
                  <w:tcBorders>
                    <w:tl2br w:val="nil"/>
                    <w:tr2bl w:val="nil"/>
                  </w:tcBorders>
                  <w:vAlign w:val="center"/>
                </w:tcPr>
                <w:p w14:paraId="15754239">
                  <w:pPr>
                    <w:pStyle w:val="1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center"/>
                    <w:textAlignment w:val="baseline"/>
                    <w:rPr>
                      <w:rFonts w:hint="default" w:ascii="Times New Roman" w:hAnsi="Times New Roman" w:cs="Times New Roman" w:eastAsiaTheme="minorEastAsia"/>
                      <w:color w:val="auto"/>
                      <w:sz w:val="21"/>
                      <w:szCs w:val="21"/>
                      <w:u w:val="single"/>
                      <w:lang w:val="en-US" w:eastAsia="zh-CN"/>
                    </w:rPr>
                  </w:pPr>
                  <w:r>
                    <w:rPr>
                      <w:rFonts w:hint="eastAsia" w:ascii="Times New Roman" w:hAnsi="Times New Roman" w:cs="Times New Roman" w:eastAsiaTheme="minorEastAsia"/>
                      <w:color w:val="auto"/>
                      <w:sz w:val="21"/>
                      <w:szCs w:val="21"/>
                      <w:u w:val="single"/>
                      <w:lang w:val="en-US" w:eastAsia="zh-CN"/>
                    </w:rPr>
                    <w:t>4000</w:t>
                  </w:r>
                </w:p>
              </w:tc>
            </w:tr>
          </w:tbl>
          <w:p w14:paraId="6755C5BB">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lang w:val="en-US" w:eastAsia="zh-CN"/>
              </w:rPr>
              <w:t>主要设备</w:t>
            </w:r>
          </w:p>
          <w:p w14:paraId="0CE39D5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u w:val="none"/>
                <w:lang w:eastAsia="zh-CN"/>
              </w:rPr>
            </w:pPr>
            <w:r>
              <w:rPr>
                <w:rFonts w:hint="eastAsia" w:eastAsia="宋体" w:cs="Times New Roman"/>
                <w:color w:val="auto"/>
                <w:kern w:val="0"/>
                <w:sz w:val="24"/>
                <w:u w:val="none"/>
                <w:lang w:val="en-US" w:eastAsia="zh-CN"/>
              </w:rPr>
              <w:t>本项目</w:t>
            </w:r>
            <w:r>
              <w:rPr>
                <w:rFonts w:hint="default" w:ascii="Times New Roman" w:hAnsi="Times New Roman" w:eastAsia="CIDFont" w:cs="Times New Roman"/>
                <w:color w:val="auto"/>
                <w:kern w:val="0"/>
                <w:sz w:val="24"/>
                <w:u w:val="none"/>
              </w:rPr>
              <w:t>主要设备清单见下表</w:t>
            </w:r>
            <w:r>
              <w:rPr>
                <w:rFonts w:hint="eastAsia" w:eastAsia="宋体" w:cs="Times New Roman"/>
                <w:color w:val="auto"/>
                <w:kern w:val="0"/>
                <w:sz w:val="24"/>
                <w:u w:val="none"/>
                <w:lang w:eastAsia="zh-CN"/>
              </w:rPr>
              <w:t>：</w:t>
            </w:r>
          </w:p>
          <w:p w14:paraId="784400FA">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表2-</w:t>
            </w:r>
            <w:r>
              <w:rPr>
                <w:rFonts w:hint="eastAsia" w:cs="Times New Roman"/>
                <w:color w:val="auto"/>
                <w:sz w:val="24"/>
                <w:szCs w:val="24"/>
                <w:u w:val="single"/>
                <w:lang w:val="en-US" w:eastAsia="zh-CN"/>
              </w:rPr>
              <w:t>12</w:t>
            </w:r>
            <w:r>
              <w:rPr>
                <w:rFonts w:hint="default" w:ascii="Times New Roman" w:hAnsi="Times New Roman" w:eastAsia="宋体" w:cs="Times New Roman"/>
                <w:color w:val="auto"/>
                <w:sz w:val="24"/>
                <w:szCs w:val="24"/>
                <w:u w:val="single"/>
                <w:lang w:val="en-US" w:eastAsia="zh-CN"/>
              </w:rPr>
              <w:t xml:space="preserve"> </w:t>
            </w:r>
            <w:r>
              <w:rPr>
                <w:rFonts w:hint="eastAsia" w:ascii="Times New Roman" w:hAnsi="Times New Roman" w:eastAsia="宋体"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u w:val="single"/>
                <w:lang w:val="en-US" w:eastAsia="zh-CN"/>
              </w:rPr>
              <w:t>主要设备</w:t>
            </w:r>
            <w:bookmarkEnd w:id="8"/>
            <w:r>
              <w:rPr>
                <w:rFonts w:hint="default" w:ascii="Times New Roman" w:hAnsi="Times New Roman" w:eastAsia="宋体" w:cs="Times New Roman"/>
                <w:color w:val="auto"/>
                <w:sz w:val="24"/>
                <w:szCs w:val="24"/>
                <w:u w:val="single"/>
                <w:lang w:val="en-US" w:eastAsia="zh-CN"/>
              </w:rPr>
              <w:t>一览表</w:t>
            </w:r>
          </w:p>
          <w:tbl>
            <w:tblPr>
              <w:tblStyle w:val="33"/>
              <w:tblW w:w="7462" w:type="dxa"/>
              <w:tblInd w:w="-7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152"/>
              <w:gridCol w:w="1613"/>
              <w:gridCol w:w="837"/>
              <w:gridCol w:w="900"/>
              <w:gridCol w:w="775"/>
              <w:gridCol w:w="1175"/>
            </w:tblGrid>
            <w:tr w14:paraId="2B888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tcBorders>
                    <w:tl2br w:val="nil"/>
                    <w:tr2bl w:val="nil"/>
                  </w:tcBorders>
                  <w:noWrap w:val="0"/>
                  <w:vAlign w:val="center"/>
                </w:tcPr>
                <w:p w14:paraId="6CCE7C0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建筑物名称</w:t>
                  </w:r>
                </w:p>
              </w:tc>
              <w:tc>
                <w:tcPr>
                  <w:tcW w:w="771" w:type="pct"/>
                  <w:tcBorders>
                    <w:tl2br w:val="nil"/>
                    <w:tr2bl w:val="nil"/>
                  </w:tcBorders>
                  <w:noWrap w:val="0"/>
                  <w:vAlign w:val="center"/>
                </w:tcPr>
                <w:p w14:paraId="0D36D77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房间名称</w:t>
                  </w:r>
                </w:p>
              </w:tc>
              <w:tc>
                <w:tcPr>
                  <w:tcW w:w="1080" w:type="pct"/>
                  <w:tcBorders>
                    <w:tl2br w:val="nil"/>
                    <w:tr2bl w:val="nil"/>
                  </w:tcBorders>
                  <w:noWrap w:val="0"/>
                  <w:vAlign w:val="center"/>
                </w:tcPr>
                <w:p w14:paraId="5BBEEFA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设备名称</w:t>
                  </w:r>
                </w:p>
              </w:tc>
              <w:tc>
                <w:tcPr>
                  <w:tcW w:w="560" w:type="pct"/>
                  <w:tcBorders>
                    <w:tl2br w:val="nil"/>
                    <w:tr2bl w:val="nil"/>
                  </w:tcBorders>
                  <w:noWrap w:val="0"/>
                  <w:vAlign w:val="center"/>
                </w:tcPr>
                <w:p w14:paraId="0814379D">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功率（kw）</w:t>
                  </w:r>
                </w:p>
              </w:tc>
              <w:tc>
                <w:tcPr>
                  <w:tcW w:w="603" w:type="pct"/>
                  <w:tcBorders>
                    <w:tl2br w:val="nil"/>
                    <w:tr2bl w:val="nil"/>
                  </w:tcBorders>
                  <w:noWrap w:val="0"/>
                  <w:vAlign w:val="center"/>
                </w:tcPr>
                <w:p w14:paraId="368B8DB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型号</w:t>
                  </w:r>
                </w:p>
              </w:tc>
              <w:tc>
                <w:tcPr>
                  <w:tcW w:w="519" w:type="pct"/>
                  <w:tcBorders>
                    <w:tl2br w:val="nil"/>
                    <w:tr2bl w:val="nil"/>
                  </w:tcBorders>
                  <w:noWrap w:val="0"/>
                  <w:vAlign w:val="center"/>
                </w:tcPr>
                <w:p w14:paraId="0D1154FA">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数量（台）</w:t>
                  </w:r>
                </w:p>
              </w:tc>
              <w:tc>
                <w:tcPr>
                  <w:tcW w:w="787" w:type="pct"/>
                  <w:tcBorders>
                    <w:tl2br w:val="nil"/>
                    <w:tr2bl w:val="nil"/>
                  </w:tcBorders>
                  <w:noWrap w:val="0"/>
                  <w:vAlign w:val="center"/>
                </w:tcPr>
                <w:p w14:paraId="233E634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备注</w:t>
                  </w:r>
                </w:p>
              </w:tc>
            </w:tr>
            <w:tr w14:paraId="678C7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restart"/>
                  <w:tcBorders>
                    <w:tl2br w:val="nil"/>
                    <w:tr2bl w:val="nil"/>
                  </w:tcBorders>
                  <w:noWrap w:val="0"/>
                  <w:vAlign w:val="center"/>
                </w:tcPr>
                <w:p w14:paraId="69A5E5F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原料预处理车间</w:t>
                  </w:r>
                </w:p>
              </w:tc>
              <w:tc>
                <w:tcPr>
                  <w:tcW w:w="771" w:type="pct"/>
                  <w:vMerge w:val="restart"/>
                  <w:tcBorders>
                    <w:tl2br w:val="nil"/>
                    <w:tr2bl w:val="nil"/>
                  </w:tcBorders>
                  <w:noWrap w:val="0"/>
                  <w:vAlign w:val="center"/>
                </w:tcPr>
                <w:p w14:paraId="4727A7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原料预处理车间</w:t>
                  </w:r>
                </w:p>
              </w:tc>
              <w:tc>
                <w:tcPr>
                  <w:tcW w:w="1080" w:type="pct"/>
                  <w:tcBorders>
                    <w:tl2br w:val="nil"/>
                    <w:tr2bl w:val="nil"/>
                  </w:tcBorders>
                  <w:noWrap w:val="0"/>
                  <w:vAlign w:val="center"/>
                </w:tcPr>
                <w:p w14:paraId="6BA18134">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杀青机</w:t>
                  </w:r>
                </w:p>
              </w:tc>
              <w:tc>
                <w:tcPr>
                  <w:tcW w:w="560" w:type="pct"/>
                  <w:tcBorders>
                    <w:tl2br w:val="nil"/>
                    <w:tr2bl w:val="nil"/>
                  </w:tcBorders>
                  <w:noWrap w:val="0"/>
                  <w:vAlign w:val="center"/>
                </w:tcPr>
                <w:p w14:paraId="53DAD2FA">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5</w:t>
                  </w:r>
                </w:p>
              </w:tc>
              <w:tc>
                <w:tcPr>
                  <w:tcW w:w="603" w:type="pct"/>
                  <w:tcBorders>
                    <w:tl2br w:val="nil"/>
                    <w:tr2bl w:val="nil"/>
                  </w:tcBorders>
                  <w:noWrap w:val="0"/>
                  <w:vAlign w:val="center"/>
                </w:tcPr>
                <w:p w14:paraId="204D12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32874A59">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restart"/>
                  <w:tcBorders>
                    <w:tl2br w:val="nil"/>
                    <w:tr2bl w:val="nil"/>
                  </w:tcBorders>
                  <w:noWrap w:val="0"/>
                  <w:vAlign w:val="center"/>
                </w:tcPr>
                <w:p w14:paraId="54C2B6A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新建</w:t>
                  </w:r>
                </w:p>
              </w:tc>
            </w:tr>
            <w:tr w14:paraId="10969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4C27A9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continue"/>
                  <w:tcBorders>
                    <w:tl2br w:val="nil"/>
                    <w:tr2bl w:val="nil"/>
                  </w:tcBorders>
                  <w:noWrap w:val="0"/>
                  <w:vAlign w:val="center"/>
                </w:tcPr>
                <w:p w14:paraId="2A24AF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1080" w:type="pct"/>
                  <w:tcBorders>
                    <w:tl2br w:val="nil"/>
                    <w:tr2bl w:val="nil"/>
                  </w:tcBorders>
                  <w:noWrap w:val="0"/>
                  <w:vAlign w:val="center"/>
                </w:tcPr>
                <w:p w14:paraId="10EE50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半自动烘干机</w:t>
                  </w:r>
                </w:p>
              </w:tc>
              <w:tc>
                <w:tcPr>
                  <w:tcW w:w="560" w:type="pct"/>
                  <w:tcBorders>
                    <w:tl2br w:val="nil"/>
                    <w:tr2bl w:val="nil"/>
                  </w:tcBorders>
                  <w:noWrap w:val="0"/>
                  <w:vAlign w:val="center"/>
                </w:tcPr>
                <w:p w14:paraId="183CC031">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7.5</w:t>
                  </w:r>
                </w:p>
              </w:tc>
              <w:tc>
                <w:tcPr>
                  <w:tcW w:w="603" w:type="pct"/>
                  <w:tcBorders>
                    <w:tl2br w:val="nil"/>
                    <w:tr2bl w:val="nil"/>
                  </w:tcBorders>
                  <w:noWrap w:val="0"/>
                  <w:vAlign w:val="center"/>
                </w:tcPr>
                <w:p w14:paraId="2304301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6CB168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407A8A1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34111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restart"/>
                  <w:tcBorders>
                    <w:tl2br w:val="nil"/>
                    <w:tr2bl w:val="nil"/>
                  </w:tcBorders>
                  <w:noWrap w:val="0"/>
                  <w:vAlign w:val="center"/>
                </w:tcPr>
                <w:p w14:paraId="41E94A7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清洗区</w:t>
                  </w:r>
                </w:p>
              </w:tc>
              <w:tc>
                <w:tcPr>
                  <w:tcW w:w="771" w:type="pct"/>
                  <w:vMerge w:val="restart"/>
                  <w:tcBorders>
                    <w:tl2br w:val="nil"/>
                    <w:tr2bl w:val="nil"/>
                  </w:tcBorders>
                  <w:noWrap w:val="0"/>
                  <w:vAlign w:val="center"/>
                </w:tcPr>
                <w:p w14:paraId="52993A60">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清洗区</w:t>
                  </w:r>
                </w:p>
              </w:tc>
              <w:tc>
                <w:tcPr>
                  <w:tcW w:w="1080" w:type="pct"/>
                  <w:tcBorders>
                    <w:tl2br w:val="nil"/>
                    <w:tr2bl w:val="nil"/>
                  </w:tcBorders>
                  <w:noWrap w:val="0"/>
                  <w:vAlign w:val="center"/>
                </w:tcPr>
                <w:p w14:paraId="15872F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滚筒清洗机</w:t>
                  </w:r>
                </w:p>
              </w:tc>
              <w:tc>
                <w:tcPr>
                  <w:tcW w:w="560" w:type="pct"/>
                  <w:tcBorders>
                    <w:tl2br w:val="nil"/>
                    <w:tr2bl w:val="nil"/>
                  </w:tcBorders>
                  <w:noWrap w:val="0"/>
                  <w:vAlign w:val="center"/>
                </w:tcPr>
                <w:p w14:paraId="2243ED2E">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3</w:t>
                  </w:r>
                </w:p>
              </w:tc>
              <w:tc>
                <w:tcPr>
                  <w:tcW w:w="603" w:type="pct"/>
                  <w:tcBorders>
                    <w:tl2br w:val="nil"/>
                    <w:tr2bl w:val="nil"/>
                  </w:tcBorders>
                  <w:noWrap w:val="0"/>
                  <w:vAlign w:val="center"/>
                </w:tcPr>
                <w:p w14:paraId="4E790E1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629C1D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2</w:t>
                  </w:r>
                </w:p>
              </w:tc>
              <w:tc>
                <w:tcPr>
                  <w:tcW w:w="787" w:type="pct"/>
                  <w:vMerge w:val="continue"/>
                  <w:tcBorders>
                    <w:tl2br w:val="nil"/>
                    <w:tr2bl w:val="nil"/>
                  </w:tcBorders>
                  <w:noWrap w:val="0"/>
                  <w:vAlign w:val="center"/>
                </w:tcPr>
                <w:p w14:paraId="077532A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778A1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3ACF2DE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continue"/>
                  <w:tcBorders>
                    <w:tl2br w:val="nil"/>
                    <w:tr2bl w:val="nil"/>
                  </w:tcBorders>
                  <w:noWrap w:val="0"/>
                  <w:vAlign w:val="center"/>
                </w:tcPr>
                <w:p w14:paraId="398C948D">
                  <w:pPr>
                    <w:jc w:val="center"/>
                    <w:rPr>
                      <w:rFonts w:hint="default" w:ascii="Times New Roman" w:hAnsi="Times New Roman" w:eastAsia="宋体" w:cs="Times New Roman"/>
                      <w:i w:val="0"/>
                      <w:iCs w:val="0"/>
                      <w:color w:val="auto"/>
                      <w:kern w:val="0"/>
                      <w:sz w:val="21"/>
                      <w:szCs w:val="21"/>
                      <w:u w:val="single"/>
                      <w:lang w:val="en-US" w:eastAsia="zh-CN" w:bidi="ar"/>
                    </w:rPr>
                  </w:pPr>
                </w:p>
              </w:tc>
              <w:tc>
                <w:tcPr>
                  <w:tcW w:w="1080" w:type="pct"/>
                  <w:tcBorders>
                    <w:tl2br w:val="nil"/>
                    <w:tr2bl w:val="nil"/>
                  </w:tcBorders>
                  <w:noWrap w:val="0"/>
                  <w:vAlign w:val="center"/>
                </w:tcPr>
                <w:p w14:paraId="195F2E9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2.5T生物质燃料蒸汽发生器</w:t>
                  </w:r>
                </w:p>
              </w:tc>
              <w:tc>
                <w:tcPr>
                  <w:tcW w:w="560" w:type="pct"/>
                  <w:tcBorders>
                    <w:tl2br w:val="nil"/>
                    <w:tr2bl w:val="nil"/>
                  </w:tcBorders>
                  <w:noWrap w:val="0"/>
                  <w:vAlign w:val="center"/>
                </w:tcPr>
                <w:p w14:paraId="39AB52A3">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16</w:t>
                  </w:r>
                </w:p>
              </w:tc>
              <w:tc>
                <w:tcPr>
                  <w:tcW w:w="603" w:type="pct"/>
                  <w:tcBorders>
                    <w:tl2br w:val="nil"/>
                    <w:tr2bl w:val="nil"/>
                  </w:tcBorders>
                  <w:noWrap w:val="0"/>
                  <w:vAlign w:val="center"/>
                </w:tcPr>
                <w:p w14:paraId="3DCCA6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2.5t/h</w:t>
                  </w:r>
                </w:p>
              </w:tc>
              <w:tc>
                <w:tcPr>
                  <w:tcW w:w="519" w:type="pct"/>
                  <w:tcBorders>
                    <w:tl2br w:val="nil"/>
                    <w:tr2bl w:val="nil"/>
                  </w:tcBorders>
                  <w:noWrap w:val="0"/>
                  <w:vAlign w:val="center"/>
                </w:tcPr>
                <w:p w14:paraId="2C21BA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409FA3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49F5E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631698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continue"/>
                  <w:tcBorders>
                    <w:tl2br w:val="nil"/>
                    <w:tr2bl w:val="nil"/>
                  </w:tcBorders>
                  <w:noWrap w:val="0"/>
                  <w:vAlign w:val="center"/>
                </w:tcPr>
                <w:p w14:paraId="37F479CE">
                  <w:pPr>
                    <w:jc w:val="center"/>
                    <w:rPr>
                      <w:rFonts w:hint="default" w:ascii="Times New Roman" w:hAnsi="Times New Roman" w:eastAsia="宋体" w:cs="Times New Roman"/>
                      <w:i w:val="0"/>
                      <w:iCs w:val="0"/>
                      <w:color w:val="auto"/>
                      <w:kern w:val="0"/>
                      <w:sz w:val="21"/>
                      <w:szCs w:val="21"/>
                      <w:u w:val="single"/>
                      <w:lang w:val="en-US" w:eastAsia="zh-CN" w:bidi="ar"/>
                    </w:rPr>
                  </w:pPr>
                </w:p>
              </w:tc>
              <w:tc>
                <w:tcPr>
                  <w:tcW w:w="1080" w:type="pct"/>
                  <w:tcBorders>
                    <w:tl2br w:val="nil"/>
                    <w:tr2bl w:val="nil"/>
                  </w:tcBorders>
                  <w:noWrap w:val="0"/>
                  <w:vAlign w:val="center"/>
                </w:tcPr>
                <w:p w14:paraId="78C17F5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生物质热风炉</w:t>
                  </w:r>
                </w:p>
              </w:tc>
              <w:tc>
                <w:tcPr>
                  <w:tcW w:w="560" w:type="pct"/>
                  <w:tcBorders>
                    <w:tl2br w:val="nil"/>
                    <w:tr2bl w:val="nil"/>
                  </w:tcBorders>
                  <w:noWrap w:val="0"/>
                  <w:vAlign w:val="center"/>
                </w:tcPr>
                <w:p w14:paraId="36F7F186">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7.5</w:t>
                  </w:r>
                </w:p>
              </w:tc>
              <w:tc>
                <w:tcPr>
                  <w:tcW w:w="603" w:type="pct"/>
                  <w:tcBorders>
                    <w:tl2br w:val="nil"/>
                    <w:tr2bl w:val="nil"/>
                  </w:tcBorders>
                  <w:noWrap w:val="0"/>
                  <w:vAlign w:val="center"/>
                </w:tcPr>
                <w:p w14:paraId="52A9408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40万卡</w:t>
                  </w:r>
                </w:p>
              </w:tc>
              <w:tc>
                <w:tcPr>
                  <w:tcW w:w="519" w:type="pct"/>
                  <w:tcBorders>
                    <w:tl2br w:val="nil"/>
                    <w:tr2bl w:val="nil"/>
                  </w:tcBorders>
                  <w:noWrap w:val="0"/>
                  <w:vAlign w:val="center"/>
                </w:tcPr>
                <w:p w14:paraId="73C5B9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4</w:t>
                  </w:r>
                </w:p>
              </w:tc>
              <w:tc>
                <w:tcPr>
                  <w:tcW w:w="787" w:type="pct"/>
                  <w:vMerge w:val="continue"/>
                  <w:tcBorders>
                    <w:tl2br w:val="nil"/>
                    <w:tr2bl w:val="nil"/>
                  </w:tcBorders>
                  <w:noWrap w:val="0"/>
                  <w:vAlign w:val="center"/>
                </w:tcPr>
                <w:p w14:paraId="24528EC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31E86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restart"/>
                  <w:tcBorders>
                    <w:tl2br w:val="nil"/>
                    <w:tr2bl w:val="nil"/>
                  </w:tcBorders>
                  <w:noWrap w:val="0"/>
                  <w:vAlign w:val="center"/>
                </w:tcPr>
                <w:p w14:paraId="0C9E22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i w:val="0"/>
                      <w:iCs w:val="0"/>
                      <w:color w:val="auto"/>
                      <w:kern w:val="0"/>
                      <w:sz w:val="21"/>
                      <w:szCs w:val="21"/>
                      <w:u w:val="single"/>
                      <w:lang w:val="en-US" w:eastAsia="zh-CN" w:bidi="ar"/>
                    </w:rPr>
                    <w:t>生产车间</w:t>
                  </w:r>
                </w:p>
              </w:tc>
              <w:tc>
                <w:tcPr>
                  <w:tcW w:w="771" w:type="pct"/>
                  <w:vMerge w:val="restart"/>
                  <w:tcBorders>
                    <w:tl2br w:val="nil"/>
                    <w:tr2bl w:val="nil"/>
                  </w:tcBorders>
                  <w:noWrap w:val="0"/>
                  <w:vAlign w:val="center"/>
                </w:tcPr>
                <w:p w14:paraId="19002A0B">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洗润间</w:t>
                  </w:r>
                </w:p>
              </w:tc>
              <w:tc>
                <w:tcPr>
                  <w:tcW w:w="1080" w:type="pct"/>
                  <w:tcBorders>
                    <w:tl2br w:val="nil"/>
                    <w:tr2bl w:val="nil"/>
                  </w:tcBorders>
                  <w:noWrap w:val="0"/>
                  <w:vAlign w:val="center"/>
                </w:tcPr>
                <w:p w14:paraId="1C0EA89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全自动蒸汽发生器</w:t>
                  </w:r>
                </w:p>
              </w:tc>
              <w:tc>
                <w:tcPr>
                  <w:tcW w:w="560" w:type="pct"/>
                  <w:tcBorders>
                    <w:tl2br w:val="nil"/>
                    <w:tr2bl w:val="nil"/>
                  </w:tcBorders>
                  <w:noWrap w:val="0"/>
                  <w:vAlign w:val="center"/>
                </w:tcPr>
                <w:p w14:paraId="07935915">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24</w:t>
                  </w:r>
                </w:p>
              </w:tc>
              <w:tc>
                <w:tcPr>
                  <w:tcW w:w="603" w:type="pct"/>
                  <w:tcBorders>
                    <w:tl2br w:val="nil"/>
                    <w:tr2bl w:val="nil"/>
                  </w:tcBorders>
                  <w:noWrap w:val="0"/>
                  <w:vAlign w:val="center"/>
                </w:tcPr>
                <w:p w14:paraId="101054A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6316393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restart"/>
                  <w:tcBorders>
                    <w:tl2br w:val="nil"/>
                    <w:tr2bl w:val="nil"/>
                  </w:tcBorders>
                  <w:noWrap w:val="0"/>
                  <w:vAlign w:val="center"/>
                </w:tcPr>
                <w:p w14:paraId="433B459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利用租赁厂区原有设备</w:t>
                  </w:r>
                </w:p>
              </w:tc>
            </w:tr>
            <w:tr w14:paraId="69BE5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1842D15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continue"/>
                  <w:tcBorders>
                    <w:tl2br w:val="nil"/>
                    <w:tr2bl w:val="nil"/>
                  </w:tcBorders>
                  <w:noWrap w:val="0"/>
                  <w:vAlign w:val="center"/>
                </w:tcPr>
                <w:p w14:paraId="730656BB">
                  <w:pPr>
                    <w:jc w:val="center"/>
                    <w:rPr>
                      <w:rFonts w:hint="default" w:ascii="Times New Roman" w:hAnsi="Times New Roman" w:eastAsia="宋体" w:cs="Times New Roman"/>
                      <w:i w:val="0"/>
                      <w:iCs w:val="0"/>
                      <w:color w:val="auto"/>
                      <w:kern w:val="0"/>
                      <w:sz w:val="21"/>
                      <w:szCs w:val="21"/>
                      <w:u w:val="single"/>
                      <w:lang w:val="en-US" w:eastAsia="zh-CN" w:bidi="ar"/>
                    </w:rPr>
                  </w:pPr>
                </w:p>
              </w:tc>
              <w:tc>
                <w:tcPr>
                  <w:tcW w:w="1080" w:type="pct"/>
                  <w:tcBorders>
                    <w:tl2br w:val="nil"/>
                    <w:tr2bl w:val="nil"/>
                  </w:tcBorders>
                  <w:noWrap w:val="0"/>
                  <w:vAlign w:val="center"/>
                </w:tcPr>
                <w:p w14:paraId="0F3C84E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汽相置换式润药机</w:t>
                  </w:r>
                </w:p>
              </w:tc>
              <w:tc>
                <w:tcPr>
                  <w:tcW w:w="560" w:type="pct"/>
                  <w:tcBorders>
                    <w:tl2br w:val="nil"/>
                    <w:tr2bl w:val="nil"/>
                  </w:tcBorders>
                  <w:noWrap w:val="0"/>
                  <w:vAlign w:val="center"/>
                </w:tcPr>
                <w:p w14:paraId="431602D9">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3.15</w:t>
                  </w:r>
                </w:p>
              </w:tc>
              <w:tc>
                <w:tcPr>
                  <w:tcW w:w="603" w:type="pct"/>
                  <w:tcBorders>
                    <w:tl2br w:val="nil"/>
                    <w:tr2bl w:val="nil"/>
                  </w:tcBorders>
                  <w:noWrap w:val="0"/>
                  <w:vAlign w:val="center"/>
                </w:tcPr>
                <w:p w14:paraId="72C9D51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4F92D6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7596030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2FA85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6E123D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771" w:type="pct"/>
                  <w:tcBorders>
                    <w:tl2br w:val="nil"/>
                    <w:tr2bl w:val="nil"/>
                  </w:tcBorders>
                  <w:noWrap w:val="0"/>
                  <w:vAlign w:val="center"/>
                </w:tcPr>
                <w:p w14:paraId="2D3C0D39">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煅制间</w:t>
                  </w:r>
                </w:p>
              </w:tc>
              <w:tc>
                <w:tcPr>
                  <w:tcW w:w="1080" w:type="pct"/>
                  <w:tcBorders>
                    <w:tl2br w:val="nil"/>
                    <w:tr2bl w:val="nil"/>
                  </w:tcBorders>
                  <w:noWrap w:val="0"/>
                  <w:vAlign w:val="center"/>
                </w:tcPr>
                <w:p w14:paraId="0B62591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DYJ-600煅药机</w:t>
                  </w:r>
                </w:p>
              </w:tc>
              <w:tc>
                <w:tcPr>
                  <w:tcW w:w="560" w:type="pct"/>
                  <w:tcBorders>
                    <w:tl2br w:val="nil"/>
                    <w:tr2bl w:val="nil"/>
                  </w:tcBorders>
                  <w:noWrap w:val="0"/>
                  <w:vAlign w:val="center"/>
                </w:tcPr>
                <w:p w14:paraId="75492199">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9</w:t>
                  </w:r>
                </w:p>
              </w:tc>
              <w:tc>
                <w:tcPr>
                  <w:tcW w:w="603" w:type="pct"/>
                  <w:tcBorders>
                    <w:tl2br w:val="nil"/>
                    <w:tr2bl w:val="nil"/>
                  </w:tcBorders>
                  <w:noWrap w:val="0"/>
                  <w:vAlign w:val="center"/>
                </w:tcPr>
                <w:p w14:paraId="6AC5EAF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02192E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0464F3D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7B80F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0C60ED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restart"/>
                  <w:tcBorders>
                    <w:tl2br w:val="nil"/>
                    <w:tr2bl w:val="nil"/>
                  </w:tcBorders>
                  <w:noWrap w:val="0"/>
                  <w:vAlign w:val="center"/>
                </w:tcPr>
                <w:p w14:paraId="58010B60">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蒸煮间</w:t>
                  </w:r>
                </w:p>
              </w:tc>
              <w:tc>
                <w:tcPr>
                  <w:tcW w:w="1080" w:type="pct"/>
                  <w:tcBorders>
                    <w:tl2br w:val="nil"/>
                    <w:tr2bl w:val="nil"/>
                  </w:tcBorders>
                  <w:noWrap w:val="0"/>
                  <w:vAlign w:val="center"/>
                </w:tcPr>
                <w:p w14:paraId="6180C79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全自动蒸汽发生器</w:t>
                  </w:r>
                </w:p>
              </w:tc>
              <w:tc>
                <w:tcPr>
                  <w:tcW w:w="560" w:type="pct"/>
                  <w:tcBorders>
                    <w:tl2br w:val="nil"/>
                    <w:tr2bl w:val="nil"/>
                  </w:tcBorders>
                  <w:noWrap w:val="0"/>
                  <w:vAlign w:val="center"/>
                </w:tcPr>
                <w:p w14:paraId="26ECD812">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24</w:t>
                  </w:r>
                </w:p>
              </w:tc>
              <w:tc>
                <w:tcPr>
                  <w:tcW w:w="603" w:type="pct"/>
                  <w:tcBorders>
                    <w:tl2br w:val="nil"/>
                    <w:tr2bl w:val="nil"/>
                  </w:tcBorders>
                  <w:noWrap w:val="0"/>
                  <w:vAlign w:val="center"/>
                </w:tcPr>
                <w:p w14:paraId="7889C3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1A6131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5B34845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68F0B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6EEE5F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continue"/>
                  <w:tcBorders>
                    <w:tl2br w:val="nil"/>
                    <w:tr2bl w:val="nil"/>
                  </w:tcBorders>
                  <w:noWrap w:val="0"/>
                  <w:vAlign w:val="center"/>
                </w:tcPr>
                <w:p w14:paraId="6CB4E600">
                  <w:pPr>
                    <w:jc w:val="center"/>
                    <w:rPr>
                      <w:rFonts w:hint="default" w:ascii="Times New Roman" w:hAnsi="Times New Roman" w:eastAsia="宋体" w:cs="Times New Roman"/>
                      <w:i w:val="0"/>
                      <w:iCs w:val="0"/>
                      <w:color w:val="auto"/>
                      <w:kern w:val="0"/>
                      <w:sz w:val="21"/>
                      <w:szCs w:val="21"/>
                      <w:u w:val="single"/>
                      <w:lang w:val="en-US" w:eastAsia="zh-CN" w:bidi="ar"/>
                    </w:rPr>
                  </w:pPr>
                </w:p>
              </w:tc>
              <w:tc>
                <w:tcPr>
                  <w:tcW w:w="1080" w:type="pct"/>
                  <w:tcBorders>
                    <w:tl2br w:val="nil"/>
                    <w:tr2bl w:val="nil"/>
                  </w:tcBorders>
                  <w:noWrap w:val="0"/>
                  <w:vAlign w:val="center"/>
                </w:tcPr>
                <w:p w14:paraId="43B6801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脱皮机</w:t>
                  </w:r>
                </w:p>
              </w:tc>
              <w:tc>
                <w:tcPr>
                  <w:tcW w:w="560" w:type="pct"/>
                  <w:tcBorders>
                    <w:tl2br w:val="nil"/>
                    <w:tr2bl w:val="nil"/>
                  </w:tcBorders>
                  <w:noWrap w:val="0"/>
                  <w:vAlign w:val="center"/>
                </w:tcPr>
                <w:p w14:paraId="5EDE862F">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0.55</w:t>
                  </w:r>
                </w:p>
              </w:tc>
              <w:tc>
                <w:tcPr>
                  <w:tcW w:w="603" w:type="pct"/>
                  <w:tcBorders>
                    <w:tl2br w:val="nil"/>
                    <w:tr2bl w:val="nil"/>
                  </w:tcBorders>
                  <w:noWrap w:val="0"/>
                  <w:vAlign w:val="center"/>
                </w:tcPr>
                <w:p w14:paraId="77942E0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7EF594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20D04AE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661323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31D606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continue"/>
                  <w:tcBorders>
                    <w:tl2br w:val="nil"/>
                    <w:tr2bl w:val="nil"/>
                  </w:tcBorders>
                  <w:noWrap w:val="0"/>
                  <w:vAlign w:val="center"/>
                </w:tcPr>
                <w:p w14:paraId="2DFC2133">
                  <w:pPr>
                    <w:jc w:val="center"/>
                    <w:rPr>
                      <w:rFonts w:hint="default" w:ascii="Times New Roman" w:hAnsi="Times New Roman" w:eastAsia="宋体" w:cs="Times New Roman"/>
                      <w:i w:val="0"/>
                      <w:iCs w:val="0"/>
                      <w:color w:val="auto"/>
                      <w:kern w:val="0"/>
                      <w:sz w:val="21"/>
                      <w:szCs w:val="21"/>
                      <w:u w:val="single"/>
                      <w:lang w:val="en-US" w:eastAsia="zh-CN" w:bidi="ar"/>
                    </w:rPr>
                  </w:pPr>
                </w:p>
              </w:tc>
              <w:tc>
                <w:tcPr>
                  <w:tcW w:w="1080" w:type="pct"/>
                  <w:tcBorders>
                    <w:tl2br w:val="nil"/>
                    <w:tr2bl w:val="nil"/>
                  </w:tcBorders>
                  <w:noWrap w:val="0"/>
                  <w:vAlign w:val="center"/>
                </w:tcPr>
                <w:p w14:paraId="3DEAA86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可倾式蒸煮锅</w:t>
                  </w:r>
                </w:p>
              </w:tc>
              <w:tc>
                <w:tcPr>
                  <w:tcW w:w="560" w:type="pct"/>
                  <w:tcBorders>
                    <w:tl2br w:val="nil"/>
                    <w:tr2bl w:val="nil"/>
                  </w:tcBorders>
                  <w:noWrap w:val="0"/>
                  <w:vAlign w:val="center"/>
                </w:tcPr>
                <w:p w14:paraId="6E2A6710">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0.55</w:t>
                  </w:r>
                </w:p>
              </w:tc>
              <w:tc>
                <w:tcPr>
                  <w:tcW w:w="603" w:type="pct"/>
                  <w:tcBorders>
                    <w:tl2br w:val="nil"/>
                    <w:tr2bl w:val="nil"/>
                  </w:tcBorders>
                  <w:noWrap w:val="0"/>
                  <w:vAlign w:val="center"/>
                </w:tcPr>
                <w:p w14:paraId="066C407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5440E1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5BB43B2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62C9F2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33B388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771" w:type="pct"/>
                  <w:tcBorders>
                    <w:tl2br w:val="nil"/>
                    <w:tr2bl w:val="nil"/>
                  </w:tcBorders>
                  <w:noWrap w:val="0"/>
                  <w:vAlign w:val="center"/>
                </w:tcPr>
                <w:p w14:paraId="36D1264D">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炼蜜间</w:t>
                  </w:r>
                </w:p>
              </w:tc>
              <w:tc>
                <w:tcPr>
                  <w:tcW w:w="1080" w:type="pct"/>
                  <w:tcBorders>
                    <w:tl2br w:val="nil"/>
                    <w:tr2bl w:val="nil"/>
                  </w:tcBorders>
                  <w:noWrap w:val="0"/>
                  <w:vAlign w:val="center"/>
                </w:tcPr>
                <w:p w14:paraId="2799756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夹层锅</w:t>
                  </w:r>
                </w:p>
              </w:tc>
              <w:tc>
                <w:tcPr>
                  <w:tcW w:w="560" w:type="pct"/>
                  <w:tcBorders>
                    <w:tl2br w:val="nil"/>
                    <w:tr2bl w:val="nil"/>
                  </w:tcBorders>
                  <w:noWrap w:val="0"/>
                  <w:vAlign w:val="center"/>
                </w:tcPr>
                <w:p w14:paraId="57C236C0">
                  <w:pPr>
                    <w:jc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w:t>
                  </w:r>
                </w:p>
              </w:tc>
              <w:tc>
                <w:tcPr>
                  <w:tcW w:w="603" w:type="pct"/>
                  <w:tcBorders>
                    <w:tl2br w:val="nil"/>
                    <w:tr2bl w:val="nil"/>
                  </w:tcBorders>
                  <w:noWrap w:val="0"/>
                  <w:vAlign w:val="center"/>
                </w:tcPr>
                <w:p w14:paraId="538439A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655017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114B02C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54BDD3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6E91C6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restart"/>
                  <w:tcBorders>
                    <w:tl2br w:val="nil"/>
                    <w:tr2bl w:val="nil"/>
                  </w:tcBorders>
                  <w:noWrap w:val="0"/>
                  <w:vAlign w:val="center"/>
                </w:tcPr>
                <w:p w14:paraId="2EF01E16">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包装间</w:t>
                  </w:r>
                </w:p>
              </w:tc>
              <w:tc>
                <w:tcPr>
                  <w:tcW w:w="1080" w:type="pct"/>
                  <w:tcBorders>
                    <w:tl2br w:val="nil"/>
                    <w:tr2bl w:val="nil"/>
                  </w:tcBorders>
                  <w:noWrap w:val="0"/>
                  <w:vAlign w:val="center"/>
                </w:tcPr>
                <w:p w14:paraId="120612E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SF粉碎机</w:t>
                  </w:r>
                </w:p>
              </w:tc>
              <w:tc>
                <w:tcPr>
                  <w:tcW w:w="560" w:type="pct"/>
                  <w:tcBorders>
                    <w:tl2br w:val="nil"/>
                    <w:tr2bl w:val="nil"/>
                  </w:tcBorders>
                  <w:noWrap w:val="0"/>
                  <w:vAlign w:val="center"/>
                </w:tcPr>
                <w:p w14:paraId="483622B4">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4</w:t>
                  </w:r>
                </w:p>
              </w:tc>
              <w:tc>
                <w:tcPr>
                  <w:tcW w:w="603" w:type="pct"/>
                  <w:tcBorders>
                    <w:tl2br w:val="nil"/>
                    <w:tr2bl w:val="nil"/>
                  </w:tcBorders>
                  <w:noWrap w:val="0"/>
                  <w:vAlign w:val="center"/>
                </w:tcPr>
                <w:p w14:paraId="7C9AA84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0537CE0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255976D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7E15A1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778D06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continue"/>
                  <w:tcBorders>
                    <w:tl2br w:val="nil"/>
                    <w:tr2bl w:val="nil"/>
                  </w:tcBorders>
                  <w:noWrap w:val="0"/>
                  <w:vAlign w:val="center"/>
                </w:tcPr>
                <w:p w14:paraId="502C2AF6">
                  <w:pPr>
                    <w:jc w:val="center"/>
                    <w:rPr>
                      <w:rFonts w:hint="default" w:ascii="Times New Roman" w:hAnsi="Times New Roman" w:eastAsia="宋体" w:cs="Times New Roman"/>
                      <w:i w:val="0"/>
                      <w:iCs w:val="0"/>
                      <w:color w:val="auto"/>
                      <w:kern w:val="0"/>
                      <w:sz w:val="21"/>
                      <w:szCs w:val="21"/>
                      <w:u w:val="single"/>
                      <w:lang w:val="en-US" w:eastAsia="zh-CN" w:bidi="ar"/>
                    </w:rPr>
                  </w:pPr>
                </w:p>
              </w:tc>
              <w:tc>
                <w:tcPr>
                  <w:tcW w:w="1080" w:type="pct"/>
                  <w:tcBorders>
                    <w:tl2br w:val="nil"/>
                    <w:tr2bl w:val="nil"/>
                  </w:tcBorders>
                  <w:noWrap w:val="0"/>
                  <w:vAlign w:val="center"/>
                </w:tcPr>
                <w:p w14:paraId="2215589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中药碰碎机</w:t>
                  </w:r>
                </w:p>
              </w:tc>
              <w:tc>
                <w:tcPr>
                  <w:tcW w:w="560" w:type="pct"/>
                  <w:tcBorders>
                    <w:tl2br w:val="nil"/>
                    <w:tr2bl w:val="nil"/>
                  </w:tcBorders>
                  <w:noWrap w:val="0"/>
                  <w:vAlign w:val="center"/>
                </w:tcPr>
                <w:p w14:paraId="371BDE11">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3</w:t>
                  </w:r>
                </w:p>
              </w:tc>
              <w:tc>
                <w:tcPr>
                  <w:tcW w:w="603" w:type="pct"/>
                  <w:tcBorders>
                    <w:tl2br w:val="nil"/>
                    <w:tr2bl w:val="nil"/>
                  </w:tcBorders>
                  <w:noWrap w:val="0"/>
                  <w:vAlign w:val="center"/>
                </w:tcPr>
                <w:p w14:paraId="585F436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2EFDAC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60E427E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7EBE5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304297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p>
              </w:tc>
              <w:tc>
                <w:tcPr>
                  <w:tcW w:w="771" w:type="pct"/>
                  <w:tcBorders>
                    <w:tl2br w:val="nil"/>
                    <w:tr2bl w:val="nil"/>
                  </w:tcBorders>
                  <w:noWrap w:val="0"/>
                  <w:vAlign w:val="center"/>
                </w:tcPr>
                <w:p w14:paraId="052A39A7">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筛分间</w:t>
                  </w:r>
                </w:p>
              </w:tc>
              <w:tc>
                <w:tcPr>
                  <w:tcW w:w="1080" w:type="pct"/>
                  <w:tcBorders>
                    <w:tl2br w:val="nil"/>
                    <w:tr2bl w:val="nil"/>
                  </w:tcBorders>
                  <w:noWrap w:val="0"/>
                  <w:vAlign w:val="center"/>
                </w:tcPr>
                <w:p w14:paraId="241A989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singl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SYJ旋转式筛药机</w:t>
                  </w:r>
                </w:p>
              </w:tc>
              <w:tc>
                <w:tcPr>
                  <w:tcW w:w="560" w:type="pct"/>
                  <w:tcBorders>
                    <w:tl2br w:val="nil"/>
                    <w:tr2bl w:val="nil"/>
                  </w:tcBorders>
                  <w:noWrap w:val="0"/>
                  <w:vAlign w:val="center"/>
                </w:tcPr>
                <w:p w14:paraId="1D2F952D">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0.75</w:t>
                  </w:r>
                </w:p>
              </w:tc>
              <w:tc>
                <w:tcPr>
                  <w:tcW w:w="603" w:type="pct"/>
                  <w:tcBorders>
                    <w:tl2br w:val="nil"/>
                    <w:tr2bl w:val="nil"/>
                  </w:tcBorders>
                  <w:noWrap w:val="0"/>
                  <w:vAlign w:val="center"/>
                </w:tcPr>
                <w:p w14:paraId="70188C3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0F1CE0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517BC7E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42CBE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35041D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tcBorders>
                    <w:tl2br w:val="nil"/>
                    <w:tr2bl w:val="nil"/>
                  </w:tcBorders>
                  <w:noWrap w:val="0"/>
                  <w:vAlign w:val="center"/>
                </w:tcPr>
                <w:p w14:paraId="1E0EE13A">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容器具清洗间</w:t>
                  </w:r>
                </w:p>
              </w:tc>
              <w:tc>
                <w:tcPr>
                  <w:tcW w:w="1080" w:type="pct"/>
                  <w:tcBorders>
                    <w:tl2br w:val="nil"/>
                    <w:tr2bl w:val="nil"/>
                  </w:tcBorders>
                  <w:noWrap w:val="0"/>
                  <w:vAlign w:val="center"/>
                </w:tcPr>
                <w:p w14:paraId="334ABBE7">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热风循环烘箱</w:t>
                  </w:r>
                </w:p>
              </w:tc>
              <w:tc>
                <w:tcPr>
                  <w:tcW w:w="560" w:type="pct"/>
                  <w:tcBorders>
                    <w:tl2br w:val="nil"/>
                    <w:tr2bl w:val="nil"/>
                  </w:tcBorders>
                  <w:noWrap w:val="0"/>
                  <w:vAlign w:val="center"/>
                </w:tcPr>
                <w:p w14:paraId="1814D34F">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12</w:t>
                  </w:r>
                </w:p>
              </w:tc>
              <w:tc>
                <w:tcPr>
                  <w:tcW w:w="603" w:type="pct"/>
                  <w:tcBorders>
                    <w:tl2br w:val="nil"/>
                    <w:tr2bl w:val="nil"/>
                  </w:tcBorders>
                  <w:noWrap w:val="0"/>
                  <w:vAlign w:val="center"/>
                </w:tcPr>
                <w:p w14:paraId="5164DA8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03FFDE80">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50B4620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4C6D5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353A490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tcBorders>
                    <w:tl2br w:val="nil"/>
                    <w:tr2bl w:val="nil"/>
                  </w:tcBorders>
                  <w:noWrap w:val="0"/>
                  <w:vAlign w:val="center"/>
                </w:tcPr>
                <w:p w14:paraId="4673D9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冷藏间（预留）</w:t>
                  </w:r>
                </w:p>
              </w:tc>
              <w:tc>
                <w:tcPr>
                  <w:tcW w:w="1080" w:type="pct"/>
                  <w:tcBorders>
                    <w:tl2br w:val="nil"/>
                    <w:tr2bl w:val="nil"/>
                  </w:tcBorders>
                  <w:noWrap w:val="0"/>
                  <w:vAlign w:val="center"/>
                </w:tcPr>
                <w:p w14:paraId="14A9744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single"/>
                      <w:vertAlign w:val="baselin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制冷机</w:t>
                  </w:r>
                </w:p>
              </w:tc>
              <w:tc>
                <w:tcPr>
                  <w:tcW w:w="560" w:type="pct"/>
                  <w:tcBorders>
                    <w:tl2br w:val="nil"/>
                    <w:tr2bl w:val="nil"/>
                  </w:tcBorders>
                  <w:noWrap w:val="0"/>
                  <w:vAlign w:val="center"/>
                </w:tcPr>
                <w:p w14:paraId="659A9476">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10</w:t>
                  </w:r>
                </w:p>
              </w:tc>
              <w:tc>
                <w:tcPr>
                  <w:tcW w:w="603" w:type="pct"/>
                  <w:tcBorders>
                    <w:tl2br w:val="nil"/>
                    <w:tr2bl w:val="nil"/>
                  </w:tcBorders>
                  <w:noWrap w:val="0"/>
                  <w:vAlign w:val="center"/>
                </w:tcPr>
                <w:p w14:paraId="1D9EB9D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single"/>
                      <w:vertAlign w:val="baseline"/>
                      <w:lang w:val="en-US" w:eastAsia="zh-CN" w:bidi="ar-SA"/>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190424F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single"/>
                      <w:vertAlign w:val="baselin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tcBorders>
                    <w:tl2br w:val="nil"/>
                    <w:tr2bl w:val="nil"/>
                  </w:tcBorders>
                  <w:noWrap w:val="0"/>
                  <w:vAlign w:val="center"/>
                </w:tcPr>
                <w:p w14:paraId="4396338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新建</w:t>
                  </w:r>
                </w:p>
              </w:tc>
            </w:tr>
            <w:tr w14:paraId="0A3AD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77E7C7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tcBorders>
                    <w:tl2br w:val="nil"/>
                    <w:tr2bl w:val="nil"/>
                  </w:tcBorders>
                  <w:noWrap w:val="0"/>
                  <w:vAlign w:val="center"/>
                </w:tcPr>
                <w:p w14:paraId="5AF15D41">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干燥间</w:t>
                  </w:r>
                </w:p>
              </w:tc>
              <w:tc>
                <w:tcPr>
                  <w:tcW w:w="1080" w:type="pct"/>
                  <w:tcBorders>
                    <w:tl2br w:val="nil"/>
                    <w:tr2bl w:val="nil"/>
                  </w:tcBorders>
                  <w:noWrap w:val="0"/>
                  <w:vAlign w:val="center"/>
                </w:tcPr>
                <w:p w14:paraId="77762CA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single"/>
                      <w:vertAlign w:val="baselin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隧道式烘房</w:t>
                  </w:r>
                </w:p>
              </w:tc>
              <w:tc>
                <w:tcPr>
                  <w:tcW w:w="560" w:type="pct"/>
                  <w:tcBorders>
                    <w:tl2br w:val="nil"/>
                    <w:tr2bl w:val="nil"/>
                  </w:tcBorders>
                  <w:noWrap w:val="0"/>
                  <w:vAlign w:val="center"/>
                </w:tcPr>
                <w:p w14:paraId="05A1DA50">
                  <w:pPr>
                    <w:jc w:val="center"/>
                    <w:rPr>
                      <w:rFonts w:hint="default" w:ascii="Times New Roman" w:hAnsi="Times New Roman" w:eastAsia="宋体" w:cs="Times New Roman"/>
                      <w:color w:val="auto"/>
                      <w:sz w:val="21"/>
                      <w:szCs w:val="21"/>
                      <w:u w:val="single"/>
                      <w:vertAlign w:val="baseline"/>
                      <w:lang w:val="en-US" w:eastAsia="zh-CN"/>
                    </w:rPr>
                  </w:pPr>
                </w:p>
              </w:tc>
              <w:tc>
                <w:tcPr>
                  <w:tcW w:w="603" w:type="pct"/>
                  <w:tcBorders>
                    <w:tl2br w:val="nil"/>
                    <w:tr2bl w:val="nil"/>
                  </w:tcBorders>
                  <w:noWrap w:val="0"/>
                  <w:vAlign w:val="center"/>
                </w:tcPr>
                <w:p w14:paraId="574BA41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single"/>
                      <w:vertAlign w:val="baseline"/>
                      <w:lang w:val="en-US" w:eastAsia="zh-CN" w:bidi="ar-SA"/>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6C81D98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single"/>
                      <w:vertAlign w:val="baselin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restart"/>
                  <w:tcBorders>
                    <w:tl2br w:val="nil"/>
                    <w:tr2bl w:val="nil"/>
                  </w:tcBorders>
                  <w:noWrap w:val="0"/>
                  <w:vAlign w:val="center"/>
                </w:tcPr>
                <w:p w14:paraId="5C9E03B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利用租赁厂区原有设备</w:t>
                  </w:r>
                </w:p>
              </w:tc>
            </w:tr>
            <w:tr w14:paraId="2F67A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5FE5217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restart"/>
                  <w:tcBorders>
                    <w:tl2br w:val="nil"/>
                    <w:tr2bl w:val="nil"/>
                  </w:tcBorders>
                  <w:noWrap w:val="0"/>
                  <w:vAlign w:val="center"/>
                </w:tcPr>
                <w:p w14:paraId="45F5A482">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辅助间（热风炉）</w:t>
                  </w:r>
                </w:p>
              </w:tc>
              <w:tc>
                <w:tcPr>
                  <w:tcW w:w="1080" w:type="pct"/>
                  <w:tcBorders>
                    <w:tl2br w:val="nil"/>
                    <w:tr2bl w:val="nil"/>
                  </w:tcBorders>
                  <w:noWrap w:val="0"/>
                  <w:vAlign w:val="center"/>
                </w:tcPr>
                <w:p w14:paraId="034E41B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single"/>
                      <w:vertAlign w:val="baselin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CYJ滚筒式炒药机</w:t>
                  </w:r>
                </w:p>
              </w:tc>
              <w:tc>
                <w:tcPr>
                  <w:tcW w:w="560" w:type="pct"/>
                  <w:tcBorders>
                    <w:tl2br w:val="nil"/>
                    <w:tr2bl w:val="nil"/>
                  </w:tcBorders>
                  <w:noWrap w:val="0"/>
                  <w:vAlign w:val="center"/>
                </w:tcPr>
                <w:p w14:paraId="3FB0E902">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3</w:t>
                  </w:r>
                </w:p>
              </w:tc>
              <w:tc>
                <w:tcPr>
                  <w:tcW w:w="603" w:type="pct"/>
                  <w:tcBorders>
                    <w:tl2br w:val="nil"/>
                    <w:tr2bl w:val="nil"/>
                  </w:tcBorders>
                  <w:noWrap w:val="0"/>
                  <w:vAlign w:val="center"/>
                </w:tcPr>
                <w:p w14:paraId="7EE6A66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single"/>
                      <w:vertAlign w:val="baseline"/>
                      <w:lang w:val="en-US" w:eastAsia="zh-CN" w:bidi="ar-SA"/>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2D85A12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single"/>
                      <w:vertAlign w:val="baselin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531860B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264EE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7CE5E3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continue"/>
                  <w:tcBorders>
                    <w:tl2br w:val="nil"/>
                    <w:tr2bl w:val="nil"/>
                  </w:tcBorders>
                  <w:noWrap w:val="0"/>
                  <w:vAlign w:val="center"/>
                </w:tcPr>
                <w:p w14:paraId="77AC8F86">
                  <w:pPr>
                    <w:jc w:val="center"/>
                    <w:rPr>
                      <w:rFonts w:hint="default" w:ascii="Times New Roman" w:hAnsi="Times New Roman" w:eastAsia="宋体" w:cs="Times New Roman"/>
                      <w:i w:val="0"/>
                      <w:iCs w:val="0"/>
                      <w:color w:val="auto"/>
                      <w:kern w:val="0"/>
                      <w:sz w:val="21"/>
                      <w:szCs w:val="21"/>
                      <w:u w:val="single"/>
                      <w:lang w:val="en-US" w:eastAsia="zh-CN" w:bidi="ar"/>
                    </w:rPr>
                  </w:pPr>
                </w:p>
              </w:tc>
              <w:tc>
                <w:tcPr>
                  <w:tcW w:w="1080" w:type="pct"/>
                  <w:tcBorders>
                    <w:tl2br w:val="nil"/>
                    <w:tr2bl w:val="nil"/>
                  </w:tcBorders>
                  <w:noWrap w:val="0"/>
                  <w:vAlign w:val="center"/>
                </w:tcPr>
                <w:p w14:paraId="028C42D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single"/>
                      <w:vertAlign w:val="baselin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生物质热风炉</w:t>
                  </w:r>
                </w:p>
              </w:tc>
              <w:tc>
                <w:tcPr>
                  <w:tcW w:w="560" w:type="pct"/>
                  <w:tcBorders>
                    <w:tl2br w:val="nil"/>
                    <w:tr2bl w:val="nil"/>
                  </w:tcBorders>
                  <w:noWrap w:val="0"/>
                  <w:vAlign w:val="center"/>
                </w:tcPr>
                <w:p w14:paraId="77D5F49A">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0.75</w:t>
                  </w:r>
                </w:p>
              </w:tc>
              <w:tc>
                <w:tcPr>
                  <w:tcW w:w="603" w:type="pct"/>
                  <w:tcBorders>
                    <w:tl2br w:val="nil"/>
                    <w:tr2bl w:val="nil"/>
                  </w:tcBorders>
                  <w:noWrap w:val="0"/>
                  <w:vAlign w:val="center"/>
                </w:tcPr>
                <w:p w14:paraId="7174FA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single"/>
                      <w:vertAlign w:val="baseline"/>
                      <w:lang w:val="en-US" w:eastAsia="zh-CN" w:bidi="ar-SA"/>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1F7CE60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single"/>
                      <w:vertAlign w:val="baseline"/>
                      <w:lang w:val="en-US" w:eastAsia="zh-CN" w:bidi="ar-SA"/>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411D0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5453A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18D8A21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restart"/>
                  <w:tcBorders>
                    <w:tl2br w:val="nil"/>
                    <w:tr2bl w:val="nil"/>
                  </w:tcBorders>
                  <w:noWrap w:val="0"/>
                  <w:vAlign w:val="center"/>
                </w:tcPr>
                <w:p w14:paraId="1D8535F4">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切药间（二）</w:t>
                  </w:r>
                </w:p>
              </w:tc>
              <w:tc>
                <w:tcPr>
                  <w:tcW w:w="1080" w:type="pct"/>
                  <w:tcBorders>
                    <w:tl2br w:val="nil"/>
                    <w:tr2bl w:val="nil"/>
                  </w:tcBorders>
                  <w:noWrap w:val="0"/>
                  <w:vAlign w:val="center"/>
                </w:tcPr>
                <w:p w14:paraId="4A2977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直切式切药机</w:t>
                  </w:r>
                </w:p>
              </w:tc>
              <w:tc>
                <w:tcPr>
                  <w:tcW w:w="560" w:type="pct"/>
                  <w:tcBorders>
                    <w:tl2br w:val="nil"/>
                    <w:tr2bl w:val="nil"/>
                  </w:tcBorders>
                  <w:noWrap w:val="0"/>
                  <w:vAlign w:val="center"/>
                </w:tcPr>
                <w:p w14:paraId="354A2205">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2.2</w:t>
                  </w:r>
                </w:p>
              </w:tc>
              <w:tc>
                <w:tcPr>
                  <w:tcW w:w="603" w:type="pct"/>
                  <w:tcBorders>
                    <w:tl2br w:val="nil"/>
                    <w:tr2bl w:val="nil"/>
                  </w:tcBorders>
                  <w:noWrap w:val="0"/>
                  <w:vAlign w:val="center"/>
                </w:tcPr>
                <w:p w14:paraId="623D419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20D75100">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vMerge w:val="continue"/>
                  <w:tcBorders>
                    <w:tl2br w:val="nil"/>
                    <w:tr2bl w:val="nil"/>
                  </w:tcBorders>
                  <w:noWrap w:val="0"/>
                  <w:vAlign w:val="center"/>
                </w:tcPr>
                <w:p w14:paraId="76741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r w14:paraId="54E32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17D3682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continue"/>
                  <w:tcBorders>
                    <w:tl2br w:val="nil"/>
                    <w:tr2bl w:val="nil"/>
                  </w:tcBorders>
                  <w:noWrap w:val="0"/>
                  <w:vAlign w:val="center"/>
                </w:tcPr>
                <w:p w14:paraId="395BDD64">
                  <w:pPr>
                    <w:jc w:val="center"/>
                    <w:rPr>
                      <w:rFonts w:hint="default" w:ascii="Times New Roman" w:hAnsi="Times New Roman" w:eastAsia="宋体" w:cs="Times New Roman"/>
                      <w:i w:val="0"/>
                      <w:iCs w:val="0"/>
                      <w:color w:val="auto"/>
                      <w:kern w:val="0"/>
                      <w:sz w:val="21"/>
                      <w:szCs w:val="21"/>
                      <w:u w:val="single"/>
                      <w:lang w:val="en-US" w:eastAsia="zh-CN" w:bidi="ar"/>
                    </w:rPr>
                  </w:pPr>
                </w:p>
              </w:tc>
              <w:tc>
                <w:tcPr>
                  <w:tcW w:w="1080" w:type="pct"/>
                  <w:tcBorders>
                    <w:tl2br w:val="nil"/>
                    <w:tr2bl w:val="nil"/>
                  </w:tcBorders>
                  <w:noWrap w:val="0"/>
                  <w:vAlign w:val="center"/>
                </w:tcPr>
                <w:p w14:paraId="6F9CB1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新型切药机</w:t>
                  </w:r>
                </w:p>
              </w:tc>
              <w:tc>
                <w:tcPr>
                  <w:tcW w:w="560" w:type="pct"/>
                  <w:tcBorders>
                    <w:tl2br w:val="nil"/>
                    <w:tr2bl w:val="nil"/>
                  </w:tcBorders>
                  <w:noWrap w:val="0"/>
                  <w:vAlign w:val="center"/>
                </w:tcPr>
                <w:p w14:paraId="086BB8FF">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4</w:t>
                  </w:r>
                </w:p>
              </w:tc>
              <w:tc>
                <w:tcPr>
                  <w:tcW w:w="603" w:type="pct"/>
                  <w:tcBorders>
                    <w:tl2br w:val="nil"/>
                    <w:tr2bl w:val="nil"/>
                  </w:tcBorders>
                  <w:noWrap w:val="0"/>
                  <w:vAlign w:val="center"/>
                </w:tcPr>
                <w:p w14:paraId="3F4CA3C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558475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tcBorders>
                    <w:tl2br w:val="nil"/>
                    <w:tr2bl w:val="nil"/>
                  </w:tcBorders>
                  <w:noWrap w:val="0"/>
                  <w:vAlign w:val="center"/>
                </w:tcPr>
                <w:p w14:paraId="4CD532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新建</w:t>
                  </w:r>
                </w:p>
              </w:tc>
            </w:tr>
            <w:tr w14:paraId="57258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517BAC7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restart"/>
                  <w:tcBorders>
                    <w:tl2br w:val="nil"/>
                    <w:tr2bl w:val="nil"/>
                  </w:tcBorders>
                  <w:noWrap w:val="0"/>
                  <w:vAlign w:val="center"/>
                </w:tcPr>
                <w:p w14:paraId="55A1FD00">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切药间（一）</w:t>
                  </w:r>
                </w:p>
              </w:tc>
              <w:tc>
                <w:tcPr>
                  <w:tcW w:w="1080" w:type="pct"/>
                  <w:tcBorders>
                    <w:tl2br w:val="nil"/>
                    <w:tr2bl w:val="nil"/>
                  </w:tcBorders>
                  <w:noWrap w:val="0"/>
                  <w:vAlign w:val="center"/>
                </w:tcPr>
                <w:p w14:paraId="41D342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直线往复式切药机</w:t>
                  </w:r>
                </w:p>
              </w:tc>
              <w:tc>
                <w:tcPr>
                  <w:tcW w:w="560" w:type="pct"/>
                  <w:tcBorders>
                    <w:tl2br w:val="nil"/>
                    <w:tr2bl w:val="nil"/>
                  </w:tcBorders>
                  <w:noWrap w:val="0"/>
                  <w:vAlign w:val="center"/>
                </w:tcPr>
                <w:p w14:paraId="046F449A">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1.1</w:t>
                  </w:r>
                </w:p>
              </w:tc>
              <w:tc>
                <w:tcPr>
                  <w:tcW w:w="603" w:type="pct"/>
                  <w:tcBorders>
                    <w:tl2br w:val="nil"/>
                    <w:tr2bl w:val="nil"/>
                  </w:tcBorders>
                  <w:noWrap w:val="0"/>
                  <w:vAlign w:val="center"/>
                </w:tcPr>
                <w:p w14:paraId="04CCD9A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181D1F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1</w:t>
                  </w:r>
                </w:p>
              </w:tc>
              <w:tc>
                <w:tcPr>
                  <w:tcW w:w="787" w:type="pct"/>
                  <w:tcBorders>
                    <w:tl2br w:val="nil"/>
                    <w:tr2bl w:val="nil"/>
                  </w:tcBorders>
                  <w:noWrap w:val="0"/>
                  <w:vAlign w:val="center"/>
                </w:tcPr>
                <w:p w14:paraId="7D4A4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利用租赁厂区原有设备</w:t>
                  </w:r>
                </w:p>
              </w:tc>
            </w:tr>
            <w:tr w14:paraId="49724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5DE7CFF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vMerge w:val="continue"/>
                  <w:tcBorders>
                    <w:tl2br w:val="nil"/>
                    <w:tr2bl w:val="nil"/>
                  </w:tcBorders>
                  <w:noWrap w:val="0"/>
                  <w:vAlign w:val="center"/>
                </w:tcPr>
                <w:p w14:paraId="7D548F96">
                  <w:pPr>
                    <w:jc w:val="center"/>
                    <w:rPr>
                      <w:rFonts w:hint="default" w:ascii="Times New Roman" w:hAnsi="Times New Roman" w:eastAsia="宋体" w:cs="Times New Roman"/>
                      <w:i w:val="0"/>
                      <w:iCs w:val="0"/>
                      <w:color w:val="auto"/>
                      <w:kern w:val="0"/>
                      <w:sz w:val="21"/>
                      <w:szCs w:val="21"/>
                      <w:u w:val="single"/>
                      <w:lang w:val="en-US" w:eastAsia="zh-CN" w:bidi="ar"/>
                    </w:rPr>
                  </w:pPr>
                </w:p>
              </w:tc>
              <w:tc>
                <w:tcPr>
                  <w:tcW w:w="1080" w:type="pct"/>
                  <w:tcBorders>
                    <w:tl2br w:val="nil"/>
                    <w:tr2bl w:val="nil"/>
                  </w:tcBorders>
                  <w:noWrap w:val="0"/>
                  <w:vAlign w:val="center"/>
                </w:tcPr>
                <w:p w14:paraId="29275E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新型切药机</w:t>
                  </w:r>
                </w:p>
              </w:tc>
              <w:tc>
                <w:tcPr>
                  <w:tcW w:w="560" w:type="pct"/>
                  <w:tcBorders>
                    <w:tl2br w:val="nil"/>
                    <w:tr2bl w:val="nil"/>
                  </w:tcBorders>
                  <w:noWrap w:val="0"/>
                  <w:vAlign w:val="center"/>
                </w:tcPr>
                <w:p w14:paraId="69A17F9D">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4</w:t>
                  </w:r>
                </w:p>
              </w:tc>
              <w:tc>
                <w:tcPr>
                  <w:tcW w:w="603" w:type="pct"/>
                  <w:tcBorders>
                    <w:tl2br w:val="nil"/>
                    <w:tr2bl w:val="nil"/>
                  </w:tcBorders>
                  <w:noWrap w:val="0"/>
                  <w:vAlign w:val="center"/>
                </w:tcPr>
                <w:p w14:paraId="322FC3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0A9359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2</w:t>
                  </w:r>
                </w:p>
              </w:tc>
              <w:tc>
                <w:tcPr>
                  <w:tcW w:w="787" w:type="pct"/>
                  <w:vMerge w:val="restart"/>
                  <w:tcBorders>
                    <w:tl2br w:val="nil"/>
                    <w:tr2bl w:val="nil"/>
                  </w:tcBorders>
                  <w:noWrap w:val="0"/>
                  <w:vAlign w:val="center"/>
                </w:tcPr>
                <w:p w14:paraId="38B265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color w:val="auto"/>
                      <w:sz w:val="21"/>
                      <w:szCs w:val="21"/>
                      <w:u w:val="single"/>
                      <w:vertAlign w:val="baseline"/>
                      <w:lang w:val="en-US" w:eastAsia="zh-CN"/>
                    </w:rPr>
                    <w:t>新建</w:t>
                  </w:r>
                </w:p>
              </w:tc>
            </w:tr>
            <w:tr w14:paraId="67541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Merge w:val="continue"/>
                  <w:tcBorders>
                    <w:tl2br w:val="nil"/>
                    <w:tr2bl w:val="nil"/>
                  </w:tcBorders>
                  <w:noWrap w:val="0"/>
                  <w:vAlign w:val="center"/>
                </w:tcPr>
                <w:p w14:paraId="3DB40BE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single"/>
                      <w:lang w:val="en-US" w:eastAsia="zh-CN" w:bidi="ar"/>
                    </w:rPr>
                  </w:pPr>
                </w:p>
              </w:tc>
              <w:tc>
                <w:tcPr>
                  <w:tcW w:w="771" w:type="pct"/>
                  <w:tcBorders>
                    <w:tl2br w:val="nil"/>
                    <w:tr2bl w:val="nil"/>
                  </w:tcBorders>
                  <w:noWrap w:val="0"/>
                  <w:vAlign w:val="center"/>
                </w:tcPr>
                <w:p w14:paraId="311F16DF">
                  <w:pPr>
                    <w:jc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挑选间</w:t>
                  </w:r>
                </w:p>
              </w:tc>
              <w:tc>
                <w:tcPr>
                  <w:tcW w:w="1080" w:type="pct"/>
                  <w:tcBorders>
                    <w:tl2br w:val="nil"/>
                    <w:tr2bl w:val="nil"/>
                  </w:tcBorders>
                  <w:noWrap w:val="0"/>
                  <w:vAlign w:val="center"/>
                </w:tcPr>
                <w:p w14:paraId="2A8DB8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多功能筛分机</w:t>
                  </w:r>
                </w:p>
              </w:tc>
              <w:tc>
                <w:tcPr>
                  <w:tcW w:w="560" w:type="pct"/>
                  <w:tcBorders>
                    <w:tl2br w:val="nil"/>
                    <w:tr2bl w:val="nil"/>
                  </w:tcBorders>
                  <w:noWrap w:val="0"/>
                  <w:vAlign w:val="center"/>
                </w:tcPr>
                <w:p w14:paraId="5645ACA4">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vertAlign w:val="baseline"/>
                      <w:lang w:val="en-US" w:eastAsia="zh-CN"/>
                    </w:rPr>
                  </w:pPr>
                  <w:r>
                    <w:rPr>
                      <w:rFonts w:hint="default" w:ascii="Times New Roman" w:hAnsi="Times New Roman" w:eastAsia="宋体" w:cs="Times New Roman"/>
                      <w:i w:val="0"/>
                      <w:iCs w:val="0"/>
                      <w:color w:val="auto"/>
                      <w:kern w:val="0"/>
                      <w:sz w:val="21"/>
                      <w:szCs w:val="21"/>
                      <w:u w:val="single"/>
                      <w:lang w:val="en-US" w:eastAsia="zh-CN" w:bidi="ar"/>
                    </w:rPr>
                    <w:t>3</w:t>
                  </w:r>
                </w:p>
              </w:tc>
              <w:tc>
                <w:tcPr>
                  <w:tcW w:w="603" w:type="pct"/>
                  <w:tcBorders>
                    <w:tl2br w:val="nil"/>
                    <w:tr2bl w:val="nil"/>
                  </w:tcBorders>
                  <w:noWrap w:val="0"/>
                  <w:vAlign w:val="center"/>
                </w:tcPr>
                <w:p w14:paraId="088D0BA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r>
                    <w:rPr>
                      <w:rFonts w:hint="eastAsia" w:ascii="Times New Roman" w:hAnsi="Times New Roman" w:eastAsia="宋体" w:cs="Times New Roman"/>
                      <w:color w:val="auto"/>
                      <w:sz w:val="21"/>
                      <w:szCs w:val="21"/>
                      <w:u w:val="single"/>
                      <w:vertAlign w:val="baseline"/>
                      <w:lang w:val="en-US" w:eastAsia="zh-CN"/>
                    </w:rPr>
                    <w:t>非标</w:t>
                  </w:r>
                </w:p>
              </w:tc>
              <w:tc>
                <w:tcPr>
                  <w:tcW w:w="519" w:type="pct"/>
                  <w:tcBorders>
                    <w:tl2br w:val="nil"/>
                    <w:tr2bl w:val="nil"/>
                  </w:tcBorders>
                  <w:noWrap w:val="0"/>
                  <w:vAlign w:val="center"/>
                </w:tcPr>
                <w:p w14:paraId="29DAF8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lang w:val="en-US" w:eastAsia="zh-CN" w:bidi="ar"/>
                    </w:rPr>
                  </w:pPr>
                  <w:r>
                    <w:rPr>
                      <w:rFonts w:hint="default" w:ascii="Times New Roman" w:hAnsi="Times New Roman" w:eastAsia="宋体" w:cs="Times New Roman"/>
                      <w:i w:val="0"/>
                      <w:iCs w:val="0"/>
                      <w:color w:val="auto"/>
                      <w:kern w:val="0"/>
                      <w:sz w:val="21"/>
                      <w:szCs w:val="21"/>
                      <w:u w:val="single"/>
                      <w:lang w:val="en-US" w:eastAsia="zh-CN" w:bidi="ar"/>
                    </w:rPr>
                    <w:t>3</w:t>
                  </w:r>
                </w:p>
              </w:tc>
              <w:tc>
                <w:tcPr>
                  <w:tcW w:w="787" w:type="pct"/>
                  <w:vMerge w:val="continue"/>
                  <w:tcBorders>
                    <w:tl2br w:val="nil"/>
                    <w:tr2bl w:val="nil"/>
                  </w:tcBorders>
                  <w:noWrap w:val="0"/>
                  <w:vAlign w:val="center"/>
                </w:tcPr>
                <w:p w14:paraId="5C00D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vertAlign w:val="baseline"/>
                      <w:lang w:val="en-US" w:eastAsia="zh-CN"/>
                    </w:rPr>
                  </w:pPr>
                </w:p>
              </w:tc>
            </w:tr>
          </w:tbl>
          <w:p w14:paraId="11550724">
            <w:pPr>
              <w:pStyle w:val="82"/>
              <w:keepNext w:val="0"/>
              <w:keepLines w:val="0"/>
              <w:pageBreakBefore w:val="0"/>
              <w:widowControl w:val="0"/>
              <w:kinsoku/>
              <w:wordWrap/>
              <w:overflowPunct/>
              <w:topLinePunct w:val="0"/>
              <w:autoSpaceDE/>
              <w:autoSpaceDN/>
              <w:bidi w:val="0"/>
              <w:adjustRightInd/>
              <w:snapToGrid/>
              <w:spacing w:before="157" w:beforeLines="50" w:line="288" w:lineRule="auto"/>
              <w:ind w:firstLine="482"/>
              <w:jc w:val="left"/>
              <w:textAlignment w:val="auto"/>
              <w:rPr>
                <w:rFonts w:hint="eastAsia" w:ascii="Times New Roman" w:hAnsi="Times New Roman" w:eastAsia="宋体" w:cs="Times New Roman"/>
                <w:b/>
                <w:color w:val="auto"/>
                <w:u w:val="none"/>
                <w:lang w:eastAsia="zh-CN"/>
              </w:rPr>
            </w:pPr>
            <w:r>
              <w:rPr>
                <w:rFonts w:hint="eastAsia" w:cs="Times New Roman"/>
                <w:b/>
                <w:color w:val="auto"/>
                <w:u w:val="none"/>
                <w:lang w:eastAsia="zh-CN"/>
              </w:rPr>
              <w:t>注：各生产设备均不属于《产业结构调整指导目录》（</w:t>
            </w:r>
            <w:r>
              <w:rPr>
                <w:rFonts w:hint="eastAsia" w:cs="Times New Roman"/>
                <w:b/>
                <w:color w:val="auto"/>
                <w:u w:val="none"/>
                <w:lang w:val="en-US" w:eastAsia="zh-CN"/>
              </w:rPr>
              <w:t>2024版</w:t>
            </w:r>
            <w:r>
              <w:rPr>
                <w:rFonts w:hint="eastAsia" w:cs="Times New Roman"/>
                <w:b/>
                <w:color w:val="auto"/>
                <w:u w:val="none"/>
                <w:lang w:eastAsia="zh-CN"/>
              </w:rPr>
              <w:t>）中落后生产工艺设备。</w:t>
            </w:r>
          </w:p>
          <w:p w14:paraId="4AE704A5">
            <w:pPr>
              <w:pStyle w:val="82"/>
              <w:ind w:firstLine="482"/>
              <w:jc w:val="left"/>
              <w:rPr>
                <w:rFonts w:hint="default" w:ascii="Times New Roman" w:hAnsi="Times New Roman" w:cs="Times New Roman"/>
                <w:b/>
                <w:color w:val="auto"/>
              </w:rPr>
            </w:pPr>
            <w:r>
              <w:rPr>
                <w:rFonts w:hint="default" w:ascii="Times New Roman" w:hAnsi="Times New Roman" w:cs="Times New Roman"/>
                <w:b/>
                <w:color w:val="auto"/>
              </w:rPr>
              <w:t>5、公用工程</w:t>
            </w:r>
          </w:p>
          <w:p w14:paraId="4921CC4E">
            <w:pPr>
              <w:pStyle w:val="82"/>
              <w:jc w:val="left"/>
              <w:rPr>
                <w:rFonts w:hint="default" w:ascii="Times New Roman" w:hAnsi="Times New Roman" w:cs="Times New Roman"/>
                <w:bCs/>
                <w:color w:val="auto"/>
              </w:rPr>
            </w:pPr>
            <w:r>
              <w:rPr>
                <w:rFonts w:hint="default" w:ascii="Times New Roman" w:hAnsi="Times New Roman" w:cs="Times New Roman"/>
                <w:bCs/>
                <w:color w:val="auto"/>
              </w:rPr>
              <w:t>（1）给水</w:t>
            </w:r>
          </w:p>
          <w:p w14:paraId="60DFEE86">
            <w:pPr>
              <w:pStyle w:val="82"/>
              <w:jc w:val="left"/>
              <w:rPr>
                <w:rFonts w:hint="default" w:ascii="Times New Roman" w:hAnsi="Times New Roman" w:cs="Times New Roman"/>
                <w:bCs/>
                <w:color w:val="auto"/>
              </w:rPr>
            </w:pPr>
            <w:r>
              <w:rPr>
                <w:rFonts w:hint="default" w:ascii="Times New Roman" w:hAnsi="Times New Roman" w:cs="Times New Roman"/>
                <w:bCs/>
                <w:color w:val="auto"/>
              </w:rPr>
              <w:t>本项目用水水源由市政自来水管网提供，新鲜水供水水质符合国家饮用水标准，其水量及水压均能够满足本项目用水要求。</w:t>
            </w:r>
          </w:p>
          <w:p w14:paraId="62B3291D">
            <w:pPr>
              <w:pStyle w:val="82"/>
              <w:jc w:val="left"/>
              <w:rPr>
                <w:rFonts w:hint="eastAsia" w:ascii="Times New Roman" w:hAnsi="Times New Roman" w:eastAsia="宋体" w:cs="Times New Roman"/>
                <w:bCs/>
                <w:color w:val="auto"/>
                <w:u w:val="none"/>
                <w:lang w:eastAsia="zh-CN"/>
              </w:rPr>
            </w:pPr>
            <w:r>
              <w:rPr>
                <w:rFonts w:hint="eastAsia" w:cs="Times New Roman"/>
                <w:bCs/>
                <w:color w:val="auto"/>
                <w:u w:val="none"/>
                <w:lang w:eastAsia="zh-CN"/>
              </w:rPr>
              <w:t>雨水通过雨水管网进入雨水管网系统。</w:t>
            </w:r>
          </w:p>
          <w:p w14:paraId="59012060">
            <w:pPr>
              <w:pStyle w:val="95"/>
              <w:ind w:firstLine="480"/>
              <w:jc w:val="left"/>
              <w:rPr>
                <w:rFonts w:hint="default" w:ascii="Times New Roman" w:hAnsi="Times New Roman" w:cs="Times New Roman"/>
                <w:color w:val="auto"/>
                <w:u w:val="none"/>
                <w:lang w:eastAsia="zh-CN"/>
              </w:rPr>
            </w:pPr>
            <w:r>
              <w:rPr>
                <w:rFonts w:hint="default" w:ascii="Times New Roman" w:hAnsi="Times New Roman" w:cs="Times New Roman"/>
                <w:color w:val="auto"/>
                <w:u w:val="none"/>
              </w:rPr>
              <w:t>本项目用水主要为</w:t>
            </w:r>
            <w:r>
              <w:rPr>
                <w:rFonts w:hint="eastAsia" w:cs="Times New Roman"/>
                <w:color w:val="auto"/>
                <w:u w:val="none"/>
                <w:lang w:eastAsia="zh-CN"/>
              </w:rPr>
              <w:t>清洗用水、</w:t>
            </w:r>
            <w:r>
              <w:rPr>
                <w:rFonts w:hint="eastAsia" w:cs="Times New Roman"/>
                <w:color w:val="auto"/>
                <w:u w:val="none"/>
                <w:lang w:val="en-US" w:eastAsia="zh-CN"/>
              </w:rPr>
              <w:t>蒸汽发生器</w:t>
            </w:r>
            <w:r>
              <w:rPr>
                <w:rFonts w:hint="eastAsia" w:cs="Times New Roman"/>
                <w:color w:val="auto"/>
                <w:u w:val="none"/>
                <w:lang w:eastAsia="zh-CN"/>
              </w:rPr>
              <w:t>用水、地面清洁用水及生活用水</w:t>
            </w:r>
            <w:r>
              <w:rPr>
                <w:rFonts w:hint="default" w:ascii="Times New Roman" w:hAnsi="Times New Roman" w:cs="Times New Roman"/>
                <w:color w:val="auto"/>
                <w:u w:val="none"/>
                <w:lang w:eastAsia="zh-CN"/>
              </w:rPr>
              <w:t>。</w:t>
            </w:r>
          </w:p>
          <w:p w14:paraId="0A733C3B">
            <w:pPr>
              <w:pStyle w:val="95"/>
              <w:ind w:firstLine="480"/>
              <w:jc w:val="left"/>
              <w:rPr>
                <w:rFonts w:hint="eastAsia"/>
                <w:color w:val="auto"/>
                <w:sz w:val="24"/>
                <w:szCs w:val="24"/>
                <w:u w:val="none"/>
                <w:lang w:eastAsia="zh-CN"/>
              </w:rPr>
            </w:pPr>
            <w:r>
              <w:rPr>
                <w:rFonts w:hint="eastAsia" w:cs="Times New Roman"/>
                <w:color w:val="auto"/>
                <w:u w:val="none"/>
                <w:lang w:val="en-US" w:eastAsia="zh-CN"/>
              </w:rPr>
              <w:t>蒸汽发生器</w:t>
            </w:r>
            <w:r>
              <w:rPr>
                <w:rFonts w:hint="eastAsia"/>
                <w:color w:val="auto"/>
                <w:sz w:val="24"/>
                <w:szCs w:val="24"/>
                <w:u w:val="none"/>
              </w:rPr>
              <w:t>用水：</w:t>
            </w:r>
            <w:r>
              <w:rPr>
                <w:rFonts w:hint="eastAsia"/>
                <w:color w:val="auto"/>
                <w:sz w:val="24"/>
                <w:szCs w:val="24"/>
                <w:u w:val="single"/>
              </w:rPr>
              <w:t>运行过程中需定期补充软化水，项目设置1台</w:t>
            </w:r>
            <w:r>
              <w:rPr>
                <w:rFonts w:hint="eastAsia"/>
                <w:color w:val="auto"/>
                <w:sz w:val="24"/>
                <w:szCs w:val="24"/>
                <w:u w:val="single"/>
                <w:lang w:val="en-US" w:eastAsia="zh-CN"/>
              </w:rPr>
              <w:t>2.5</w:t>
            </w:r>
            <w:r>
              <w:rPr>
                <w:rFonts w:hint="eastAsia"/>
                <w:color w:val="auto"/>
                <w:sz w:val="24"/>
                <w:szCs w:val="24"/>
                <w:u w:val="single"/>
              </w:rPr>
              <w:t>t/h生物质真空蒸汽锅炉，根据建设单位提供资料，</w:t>
            </w:r>
            <w:r>
              <w:rPr>
                <w:rFonts w:hint="eastAsia" w:cs="Times New Roman"/>
                <w:color w:val="auto"/>
                <w:u w:val="single"/>
                <w:lang w:val="en-US" w:eastAsia="zh-CN"/>
              </w:rPr>
              <w:t>蒸汽发生器</w:t>
            </w:r>
            <w:r>
              <w:rPr>
                <w:rFonts w:hint="eastAsia"/>
                <w:color w:val="auto"/>
                <w:sz w:val="24"/>
                <w:szCs w:val="24"/>
                <w:u w:val="single"/>
                <w:lang w:eastAsia="zh-CN"/>
              </w:rPr>
              <w:t>每年运</w:t>
            </w:r>
            <w:r>
              <w:rPr>
                <w:rFonts w:hint="eastAsia"/>
                <w:color w:val="auto"/>
                <w:sz w:val="24"/>
                <w:szCs w:val="24"/>
                <w:highlight w:val="none"/>
                <w:u w:val="single"/>
                <w:lang w:eastAsia="zh-CN"/>
              </w:rPr>
              <w:t>行</w:t>
            </w:r>
            <w:r>
              <w:rPr>
                <w:rFonts w:hint="eastAsia"/>
                <w:color w:val="auto"/>
                <w:sz w:val="24"/>
                <w:szCs w:val="24"/>
                <w:highlight w:val="none"/>
                <w:u w:val="single"/>
                <w:lang w:val="en-US" w:eastAsia="zh-CN"/>
              </w:rPr>
              <w:t>1440h</w:t>
            </w:r>
            <w:r>
              <w:rPr>
                <w:rFonts w:hint="eastAsia"/>
                <w:color w:val="auto"/>
                <w:sz w:val="24"/>
                <w:szCs w:val="24"/>
                <w:highlight w:val="none"/>
                <w:u w:val="single"/>
              </w:rPr>
              <w:t>，</w:t>
            </w:r>
            <w:r>
              <w:rPr>
                <w:rFonts w:hint="eastAsia"/>
                <w:color w:val="auto"/>
                <w:sz w:val="24"/>
                <w:szCs w:val="24"/>
                <w:highlight w:val="none"/>
                <w:u w:val="single"/>
                <w:lang w:eastAsia="zh-CN"/>
              </w:rPr>
              <w:t>锅</w:t>
            </w:r>
            <w:r>
              <w:rPr>
                <w:rFonts w:hint="eastAsia"/>
                <w:color w:val="auto"/>
                <w:sz w:val="24"/>
                <w:szCs w:val="24"/>
                <w:u w:val="single"/>
                <w:lang w:eastAsia="zh-CN"/>
              </w:rPr>
              <w:t>炉用水量为</w:t>
            </w:r>
            <w:r>
              <w:rPr>
                <w:rFonts w:hint="eastAsia"/>
                <w:color w:val="auto"/>
                <w:sz w:val="24"/>
                <w:szCs w:val="24"/>
                <w:u w:val="single"/>
                <w:lang w:val="en-US" w:eastAsia="zh-CN"/>
              </w:rPr>
              <w:t>3600</w:t>
            </w:r>
            <w:r>
              <w:rPr>
                <w:rFonts w:hint="eastAsia"/>
                <w:color w:val="auto"/>
                <w:sz w:val="24"/>
                <w:szCs w:val="24"/>
                <w:u w:val="single"/>
              </w:rPr>
              <w:t>m</w:t>
            </w:r>
            <w:r>
              <w:rPr>
                <w:rFonts w:hint="eastAsia"/>
                <w:color w:val="auto"/>
                <w:sz w:val="24"/>
                <w:szCs w:val="24"/>
                <w:u w:val="single"/>
                <w:vertAlign w:val="superscript"/>
              </w:rPr>
              <w:t>3</w:t>
            </w:r>
            <w:r>
              <w:rPr>
                <w:rFonts w:hint="eastAsia"/>
                <w:color w:val="auto"/>
                <w:sz w:val="24"/>
                <w:szCs w:val="24"/>
                <w:u w:val="single"/>
              </w:rPr>
              <w:t>/a</w:t>
            </w:r>
            <w:r>
              <w:rPr>
                <w:rFonts w:hint="eastAsia"/>
                <w:color w:val="auto"/>
                <w:sz w:val="24"/>
                <w:szCs w:val="24"/>
                <w:u w:val="single"/>
                <w:lang w:eastAsia="zh-CN"/>
              </w:rPr>
              <w:t>，</w:t>
            </w:r>
            <w:r>
              <w:rPr>
                <w:rFonts w:hint="eastAsia"/>
                <w:color w:val="auto"/>
                <w:sz w:val="24"/>
                <w:szCs w:val="24"/>
                <w:u w:val="single"/>
              </w:rPr>
              <w:t>且</w:t>
            </w:r>
            <w:r>
              <w:rPr>
                <w:rFonts w:hint="eastAsia" w:cs="Times New Roman"/>
                <w:color w:val="auto"/>
                <w:u w:val="single"/>
                <w:lang w:val="en-US" w:eastAsia="zh-CN"/>
              </w:rPr>
              <w:t>蒸汽发生器</w:t>
            </w:r>
            <w:r>
              <w:rPr>
                <w:rFonts w:hint="eastAsia"/>
                <w:color w:val="auto"/>
                <w:sz w:val="24"/>
                <w:szCs w:val="24"/>
                <w:u w:val="single"/>
              </w:rPr>
              <w:t>运行中存在热损耗，热损耗按照用水量2%计，则损耗水量为</w:t>
            </w:r>
            <w:r>
              <w:rPr>
                <w:rFonts w:hint="eastAsia"/>
                <w:color w:val="auto"/>
                <w:sz w:val="24"/>
                <w:szCs w:val="24"/>
                <w:u w:val="single"/>
                <w:lang w:val="en-US" w:eastAsia="zh-CN"/>
              </w:rPr>
              <w:t>72</w:t>
            </w:r>
            <w:r>
              <w:rPr>
                <w:rFonts w:hint="eastAsia"/>
                <w:color w:val="auto"/>
                <w:sz w:val="24"/>
                <w:szCs w:val="24"/>
                <w:u w:val="single"/>
              </w:rPr>
              <w:t>m</w:t>
            </w:r>
            <w:r>
              <w:rPr>
                <w:rFonts w:hint="eastAsia"/>
                <w:color w:val="auto"/>
                <w:sz w:val="24"/>
                <w:szCs w:val="24"/>
                <w:u w:val="single"/>
                <w:vertAlign w:val="superscript"/>
              </w:rPr>
              <w:t>3</w:t>
            </w:r>
            <w:r>
              <w:rPr>
                <w:rFonts w:hint="eastAsia"/>
                <w:color w:val="auto"/>
                <w:sz w:val="24"/>
                <w:szCs w:val="24"/>
                <w:u w:val="single"/>
              </w:rPr>
              <w:t>/a，因此，锅炉需要补充水量为</w:t>
            </w:r>
            <w:r>
              <w:rPr>
                <w:rFonts w:hint="eastAsia"/>
                <w:color w:val="auto"/>
                <w:sz w:val="24"/>
                <w:szCs w:val="24"/>
                <w:u w:val="single"/>
                <w:lang w:val="en-US" w:eastAsia="zh-CN"/>
              </w:rPr>
              <w:t>3672</w:t>
            </w:r>
            <w:r>
              <w:rPr>
                <w:rFonts w:hint="eastAsia"/>
                <w:color w:val="auto"/>
                <w:sz w:val="24"/>
                <w:szCs w:val="24"/>
                <w:u w:val="single"/>
              </w:rPr>
              <w:t>m</w:t>
            </w:r>
            <w:r>
              <w:rPr>
                <w:rFonts w:hint="eastAsia"/>
                <w:color w:val="auto"/>
                <w:sz w:val="24"/>
                <w:szCs w:val="24"/>
                <w:u w:val="single"/>
                <w:vertAlign w:val="superscript"/>
              </w:rPr>
              <w:t>3</w:t>
            </w:r>
            <w:r>
              <w:rPr>
                <w:rFonts w:hint="eastAsia"/>
                <w:color w:val="auto"/>
                <w:sz w:val="24"/>
                <w:szCs w:val="24"/>
                <w:u w:val="single"/>
              </w:rPr>
              <w:t>/a，</w:t>
            </w:r>
            <w:r>
              <w:rPr>
                <w:rFonts w:hint="eastAsia"/>
                <w:color w:val="auto"/>
                <w:sz w:val="24"/>
                <w:szCs w:val="24"/>
                <w:u w:val="single"/>
                <w:lang w:eastAsia="zh-CN"/>
              </w:rPr>
              <w:t>软化水由树脂交换产生，软化水</w:t>
            </w:r>
            <w:r>
              <w:rPr>
                <w:rFonts w:hint="eastAsia" w:ascii="Times New Roman" w:hAnsi="Times New Roman" w:eastAsia="宋体" w:cs="Times New Roman"/>
                <w:bCs/>
                <w:color w:val="auto"/>
                <w:sz w:val="24"/>
                <w:u w:val="single"/>
                <w:lang w:val="en-US" w:eastAsia="zh-CN"/>
              </w:rPr>
              <w:t>得水率为75%，制备软水所需新鲜水量为48</w:t>
            </w:r>
            <w:r>
              <w:rPr>
                <w:rFonts w:hint="eastAsia" w:cs="Times New Roman"/>
                <w:bCs/>
                <w:color w:val="auto"/>
                <w:sz w:val="24"/>
                <w:u w:val="single"/>
                <w:lang w:val="en-US" w:eastAsia="zh-CN"/>
              </w:rPr>
              <w:t>96</w:t>
            </w:r>
            <w:r>
              <w:rPr>
                <w:rFonts w:ascii="Times New Roman" w:hAnsi="Times New Roman" w:eastAsia="宋体" w:cs="Times New Roman"/>
                <w:color w:val="auto"/>
                <w:sz w:val="24"/>
                <w:szCs w:val="24"/>
                <w:u w:val="single"/>
                <w:lang w:eastAsia="zh-CN"/>
              </w:rPr>
              <w:t>m</w:t>
            </w:r>
            <w:r>
              <w:rPr>
                <w:rFonts w:ascii="Times New Roman" w:hAnsi="Times New Roman" w:eastAsia="宋体" w:cs="Times New Roman"/>
                <w:color w:val="auto"/>
                <w:sz w:val="24"/>
                <w:szCs w:val="24"/>
                <w:u w:val="single"/>
                <w:vertAlign w:val="superscript"/>
                <w:lang w:eastAsia="zh-CN"/>
              </w:rPr>
              <w:t>3</w:t>
            </w:r>
            <w:r>
              <w:rPr>
                <w:rFonts w:ascii="Times New Roman" w:hAnsi="Times New Roman" w:eastAsia="宋体" w:cs="Times New Roman"/>
                <w:color w:val="auto"/>
                <w:sz w:val="24"/>
                <w:szCs w:val="24"/>
                <w:u w:val="single"/>
                <w:lang w:eastAsia="zh-CN"/>
              </w:rPr>
              <w:t>/a</w:t>
            </w:r>
            <w:r>
              <w:rPr>
                <w:rFonts w:hint="eastAsia" w:ascii="Times New Roman" w:hAnsi="Times New Roman" w:eastAsia="宋体" w:cs="Times New Roman"/>
                <w:color w:val="auto"/>
                <w:sz w:val="24"/>
                <w:szCs w:val="24"/>
                <w:u w:val="single"/>
                <w:lang w:eastAsia="zh-CN"/>
              </w:rPr>
              <w:t>，</w:t>
            </w:r>
            <w:r>
              <w:rPr>
                <w:rFonts w:hint="eastAsia" w:ascii="Times New Roman" w:hAnsi="Times New Roman" w:eastAsia="宋体" w:cs="Times New Roman"/>
                <w:bCs/>
                <w:color w:val="auto"/>
                <w:sz w:val="24"/>
                <w:u w:val="single"/>
                <w:lang w:val="en-US" w:eastAsia="zh-CN"/>
              </w:rPr>
              <w:t>则制</w:t>
            </w:r>
            <w:r>
              <w:rPr>
                <w:rFonts w:hint="eastAsia"/>
                <w:color w:val="auto"/>
                <w:sz w:val="24"/>
                <w:szCs w:val="24"/>
                <w:u w:val="single"/>
                <w:lang w:eastAsia="zh-CN"/>
              </w:rPr>
              <w:t>软化水</w:t>
            </w:r>
            <w:r>
              <w:rPr>
                <w:rFonts w:hint="eastAsia" w:ascii="Times New Roman" w:hAnsi="Times New Roman" w:eastAsia="宋体" w:cs="Times New Roman"/>
                <w:bCs/>
                <w:color w:val="auto"/>
                <w:sz w:val="24"/>
                <w:u w:val="single"/>
                <w:lang w:val="en-US" w:eastAsia="zh-CN"/>
              </w:rPr>
              <w:t>尾水排放量为12</w:t>
            </w:r>
            <w:r>
              <w:rPr>
                <w:rFonts w:hint="eastAsia" w:cs="Times New Roman"/>
                <w:bCs/>
                <w:color w:val="auto"/>
                <w:sz w:val="24"/>
                <w:u w:val="single"/>
                <w:lang w:val="en-US" w:eastAsia="zh-CN"/>
              </w:rPr>
              <w:t>24</w:t>
            </w:r>
            <w:r>
              <w:rPr>
                <w:rFonts w:hint="eastAsia" w:ascii="Times New Roman" w:hAnsi="Times New Roman" w:eastAsia="宋体" w:cs="Times New Roman"/>
                <w:bCs/>
                <w:color w:val="auto"/>
                <w:sz w:val="24"/>
                <w:u w:val="single"/>
                <w:lang w:val="en-US" w:eastAsia="zh-CN"/>
              </w:rPr>
              <w:t>m</w:t>
            </w:r>
            <w:r>
              <w:rPr>
                <w:rFonts w:hint="eastAsia" w:ascii="Times New Roman" w:hAnsi="Times New Roman" w:eastAsia="宋体" w:cs="Times New Roman"/>
                <w:bCs/>
                <w:color w:val="auto"/>
                <w:sz w:val="24"/>
                <w:u w:val="single"/>
                <w:vertAlign w:val="superscript"/>
                <w:lang w:val="en-US" w:eastAsia="zh-CN"/>
              </w:rPr>
              <w:t>3</w:t>
            </w:r>
            <w:r>
              <w:rPr>
                <w:rFonts w:hint="eastAsia" w:ascii="Times New Roman" w:hAnsi="Times New Roman" w:eastAsia="宋体" w:cs="Times New Roman"/>
                <w:bCs/>
                <w:color w:val="auto"/>
                <w:sz w:val="24"/>
                <w:u w:val="single"/>
                <w:lang w:val="en-US" w:eastAsia="zh-CN"/>
              </w:rPr>
              <w:t>/a，主要含钙镁离子等无机盐。</w:t>
            </w:r>
          </w:p>
          <w:p w14:paraId="5FBCFB5E">
            <w:pPr>
              <w:pStyle w:val="95"/>
              <w:ind w:firstLine="480"/>
              <w:jc w:val="left"/>
              <w:rPr>
                <w:rFonts w:hint="eastAsia"/>
                <w:color w:val="auto"/>
                <w:sz w:val="24"/>
                <w:szCs w:val="24"/>
                <w:u w:val="none"/>
                <w:lang w:eastAsia="zh-CN"/>
              </w:rPr>
            </w:pPr>
            <w:r>
              <w:rPr>
                <w:rFonts w:hint="eastAsia"/>
                <w:color w:val="auto"/>
                <w:sz w:val="24"/>
                <w:szCs w:val="24"/>
                <w:u w:val="none"/>
                <w:lang w:val="en-US" w:eastAsia="zh-CN"/>
              </w:rPr>
              <w:t>原辅材料</w:t>
            </w:r>
            <w:r>
              <w:rPr>
                <w:rFonts w:hint="eastAsia"/>
                <w:color w:val="auto"/>
                <w:sz w:val="24"/>
                <w:szCs w:val="24"/>
                <w:u w:val="none"/>
                <w:lang w:eastAsia="zh-CN"/>
              </w:rPr>
              <w:t>清洗用水：</w:t>
            </w:r>
          </w:p>
          <w:p w14:paraId="0BE17E2C">
            <w:pPr>
              <w:pStyle w:val="95"/>
              <w:ind w:firstLine="480"/>
              <w:jc w:val="both"/>
              <w:rPr>
                <w:rFonts w:hint="eastAsia"/>
                <w:color w:val="auto"/>
                <w:sz w:val="24"/>
              </w:rPr>
            </w:pPr>
            <w:r>
              <w:rPr>
                <w:rFonts w:hint="eastAsia"/>
                <w:color w:val="auto"/>
                <w:sz w:val="24"/>
                <w:szCs w:val="24"/>
                <w:u w:val="none"/>
                <w:lang w:val="en-US" w:eastAsia="zh-CN"/>
              </w:rPr>
              <w:t>1）清洗机循环用水：</w:t>
            </w:r>
            <w:r>
              <w:rPr>
                <w:rFonts w:hint="eastAsia"/>
                <w:color w:val="auto"/>
                <w:sz w:val="24"/>
                <w:szCs w:val="24"/>
                <w:u w:val="none"/>
                <w:lang w:eastAsia="zh-CN"/>
              </w:rPr>
              <w:t>本项目设置</w:t>
            </w:r>
            <w:r>
              <w:rPr>
                <w:rFonts w:hint="eastAsia"/>
                <w:color w:val="auto"/>
                <w:sz w:val="24"/>
                <w:szCs w:val="24"/>
                <w:u w:val="none"/>
                <w:lang w:val="en-US" w:eastAsia="zh-CN"/>
              </w:rPr>
              <w:t>2台循环水清洗机，每台清洗机的水箱为4</w:t>
            </w:r>
            <w:r>
              <w:rPr>
                <w:rFonts w:hint="eastAsia"/>
                <w:color w:val="auto"/>
                <w:sz w:val="24"/>
                <w:szCs w:val="24"/>
                <w:u w:val="none"/>
              </w:rPr>
              <w:t>m</w:t>
            </w:r>
            <w:r>
              <w:rPr>
                <w:rFonts w:hint="eastAsia"/>
                <w:color w:val="auto"/>
                <w:sz w:val="24"/>
                <w:szCs w:val="24"/>
                <w:u w:val="none"/>
                <w:vertAlign w:val="superscript"/>
              </w:rPr>
              <w:t>3</w:t>
            </w:r>
            <w:r>
              <w:rPr>
                <w:rFonts w:hint="eastAsia"/>
                <w:color w:val="auto"/>
                <w:sz w:val="24"/>
                <w:szCs w:val="24"/>
                <w:u w:val="none"/>
                <w:vertAlign w:val="baseline"/>
                <w:lang w:eastAsia="zh-CN"/>
              </w:rPr>
              <w:t>，清洗水每天更换一次，则每天清洗用水为</w:t>
            </w:r>
            <w:r>
              <w:rPr>
                <w:rFonts w:hint="eastAsia"/>
                <w:color w:val="auto"/>
                <w:sz w:val="24"/>
                <w:szCs w:val="24"/>
                <w:u w:val="none"/>
                <w:vertAlign w:val="baseline"/>
                <w:lang w:val="en-US" w:eastAsia="zh-CN"/>
              </w:rPr>
              <w:t>8</w:t>
            </w:r>
            <w:r>
              <w:rPr>
                <w:rFonts w:hint="eastAsia"/>
                <w:color w:val="auto"/>
                <w:sz w:val="24"/>
                <w:szCs w:val="24"/>
                <w:u w:val="none"/>
              </w:rPr>
              <w:t>m</w:t>
            </w:r>
            <w:r>
              <w:rPr>
                <w:rFonts w:hint="eastAsia"/>
                <w:color w:val="auto"/>
                <w:sz w:val="24"/>
                <w:szCs w:val="24"/>
                <w:u w:val="none"/>
                <w:vertAlign w:val="superscript"/>
              </w:rPr>
              <w:t>3</w:t>
            </w:r>
            <w:r>
              <w:rPr>
                <w:rFonts w:hint="eastAsia"/>
                <w:color w:val="auto"/>
                <w:sz w:val="24"/>
                <w:szCs w:val="24"/>
                <w:u w:val="none"/>
              </w:rPr>
              <w:t>/d</w:t>
            </w:r>
            <w:r>
              <w:rPr>
                <w:rFonts w:hint="eastAsia"/>
                <w:color w:val="auto"/>
                <w:sz w:val="24"/>
                <w:szCs w:val="24"/>
                <w:u w:val="none"/>
                <w:lang w:eastAsia="zh-CN"/>
              </w:rPr>
              <w:t>（</w:t>
            </w:r>
            <w:r>
              <w:rPr>
                <w:rFonts w:hint="eastAsia"/>
                <w:color w:val="auto"/>
                <w:sz w:val="24"/>
                <w:szCs w:val="24"/>
                <w:u w:val="none"/>
                <w:lang w:val="en-US" w:eastAsia="zh-CN"/>
              </w:rPr>
              <w:t>480</w:t>
            </w:r>
            <w:r>
              <w:rPr>
                <w:rFonts w:hint="eastAsia"/>
                <w:color w:val="auto"/>
                <w:sz w:val="24"/>
                <w:szCs w:val="24"/>
                <w:u w:val="none"/>
              </w:rPr>
              <w:t>m</w:t>
            </w:r>
            <w:r>
              <w:rPr>
                <w:rFonts w:hint="eastAsia"/>
                <w:color w:val="auto"/>
                <w:sz w:val="24"/>
                <w:szCs w:val="24"/>
                <w:u w:val="none"/>
                <w:vertAlign w:val="superscript"/>
              </w:rPr>
              <w:t>3</w:t>
            </w:r>
            <w:r>
              <w:rPr>
                <w:rFonts w:hint="eastAsia"/>
                <w:color w:val="auto"/>
                <w:sz w:val="24"/>
                <w:szCs w:val="24"/>
                <w:u w:val="none"/>
              </w:rPr>
              <w:t>/</w:t>
            </w:r>
            <w:r>
              <w:rPr>
                <w:rFonts w:hint="eastAsia"/>
                <w:color w:val="auto"/>
                <w:sz w:val="24"/>
                <w:szCs w:val="24"/>
                <w:u w:val="none"/>
                <w:lang w:val="en-US" w:eastAsia="zh-CN"/>
              </w:rPr>
              <w:t>a</w:t>
            </w:r>
            <w:r>
              <w:rPr>
                <w:rFonts w:hint="eastAsia"/>
                <w:color w:val="auto"/>
                <w:sz w:val="24"/>
                <w:szCs w:val="24"/>
                <w:u w:val="none"/>
                <w:lang w:eastAsia="zh-CN"/>
              </w:rPr>
              <w:t>），</w:t>
            </w:r>
            <w:r>
              <w:rPr>
                <w:rFonts w:hint="eastAsia"/>
                <w:color w:val="auto"/>
                <w:sz w:val="24"/>
                <w:szCs w:val="24"/>
                <w:u w:val="none"/>
                <w:lang w:val="en-US" w:eastAsia="zh-CN"/>
              </w:rPr>
              <w:t>该部分用水为经三级沉淀池处理后的回用水</w:t>
            </w:r>
            <w:r>
              <w:rPr>
                <w:rFonts w:hint="eastAsia"/>
                <w:color w:val="auto"/>
                <w:sz w:val="24"/>
                <w:szCs w:val="24"/>
                <w:u w:val="none"/>
                <w:lang w:eastAsia="zh-CN"/>
              </w:rPr>
              <w:t>。</w:t>
            </w:r>
          </w:p>
          <w:p w14:paraId="2A6B08C2">
            <w:pPr>
              <w:pStyle w:val="95"/>
              <w:ind w:firstLine="480"/>
              <w:jc w:val="left"/>
              <w:rPr>
                <w:rFonts w:hint="default"/>
                <w:color w:val="auto"/>
                <w:sz w:val="24"/>
                <w:u w:val="single"/>
                <w:lang w:val="en-US" w:eastAsia="zh-CN"/>
              </w:rPr>
            </w:pPr>
            <w:r>
              <w:rPr>
                <w:rFonts w:hint="eastAsia"/>
                <w:color w:val="auto"/>
                <w:sz w:val="24"/>
                <w:u w:val="single"/>
                <w:lang w:val="en-US" w:eastAsia="zh-CN"/>
              </w:rPr>
              <w:t>2）原料冲洗用水：本项目清洗机末端设置喷淋水对原材料进行冲洗，根据建设单位提供资料，每台清洗机冲洗用水量约为1t/d，则项目冲洗用水约为2t/d（120t/a），该部分用水为新鲜水补给。</w:t>
            </w:r>
          </w:p>
          <w:p w14:paraId="761AB24A">
            <w:pPr>
              <w:pStyle w:val="95"/>
              <w:ind w:firstLine="480"/>
              <w:jc w:val="left"/>
              <w:rPr>
                <w:rFonts w:hint="eastAsia"/>
                <w:color w:val="auto"/>
                <w:sz w:val="24"/>
                <w:u w:val="single"/>
                <w:lang w:val="en-US" w:eastAsia="zh-CN"/>
              </w:rPr>
            </w:pPr>
            <w:r>
              <w:rPr>
                <w:rFonts w:hint="eastAsia" w:cs="Times New Roman"/>
                <w:color w:val="auto"/>
                <w:u w:val="none"/>
                <w:lang w:eastAsia="zh-CN"/>
              </w:rPr>
              <w:t>为减轻后续烘干压力，清洗</w:t>
            </w:r>
            <w:r>
              <w:rPr>
                <w:rFonts w:hint="eastAsia" w:cs="Times New Roman"/>
                <w:color w:val="auto"/>
                <w:u w:val="none"/>
                <w:lang w:val="en-US" w:eastAsia="zh-CN"/>
              </w:rPr>
              <w:t>机</w:t>
            </w:r>
            <w:r>
              <w:rPr>
                <w:rFonts w:hint="eastAsia" w:cs="Times New Roman"/>
                <w:color w:val="auto"/>
                <w:u w:val="none"/>
                <w:lang w:eastAsia="zh-CN"/>
              </w:rPr>
              <w:t>带沥干功能，因此废水产生量取新鲜用水量的</w:t>
            </w:r>
            <w:r>
              <w:rPr>
                <w:rFonts w:hint="eastAsia" w:cs="Times New Roman"/>
                <w:color w:val="auto"/>
                <w:u w:val="none"/>
                <w:lang w:val="en-US" w:eastAsia="zh-CN"/>
              </w:rPr>
              <w:t>98%，则清洗废水为9.8</w:t>
            </w:r>
            <w:r>
              <w:rPr>
                <w:rFonts w:hint="eastAsia"/>
                <w:color w:val="auto"/>
                <w:sz w:val="24"/>
                <w:szCs w:val="24"/>
                <w:u w:val="none"/>
              </w:rPr>
              <w:t>m</w:t>
            </w:r>
            <w:r>
              <w:rPr>
                <w:rFonts w:hint="eastAsia"/>
                <w:color w:val="auto"/>
                <w:sz w:val="24"/>
                <w:szCs w:val="24"/>
                <w:u w:val="none"/>
                <w:vertAlign w:val="superscript"/>
              </w:rPr>
              <w:t>3</w:t>
            </w:r>
            <w:r>
              <w:rPr>
                <w:rFonts w:hint="eastAsia"/>
                <w:color w:val="auto"/>
                <w:sz w:val="24"/>
                <w:szCs w:val="24"/>
                <w:u w:val="none"/>
              </w:rPr>
              <w:t>/d</w:t>
            </w:r>
            <w:r>
              <w:rPr>
                <w:rFonts w:hint="eastAsia"/>
                <w:color w:val="auto"/>
                <w:sz w:val="24"/>
                <w:szCs w:val="24"/>
                <w:u w:val="none"/>
                <w:lang w:eastAsia="zh-CN"/>
              </w:rPr>
              <w:t>（</w:t>
            </w:r>
            <w:r>
              <w:rPr>
                <w:rFonts w:hint="eastAsia"/>
                <w:color w:val="auto"/>
                <w:sz w:val="24"/>
                <w:szCs w:val="24"/>
                <w:u w:val="none"/>
                <w:lang w:val="en-US" w:eastAsia="zh-CN"/>
              </w:rPr>
              <w:t>588</w:t>
            </w:r>
            <w:r>
              <w:rPr>
                <w:rFonts w:hint="eastAsia"/>
                <w:color w:val="auto"/>
                <w:sz w:val="24"/>
                <w:szCs w:val="24"/>
                <w:u w:val="none"/>
              </w:rPr>
              <w:t>m</w:t>
            </w:r>
            <w:r>
              <w:rPr>
                <w:rFonts w:hint="eastAsia"/>
                <w:color w:val="auto"/>
                <w:sz w:val="24"/>
                <w:szCs w:val="24"/>
                <w:u w:val="none"/>
                <w:vertAlign w:val="superscript"/>
              </w:rPr>
              <w:t>3</w:t>
            </w:r>
            <w:r>
              <w:rPr>
                <w:rFonts w:hint="eastAsia"/>
                <w:color w:val="auto"/>
                <w:sz w:val="24"/>
                <w:szCs w:val="24"/>
                <w:u w:val="none"/>
              </w:rPr>
              <w:t>/</w:t>
            </w:r>
            <w:r>
              <w:rPr>
                <w:rFonts w:hint="eastAsia"/>
                <w:color w:val="auto"/>
                <w:sz w:val="24"/>
                <w:szCs w:val="24"/>
                <w:u w:val="none"/>
                <w:lang w:val="en-US" w:eastAsia="zh-CN"/>
              </w:rPr>
              <w:t>a</w:t>
            </w:r>
            <w:r>
              <w:rPr>
                <w:rFonts w:hint="eastAsia"/>
                <w:color w:val="auto"/>
                <w:sz w:val="24"/>
                <w:szCs w:val="24"/>
                <w:u w:val="none"/>
                <w:lang w:eastAsia="zh-CN"/>
              </w:rPr>
              <w:t>），</w:t>
            </w:r>
            <w:r>
              <w:rPr>
                <w:rFonts w:hint="eastAsia"/>
                <w:color w:val="auto"/>
                <w:sz w:val="24"/>
                <w:szCs w:val="24"/>
                <w:u w:val="none"/>
                <w:lang w:val="en-US" w:eastAsia="zh-CN"/>
              </w:rPr>
              <w:t>清洗过程不添加清洗剂，废水主要污染物为SS，该部分废水经三级沉淀池处理</w:t>
            </w:r>
            <w:r>
              <w:rPr>
                <w:rFonts w:hint="eastAsia"/>
                <w:color w:val="auto"/>
                <w:sz w:val="24"/>
              </w:rPr>
              <w:t>。</w:t>
            </w:r>
          </w:p>
          <w:p w14:paraId="1C5459ED">
            <w:pPr>
              <w:pStyle w:val="95"/>
              <w:ind w:firstLine="480"/>
              <w:jc w:val="both"/>
              <w:rPr>
                <w:rFonts w:hint="default"/>
                <w:color w:val="auto"/>
                <w:sz w:val="24"/>
                <w:szCs w:val="24"/>
                <w:u w:val="single"/>
                <w:lang w:val="en-US" w:eastAsia="zh-CN"/>
              </w:rPr>
            </w:pPr>
            <w:r>
              <w:rPr>
                <w:rFonts w:hint="eastAsia"/>
                <w:color w:val="auto"/>
                <w:sz w:val="24"/>
                <w:szCs w:val="24"/>
                <w:u w:val="single"/>
                <w:lang w:val="en-US" w:eastAsia="zh-CN"/>
              </w:rPr>
              <w:t>本项目原材料清洗废水经三级沉淀池处理后回用作原材料清洗机循环用水，多余部分上清液外溢与经处理后的生活污水一并通过市政污水管网排入龙潭镇污水处理厂综合处理。</w:t>
            </w:r>
          </w:p>
          <w:p w14:paraId="60A16B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highlight w:val="yellow"/>
                <w:u w:val="none"/>
                <w:lang w:val="en-US" w:eastAsia="zh-CN"/>
              </w:rPr>
            </w:pPr>
            <w:r>
              <w:rPr>
                <w:rFonts w:hint="eastAsia"/>
                <w:color w:val="auto"/>
                <w:sz w:val="24"/>
                <w:szCs w:val="24"/>
                <w:u w:val="none"/>
                <w:lang w:eastAsia="zh-CN"/>
              </w:rPr>
              <w:t>地面清洁用水：</w:t>
            </w:r>
            <w:r>
              <w:rPr>
                <w:rFonts w:hint="eastAsia" w:cs="Times New Roman"/>
                <w:color w:val="auto"/>
                <w:sz w:val="24"/>
                <w:szCs w:val="24"/>
                <w:lang w:val="en-US" w:eastAsia="zh-CN"/>
              </w:rPr>
              <w:t>项目生产车间地面每周拖地1次，生产车间建筑面积约为</w:t>
            </w:r>
            <w:r>
              <w:rPr>
                <w:rFonts w:hint="eastAsia" w:cs="Times New Roman"/>
                <w:color w:val="auto"/>
                <w:sz w:val="24"/>
                <w:szCs w:val="24"/>
                <w:highlight w:val="none"/>
                <w:lang w:val="en-US" w:eastAsia="zh-CN"/>
              </w:rPr>
              <w:t>2400m</w:t>
            </w:r>
            <w:r>
              <w:rPr>
                <w:rFonts w:hint="eastAsia" w:cs="Times New Roman"/>
                <w:color w:val="auto"/>
                <w:sz w:val="24"/>
                <w:szCs w:val="24"/>
                <w:highlight w:val="none"/>
                <w:vertAlign w:val="superscript"/>
                <w:lang w:val="en-US" w:eastAsia="zh-CN"/>
              </w:rPr>
              <w:t>2</w:t>
            </w:r>
            <w:r>
              <w:rPr>
                <w:rFonts w:hint="eastAsia" w:cs="Times New Roman"/>
                <w:color w:val="auto"/>
                <w:sz w:val="24"/>
                <w:szCs w:val="24"/>
                <w:highlight w:val="none"/>
                <w:lang w:val="en-US" w:eastAsia="zh-CN"/>
              </w:rPr>
              <w:t>，地面拖洗用水量为2L/m</w:t>
            </w:r>
            <w:r>
              <w:rPr>
                <w:rFonts w:hint="eastAsia"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lang w:val="en-US" w:eastAsia="zh-CN"/>
              </w:rPr>
              <w:t>次</w:t>
            </w:r>
            <w:r>
              <w:rPr>
                <w:rFonts w:hint="eastAsia" w:cs="Times New Roman"/>
                <w:color w:val="auto"/>
                <w:sz w:val="24"/>
                <w:szCs w:val="24"/>
                <w:highlight w:val="none"/>
                <w:lang w:val="en-US" w:eastAsia="zh-CN"/>
              </w:rPr>
              <w:t>，则地面拖洗用水量约为4.8m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/次（240t/a）。</w:t>
            </w:r>
            <w:r>
              <w:rPr>
                <w:rFonts w:hint="eastAsia"/>
                <w:color w:val="auto"/>
                <w:sz w:val="24"/>
                <w:szCs w:val="24"/>
                <w:u w:val="none"/>
                <w:lang w:eastAsia="zh-CN"/>
              </w:rPr>
              <w:t>污水产生量取</w:t>
            </w:r>
            <w:r>
              <w:rPr>
                <w:rFonts w:hint="eastAsia"/>
                <w:color w:val="auto"/>
                <w:sz w:val="24"/>
                <w:szCs w:val="24"/>
                <w:u w:val="none"/>
                <w:lang w:val="en-US" w:eastAsia="zh-CN"/>
              </w:rPr>
              <w:t>95%，则污水量为4.56</w:t>
            </w:r>
            <w:r>
              <w:rPr>
                <w:rFonts w:hint="eastAsia"/>
                <w:color w:val="auto"/>
                <w:sz w:val="24"/>
                <w:szCs w:val="24"/>
                <w:u w:val="none"/>
              </w:rPr>
              <w:t>m</w:t>
            </w:r>
            <w:r>
              <w:rPr>
                <w:rFonts w:hint="eastAsia"/>
                <w:color w:val="auto"/>
                <w:sz w:val="24"/>
                <w:szCs w:val="24"/>
                <w:u w:val="none"/>
                <w:vertAlign w:val="superscript"/>
              </w:rPr>
              <w:t>3</w:t>
            </w:r>
            <w:r>
              <w:rPr>
                <w:rFonts w:hint="eastAsia"/>
                <w:color w:val="auto"/>
                <w:sz w:val="24"/>
                <w:szCs w:val="24"/>
                <w:u w:val="none"/>
              </w:rPr>
              <w:t>/d</w:t>
            </w:r>
            <w:r>
              <w:rPr>
                <w:rFonts w:hint="eastAsia"/>
                <w:color w:val="auto"/>
                <w:sz w:val="24"/>
                <w:szCs w:val="24"/>
                <w:u w:val="none"/>
                <w:lang w:eastAsia="zh-CN"/>
              </w:rPr>
              <w:t>（</w:t>
            </w:r>
            <w:r>
              <w:rPr>
                <w:rFonts w:hint="eastAsia"/>
                <w:color w:val="auto"/>
                <w:sz w:val="24"/>
                <w:szCs w:val="24"/>
                <w:u w:val="none"/>
                <w:lang w:val="en-US" w:eastAsia="zh-CN"/>
              </w:rPr>
              <w:t>228</w:t>
            </w:r>
            <w:r>
              <w:rPr>
                <w:rFonts w:hint="eastAsia"/>
                <w:color w:val="auto"/>
                <w:sz w:val="24"/>
                <w:szCs w:val="24"/>
                <w:u w:val="none"/>
              </w:rPr>
              <w:t>m</w:t>
            </w:r>
            <w:r>
              <w:rPr>
                <w:rFonts w:hint="eastAsia"/>
                <w:color w:val="auto"/>
                <w:sz w:val="24"/>
                <w:szCs w:val="24"/>
                <w:u w:val="none"/>
                <w:vertAlign w:val="superscript"/>
              </w:rPr>
              <w:t>3</w:t>
            </w:r>
            <w:r>
              <w:rPr>
                <w:rFonts w:hint="eastAsia"/>
                <w:color w:val="auto"/>
                <w:sz w:val="24"/>
                <w:szCs w:val="24"/>
                <w:u w:val="none"/>
              </w:rPr>
              <w:t>/</w:t>
            </w:r>
            <w:r>
              <w:rPr>
                <w:rFonts w:hint="eastAsia"/>
                <w:color w:val="auto"/>
                <w:sz w:val="24"/>
                <w:szCs w:val="24"/>
                <w:u w:val="none"/>
                <w:lang w:val="en-US" w:eastAsia="zh-CN"/>
              </w:rPr>
              <w:t>a</w:t>
            </w:r>
            <w:r>
              <w:rPr>
                <w:rFonts w:hint="eastAsia"/>
                <w:color w:val="auto"/>
                <w:sz w:val="24"/>
                <w:szCs w:val="24"/>
                <w:u w:val="none"/>
                <w:lang w:eastAsia="zh-CN"/>
              </w:rPr>
              <w:t>）。</w:t>
            </w:r>
          </w:p>
          <w:p w14:paraId="3EC88ABA">
            <w:pPr>
              <w:pStyle w:val="95"/>
              <w:ind w:firstLine="480"/>
              <w:jc w:val="left"/>
              <w:rPr>
                <w:rFonts w:hint="default"/>
                <w:color w:val="auto"/>
                <w:kern w:val="0"/>
                <w:sz w:val="24"/>
                <w:szCs w:val="24"/>
                <w:u w:val="single"/>
                <w:lang w:val="en-US" w:eastAsia="zh-CN" w:bidi="ar-SA"/>
              </w:rPr>
            </w:pPr>
            <w:r>
              <w:rPr>
                <w:rFonts w:hint="eastAsia"/>
                <w:color w:val="auto"/>
                <w:kern w:val="0"/>
                <w:sz w:val="24"/>
                <w:szCs w:val="24"/>
                <w:u w:val="single"/>
                <w:lang w:val="en-US" w:eastAsia="zh-CN" w:bidi="ar-SA"/>
              </w:rPr>
              <w:t>设备清洗用水：黄精蒸制产生蒸汽冷凝水缩成膏汁后部分回用于蒸煮前泡制进入产品，部分残液缩膏状供养殖场做饲料辅助使用，不外排。每批次黄精蒸制完成后需用少量水对蒸煮设备进行清洗，项目使用的蒸煮设备为不锈钢设备，用水量约10L/批次，清洗后毛巾擦拭，则蒸煮设备清洗水用量约为2t/a。</w:t>
            </w:r>
          </w:p>
          <w:p w14:paraId="60599CCA">
            <w:pPr>
              <w:pStyle w:val="95"/>
              <w:ind w:firstLine="480"/>
              <w:jc w:val="both"/>
              <w:rPr>
                <w:rFonts w:hint="eastAsia" w:ascii="Times New Roman" w:hAnsi="Times New Roman" w:eastAsia="宋体" w:cs="Times New Roman"/>
                <w:color w:val="auto"/>
                <w:sz w:val="24"/>
                <w:szCs w:val="24"/>
                <w:u w:val="none"/>
                <w:lang w:val="en-US" w:eastAsia="zh-CN"/>
              </w:rPr>
            </w:pPr>
            <w:r>
              <w:rPr>
                <w:rFonts w:hint="eastAsia"/>
                <w:color w:val="auto"/>
                <w:sz w:val="24"/>
                <w:szCs w:val="24"/>
                <w:u w:val="none"/>
                <w:lang w:eastAsia="zh-CN"/>
              </w:rPr>
              <w:t>生活用水：</w:t>
            </w:r>
            <w:r>
              <w:rPr>
                <w:rFonts w:hint="eastAsia" w:ascii="Times New Roman" w:hAnsi="Times New Roman" w:eastAsia="宋体" w:cs="Times New Roman"/>
                <w:color w:val="auto"/>
                <w:sz w:val="24"/>
                <w:szCs w:val="24"/>
                <w:u w:val="none"/>
                <w:lang w:val="en-US" w:eastAsia="zh-CN"/>
              </w:rPr>
              <w:t>项目劳动定员为</w:t>
            </w:r>
            <w:r>
              <w:rPr>
                <w:rFonts w:hint="eastAsia" w:cs="Times New Roman"/>
                <w:color w:val="auto"/>
                <w:sz w:val="24"/>
                <w:szCs w:val="24"/>
                <w:u w:val="none"/>
                <w:lang w:val="en-US" w:eastAsia="zh-CN"/>
              </w:rPr>
              <w:t>3</w:t>
            </w:r>
            <w:r>
              <w:rPr>
                <w:rFonts w:hint="eastAsia" w:ascii="Times New Roman" w:hAnsi="Times New Roman" w:eastAsia="宋体" w:cs="Times New Roman"/>
                <w:color w:val="auto"/>
                <w:sz w:val="24"/>
                <w:szCs w:val="24"/>
                <w:u w:val="none"/>
                <w:lang w:val="en-US" w:eastAsia="zh-CN"/>
              </w:rPr>
              <w:t>0人，年工作300天。参照《湖南省地方标准  用水定额  第3部分：生活、服务业和建筑业》（DB43/T388.3-2025）表4中</w:t>
            </w:r>
            <w:r>
              <w:rPr>
                <w:rFonts w:hint="eastAsia"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国家机构--机关用水定额指标</w:t>
            </w:r>
            <w:r>
              <w:rPr>
                <w:rFonts w:hint="eastAsia"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，取先进值15m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/人·a，则生活用水量约为</w:t>
            </w:r>
            <w:r>
              <w:rPr>
                <w:rFonts w:hint="eastAsia" w:cs="Times New Roman"/>
                <w:color w:val="auto"/>
                <w:sz w:val="24"/>
                <w:szCs w:val="24"/>
                <w:u w:val="none"/>
                <w:lang w:val="en-US" w:eastAsia="zh-CN"/>
              </w:rPr>
              <w:t>4</w:t>
            </w:r>
            <w:r>
              <w:rPr>
                <w:rFonts w:hint="eastAsia" w:ascii="Times New Roman" w:hAnsi="Times New Roman" w:eastAsia="宋体" w:cs="Times New Roman"/>
                <w:color w:val="auto"/>
                <w:sz w:val="24"/>
                <w:szCs w:val="24"/>
                <w:u w:val="none"/>
                <w:lang w:val="en-US" w:eastAsia="zh-CN"/>
              </w:rPr>
              <w:t>50m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/a（</w:t>
            </w:r>
            <w:r>
              <w:rPr>
                <w:rFonts w:hint="eastAsia" w:cs="Times New Roman"/>
                <w:color w:val="auto"/>
                <w:sz w:val="24"/>
                <w:szCs w:val="24"/>
                <w:u w:val="none"/>
                <w:lang w:val="en-US" w:eastAsia="zh-CN"/>
              </w:rPr>
              <w:t>1</w:t>
            </w:r>
            <w:r>
              <w:rPr>
                <w:rFonts w:hint="eastAsia" w:ascii="Times New Roman" w:hAnsi="Times New Roman" w:eastAsia="宋体" w:cs="Times New Roman"/>
                <w:color w:val="auto"/>
                <w:sz w:val="24"/>
                <w:szCs w:val="24"/>
                <w:u w:val="none"/>
                <w:lang w:val="en-US" w:eastAsia="zh-CN"/>
              </w:rPr>
              <w:t>.5m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/d）。</w:t>
            </w:r>
          </w:p>
          <w:p w14:paraId="01E71CDB">
            <w:pPr>
              <w:pStyle w:val="95"/>
              <w:ind w:firstLine="480"/>
              <w:jc w:val="both"/>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食堂用水：项目劳动定员为</w:t>
            </w:r>
            <w:r>
              <w:rPr>
                <w:rFonts w:hint="eastAsia" w:cs="Times New Roman"/>
                <w:color w:val="auto"/>
                <w:sz w:val="24"/>
                <w:szCs w:val="24"/>
                <w:u w:val="none"/>
                <w:lang w:val="en-US" w:eastAsia="zh-CN"/>
              </w:rPr>
              <w:t>3</w:t>
            </w:r>
            <w:r>
              <w:rPr>
                <w:rFonts w:hint="eastAsia" w:ascii="Times New Roman" w:hAnsi="Times New Roman" w:eastAsia="宋体" w:cs="Times New Roman"/>
                <w:color w:val="auto"/>
                <w:sz w:val="24"/>
                <w:szCs w:val="24"/>
                <w:u w:val="none"/>
                <w:lang w:val="en-US" w:eastAsia="zh-CN"/>
              </w:rPr>
              <w:t>0人，厂区提供员工中餐。参照《湖南省地方标准  用水定额  第3部分：生活、服务业和建筑业》（DB43/T388.3-2025）表4中</w:t>
            </w:r>
            <w:r>
              <w:rPr>
                <w:rFonts w:hint="eastAsia"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餐饮业--其他餐饮业服务</w:t>
            </w:r>
            <w:r>
              <w:rPr>
                <w:rFonts w:hint="eastAsia"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，取先进值7m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/m</w:t>
            </w:r>
            <w:r>
              <w:rPr>
                <w:rFonts w:hint="eastAsia" w:ascii="Times New Roman" w:hAnsi="Times New Roman" w:eastAsia="宋体" w:cs="Times New Roman"/>
                <w:color w:val="auto"/>
                <w:sz w:val="24"/>
                <w:szCs w:val="24"/>
                <w:u w:val="none"/>
                <w:vertAlign w:val="superscript"/>
                <w:lang w:val="en-US" w:eastAsia="zh-CN"/>
              </w:rPr>
              <w:t>2</w:t>
            </w:r>
            <w:r>
              <w:rPr>
                <w:rFonts w:hint="eastAsia" w:ascii="Times New Roman" w:hAnsi="Times New Roman" w:eastAsia="宋体" w:cs="Times New Roman"/>
                <w:color w:val="auto"/>
                <w:sz w:val="24"/>
                <w:szCs w:val="24"/>
                <w:u w:val="none"/>
                <w:lang w:val="en-US" w:eastAsia="zh-CN"/>
              </w:rPr>
              <w:t>·a，项目食堂面积约50m</w:t>
            </w:r>
            <w:r>
              <w:rPr>
                <w:rFonts w:hint="eastAsia" w:ascii="Times New Roman" w:hAnsi="Times New Roman" w:eastAsia="宋体" w:cs="Times New Roman"/>
                <w:color w:val="auto"/>
                <w:sz w:val="24"/>
                <w:szCs w:val="24"/>
                <w:u w:val="none"/>
                <w:vertAlign w:val="superscript"/>
                <w:lang w:val="en-US" w:eastAsia="zh-CN"/>
              </w:rPr>
              <w:t>2</w:t>
            </w:r>
            <w:r>
              <w:rPr>
                <w:rFonts w:hint="eastAsia" w:ascii="Times New Roman" w:hAnsi="Times New Roman" w:eastAsia="宋体" w:cs="Times New Roman"/>
                <w:color w:val="auto"/>
                <w:sz w:val="24"/>
                <w:szCs w:val="24"/>
                <w:u w:val="none"/>
                <w:lang w:val="en-US" w:eastAsia="zh-CN"/>
              </w:rPr>
              <w:t>，则食堂用水量约为350m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/a（1.17m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/d）。</w:t>
            </w:r>
          </w:p>
          <w:p w14:paraId="411EFB9F">
            <w:pPr>
              <w:pStyle w:val="82"/>
              <w:jc w:val="left"/>
              <w:rPr>
                <w:rFonts w:hint="default" w:ascii="Times New Roman" w:hAnsi="Times New Roman" w:eastAsia="宋体" w:cs="Times New Roman"/>
                <w:bCs/>
                <w:color w:val="auto"/>
              </w:rPr>
            </w:pPr>
            <w:r>
              <w:rPr>
                <w:rFonts w:hint="default" w:ascii="Times New Roman" w:hAnsi="Times New Roman" w:eastAsia="宋体" w:cs="Times New Roman"/>
                <w:bCs/>
                <w:color w:val="auto"/>
              </w:rPr>
              <w:t>（2）排水</w:t>
            </w:r>
          </w:p>
          <w:p w14:paraId="5BF6F4A9">
            <w:pPr>
              <w:pStyle w:val="95"/>
              <w:ind w:firstLine="480"/>
              <w:jc w:val="left"/>
              <w:rPr>
                <w:rFonts w:hint="default" w:ascii="Times New Roman" w:hAnsi="Times New Roman" w:cs="Times New Roman"/>
                <w:color w:val="auto"/>
                <w:u w:val="none"/>
              </w:rPr>
            </w:pPr>
            <w:r>
              <w:rPr>
                <w:rFonts w:hint="default" w:ascii="Times New Roman" w:hAnsi="Times New Roman" w:cs="Times New Roman"/>
                <w:color w:val="auto"/>
                <w:u w:val="single"/>
              </w:rPr>
              <w:t>本项目排水体制为雨污分流。雨水排入市政雨水管网</w:t>
            </w:r>
            <w:r>
              <w:rPr>
                <w:rFonts w:hint="eastAsia" w:cs="Times New Roman"/>
                <w:color w:val="auto"/>
                <w:u w:val="single"/>
                <w:lang w:eastAsia="zh-CN"/>
              </w:rPr>
              <w:t>；</w:t>
            </w:r>
            <w:r>
              <w:rPr>
                <w:rFonts w:hint="eastAsia" w:cs="Times New Roman"/>
                <w:color w:val="auto"/>
                <w:u w:val="single"/>
                <w:lang w:val="en-US" w:eastAsia="zh-CN"/>
              </w:rPr>
              <w:t>生活污水及部分生产废水排入市政污水管网</w:t>
            </w:r>
            <w:r>
              <w:rPr>
                <w:rFonts w:hint="default" w:ascii="Times New Roman" w:hAnsi="Times New Roman" w:cs="Times New Roman"/>
                <w:color w:val="auto"/>
                <w:u w:val="single"/>
              </w:rPr>
              <w:t>。</w:t>
            </w:r>
          </w:p>
          <w:p w14:paraId="1EDC2991">
            <w:pPr>
              <w:pStyle w:val="95"/>
              <w:ind w:firstLine="480"/>
              <w:jc w:val="left"/>
              <w:rPr>
                <w:rFonts w:hint="eastAsia" w:cs="Times New Roman"/>
                <w:color w:val="auto"/>
                <w:u w:val="none"/>
                <w:lang w:eastAsia="zh-CN"/>
              </w:rPr>
            </w:pPr>
            <w:r>
              <w:rPr>
                <w:rFonts w:hint="eastAsia" w:cs="Times New Roman"/>
                <w:color w:val="auto"/>
                <w:u w:val="none"/>
                <w:lang w:eastAsia="zh-CN"/>
              </w:rPr>
              <w:t>地面清洁废水</w:t>
            </w:r>
            <w:r>
              <w:rPr>
                <w:rFonts w:hint="eastAsia" w:cs="Times New Roman"/>
                <w:color w:val="auto"/>
                <w:u w:val="none"/>
                <w:lang w:val="en-US" w:eastAsia="zh-CN"/>
              </w:rPr>
              <w:t>经沉淀池处理后用于厂区绿化浇灌，不外排。本项目外排</w:t>
            </w:r>
            <w:r>
              <w:rPr>
                <w:rFonts w:hint="default" w:ascii="Times New Roman" w:hAnsi="Times New Roman" w:cs="Times New Roman"/>
                <w:color w:val="auto"/>
                <w:u w:val="none"/>
              </w:rPr>
              <w:t>废水主要为</w:t>
            </w:r>
            <w:r>
              <w:rPr>
                <w:rFonts w:hint="eastAsia" w:cs="Times New Roman"/>
                <w:color w:val="auto"/>
                <w:u w:val="none"/>
                <w:lang w:val="en-US" w:eastAsia="zh-CN"/>
              </w:rPr>
              <w:t>食堂废水</w:t>
            </w:r>
            <w:r>
              <w:rPr>
                <w:rFonts w:hint="default" w:ascii="Times New Roman" w:hAnsi="Times New Roman" w:cs="Times New Roman"/>
                <w:color w:val="auto"/>
                <w:u w:val="none"/>
              </w:rPr>
              <w:t>和生活污水</w:t>
            </w:r>
            <w:r>
              <w:rPr>
                <w:rFonts w:hint="eastAsia" w:cs="Times New Roman"/>
                <w:color w:val="auto"/>
                <w:u w:val="none"/>
                <w:lang w:eastAsia="zh-CN"/>
              </w:rPr>
              <w:t>、</w:t>
            </w:r>
            <w:r>
              <w:rPr>
                <w:rFonts w:hint="eastAsia" w:cs="Times New Roman"/>
                <w:color w:val="auto"/>
                <w:u w:val="none"/>
                <w:lang w:val="en-US" w:eastAsia="zh-CN"/>
              </w:rPr>
              <w:t>回用后剩余</w:t>
            </w:r>
            <w:r>
              <w:rPr>
                <w:rFonts w:hint="eastAsia" w:cs="Times New Roman"/>
                <w:color w:val="auto"/>
                <w:u w:val="single"/>
                <w:lang w:val="en-US" w:eastAsia="zh-CN"/>
              </w:rPr>
              <w:t>的生产废水</w:t>
            </w:r>
            <w:r>
              <w:rPr>
                <w:rFonts w:hint="eastAsia" w:cs="Times New Roman"/>
                <w:color w:val="auto"/>
                <w:u w:val="none"/>
                <w:lang w:eastAsia="zh-CN"/>
              </w:rPr>
              <w:t>。</w:t>
            </w:r>
          </w:p>
          <w:p w14:paraId="7839A949">
            <w:pPr>
              <w:pStyle w:val="95"/>
              <w:ind w:firstLine="480"/>
              <w:jc w:val="left"/>
              <w:rPr>
                <w:rFonts w:hint="eastAsia" w:ascii="Times New Roman" w:hAnsi="Times New Roman" w:eastAsia="宋体" w:cs="Times New Roman"/>
                <w:bCs/>
                <w:color w:val="auto"/>
                <w:sz w:val="24"/>
                <w:u w:val="single"/>
                <w:lang w:val="en-US" w:eastAsia="zh-CN"/>
              </w:rPr>
            </w:pPr>
            <w:r>
              <w:rPr>
                <w:rFonts w:hint="eastAsia"/>
                <w:color w:val="auto"/>
                <w:sz w:val="24"/>
                <w:szCs w:val="24"/>
                <w:u w:val="single"/>
                <w:lang w:eastAsia="zh-CN"/>
              </w:rPr>
              <w:t>软化水</w:t>
            </w:r>
            <w:r>
              <w:rPr>
                <w:rFonts w:hint="eastAsia" w:ascii="Times New Roman" w:hAnsi="Times New Roman" w:eastAsia="宋体" w:cs="Times New Roman"/>
                <w:bCs/>
                <w:color w:val="auto"/>
                <w:sz w:val="24"/>
                <w:u w:val="single"/>
                <w:lang w:val="en-US" w:eastAsia="zh-CN"/>
              </w:rPr>
              <w:t>得水率为75%，制备软水所需新鲜水量为4800</w:t>
            </w:r>
            <w:r>
              <w:rPr>
                <w:rFonts w:ascii="Times New Roman" w:hAnsi="Times New Roman" w:eastAsia="宋体" w:cs="Times New Roman"/>
                <w:color w:val="auto"/>
                <w:sz w:val="24"/>
                <w:szCs w:val="24"/>
                <w:u w:val="single"/>
                <w:lang w:eastAsia="zh-CN"/>
              </w:rPr>
              <w:t>m</w:t>
            </w:r>
            <w:r>
              <w:rPr>
                <w:rFonts w:ascii="Times New Roman" w:hAnsi="Times New Roman" w:eastAsia="宋体" w:cs="Times New Roman"/>
                <w:color w:val="auto"/>
                <w:sz w:val="24"/>
                <w:szCs w:val="24"/>
                <w:u w:val="single"/>
                <w:vertAlign w:val="superscript"/>
                <w:lang w:eastAsia="zh-CN"/>
              </w:rPr>
              <w:t>3</w:t>
            </w:r>
            <w:r>
              <w:rPr>
                <w:rFonts w:ascii="Times New Roman" w:hAnsi="Times New Roman" w:eastAsia="宋体" w:cs="Times New Roman"/>
                <w:color w:val="auto"/>
                <w:sz w:val="24"/>
                <w:szCs w:val="24"/>
                <w:u w:val="single"/>
                <w:lang w:eastAsia="zh-CN"/>
              </w:rPr>
              <w:t>/a</w:t>
            </w:r>
            <w:r>
              <w:rPr>
                <w:rFonts w:hint="eastAsia" w:ascii="Times New Roman" w:hAnsi="Times New Roman" w:eastAsia="宋体" w:cs="Times New Roman"/>
                <w:color w:val="auto"/>
                <w:sz w:val="24"/>
                <w:szCs w:val="24"/>
                <w:u w:val="single"/>
                <w:lang w:eastAsia="zh-CN"/>
              </w:rPr>
              <w:t>，</w:t>
            </w:r>
            <w:r>
              <w:rPr>
                <w:rFonts w:hint="eastAsia" w:ascii="Times New Roman" w:hAnsi="Times New Roman" w:eastAsia="宋体" w:cs="Times New Roman"/>
                <w:bCs/>
                <w:color w:val="auto"/>
                <w:sz w:val="24"/>
                <w:u w:val="single"/>
                <w:lang w:val="en-US" w:eastAsia="zh-CN"/>
              </w:rPr>
              <w:t>则制</w:t>
            </w:r>
            <w:r>
              <w:rPr>
                <w:rFonts w:hint="eastAsia"/>
                <w:color w:val="auto"/>
                <w:sz w:val="24"/>
                <w:szCs w:val="24"/>
                <w:u w:val="single"/>
                <w:lang w:eastAsia="zh-CN"/>
              </w:rPr>
              <w:t>软化水</w:t>
            </w:r>
            <w:r>
              <w:rPr>
                <w:rFonts w:hint="eastAsia" w:ascii="Times New Roman" w:hAnsi="Times New Roman" w:eastAsia="宋体" w:cs="Times New Roman"/>
                <w:bCs/>
                <w:color w:val="auto"/>
                <w:sz w:val="24"/>
                <w:u w:val="single"/>
                <w:lang w:val="en-US" w:eastAsia="zh-CN"/>
              </w:rPr>
              <w:t>尾水排放量为12</w:t>
            </w:r>
            <w:r>
              <w:rPr>
                <w:rFonts w:hint="eastAsia" w:cs="Times New Roman"/>
                <w:bCs/>
                <w:color w:val="auto"/>
                <w:sz w:val="24"/>
                <w:u w:val="single"/>
                <w:lang w:val="en-US" w:eastAsia="zh-CN"/>
              </w:rPr>
              <w:t>24</w:t>
            </w:r>
            <w:r>
              <w:rPr>
                <w:rFonts w:hint="eastAsia" w:ascii="Times New Roman" w:hAnsi="Times New Roman" w:eastAsia="宋体" w:cs="Times New Roman"/>
                <w:bCs/>
                <w:color w:val="auto"/>
                <w:sz w:val="24"/>
                <w:u w:val="single"/>
                <w:lang w:val="en-US" w:eastAsia="zh-CN"/>
              </w:rPr>
              <w:t>m</w:t>
            </w:r>
            <w:r>
              <w:rPr>
                <w:rFonts w:hint="eastAsia" w:ascii="Times New Roman" w:hAnsi="Times New Roman" w:eastAsia="宋体" w:cs="Times New Roman"/>
                <w:bCs/>
                <w:color w:val="auto"/>
                <w:sz w:val="24"/>
                <w:u w:val="single"/>
                <w:vertAlign w:val="superscript"/>
                <w:lang w:val="en-US" w:eastAsia="zh-CN"/>
              </w:rPr>
              <w:t>3</w:t>
            </w:r>
            <w:r>
              <w:rPr>
                <w:rFonts w:hint="eastAsia" w:ascii="Times New Roman" w:hAnsi="Times New Roman" w:eastAsia="宋体" w:cs="Times New Roman"/>
                <w:bCs/>
                <w:color w:val="auto"/>
                <w:sz w:val="24"/>
                <w:u w:val="single"/>
                <w:lang w:val="en-US" w:eastAsia="zh-CN"/>
              </w:rPr>
              <w:t>/a，主要含钙</w:t>
            </w:r>
            <w:r>
              <w:rPr>
                <w:rFonts w:hint="eastAsia" w:cs="Times New Roman"/>
                <w:bCs/>
                <w:color w:val="auto"/>
                <w:sz w:val="24"/>
                <w:u w:val="single"/>
                <w:lang w:val="en-US" w:eastAsia="zh-CN"/>
              </w:rPr>
              <w:t>、</w:t>
            </w:r>
            <w:r>
              <w:rPr>
                <w:rFonts w:hint="eastAsia" w:ascii="Times New Roman" w:hAnsi="Times New Roman" w:eastAsia="宋体" w:cs="Times New Roman"/>
                <w:bCs/>
                <w:color w:val="auto"/>
                <w:sz w:val="24"/>
                <w:u w:val="single"/>
                <w:lang w:val="en-US" w:eastAsia="zh-CN"/>
              </w:rPr>
              <w:t>镁离子等无机盐。</w:t>
            </w:r>
          </w:p>
          <w:p w14:paraId="77A00D3A">
            <w:pPr>
              <w:pStyle w:val="95"/>
              <w:ind w:firstLine="480"/>
              <w:jc w:val="both"/>
              <w:rPr>
                <w:rFonts w:hint="eastAsia" w:cs="Times New Roman"/>
                <w:color w:val="auto"/>
                <w:highlight w:val="yellow"/>
                <w:u w:val="none"/>
                <w:lang w:eastAsia="zh-CN"/>
              </w:rPr>
            </w:pPr>
            <w:r>
              <w:rPr>
                <w:rFonts w:hint="eastAsia" w:cs="Times New Roman"/>
                <w:color w:val="auto"/>
                <w:u w:val="none"/>
                <w:lang w:eastAsia="zh-CN"/>
              </w:rPr>
              <w:t>为减轻后续烘干压力，清洗</w:t>
            </w:r>
            <w:r>
              <w:rPr>
                <w:rFonts w:hint="eastAsia" w:cs="Times New Roman"/>
                <w:color w:val="auto"/>
                <w:u w:val="none"/>
                <w:lang w:val="en-US" w:eastAsia="zh-CN"/>
              </w:rPr>
              <w:t>机</w:t>
            </w:r>
            <w:r>
              <w:rPr>
                <w:rFonts w:hint="eastAsia" w:cs="Times New Roman"/>
                <w:color w:val="auto"/>
                <w:u w:val="none"/>
                <w:lang w:eastAsia="zh-CN"/>
              </w:rPr>
              <w:t>带沥干功能，因此废水产生量取新鲜用水量的</w:t>
            </w:r>
            <w:r>
              <w:rPr>
                <w:rFonts w:hint="eastAsia" w:cs="Times New Roman"/>
                <w:color w:val="auto"/>
                <w:u w:val="none"/>
                <w:lang w:val="en-US" w:eastAsia="zh-CN"/>
              </w:rPr>
              <w:t>98%，则清洗废水为9.8</w:t>
            </w:r>
            <w:r>
              <w:rPr>
                <w:rFonts w:hint="eastAsia"/>
                <w:color w:val="auto"/>
                <w:sz w:val="24"/>
                <w:szCs w:val="24"/>
                <w:u w:val="none"/>
              </w:rPr>
              <w:t>m</w:t>
            </w:r>
            <w:r>
              <w:rPr>
                <w:rFonts w:hint="eastAsia"/>
                <w:color w:val="auto"/>
                <w:sz w:val="24"/>
                <w:szCs w:val="24"/>
                <w:u w:val="none"/>
                <w:vertAlign w:val="superscript"/>
              </w:rPr>
              <w:t>3</w:t>
            </w:r>
            <w:r>
              <w:rPr>
                <w:rFonts w:hint="eastAsia"/>
                <w:color w:val="auto"/>
                <w:sz w:val="24"/>
                <w:szCs w:val="24"/>
                <w:u w:val="none"/>
              </w:rPr>
              <w:t>/d</w:t>
            </w:r>
            <w:r>
              <w:rPr>
                <w:rFonts w:hint="eastAsia"/>
                <w:color w:val="auto"/>
                <w:sz w:val="24"/>
                <w:szCs w:val="24"/>
                <w:u w:val="none"/>
                <w:lang w:eastAsia="zh-CN"/>
              </w:rPr>
              <w:t>（</w:t>
            </w:r>
            <w:r>
              <w:rPr>
                <w:rFonts w:hint="eastAsia"/>
                <w:color w:val="auto"/>
                <w:sz w:val="24"/>
                <w:szCs w:val="24"/>
                <w:u w:val="none"/>
                <w:lang w:val="en-US" w:eastAsia="zh-CN"/>
              </w:rPr>
              <w:t>588</w:t>
            </w:r>
            <w:r>
              <w:rPr>
                <w:rFonts w:hint="eastAsia"/>
                <w:color w:val="auto"/>
                <w:sz w:val="24"/>
                <w:szCs w:val="24"/>
                <w:u w:val="none"/>
              </w:rPr>
              <w:t>m</w:t>
            </w:r>
            <w:r>
              <w:rPr>
                <w:rFonts w:hint="eastAsia"/>
                <w:color w:val="auto"/>
                <w:sz w:val="24"/>
                <w:szCs w:val="24"/>
                <w:u w:val="none"/>
                <w:vertAlign w:val="superscript"/>
              </w:rPr>
              <w:t>3</w:t>
            </w:r>
            <w:r>
              <w:rPr>
                <w:rFonts w:hint="eastAsia"/>
                <w:color w:val="auto"/>
                <w:sz w:val="24"/>
                <w:szCs w:val="24"/>
                <w:u w:val="none"/>
              </w:rPr>
              <w:t>/</w:t>
            </w:r>
            <w:r>
              <w:rPr>
                <w:rFonts w:hint="eastAsia"/>
                <w:color w:val="auto"/>
                <w:sz w:val="24"/>
                <w:szCs w:val="24"/>
                <w:u w:val="none"/>
                <w:lang w:val="en-US" w:eastAsia="zh-CN"/>
              </w:rPr>
              <w:t>a</w:t>
            </w:r>
            <w:r>
              <w:rPr>
                <w:rFonts w:hint="eastAsia"/>
                <w:color w:val="auto"/>
                <w:sz w:val="24"/>
                <w:szCs w:val="24"/>
                <w:u w:val="none"/>
                <w:lang w:eastAsia="zh-CN"/>
              </w:rPr>
              <w:t>），</w:t>
            </w:r>
            <w:r>
              <w:rPr>
                <w:rFonts w:hint="eastAsia"/>
                <w:color w:val="auto"/>
                <w:sz w:val="24"/>
                <w:szCs w:val="24"/>
                <w:u w:val="none"/>
                <w:lang w:val="en-US" w:eastAsia="zh-CN"/>
              </w:rPr>
              <w:t>清洗过程不添加清洗剂，废水主要污染物为SS。</w:t>
            </w:r>
            <w:r>
              <w:rPr>
                <w:rFonts w:hint="eastAsia"/>
                <w:color w:val="auto"/>
                <w:sz w:val="24"/>
                <w:szCs w:val="24"/>
                <w:u w:val="single"/>
                <w:lang w:val="en-US" w:eastAsia="zh-CN"/>
              </w:rPr>
              <w:t>本项目原材料清洗废水经三级沉淀池处理后回用作原材料清洗机循环用水（8t/d），多余部分（1.8t/d）上清液与经处理后的生活污水一并通过市政污水管网排入龙潭镇污水处理厂综合处理。</w:t>
            </w:r>
          </w:p>
          <w:p w14:paraId="3000ABE4">
            <w:pPr>
              <w:pStyle w:val="95"/>
              <w:ind w:firstLine="480"/>
              <w:jc w:val="both"/>
              <w:rPr>
                <w:rFonts w:hint="default"/>
                <w:color w:val="auto"/>
                <w:sz w:val="24"/>
                <w:szCs w:val="24"/>
                <w:u w:val="single"/>
                <w:lang w:val="en-US" w:eastAsia="zh-CN"/>
              </w:rPr>
            </w:pPr>
            <w:r>
              <w:rPr>
                <w:rFonts w:hint="eastAsia"/>
                <w:color w:val="auto"/>
                <w:kern w:val="0"/>
                <w:sz w:val="24"/>
                <w:szCs w:val="24"/>
                <w:u w:val="single"/>
                <w:lang w:val="en-US" w:eastAsia="zh-CN" w:bidi="ar-SA"/>
              </w:rPr>
              <w:t>设备清洗废水：</w:t>
            </w:r>
            <w:r>
              <w:rPr>
                <w:rFonts w:hint="eastAsia" w:ascii="Times New Roman" w:hAnsi="Times New Roman" w:eastAsia="宋体" w:cs="Times New Roman"/>
                <w:color w:val="auto"/>
                <w:sz w:val="24"/>
                <w:szCs w:val="24"/>
                <w:u w:val="single"/>
                <w:lang w:val="en-US" w:eastAsia="zh-CN"/>
              </w:rPr>
              <w:t>产污系数按85%计，则污水排放量为</w:t>
            </w:r>
            <w:r>
              <w:rPr>
                <w:rFonts w:hint="eastAsia" w:cs="Times New Roman"/>
                <w:color w:val="auto"/>
                <w:sz w:val="24"/>
                <w:szCs w:val="24"/>
                <w:u w:val="single"/>
                <w:lang w:val="en-US" w:eastAsia="zh-CN"/>
              </w:rPr>
              <w:t>1.7</w:t>
            </w:r>
            <w:r>
              <w:rPr>
                <w:rFonts w:hint="eastAsia" w:ascii="Times New Roman" w:hAnsi="Times New Roman" w:eastAsia="宋体" w:cs="Times New Roman"/>
                <w:color w:val="auto"/>
                <w:sz w:val="24"/>
                <w:szCs w:val="24"/>
                <w:u w:val="single"/>
                <w:lang w:val="en-US" w:eastAsia="zh-CN"/>
              </w:rPr>
              <w:t>m</w:t>
            </w:r>
            <w:r>
              <w:rPr>
                <w:rFonts w:hint="eastAsia" w:ascii="Times New Roman" w:hAnsi="Times New Roman" w:eastAsia="宋体" w:cs="Times New Roman"/>
                <w:color w:val="auto"/>
                <w:sz w:val="24"/>
                <w:szCs w:val="24"/>
                <w:u w:val="single"/>
                <w:vertAlign w:val="superscript"/>
                <w:lang w:val="en-US" w:eastAsia="zh-CN"/>
              </w:rPr>
              <w:t>3</w:t>
            </w:r>
            <w:r>
              <w:rPr>
                <w:rFonts w:hint="eastAsia" w:ascii="Times New Roman" w:hAnsi="Times New Roman" w:eastAsia="宋体" w:cs="Times New Roman"/>
                <w:color w:val="auto"/>
                <w:sz w:val="24"/>
                <w:szCs w:val="24"/>
                <w:u w:val="single"/>
                <w:lang w:val="en-US" w:eastAsia="zh-CN"/>
              </w:rPr>
              <w:t>/a（</w:t>
            </w:r>
            <w:r>
              <w:rPr>
                <w:rFonts w:hint="eastAsia" w:cs="Times New Roman"/>
                <w:color w:val="auto"/>
                <w:sz w:val="24"/>
                <w:szCs w:val="24"/>
                <w:u w:val="single"/>
                <w:lang w:val="en-US" w:eastAsia="zh-CN"/>
              </w:rPr>
              <w:t>8.5L</w:t>
            </w:r>
            <w:r>
              <w:rPr>
                <w:rFonts w:hint="eastAsia" w:ascii="Times New Roman" w:hAnsi="Times New Roman" w:eastAsia="宋体" w:cs="Times New Roman"/>
                <w:color w:val="auto"/>
                <w:sz w:val="24"/>
                <w:szCs w:val="24"/>
                <w:u w:val="single"/>
                <w:lang w:val="en-US" w:eastAsia="zh-CN"/>
              </w:rPr>
              <w:t>/</w:t>
            </w:r>
            <w:r>
              <w:rPr>
                <w:rFonts w:hint="eastAsia" w:cs="Times New Roman"/>
                <w:color w:val="auto"/>
                <w:sz w:val="24"/>
                <w:szCs w:val="24"/>
                <w:u w:val="single"/>
                <w:lang w:val="en-US" w:eastAsia="zh-CN"/>
              </w:rPr>
              <w:t>批次</w:t>
            </w:r>
            <w:r>
              <w:rPr>
                <w:rFonts w:hint="eastAsia" w:ascii="Times New Roman" w:hAnsi="Times New Roman" w:eastAsia="宋体" w:cs="Times New Roman"/>
                <w:color w:val="auto"/>
                <w:sz w:val="24"/>
                <w:szCs w:val="24"/>
                <w:u w:val="single"/>
                <w:lang w:val="en-US" w:eastAsia="zh-CN"/>
              </w:rPr>
              <w:t>）</w:t>
            </w:r>
            <w:r>
              <w:rPr>
                <w:rFonts w:hint="eastAsia"/>
                <w:color w:val="auto"/>
                <w:sz w:val="24"/>
                <w:szCs w:val="24"/>
                <w:u w:val="single"/>
                <w:lang w:eastAsia="zh-CN"/>
              </w:rPr>
              <w:t>。</w:t>
            </w:r>
          </w:p>
          <w:p w14:paraId="461A89F6">
            <w:pPr>
              <w:pStyle w:val="95"/>
              <w:ind w:firstLine="480"/>
              <w:jc w:val="both"/>
              <w:rPr>
                <w:rFonts w:hint="eastAsia"/>
                <w:color w:val="auto"/>
                <w:sz w:val="24"/>
                <w:szCs w:val="24"/>
                <w:u w:val="none"/>
                <w:lang w:eastAsia="zh-CN"/>
              </w:rPr>
            </w:pPr>
            <w:r>
              <w:rPr>
                <w:rFonts w:hint="eastAsia"/>
                <w:color w:val="auto"/>
                <w:sz w:val="24"/>
                <w:szCs w:val="24"/>
                <w:u w:val="none"/>
                <w:lang w:eastAsia="zh-CN"/>
              </w:rPr>
              <w:t>生活污水：</w:t>
            </w:r>
            <w:r>
              <w:rPr>
                <w:rFonts w:hint="eastAsia" w:ascii="Times New Roman" w:hAnsi="Times New Roman" w:eastAsia="宋体" w:cs="Times New Roman"/>
                <w:color w:val="auto"/>
                <w:sz w:val="24"/>
                <w:szCs w:val="24"/>
                <w:u w:val="none"/>
                <w:lang w:val="en-US" w:eastAsia="zh-CN"/>
              </w:rPr>
              <w:t>产污系数按85%计，则污水排放量为</w:t>
            </w:r>
            <w:r>
              <w:rPr>
                <w:rFonts w:hint="eastAsia" w:cs="Times New Roman"/>
                <w:color w:val="auto"/>
                <w:sz w:val="24"/>
                <w:szCs w:val="24"/>
                <w:u w:val="none"/>
                <w:lang w:val="en-US" w:eastAsia="zh-CN"/>
              </w:rPr>
              <w:t>382</w:t>
            </w:r>
            <w:r>
              <w:rPr>
                <w:rFonts w:hint="eastAsia" w:ascii="Times New Roman" w:hAnsi="Times New Roman" w:eastAsia="宋体" w:cs="Times New Roman"/>
                <w:color w:val="auto"/>
                <w:sz w:val="24"/>
                <w:szCs w:val="24"/>
                <w:u w:val="none"/>
                <w:lang w:val="en-US" w:eastAsia="zh-CN"/>
              </w:rPr>
              <w:t>.5m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/a（</w:t>
            </w:r>
            <w:r>
              <w:rPr>
                <w:rFonts w:hint="eastAsia" w:cs="Times New Roman"/>
                <w:color w:val="auto"/>
                <w:sz w:val="24"/>
                <w:szCs w:val="24"/>
                <w:u w:val="none"/>
                <w:lang w:val="en-US" w:eastAsia="zh-CN"/>
              </w:rPr>
              <w:t>1.27</w:t>
            </w:r>
            <w:r>
              <w:rPr>
                <w:rFonts w:hint="eastAsia" w:ascii="Times New Roman" w:hAnsi="Times New Roman" w:eastAsia="宋体" w:cs="Times New Roman"/>
                <w:color w:val="auto"/>
                <w:sz w:val="24"/>
                <w:szCs w:val="24"/>
                <w:u w:val="none"/>
                <w:lang w:val="en-US" w:eastAsia="zh-CN"/>
              </w:rPr>
              <w:t>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/d）</w:t>
            </w:r>
            <w:r>
              <w:rPr>
                <w:rFonts w:hint="eastAsia"/>
                <w:color w:val="auto"/>
                <w:sz w:val="24"/>
                <w:szCs w:val="24"/>
                <w:u w:val="none"/>
                <w:lang w:eastAsia="zh-CN"/>
              </w:rPr>
              <w:t>。</w:t>
            </w:r>
          </w:p>
          <w:p w14:paraId="774410A7">
            <w:pPr>
              <w:pStyle w:val="95"/>
              <w:ind w:firstLine="480"/>
              <w:jc w:val="both"/>
              <w:rPr>
                <w:rFonts w:hint="default"/>
                <w:color w:val="auto"/>
                <w:sz w:val="24"/>
                <w:szCs w:val="24"/>
                <w:u w:val="none"/>
                <w:lang w:val="en-US" w:eastAsia="zh-CN"/>
              </w:rPr>
            </w:pPr>
            <w:r>
              <w:rPr>
                <w:rFonts w:hint="eastAsia"/>
                <w:color w:val="auto"/>
                <w:sz w:val="24"/>
                <w:szCs w:val="24"/>
                <w:u w:val="none"/>
                <w:lang w:val="en-US" w:eastAsia="zh-CN"/>
              </w:rPr>
              <w:t>食堂废水：</w:t>
            </w:r>
            <w:r>
              <w:rPr>
                <w:rFonts w:hint="eastAsia" w:ascii="Times New Roman" w:hAnsi="Times New Roman" w:eastAsia="宋体" w:cs="Times New Roman"/>
                <w:color w:val="auto"/>
                <w:sz w:val="24"/>
                <w:szCs w:val="24"/>
                <w:u w:val="none"/>
                <w:lang w:val="en-US" w:eastAsia="zh-CN"/>
              </w:rPr>
              <w:t>产污系数按85%计，则污水排放量为297.5m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/a（0.992m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/d）</w:t>
            </w:r>
            <w:r>
              <w:rPr>
                <w:rFonts w:hint="eastAsia"/>
                <w:color w:val="auto"/>
                <w:sz w:val="24"/>
                <w:szCs w:val="24"/>
                <w:u w:val="none"/>
                <w:lang w:eastAsia="zh-CN"/>
              </w:rPr>
              <w:t>。</w:t>
            </w:r>
          </w:p>
          <w:p w14:paraId="6C05B86E">
            <w:pPr>
              <w:pStyle w:val="95"/>
              <w:ind w:firstLine="480"/>
              <w:jc w:val="left"/>
              <w:rPr>
                <w:rFonts w:hint="default" w:ascii="Times New Roman" w:hAnsi="Times New Roman" w:cs="Times New Roman"/>
                <w:color w:val="auto"/>
                <w:u w:val="none"/>
              </w:rPr>
            </w:pPr>
            <w:r>
              <w:rPr>
                <w:rFonts w:hint="eastAsia" w:cs="Times New Roman"/>
                <w:color w:val="auto"/>
                <w:u w:val="none"/>
                <w:lang w:val="en-US" w:eastAsia="zh-CN"/>
              </w:rPr>
              <w:t>食堂废水经油水分离器处理后与其他生活污水一并进化粪池处理，再通过</w:t>
            </w:r>
            <w:r>
              <w:rPr>
                <w:rFonts w:hint="eastAsia" w:cs="Times New Roman"/>
                <w:color w:val="auto"/>
                <w:u w:val="none"/>
                <w:lang w:eastAsia="zh-CN"/>
              </w:rPr>
              <w:t>市政</w:t>
            </w:r>
            <w:r>
              <w:rPr>
                <w:rFonts w:hint="eastAsia" w:cs="Times New Roman"/>
                <w:color w:val="auto"/>
                <w:u w:val="none"/>
                <w:lang w:val="en-US" w:eastAsia="zh-CN"/>
              </w:rPr>
              <w:t>污水</w:t>
            </w:r>
            <w:r>
              <w:rPr>
                <w:rFonts w:hint="eastAsia" w:cs="Times New Roman"/>
                <w:color w:val="auto"/>
                <w:u w:val="none"/>
                <w:lang w:eastAsia="zh-CN"/>
              </w:rPr>
              <w:t>管网</w:t>
            </w:r>
            <w:r>
              <w:rPr>
                <w:rFonts w:hint="default" w:ascii="Times New Roman" w:hAnsi="Times New Roman" w:cs="Times New Roman"/>
                <w:color w:val="auto"/>
                <w:u w:val="none"/>
              </w:rPr>
              <w:t>排至</w:t>
            </w:r>
            <w:r>
              <w:rPr>
                <w:rFonts w:hint="default" w:ascii="Times New Roman" w:hAnsi="Times New Roman" w:cs="Times New Roman"/>
                <w:color w:val="auto"/>
                <w:u w:val="none"/>
                <w:lang w:eastAsia="zh-CN"/>
              </w:rPr>
              <w:t>龙潭镇污水</w:t>
            </w:r>
            <w:r>
              <w:rPr>
                <w:rFonts w:hint="default" w:ascii="Times New Roman" w:hAnsi="Times New Roman" w:cs="Times New Roman"/>
                <w:color w:val="auto"/>
                <w:u w:val="none"/>
              </w:rPr>
              <w:t>处理厂处理，最终排入</w:t>
            </w:r>
            <w:r>
              <w:rPr>
                <w:rFonts w:hint="default" w:ascii="Times New Roman" w:hAnsi="Times New Roman" w:cs="Times New Roman"/>
                <w:color w:val="auto"/>
                <w:szCs w:val="21"/>
                <w:u w:val="none"/>
                <w:lang w:eastAsia="zh-CN"/>
              </w:rPr>
              <w:t>二都河</w:t>
            </w:r>
            <w:r>
              <w:rPr>
                <w:rFonts w:hint="default" w:ascii="Times New Roman" w:hAnsi="Times New Roman" w:cs="Times New Roman"/>
                <w:color w:val="auto"/>
                <w:u w:val="none"/>
              </w:rPr>
              <w:t>。</w:t>
            </w:r>
          </w:p>
          <w:p w14:paraId="55D881C8">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表2-</w:t>
            </w:r>
            <w:r>
              <w:rPr>
                <w:rFonts w:hint="eastAsia" w:cs="Times New Roman"/>
                <w:color w:val="auto"/>
                <w:sz w:val="24"/>
                <w:szCs w:val="24"/>
                <w:u w:val="none"/>
                <w:lang w:val="en-US" w:eastAsia="zh-CN"/>
              </w:rPr>
              <w:t xml:space="preserve">13  </w:t>
            </w:r>
            <w:r>
              <w:rPr>
                <w:rFonts w:hint="default" w:ascii="Times New Roman" w:hAnsi="Times New Roman" w:eastAsia="宋体" w:cs="Times New Roman"/>
                <w:color w:val="auto"/>
                <w:sz w:val="24"/>
                <w:szCs w:val="24"/>
                <w:u w:val="none"/>
                <w:lang w:val="en-US" w:eastAsia="zh-CN"/>
              </w:rPr>
              <w:t xml:space="preserve"> 项目用水情况一览表</w:t>
            </w:r>
          </w:p>
          <w:tbl>
            <w:tblPr>
              <w:tblStyle w:val="32"/>
              <w:tblW w:w="75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0"/>
              <w:gridCol w:w="838"/>
              <w:gridCol w:w="1150"/>
              <w:gridCol w:w="1012"/>
              <w:gridCol w:w="1088"/>
              <w:gridCol w:w="1125"/>
              <w:gridCol w:w="1674"/>
            </w:tblGrid>
            <w:tr w14:paraId="5780F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08" w:type="dxa"/>
                  <w:gridSpan w:val="2"/>
                  <w:noWrap w:val="0"/>
                  <w:vAlign w:val="center"/>
                </w:tcPr>
                <w:p w14:paraId="7619D6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150" w:type="dxa"/>
                  <w:noWrap w:val="0"/>
                  <w:vAlign w:val="center"/>
                </w:tcPr>
                <w:p w14:paraId="51A02E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用水量标准</w:t>
                  </w:r>
                </w:p>
              </w:tc>
              <w:tc>
                <w:tcPr>
                  <w:tcW w:w="1012" w:type="dxa"/>
                  <w:noWrap w:val="0"/>
                  <w:vAlign w:val="center"/>
                </w:tcPr>
                <w:p w14:paraId="78CAC7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用水单位数</w:t>
                  </w:r>
                </w:p>
              </w:tc>
              <w:tc>
                <w:tcPr>
                  <w:tcW w:w="1088" w:type="dxa"/>
                  <w:noWrap w:val="0"/>
                  <w:vAlign w:val="center"/>
                </w:tcPr>
                <w:p w14:paraId="02AC01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用水量</w:t>
                  </w:r>
                </w:p>
              </w:tc>
              <w:tc>
                <w:tcPr>
                  <w:tcW w:w="1125" w:type="dxa"/>
                  <w:noWrap w:val="0"/>
                  <w:vAlign w:val="center"/>
                </w:tcPr>
                <w:p w14:paraId="20F263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废水排放量</w:t>
                  </w:r>
                </w:p>
              </w:tc>
              <w:tc>
                <w:tcPr>
                  <w:tcW w:w="1674" w:type="dxa"/>
                  <w:noWrap w:val="0"/>
                  <w:vAlign w:val="center"/>
                </w:tcPr>
                <w:p w14:paraId="21ED24C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14:paraId="5F48D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08" w:type="dxa"/>
                  <w:gridSpan w:val="2"/>
                  <w:noWrap w:val="0"/>
                  <w:vAlign w:val="center"/>
                </w:tcPr>
                <w:p w14:paraId="7EA58C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生活用水</w:t>
                  </w:r>
                </w:p>
              </w:tc>
              <w:tc>
                <w:tcPr>
                  <w:tcW w:w="1150" w:type="dxa"/>
                  <w:noWrap w:val="0"/>
                  <w:vAlign w:val="center"/>
                </w:tcPr>
                <w:p w14:paraId="4AF8B3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人</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a</w:t>
                  </w:r>
                </w:p>
              </w:tc>
              <w:tc>
                <w:tcPr>
                  <w:tcW w:w="1012" w:type="dxa"/>
                  <w:noWrap w:val="0"/>
                  <w:vAlign w:val="center"/>
                </w:tcPr>
                <w:p w14:paraId="42CEBC82">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人</w:t>
                  </w:r>
                </w:p>
              </w:tc>
              <w:tc>
                <w:tcPr>
                  <w:tcW w:w="1088" w:type="dxa"/>
                  <w:noWrap w:val="0"/>
                  <w:vAlign w:val="center"/>
                </w:tcPr>
                <w:p w14:paraId="76F81E07">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125" w:type="dxa"/>
                  <w:noWrap w:val="0"/>
                  <w:vAlign w:val="center"/>
                </w:tcPr>
                <w:p w14:paraId="40076312">
                  <w:pPr>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382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674" w:type="dxa"/>
                  <w:vMerge w:val="restart"/>
                  <w:noWrap w:val="0"/>
                  <w:vAlign w:val="center"/>
                </w:tcPr>
                <w:p w14:paraId="6845D38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纳入</w:t>
                  </w:r>
                  <w:r>
                    <w:rPr>
                      <w:rFonts w:hint="default" w:ascii="Times New Roman" w:hAnsi="Times New Roman" w:eastAsia="宋体" w:cs="Times New Roman"/>
                      <w:color w:val="auto"/>
                      <w:sz w:val="21"/>
                      <w:szCs w:val="21"/>
                      <w:u w:val="none"/>
                      <w:lang w:eastAsia="zh-CN"/>
                    </w:rPr>
                    <w:t>龙潭镇污水</w:t>
                  </w:r>
                  <w:r>
                    <w:rPr>
                      <w:rFonts w:hint="default" w:ascii="Times New Roman" w:hAnsi="Times New Roman" w:eastAsia="宋体" w:cs="Times New Roman"/>
                      <w:color w:val="auto"/>
                      <w:sz w:val="21"/>
                      <w:szCs w:val="21"/>
                      <w:u w:val="none"/>
                    </w:rPr>
                    <w:t>处理厂</w:t>
                  </w:r>
                </w:p>
              </w:tc>
            </w:tr>
            <w:tr w14:paraId="5F895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08" w:type="dxa"/>
                  <w:gridSpan w:val="2"/>
                  <w:noWrap w:val="0"/>
                  <w:vAlign w:val="center"/>
                </w:tcPr>
                <w:p w14:paraId="4CF97C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u w:val="none"/>
                      <w:lang w:val="en-US" w:eastAsia="zh-CN"/>
                    </w:rPr>
                    <w:t>食堂用水</w:t>
                  </w:r>
                </w:p>
              </w:tc>
              <w:tc>
                <w:tcPr>
                  <w:tcW w:w="1150" w:type="dxa"/>
                  <w:noWrap w:val="0"/>
                  <w:vAlign w:val="center"/>
                </w:tcPr>
                <w:p w14:paraId="0BE544A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u w:val="none"/>
                      <w:lang w:val="en-US" w:eastAsia="zh-CN"/>
                    </w:rPr>
                    <w:t>7m</w:t>
                  </w:r>
                  <w:r>
                    <w:rPr>
                      <w:rFonts w:hint="default" w:ascii="Times New Roman" w:hAnsi="Times New Roman" w:eastAsia="宋体" w:cs="Times New Roman"/>
                      <w:color w:val="auto"/>
                      <w:sz w:val="21"/>
                      <w:szCs w:val="21"/>
                      <w:u w:val="none"/>
                      <w:vertAlign w:val="superscript"/>
                      <w:lang w:val="en-US" w:eastAsia="zh-CN"/>
                    </w:rPr>
                    <w:t>3</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·a</w:t>
                  </w:r>
                </w:p>
              </w:tc>
              <w:tc>
                <w:tcPr>
                  <w:tcW w:w="1012" w:type="dxa"/>
                  <w:noWrap w:val="0"/>
                  <w:vAlign w:val="center"/>
                </w:tcPr>
                <w:p w14:paraId="7844542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p>
              </w:tc>
              <w:tc>
                <w:tcPr>
                  <w:tcW w:w="1088" w:type="dxa"/>
                  <w:noWrap w:val="0"/>
                  <w:vAlign w:val="center"/>
                </w:tcPr>
                <w:p w14:paraId="03B6A9D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125" w:type="dxa"/>
                  <w:noWrap w:val="0"/>
                  <w:vAlign w:val="center"/>
                </w:tcPr>
                <w:p w14:paraId="18CD344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1674" w:type="dxa"/>
                  <w:vMerge w:val="continue"/>
                  <w:noWrap w:val="0"/>
                  <w:vAlign w:val="center"/>
                </w:tcPr>
                <w:p w14:paraId="053D685C">
                  <w:pPr>
                    <w:jc w:val="center"/>
                    <w:rPr>
                      <w:rFonts w:hint="default" w:ascii="Times New Roman" w:hAnsi="Times New Roman" w:eastAsia="宋体" w:cs="Times New Roman"/>
                      <w:color w:val="auto"/>
                      <w:sz w:val="21"/>
                      <w:szCs w:val="21"/>
                      <w:lang w:val="en-US" w:eastAsia="zh-CN"/>
                    </w:rPr>
                  </w:pPr>
                </w:p>
              </w:tc>
            </w:tr>
            <w:tr w14:paraId="2D751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08" w:type="dxa"/>
                  <w:gridSpan w:val="2"/>
                  <w:noWrap w:val="0"/>
                  <w:vAlign w:val="center"/>
                </w:tcPr>
                <w:p w14:paraId="4651A31B">
                  <w:pPr>
                    <w:jc w:val="center"/>
                    <w:rPr>
                      <w:rFonts w:hint="default" w:ascii="Times New Roman" w:hAnsi="Times New Roman" w:eastAsia="宋体" w:cs="Times New Roman"/>
                      <w:color w:val="auto"/>
                      <w:sz w:val="21"/>
                      <w:szCs w:val="21"/>
                      <w:u w:val="single"/>
                    </w:rPr>
                  </w:pPr>
                  <w:r>
                    <w:rPr>
                      <w:rFonts w:hint="eastAsia"/>
                      <w:color w:val="auto"/>
                      <w:sz w:val="21"/>
                      <w:szCs w:val="21"/>
                      <w:u w:val="single"/>
                      <w:lang w:val="en-US" w:eastAsia="zh-CN"/>
                    </w:rPr>
                    <w:t>制</w:t>
                  </w:r>
                  <w:r>
                    <w:rPr>
                      <w:rFonts w:hint="eastAsia"/>
                      <w:color w:val="auto"/>
                      <w:sz w:val="21"/>
                      <w:szCs w:val="21"/>
                      <w:u w:val="single"/>
                      <w:lang w:eastAsia="zh-CN"/>
                    </w:rPr>
                    <w:t>软化水</w:t>
                  </w:r>
                  <w:r>
                    <w:rPr>
                      <w:rFonts w:hint="default" w:ascii="Times New Roman" w:hAnsi="Times New Roman" w:eastAsia="宋体" w:cs="Times New Roman"/>
                      <w:color w:val="auto"/>
                      <w:sz w:val="21"/>
                      <w:szCs w:val="21"/>
                      <w:u w:val="single"/>
                    </w:rPr>
                    <w:t>用水</w:t>
                  </w:r>
                </w:p>
              </w:tc>
              <w:tc>
                <w:tcPr>
                  <w:tcW w:w="1150" w:type="dxa"/>
                  <w:noWrap w:val="0"/>
                  <w:vAlign w:val="center"/>
                </w:tcPr>
                <w:p w14:paraId="161653A5">
                  <w:pPr>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val="en-US" w:eastAsia="zh-CN"/>
                    </w:rPr>
                    <w:t>/</w:t>
                  </w:r>
                </w:p>
              </w:tc>
              <w:tc>
                <w:tcPr>
                  <w:tcW w:w="1012" w:type="dxa"/>
                  <w:noWrap w:val="0"/>
                  <w:vAlign w:val="center"/>
                </w:tcPr>
                <w:p w14:paraId="676FFC7B">
                  <w:pPr>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val="en-US" w:eastAsia="zh-CN"/>
                    </w:rPr>
                    <w:t>/</w:t>
                  </w:r>
                </w:p>
              </w:tc>
              <w:tc>
                <w:tcPr>
                  <w:tcW w:w="1088" w:type="dxa"/>
                  <w:noWrap w:val="0"/>
                  <w:vAlign w:val="center"/>
                </w:tcPr>
                <w:p w14:paraId="3A515684">
                  <w:pPr>
                    <w:jc w:val="center"/>
                    <w:rPr>
                      <w:rFonts w:hint="default" w:ascii="Times New Roman" w:hAnsi="Times New Roman" w:eastAsia="宋体" w:cs="Times New Roman"/>
                      <w:color w:val="auto"/>
                      <w:sz w:val="21"/>
                      <w:szCs w:val="21"/>
                      <w:u w:val="single"/>
                    </w:rPr>
                  </w:pPr>
                  <w:r>
                    <w:rPr>
                      <w:rFonts w:hint="eastAsia" w:cs="Times New Roman"/>
                      <w:color w:val="auto"/>
                      <w:sz w:val="21"/>
                      <w:szCs w:val="21"/>
                      <w:u w:val="single"/>
                      <w:lang w:val="en-US" w:eastAsia="zh-CN"/>
                    </w:rPr>
                    <w:t>4896</w:t>
                  </w:r>
                  <w:r>
                    <w:rPr>
                      <w:rFonts w:hint="default" w:ascii="Times New Roman" w:hAnsi="Times New Roman" w:eastAsia="宋体" w:cs="Times New Roman"/>
                      <w:color w:val="auto"/>
                      <w:sz w:val="21"/>
                      <w:szCs w:val="21"/>
                      <w:u w:val="single"/>
                      <w:lang w:eastAsia="zh-CN"/>
                    </w:rPr>
                    <w:t>m</w:t>
                  </w:r>
                  <w:r>
                    <w:rPr>
                      <w:rFonts w:hint="default" w:ascii="Times New Roman" w:hAnsi="Times New Roman" w:eastAsia="宋体" w:cs="Times New Roman"/>
                      <w:color w:val="auto"/>
                      <w:sz w:val="21"/>
                      <w:szCs w:val="21"/>
                      <w:u w:val="single"/>
                      <w:vertAlign w:val="superscript"/>
                      <w:lang w:eastAsia="zh-CN"/>
                    </w:rPr>
                    <w:t>3</w:t>
                  </w:r>
                  <w:r>
                    <w:rPr>
                      <w:rFonts w:hint="default" w:ascii="Times New Roman" w:hAnsi="Times New Roman" w:eastAsia="宋体" w:cs="Times New Roman"/>
                      <w:color w:val="auto"/>
                      <w:sz w:val="21"/>
                      <w:szCs w:val="21"/>
                      <w:u w:val="single"/>
                      <w:lang w:eastAsia="zh-CN"/>
                    </w:rPr>
                    <w:t>/a</w:t>
                  </w:r>
                </w:p>
              </w:tc>
              <w:tc>
                <w:tcPr>
                  <w:tcW w:w="1125" w:type="dxa"/>
                  <w:noWrap w:val="0"/>
                  <w:vAlign w:val="center"/>
                </w:tcPr>
                <w:p w14:paraId="35044962">
                  <w:pPr>
                    <w:jc w:val="center"/>
                    <w:rPr>
                      <w:rFonts w:hint="default" w:ascii="Times New Roman" w:hAnsi="Times New Roman" w:eastAsia="宋体" w:cs="Times New Roman"/>
                      <w:color w:val="auto"/>
                      <w:sz w:val="21"/>
                      <w:szCs w:val="21"/>
                      <w:u w:val="single"/>
                    </w:rPr>
                  </w:pPr>
                  <w:r>
                    <w:rPr>
                      <w:rFonts w:hint="eastAsia" w:cs="Times New Roman"/>
                      <w:bCs/>
                      <w:color w:val="auto"/>
                      <w:sz w:val="21"/>
                      <w:szCs w:val="21"/>
                      <w:u w:val="single"/>
                      <w:lang w:val="en-US" w:eastAsia="zh-CN"/>
                    </w:rPr>
                    <w:t>1224</w:t>
                  </w:r>
                  <w:r>
                    <w:rPr>
                      <w:rFonts w:hint="default" w:ascii="Times New Roman" w:hAnsi="Times New Roman" w:eastAsia="宋体" w:cs="Times New Roman"/>
                      <w:color w:val="auto"/>
                      <w:sz w:val="21"/>
                      <w:szCs w:val="21"/>
                      <w:u w:val="single"/>
                    </w:rPr>
                    <w:t>m</w:t>
                  </w:r>
                  <w:r>
                    <w:rPr>
                      <w:rFonts w:hint="default" w:ascii="Times New Roman" w:hAnsi="Times New Roman" w:eastAsia="宋体" w:cs="Times New Roman"/>
                      <w:color w:val="auto"/>
                      <w:sz w:val="21"/>
                      <w:szCs w:val="21"/>
                      <w:u w:val="single"/>
                      <w:vertAlign w:val="superscript"/>
                    </w:rPr>
                    <w:t>3</w:t>
                  </w:r>
                  <w:r>
                    <w:rPr>
                      <w:rFonts w:hint="default" w:ascii="Times New Roman" w:hAnsi="Times New Roman" w:eastAsia="宋体" w:cs="Times New Roman"/>
                      <w:color w:val="auto"/>
                      <w:sz w:val="21"/>
                      <w:szCs w:val="21"/>
                      <w:u w:val="single"/>
                    </w:rPr>
                    <w:t>/a</w:t>
                  </w:r>
                </w:p>
              </w:tc>
              <w:tc>
                <w:tcPr>
                  <w:tcW w:w="1674" w:type="dxa"/>
                  <w:vMerge w:val="restart"/>
                  <w:noWrap w:val="0"/>
                  <w:vAlign w:val="center"/>
                </w:tcPr>
                <w:p w14:paraId="0BDAC095">
                  <w:pPr>
                    <w:jc w:val="center"/>
                    <w:rPr>
                      <w:rFonts w:hint="eastAsia" w:ascii="Times New Roman" w:hAnsi="Times New Roman" w:eastAsia="宋体" w:cs="Times New Roman"/>
                      <w:bCs/>
                      <w:color w:val="auto"/>
                      <w:sz w:val="21"/>
                      <w:szCs w:val="21"/>
                      <w:u w:val="single"/>
                      <w:lang w:val="en-US" w:eastAsia="zh-CN"/>
                    </w:rPr>
                  </w:pPr>
                  <w:r>
                    <w:rPr>
                      <w:rFonts w:hint="eastAsia" w:cs="Times New Roman"/>
                      <w:bCs/>
                      <w:color w:val="auto"/>
                      <w:sz w:val="21"/>
                      <w:szCs w:val="21"/>
                      <w:highlight w:val="none"/>
                      <w:u w:val="single"/>
                      <w:lang w:val="en-US" w:eastAsia="zh-CN"/>
                    </w:rPr>
                    <w:t>其中480</w:t>
                  </w:r>
                  <w:r>
                    <w:rPr>
                      <w:rFonts w:hint="default" w:ascii="Times New Roman" w:hAnsi="Times New Roman" w:eastAsia="宋体" w:cs="Times New Roman"/>
                      <w:color w:val="auto"/>
                      <w:sz w:val="21"/>
                      <w:szCs w:val="21"/>
                      <w:highlight w:val="none"/>
                      <w:u w:val="single"/>
                      <w:lang w:eastAsia="zh-CN"/>
                    </w:rPr>
                    <w:t>m</w:t>
                  </w:r>
                  <w:r>
                    <w:rPr>
                      <w:rFonts w:hint="default" w:ascii="Times New Roman" w:hAnsi="Times New Roman" w:eastAsia="宋体" w:cs="Times New Roman"/>
                      <w:color w:val="auto"/>
                      <w:sz w:val="21"/>
                      <w:szCs w:val="21"/>
                      <w:highlight w:val="none"/>
                      <w:u w:val="single"/>
                      <w:vertAlign w:val="superscript"/>
                      <w:lang w:eastAsia="zh-CN"/>
                    </w:rPr>
                    <w:t>3</w:t>
                  </w:r>
                  <w:r>
                    <w:rPr>
                      <w:rFonts w:hint="default" w:ascii="Times New Roman" w:hAnsi="Times New Roman" w:eastAsia="宋体" w:cs="Times New Roman"/>
                      <w:bCs/>
                      <w:color w:val="auto"/>
                      <w:sz w:val="21"/>
                      <w:szCs w:val="21"/>
                      <w:highlight w:val="none"/>
                      <w:u w:val="single"/>
                      <w:lang w:val="en-US" w:eastAsia="zh-CN"/>
                    </w:rPr>
                    <w:t>回用于</w:t>
                  </w:r>
                  <w:r>
                    <w:rPr>
                      <w:rFonts w:hint="eastAsia" w:cs="Times New Roman"/>
                      <w:bCs/>
                      <w:color w:val="auto"/>
                      <w:sz w:val="21"/>
                      <w:szCs w:val="21"/>
                      <w:highlight w:val="none"/>
                      <w:u w:val="single"/>
                      <w:lang w:val="en-US" w:eastAsia="zh-CN"/>
                    </w:rPr>
                    <w:t>清洗</w:t>
                  </w:r>
                  <w:r>
                    <w:rPr>
                      <w:rFonts w:hint="eastAsia" w:cs="Times New Roman"/>
                      <w:color w:val="auto"/>
                      <w:sz w:val="21"/>
                      <w:szCs w:val="21"/>
                      <w:highlight w:val="none"/>
                      <w:u w:val="single"/>
                      <w:lang w:val="en-US" w:eastAsia="zh-CN"/>
                    </w:rPr>
                    <w:t>循环</w:t>
                  </w:r>
                  <w:r>
                    <w:rPr>
                      <w:rFonts w:hint="default" w:ascii="Times New Roman" w:hAnsi="Times New Roman" w:eastAsia="宋体" w:cs="Times New Roman"/>
                      <w:color w:val="auto"/>
                      <w:sz w:val="21"/>
                      <w:szCs w:val="21"/>
                      <w:highlight w:val="none"/>
                      <w:u w:val="single"/>
                      <w:lang w:eastAsia="zh-CN"/>
                    </w:rPr>
                    <w:t>用水</w:t>
                  </w:r>
                  <w:r>
                    <w:rPr>
                      <w:rFonts w:hint="eastAsia" w:cs="Times New Roman"/>
                      <w:color w:val="auto"/>
                      <w:sz w:val="21"/>
                      <w:szCs w:val="21"/>
                      <w:highlight w:val="none"/>
                      <w:u w:val="single"/>
                      <w:lang w:eastAsia="zh-CN"/>
                    </w:rPr>
                    <w:t>，</w:t>
                  </w:r>
                  <w:r>
                    <w:rPr>
                      <w:rFonts w:hint="eastAsia" w:cs="Times New Roman"/>
                      <w:color w:val="auto"/>
                      <w:sz w:val="21"/>
                      <w:szCs w:val="21"/>
                      <w:highlight w:val="none"/>
                      <w:u w:val="single"/>
                      <w:lang w:val="en-US" w:eastAsia="zh-CN"/>
                    </w:rPr>
                    <w:t>1273.67</w:t>
                  </w:r>
                  <w:r>
                    <w:rPr>
                      <w:rFonts w:hint="default" w:ascii="Times New Roman" w:hAnsi="Times New Roman" w:eastAsia="宋体" w:cs="Times New Roman"/>
                      <w:color w:val="auto"/>
                      <w:sz w:val="21"/>
                      <w:szCs w:val="21"/>
                      <w:highlight w:val="none"/>
                      <w:u w:val="single"/>
                      <w:lang w:eastAsia="zh-CN"/>
                    </w:rPr>
                    <w:t>m</w:t>
                  </w:r>
                  <w:r>
                    <w:rPr>
                      <w:rFonts w:hint="default" w:ascii="Times New Roman" w:hAnsi="Times New Roman" w:eastAsia="宋体" w:cs="Times New Roman"/>
                      <w:color w:val="auto"/>
                      <w:sz w:val="21"/>
                      <w:szCs w:val="21"/>
                      <w:highlight w:val="none"/>
                      <w:u w:val="single"/>
                      <w:vertAlign w:val="superscript"/>
                      <w:lang w:eastAsia="zh-CN"/>
                    </w:rPr>
                    <w:t>3</w:t>
                  </w:r>
                  <w:r>
                    <w:rPr>
                      <w:rFonts w:hint="default" w:ascii="Times New Roman" w:hAnsi="Times New Roman" w:eastAsia="宋体" w:cs="Times New Roman"/>
                      <w:color w:val="auto"/>
                      <w:sz w:val="21"/>
                      <w:szCs w:val="21"/>
                      <w:highlight w:val="none"/>
                      <w:u w:val="single"/>
                      <w:lang w:val="en-US" w:eastAsia="zh-CN"/>
                    </w:rPr>
                    <w:t>纳入</w:t>
                  </w:r>
                  <w:r>
                    <w:rPr>
                      <w:rFonts w:hint="default" w:ascii="Times New Roman" w:hAnsi="Times New Roman" w:eastAsia="宋体" w:cs="Times New Roman"/>
                      <w:color w:val="auto"/>
                      <w:sz w:val="21"/>
                      <w:szCs w:val="21"/>
                      <w:highlight w:val="none"/>
                      <w:u w:val="single"/>
                      <w:lang w:eastAsia="zh-CN"/>
                    </w:rPr>
                    <w:t>龙潭镇污水</w:t>
                  </w:r>
                  <w:r>
                    <w:rPr>
                      <w:rFonts w:hint="default" w:ascii="Times New Roman" w:hAnsi="Times New Roman" w:eastAsia="宋体" w:cs="Times New Roman"/>
                      <w:color w:val="auto"/>
                      <w:sz w:val="21"/>
                      <w:szCs w:val="21"/>
                      <w:highlight w:val="none"/>
                      <w:u w:val="single"/>
                    </w:rPr>
                    <w:t>处理厂</w:t>
                  </w:r>
                  <w:r>
                    <w:rPr>
                      <w:rFonts w:hint="eastAsia" w:cs="Times New Roman"/>
                      <w:color w:val="auto"/>
                      <w:sz w:val="21"/>
                      <w:szCs w:val="21"/>
                      <w:highlight w:val="none"/>
                      <w:u w:val="single"/>
                      <w:lang w:eastAsia="zh-CN"/>
                    </w:rPr>
                    <w:t>，</w:t>
                  </w:r>
                  <w:r>
                    <w:rPr>
                      <w:rFonts w:hint="eastAsia" w:cs="Times New Roman"/>
                      <w:color w:val="auto"/>
                      <w:sz w:val="21"/>
                      <w:szCs w:val="21"/>
                      <w:highlight w:val="none"/>
                      <w:u w:val="single"/>
                      <w:lang w:val="en-US" w:eastAsia="zh-CN"/>
                    </w:rPr>
                    <w:t>58.33</w:t>
                  </w:r>
                  <w:r>
                    <w:rPr>
                      <w:rFonts w:hint="eastAsia" w:ascii="Times New Roman" w:hAnsi="Times New Roman" w:eastAsia="宋体" w:cs="Times New Roman"/>
                      <w:color w:val="auto"/>
                      <w:sz w:val="21"/>
                      <w:szCs w:val="21"/>
                      <w:lang w:val="en-US" w:eastAsia="zh-CN"/>
                    </w:rPr>
                    <w:t>被沉淀池沉渣带走</w:t>
                  </w:r>
                </w:p>
              </w:tc>
            </w:tr>
            <w:tr w14:paraId="3332C2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670" w:type="dxa"/>
                  <w:vMerge w:val="restart"/>
                  <w:tcBorders>
                    <w:right w:val="single" w:color="auto" w:sz="4" w:space="0"/>
                  </w:tcBorders>
                  <w:noWrap w:val="0"/>
                  <w:vAlign w:val="center"/>
                </w:tcPr>
                <w:p w14:paraId="6CC64427">
                  <w:pPr>
                    <w:jc w:val="center"/>
                    <w:rPr>
                      <w:rFonts w:hint="default" w:ascii="Times New Roman" w:hAnsi="Times New Roman" w:eastAsia="宋体" w:cs="Times New Roman"/>
                      <w:color w:val="auto"/>
                      <w:sz w:val="21"/>
                      <w:szCs w:val="21"/>
                      <w:u w:val="single"/>
                      <w:lang w:eastAsia="zh-CN"/>
                    </w:rPr>
                  </w:pPr>
                  <w:r>
                    <w:rPr>
                      <w:rFonts w:hint="default" w:ascii="Times New Roman" w:hAnsi="Times New Roman" w:eastAsia="宋体" w:cs="Times New Roman"/>
                      <w:color w:val="auto"/>
                      <w:sz w:val="21"/>
                      <w:szCs w:val="21"/>
                      <w:u w:val="single"/>
                      <w:lang w:val="en-US" w:eastAsia="zh-CN"/>
                    </w:rPr>
                    <w:t>原材料</w:t>
                  </w:r>
                  <w:r>
                    <w:rPr>
                      <w:rFonts w:hint="default" w:ascii="Times New Roman" w:hAnsi="Times New Roman" w:eastAsia="宋体" w:cs="Times New Roman"/>
                      <w:color w:val="auto"/>
                      <w:sz w:val="21"/>
                      <w:szCs w:val="21"/>
                      <w:u w:val="single"/>
                      <w:lang w:eastAsia="zh-CN"/>
                    </w:rPr>
                    <w:t>清洗</w:t>
                  </w:r>
                </w:p>
              </w:tc>
              <w:tc>
                <w:tcPr>
                  <w:tcW w:w="838" w:type="dxa"/>
                  <w:tcBorders>
                    <w:left w:val="single" w:color="auto" w:sz="4" w:space="0"/>
                    <w:bottom w:val="single" w:color="auto" w:sz="4" w:space="0"/>
                  </w:tcBorders>
                  <w:noWrap w:val="0"/>
                  <w:vAlign w:val="center"/>
                </w:tcPr>
                <w:p w14:paraId="07226F50">
                  <w:pPr>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循环</w:t>
                  </w:r>
                  <w:r>
                    <w:rPr>
                      <w:rFonts w:hint="default" w:ascii="Times New Roman" w:hAnsi="Times New Roman" w:eastAsia="宋体" w:cs="Times New Roman"/>
                      <w:color w:val="auto"/>
                      <w:sz w:val="21"/>
                      <w:szCs w:val="21"/>
                      <w:u w:val="single"/>
                      <w:lang w:eastAsia="zh-CN"/>
                    </w:rPr>
                    <w:t>用水</w:t>
                  </w:r>
                </w:p>
              </w:tc>
              <w:tc>
                <w:tcPr>
                  <w:tcW w:w="1150" w:type="dxa"/>
                  <w:tcBorders>
                    <w:bottom w:val="single" w:color="auto" w:sz="4" w:space="0"/>
                  </w:tcBorders>
                  <w:noWrap w:val="0"/>
                  <w:vAlign w:val="center"/>
                </w:tcPr>
                <w:p w14:paraId="632B80D0">
                  <w:pPr>
                    <w:jc w:val="center"/>
                    <w:rPr>
                      <w:rFonts w:hint="default" w:ascii="Times New Roman" w:hAnsi="Times New Roman" w:eastAsia="宋体" w:cs="Times New Roman"/>
                      <w:color w:val="auto"/>
                      <w:sz w:val="21"/>
                      <w:szCs w:val="21"/>
                      <w:u w:val="single"/>
                      <w:lang w:val="en-US"/>
                    </w:rPr>
                  </w:pPr>
                  <w:r>
                    <w:rPr>
                      <w:rFonts w:hint="default" w:ascii="Times New Roman" w:hAnsi="Times New Roman" w:eastAsia="宋体" w:cs="Times New Roman"/>
                      <w:color w:val="auto"/>
                      <w:sz w:val="21"/>
                      <w:szCs w:val="21"/>
                      <w:u w:val="single"/>
                      <w:lang w:val="en-US" w:eastAsia="zh-CN"/>
                    </w:rPr>
                    <w:t>4</w:t>
                  </w:r>
                  <w:r>
                    <w:rPr>
                      <w:rFonts w:hint="default" w:ascii="Times New Roman" w:hAnsi="Times New Roman" w:eastAsia="宋体" w:cs="Times New Roman"/>
                      <w:color w:val="auto"/>
                      <w:sz w:val="21"/>
                      <w:szCs w:val="21"/>
                      <w:u w:val="single"/>
                    </w:rPr>
                    <w:t>m</w:t>
                  </w:r>
                  <w:r>
                    <w:rPr>
                      <w:rFonts w:hint="default" w:ascii="Times New Roman" w:hAnsi="Times New Roman" w:eastAsia="宋体" w:cs="Times New Roman"/>
                      <w:color w:val="auto"/>
                      <w:sz w:val="21"/>
                      <w:szCs w:val="21"/>
                      <w:u w:val="single"/>
                      <w:vertAlign w:val="superscript"/>
                    </w:rPr>
                    <w:t>3</w:t>
                  </w: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lang w:val="en-US" w:eastAsia="zh-CN"/>
                    </w:rPr>
                    <w:t>台</w:t>
                  </w: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lang w:val="en-US" w:eastAsia="zh-CN"/>
                    </w:rPr>
                    <w:t>d</w:t>
                  </w:r>
                </w:p>
              </w:tc>
              <w:tc>
                <w:tcPr>
                  <w:tcW w:w="1012" w:type="dxa"/>
                  <w:tcBorders>
                    <w:bottom w:val="single" w:color="auto" w:sz="4" w:space="0"/>
                  </w:tcBorders>
                  <w:noWrap w:val="0"/>
                  <w:vAlign w:val="center"/>
                </w:tcPr>
                <w:p w14:paraId="4CD8C1D4">
                  <w:pPr>
                    <w:jc w:val="center"/>
                    <w:rPr>
                      <w:rFonts w:hint="default" w:ascii="Times New Roman" w:hAnsi="Times New Roman" w:eastAsia="宋体" w:cs="Times New Roman"/>
                      <w:color w:val="auto"/>
                      <w:sz w:val="21"/>
                      <w:szCs w:val="21"/>
                      <w:u w:val="single"/>
                      <w:lang w:val="en-US"/>
                    </w:rPr>
                  </w:pPr>
                  <w:r>
                    <w:rPr>
                      <w:rFonts w:hint="default" w:ascii="Times New Roman" w:hAnsi="Times New Roman" w:eastAsia="宋体" w:cs="Times New Roman"/>
                      <w:color w:val="auto"/>
                      <w:sz w:val="21"/>
                      <w:szCs w:val="21"/>
                      <w:u w:val="single"/>
                      <w:lang w:val="en-US" w:eastAsia="zh-CN"/>
                    </w:rPr>
                    <w:t>2台</w:t>
                  </w:r>
                </w:p>
              </w:tc>
              <w:tc>
                <w:tcPr>
                  <w:tcW w:w="1088" w:type="dxa"/>
                  <w:tcBorders>
                    <w:bottom w:val="single" w:color="auto" w:sz="4" w:space="0"/>
                  </w:tcBorders>
                  <w:noWrap w:val="0"/>
                  <w:vAlign w:val="center"/>
                </w:tcPr>
                <w:p w14:paraId="04C7C109">
                  <w:pPr>
                    <w:jc w:val="center"/>
                    <w:rPr>
                      <w:rFonts w:hint="default" w:ascii="Times New Roman" w:hAnsi="Times New Roman" w:eastAsia="宋体" w:cs="Times New Roman"/>
                      <w:color w:val="auto"/>
                      <w:sz w:val="21"/>
                      <w:szCs w:val="21"/>
                      <w:u w:val="single"/>
                    </w:rPr>
                  </w:pPr>
                  <w:r>
                    <w:rPr>
                      <w:rFonts w:hint="eastAsia" w:cs="Times New Roman"/>
                      <w:color w:val="auto"/>
                      <w:sz w:val="21"/>
                      <w:szCs w:val="21"/>
                      <w:u w:val="single"/>
                      <w:lang w:val="en-US" w:eastAsia="zh-CN"/>
                    </w:rPr>
                    <w:t>480</w:t>
                  </w:r>
                  <w:r>
                    <w:rPr>
                      <w:rFonts w:hint="default" w:ascii="Times New Roman" w:hAnsi="Times New Roman" w:eastAsia="宋体" w:cs="Times New Roman"/>
                      <w:color w:val="auto"/>
                      <w:sz w:val="21"/>
                      <w:szCs w:val="21"/>
                      <w:u w:val="single"/>
                      <w:lang w:eastAsia="zh-CN"/>
                    </w:rPr>
                    <w:t>m</w:t>
                  </w:r>
                  <w:r>
                    <w:rPr>
                      <w:rFonts w:hint="default" w:ascii="Times New Roman" w:hAnsi="Times New Roman" w:eastAsia="宋体" w:cs="Times New Roman"/>
                      <w:color w:val="auto"/>
                      <w:sz w:val="21"/>
                      <w:szCs w:val="21"/>
                      <w:u w:val="single"/>
                      <w:vertAlign w:val="superscript"/>
                      <w:lang w:eastAsia="zh-CN"/>
                    </w:rPr>
                    <w:t>3</w:t>
                  </w:r>
                  <w:r>
                    <w:rPr>
                      <w:rFonts w:hint="default" w:ascii="Times New Roman" w:hAnsi="Times New Roman" w:eastAsia="宋体" w:cs="Times New Roman"/>
                      <w:color w:val="auto"/>
                      <w:sz w:val="21"/>
                      <w:szCs w:val="21"/>
                      <w:u w:val="single"/>
                      <w:lang w:eastAsia="zh-CN"/>
                    </w:rPr>
                    <w:t>/a</w:t>
                  </w:r>
                </w:p>
              </w:tc>
              <w:tc>
                <w:tcPr>
                  <w:tcW w:w="1125" w:type="dxa"/>
                  <w:vMerge w:val="restart"/>
                  <w:noWrap w:val="0"/>
                  <w:vAlign w:val="center"/>
                </w:tcPr>
                <w:p w14:paraId="412FED60">
                  <w:pPr>
                    <w:jc w:val="center"/>
                    <w:rPr>
                      <w:rFonts w:hint="default" w:ascii="Times New Roman" w:hAnsi="Times New Roman" w:eastAsia="宋体" w:cs="Times New Roman"/>
                      <w:color w:val="auto"/>
                      <w:sz w:val="21"/>
                      <w:szCs w:val="21"/>
                      <w:u w:val="single"/>
                      <w:lang w:val="en-US"/>
                    </w:rPr>
                  </w:pPr>
                  <w:r>
                    <w:rPr>
                      <w:rFonts w:hint="eastAsia" w:cs="Times New Roman"/>
                      <w:bCs/>
                      <w:color w:val="auto"/>
                      <w:sz w:val="21"/>
                      <w:szCs w:val="21"/>
                      <w:u w:val="single"/>
                      <w:lang w:val="en-US" w:eastAsia="zh-CN"/>
                    </w:rPr>
                    <w:t>588</w:t>
                  </w:r>
                </w:p>
              </w:tc>
              <w:tc>
                <w:tcPr>
                  <w:tcW w:w="1674" w:type="dxa"/>
                  <w:vMerge w:val="continue"/>
                  <w:noWrap w:val="0"/>
                  <w:vAlign w:val="center"/>
                </w:tcPr>
                <w:p w14:paraId="0C7F2F33">
                  <w:pPr>
                    <w:jc w:val="center"/>
                    <w:rPr>
                      <w:rFonts w:hint="default" w:ascii="Times New Roman" w:hAnsi="Times New Roman" w:eastAsia="宋体" w:cs="Times New Roman"/>
                      <w:bCs/>
                      <w:color w:val="auto"/>
                      <w:sz w:val="21"/>
                      <w:szCs w:val="21"/>
                      <w:u w:val="single"/>
                      <w:lang w:val="en-US" w:eastAsia="zh-CN"/>
                    </w:rPr>
                  </w:pPr>
                </w:p>
              </w:tc>
            </w:tr>
            <w:tr w14:paraId="00DFE0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670" w:type="dxa"/>
                  <w:vMerge w:val="continue"/>
                  <w:tcBorders>
                    <w:right w:val="single" w:color="auto" w:sz="4" w:space="0"/>
                  </w:tcBorders>
                  <w:noWrap w:val="0"/>
                  <w:vAlign w:val="center"/>
                </w:tcPr>
                <w:p w14:paraId="77E33B8A">
                  <w:pPr>
                    <w:jc w:val="center"/>
                    <w:rPr>
                      <w:rFonts w:hint="default" w:ascii="Times New Roman" w:hAnsi="Times New Roman" w:eastAsia="宋体" w:cs="Times New Roman"/>
                      <w:color w:val="auto"/>
                      <w:sz w:val="21"/>
                      <w:szCs w:val="21"/>
                      <w:u w:val="single"/>
                      <w:lang w:val="en-US" w:eastAsia="zh-CN"/>
                    </w:rPr>
                  </w:pPr>
                </w:p>
              </w:tc>
              <w:tc>
                <w:tcPr>
                  <w:tcW w:w="838" w:type="dxa"/>
                  <w:tcBorders>
                    <w:top w:val="single" w:color="auto" w:sz="4" w:space="0"/>
                    <w:left w:val="single" w:color="auto" w:sz="4" w:space="0"/>
                  </w:tcBorders>
                  <w:noWrap w:val="0"/>
                  <w:vAlign w:val="center"/>
                </w:tcPr>
                <w:p w14:paraId="02348F82">
                  <w:pPr>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冲洗用水</w:t>
                  </w:r>
                </w:p>
              </w:tc>
              <w:tc>
                <w:tcPr>
                  <w:tcW w:w="1150" w:type="dxa"/>
                  <w:tcBorders>
                    <w:top w:val="single" w:color="auto" w:sz="4" w:space="0"/>
                  </w:tcBorders>
                  <w:noWrap w:val="0"/>
                  <w:vAlign w:val="center"/>
                </w:tcPr>
                <w:p w14:paraId="19294157">
                  <w:pPr>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w:t>
                  </w:r>
                  <w:r>
                    <w:rPr>
                      <w:rFonts w:hint="default" w:ascii="Times New Roman" w:hAnsi="Times New Roman" w:eastAsia="宋体" w:cs="Times New Roman"/>
                      <w:color w:val="auto"/>
                      <w:sz w:val="21"/>
                      <w:szCs w:val="21"/>
                      <w:u w:val="single"/>
                    </w:rPr>
                    <w:t>m</w:t>
                  </w:r>
                  <w:r>
                    <w:rPr>
                      <w:rFonts w:hint="default" w:ascii="Times New Roman" w:hAnsi="Times New Roman" w:eastAsia="宋体" w:cs="Times New Roman"/>
                      <w:color w:val="auto"/>
                      <w:sz w:val="21"/>
                      <w:szCs w:val="21"/>
                      <w:u w:val="single"/>
                      <w:vertAlign w:val="superscript"/>
                    </w:rPr>
                    <w:t>3</w:t>
                  </w: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lang w:val="en-US" w:eastAsia="zh-CN"/>
                    </w:rPr>
                    <w:t>台</w:t>
                  </w: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lang w:val="en-US" w:eastAsia="zh-CN"/>
                    </w:rPr>
                    <w:t>d</w:t>
                  </w:r>
                </w:p>
              </w:tc>
              <w:tc>
                <w:tcPr>
                  <w:tcW w:w="1012" w:type="dxa"/>
                  <w:tcBorders>
                    <w:top w:val="single" w:color="auto" w:sz="4" w:space="0"/>
                  </w:tcBorders>
                  <w:noWrap w:val="0"/>
                  <w:vAlign w:val="center"/>
                </w:tcPr>
                <w:p w14:paraId="36A5E6B5">
                  <w:pPr>
                    <w:jc w:val="center"/>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2台</w:t>
                  </w:r>
                </w:p>
              </w:tc>
              <w:tc>
                <w:tcPr>
                  <w:tcW w:w="1088" w:type="dxa"/>
                  <w:tcBorders>
                    <w:top w:val="single" w:color="auto" w:sz="4" w:space="0"/>
                  </w:tcBorders>
                  <w:noWrap w:val="0"/>
                  <w:vAlign w:val="center"/>
                </w:tcPr>
                <w:p w14:paraId="44C93CF2">
                  <w:pPr>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120</w:t>
                  </w:r>
                  <w:r>
                    <w:rPr>
                      <w:rFonts w:hint="default" w:ascii="Times New Roman" w:hAnsi="Times New Roman" w:eastAsia="宋体" w:cs="Times New Roman"/>
                      <w:color w:val="auto"/>
                      <w:sz w:val="21"/>
                      <w:szCs w:val="21"/>
                      <w:u w:val="single"/>
                      <w:lang w:eastAsia="zh-CN"/>
                    </w:rPr>
                    <w:t>m</w:t>
                  </w:r>
                  <w:r>
                    <w:rPr>
                      <w:rFonts w:hint="default" w:ascii="Times New Roman" w:hAnsi="Times New Roman" w:eastAsia="宋体" w:cs="Times New Roman"/>
                      <w:color w:val="auto"/>
                      <w:sz w:val="21"/>
                      <w:szCs w:val="21"/>
                      <w:u w:val="single"/>
                      <w:vertAlign w:val="superscript"/>
                      <w:lang w:eastAsia="zh-CN"/>
                    </w:rPr>
                    <w:t>3</w:t>
                  </w:r>
                  <w:r>
                    <w:rPr>
                      <w:rFonts w:hint="default" w:ascii="Times New Roman" w:hAnsi="Times New Roman" w:eastAsia="宋体" w:cs="Times New Roman"/>
                      <w:color w:val="auto"/>
                      <w:sz w:val="21"/>
                      <w:szCs w:val="21"/>
                      <w:u w:val="single"/>
                      <w:lang w:eastAsia="zh-CN"/>
                    </w:rPr>
                    <w:t>/a</w:t>
                  </w:r>
                </w:p>
              </w:tc>
              <w:tc>
                <w:tcPr>
                  <w:tcW w:w="1125" w:type="dxa"/>
                  <w:vMerge w:val="continue"/>
                  <w:noWrap w:val="0"/>
                  <w:vAlign w:val="center"/>
                </w:tcPr>
                <w:p w14:paraId="21B45A0E">
                  <w:pPr>
                    <w:jc w:val="center"/>
                    <w:rPr>
                      <w:rFonts w:hint="default" w:ascii="Times New Roman" w:hAnsi="Times New Roman" w:eastAsia="宋体" w:cs="Times New Roman"/>
                      <w:bCs/>
                      <w:color w:val="auto"/>
                      <w:sz w:val="21"/>
                      <w:szCs w:val="21"/>
                      <w:u w:val="single"/>
                      <w:lang w:val="en-US" w:eastAsia="zh-CN"/>
                    </w:rPr>
                  </w:pPr>
                </w:p>
              </w:tc>
              <w:tc>
                <w:tcPr>
                  <w:tcW w:w="1674" w:type="dxa"/>
                  <w:vMerge w:val="continue"/>
                  <w:noWrap w:val="0"/>
                  <w:vAlign w:val="center"/>
                </w:tcPr>
                <w:p w14:paraId="615B8997">
                  <w:pPr>
                    <w:jc w:val="center"/>
                    <w:rPr>
                      <w:rFonts w:hint="default" w:ascii="Times New Roman" w:hAnsi="Times New Roman" w:eastAsia="宋体" w:cs="Times New Roman"/>
                      <w:bCs/>
                      <w:color w:val="auto"/>
                      <w:sz w:val="21"/>
                      <w:szCs w:val="21"/>
                      <w:u w:val="single"/>
                      <w:lang w:val="en-US" w:eastAsia="zh-CN"/>
                    </w:rPr>
                  </w:pPr>
                </w:p>
              </w:tc>
            </w:tr>
            <w:tr w14:paraId="17F27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1508" w:type="dxa"/>
                  <w:gridSpan w:val="2"/>
                  <w:noWrap w:val="0"/>
                  <w:vAlign w:val="center"/>
                </w:tcPr>
                <w:p w14:paraId="1FF55C42">
                  <w:pPr>
                    <w:jc w:val="center"/>
                    <w:rPr>
                      <w:rFonts w:hint="eastAsia" w:cs="Times New Roman"/>
                      <w:color w:val="auto"/>
                      <w:sz w:val="21"/>
                      <w:szCs w:val="21"/>
                      <w:u w:val="single"/>
                      <w:lang w:val="en-US" w:eastAsia="zh-CN"/>
                    </w:rPr>
                  </w:pPr>
                  <w:r>
                    <w:rPr>
                      <w:rFonts w:hint="eastAsia"/>
                      <w:color w:val="auto"/>
                      <w:kern w:val="0"/>
                      <w:sz w:val="21"/>
                      <w:szCs w:val="21"/>
                      <w:u w:val="single"/>
                      <w:lang w:val="en-US" w:eastAsia="zh-CN" w:bidi="ar-SA"/>
                    </w:rPr>
                    <w:t>设备清洗用水</w:t>
                  </w:r>
                </w:p>
              </w:tc>
              <w:tc>
                <w:tcPr>
                  <w:tcW w:w="1150" w:type="dxa"/>
                  <w:tcBorders>
                    <w:top w:val="single" w:color="auto" w:sz="4" w:space="0"/>
                  </w:tcBorders>
                  <w:noWrap w:val="0"/>
                  <w:vAlign w:val="center"/>
                </w:tcPr>
                <w:p w14:paraId="170F36C0">
                  <w:pPr>
                    <w:jc w:val="center"/>
                    <w:rPr>
                      <w:rFonts w:hint="eastAsia" w:cs="Times New Roman"/>
                      <w:color w:val="auto"/>
                      <w:sz w:val="21"/>
                      <w:szCs w:val="21"/>
                      <w:u w:val="single"/>
                      <w:lang w:val="en-US" w:eastAsia="zh-CN"/>
                    </w:rPr>
                  </w:pPr>
                  <w:r>
                    <w:rPr>
                      <w:rFonts w:hint="eastAsia"/>
                      <w:color w:val="auto"/>
                      <w:kern w:val="0"/>
                      <w:sz w:val="21"/>
                      <w:szCs w:val="21"/>
                      <w:u w:val="single"/>
                      <w:lang w:val="en-US" w:eastAsia="zh-CN" w:bidi="ar-SA"/>
                    </w:rPr>
                    <w:t>10L/批次</w:t>
                  </w:r>
                </w:p>
              </w:tc>
              <w:tc>
                <w:tcPr>
                  <w:tcW w:w="1012" w:type="dxa"/>
                  <w:tcBorders>
                    <w:top w:val="single" w:color="auto" w:sz="4" w:space="0"/>
                  </w:tcBorders>
                  <w:noWrap w:val="0"/>
                  <w:vAlign w:val="center"/>
                </w:tcPr>
                <w:p w14:paraId="276F02F6">
                  <w:pPr>
                    <w:jc w:val="center"/>
                    <w:rPr>
                      <w:rFonts w:hint="default" w:ascii="Times New Roman" w:hAnsi="Times New Roman" w:eastAsia="宋体" w:cs="Times New Roman"/>
                      <w:color w:val="auto"/>
                      <w:sz w:val="21"/>
                      <w:szCs w:val="21"/>
                      <w:u w:val="single"/>
                      <w:lang w:val="en-US" w:eastAsia="zh-CN"/>
                    </w:rPr>
                  </w:pPr>
                  <w:r>
                    <w:rPr>
                      <w:rFonts w:hint="eastAsia" w:cs="Times New Roman"/>
                      <w:color w:val="auto"/>
                      <w:sz w:val="21"/>
                      <w:szCs w:val="21"/>
                      <w:u w:val="single"/>
                      <w:lang w:val="en-US" w:eastAsia="zh-CN"/>
                    </w:rPr>
                    <w:t>200批次</w:t>
                  </w:r>
                </w:p>
              </w:tc>
              <w:tc>
                <w:tcPr>
                  <w:tcW w:w="1088" w:type="dxa"/>
                  <w:tcBorders>
                    <w:top w:val="single" w:color="auto" w:sz="4" w:space="0"/>
                  </w:tcBorders>
                  <w:noWrap w:val="0"/>
                  <w:vAlign w:val="center"/>
                </w:tcPr>
                <w:p w14:paraId="3AB3429C">
                  <w:pPr>
                    <w:jc w:val="center"/>
                    <w:rPr>
                      <w:rFonts w:hint="default" w:cs="Times New Roman"/>
                      <w:color w:val="auto"/>
                      <w:sz w:val="21"/>
                      <w:szCs w:val="21"/>
                      <w:u w:val="single"/>
                      <w:lang w:val="en-US" w:eastAsia="zh-CN"/>
                    </w:rPr>
                  </w:pPr>
                  <w:r>
                    <w:rPr>
                      <w:rFonts w:hint="eastAsia" w:cs="Times New Roman"/>
                      <w:color w:val="auto"/>
                      <w:sz w:val="21"/>
                      <w:szCs w:val="21"/>
                      <w:u w:val="single"/>
                      <w:lang w:val="en-US" w:eastAsia="zh-CN"/>
                    </w:rPr>
                    <w:t>2</w:t>
                  </w:r>
                  <w:r>
                    <w:rPr>
                      <w:rFonts w:hint="default" w:ascii="Times New Roman" w:hAnsi="Times New Roman" w:eastAsia="宋体" w:cs="Times New Roman"/>
                      <w:color w:val="auto"/>
                      <w:sz w:val="21"/>
                      <w:szCs w:val="21"/>
                      <w:u w:val="single"/>
                      <w:lang w:eastAsia="zh-CN"/>
                    </w:rPr>
                    <w:t>m</w:t>
                  </w:r>
                  <w:r>
                    <w:rPr>
                      <w:rFonts w:hint="default" w:ascii="Times New Roman" w:hAnsi="Times New Roman" w:eastAsia="宋体" w:cs="Times New Roman"/>
                      <w:color w:val="auto"/>
                      <w:sz w:val="21"/>
                      <w:szCs w:val="21"/>
                      <w:u w:val="single"/>
                      <w:vertAlign w:val="superscript"/>
                      <w:lang w:eastAsia="zh-CN"/>
                    </w:rPr>
                    <w:t>3</w:t>
                  </w:r>
                  <w:r>
                    <w:rPr>
                      <w:rFonts w:hint="default" w:ascii="Times New Roman" w:hAnsi="Times New Roman" w:eastAsia="宋体" w:cs="Times New Roman"/>
                      <w:color w:val="auto"/>
                      <w:sz w:val="21"/>
                      <w:szCs w:val="21"/>
                      <w:u w:val="single"/>
                      <w:lang w:eastAsia="zh-CN"/>
                    </w:rPr>
                    <w:t>/a</w:t>
                  </w:r>
                </w:p>
              </w:tc>
              <w:tc>
                <w:tcPr>
                  <w:tcW w:w="1125" w:type="dxa"/>
                  <w:noWrap w:val="0"/>
                  <w:vAlign w:val="center"/>
                </w:tcPr>
                <w:p w14:paraId="2DA68DBE">
                  <w:pPr>
                    <w:jc w:val="center"/>
                    <w:rPr>
                      <w:rFonts w:hint="default" w:ascii="Times New Roman" w:hAnsi="Times New Roman" w:eastAsia="宋体" w:cs="Times New Roman"/>
                      <w:bCs/>
                      <w:color w:val="auto"/>
                      <w:sz w:val="21"/>
                      <w:szCs w:val="21"/>
                      <w:u w:val="single"/>
                      <w:lang w:val="en-US" w:eastAsia="zh-CN"/>
                    </w:rPr>
                  </w:pPr>
                  <w:r>
                    <w:rPr>
                      <w:rFonts w:hint="eastAsia" w:cs="Times New Roman"/>
                      <w:bCs/>
                      <w:color w:val="auto"/>
                      <w:sz w:val="21"/>
                      <w:szCs w:val="21"/>
                      <w:u w:val="single"/>
                      <w:lang w:val="en-US" w:eastAsia="zh-CN"/>
                    </w:rPr>
                    <w:t>1.7</w:t>
                  </w:r>
                </w:p>
              </w:tc>
              <w:tc>
                <w:tcPr>
                  <w:tcW w:w="1674" w:type="dxa"/>
                  <w:noWrap w:val="0"/>
                  <w:vAlign w:val="center"/>
                </w:tcPr>
                <w:p w14:paraId="077FDF39">
                  <w:pPr>
                    <w:jc w:val="center"/>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纳入</w:t>
                  </w:r>
                  <w:r>
                    <w:rPr>
                      <w:rFonts w:hint="default" w:ascii="Times New Roman" w:hAnsi="Times New Roman" w:eastAsia="宋体" w:cs="Times New Roman"/>
                      <w:color w:val="auto"/>
                      <w:sz w:val="21"/>
                      <w:szCs w:val="21"/>
                      <w:u w:val="single"/>
                      <w:lang w:eastAsia="zh-CN"/>
                    </w:rPr>
                    <w:t>龙潭镇污水</w:t>
                  </w:r>
                  <w:r>
                    <w:rPr>
                      <w:rFonts w:hint="default" w:ascii="Times New Roman" w:hAnsi="Times New Roman" w:eastAsia="宋体" w:cs="Times New Roman"/>
                      <w:color w:val="auto"/>
                      <w:sz w:val="21"/>
                      <w:szCs w:val="21"/>
                      <w:u w:val="single"/>
                    </w:rPr>
                    <w:t>处理厂</w:t>
                  </w:r>
                </w:p>
              </w:tc>
            </w:tr>
            <w:tr w14:paraId="0D6D4B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08" w:type="dxa"/>
                  <w:gridSpan w:val="2"/>
                  <w:noWrap w:val="0"/>
                  <w:vAlign w:val="center"/>
                </w:tcPr>
                <w:p w14:paraId="52D83E4A">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u w:val="none"/>
                      <w:lang w:eastAsia="zh-CN"/>
                    </w:rPr>
                    <w:t>地面清洁用水</w:t>
                  </w:r>
                </w:p>
              </w:tc>
              <w:tc>
                <w:tcPr>
                  <w:tcW w:w="1150" w:type="dxa"/>
                  <w:noWrap w:val="0"/>
                  <w:vAlign w:val="center"/>
                </w:tcPr>
                <w:p w14:paraId="551B1D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L/m</w:t>
                  </w:r>
                  <w:r>
                    <w:rPr>
                      <w:rFonts w:hint="default" w:ascii="Times New Roman" w:hAnsi="Times New Roman" w:eastAsia="宋体" w:cs="Times New Roman"/>
                      <w:color w:val="auto"/>
                      <w:sz w:val="21"/>
                      <w:szCs w:val="21"/>
                      <w:vertAlign w:val="superscript"/>
                      <w:lang w:eastAsia="zh-CN"/>
                    </w:rPr>
                    <w:t>2</w:t>
                  </w:r>
                  <w:r>
                    <w:rPr>
                      <w:rFonts w:hint="default" w:ascii="Times New Roman" w:hAnsi="Times New Roman" w:eastAsia="宋体" w:cs="Times New Roman"/>
                      <w:color w:val="auto"/>
                      <w:sz w:val="21"/>
                      <w:szCs w:val="21"/>
                      <w:lang w:eastAsia="zh-CN"/>
                    </w:rPr>
                    <w:t>•次</w:t>
                  </w:r>
                </w:p>
              </w:tc>
              <w:tc>
                <w:tcPr>
                  <w:tcW w:w="1012" w:type="dxa"/>
                  <w:noWrap w:val="0"/>
                  <w:vAlign w:val="center"/>
                </w:tcPr>
                <w:p w14:paraId="4306871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2400</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2</w:t>
                  </w:r>
                </w:p>
              </w:tc>
              <w:tc>
                <w:tcPr>
                  <w:tcW w:w="1088" w:type="dxa"/>
                  <w:noWrap w:val="0"/>
                  <w:vAlign w:val="center"/>
                </w:tcPr>
                <w:p w14:paraId="4BFE0A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highlight w:val="none"/>
                      <w:lang w:val="en-US" w:eastAsia="zh-CN"/>
                    </w:rPr>
                    <w:t>240</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3</w:t>
                  </w:r>
                  <w:r>
                    <w:rPr>
                      <w:rFonts w:hint="default" w:ascii="Times New Roman" w:hAnsi="Times New Roman" w:eastAsia="宋体" w:cs="Times New Roman"/>
                      <w:color w:val="auto"/>
                      <w:sz w:val="21"/>
                      <w:szCs w:val="21"/>
                      <w:lang w:eastAsia="zh-CN"/>
                    </w:rPr>
                    <w:t>/a</w:t>
                  </w:r>
                </w:p>
              </w:tc>
              <w:tc>
                <w:tcPr>
                  <w:tcW w:w="1125" w:type="dxa"/>
                  <w:noWrap w:val="0"/>
                  <w:vAlign w:val="center"/>
                </w:tcPr>
                <w:p w14:paraId="0F047F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0</w:t>
                  </w:r>
                </w:p>
              </w:tc>
              <w:tc>
                <w:tcPr>
                  <w:tcW w:w="1674" w:type="dxa"/>
                  <w:noWrap w:val="0"/>
                  <w:vAlign w:val="center"/>
                </w:tcPr>
                <w:p w14:paraId="60002F65">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用于厂区绿化</w:t>
                  </w:r>
                </w:p>
              </w:tc>
            </w:tr>
          </w:tbl>
          <w:p w14:paraId="744EBDA4">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default" w:ascii="Times New Roman" w:hAnsi="Times New Roman" w:eastAsia="宋体" w:cs="Times New Roman"/>
                <w:color w:val="auto"/>
                <w:sz w:val="24"/>
                <w:szCs w:val="24"/>
                <w:u w:val="none"/>
                <w:lang w:val="en-US" w:eastAsia="zh-CN"/>
              </w:rPr>
            </w:pPr>
          </w:p>
          <w:p w14:paraId="0EAB799C">
            <w:pPr>
              <w:bidi w:val="0"/>
              <w:jc w:val="center"/>
              <w:rPr>
                <w:rFonts w:hint="default" w:ascii="Times New Roman" w:hAnsi="Times New Roman" w:eastAsia="宋体" w:cs="Times New Roman"/>
                <w:b/>
                <w:bCs/>
                <w:color w:val="auto"/>
                <w:sz w:val="24"/>
                <w:szCs w:val="24"/>
                <w:u w:val="none"/>
                <w:lang w:val="en-US" w:eastAsia="zh-CN"/>
              </w:rPr>
            </w:pPr>
            <w:r>
              <w:rPr>
                <w:color w:val="auto"/>
                <w:kern w:val="0"/>
                <w:sz w:val="24"/>
              </w:rPr>
              <w:object>
                <v:shape id="_x0000_i1025" o:spt="75" type="#_x0000_t75" style="height:367.7pt;width:374.9pt;" o:ole="t" filled="f" o:preferrelative="t" stroked="f" coordsize="21600,21600">
                  <v:path/>
                  <v:fill on="f" focussize="0,0"/>
                  <v:stroke on="f"/>
                  <v:imagedata r:id="rId10" croptop="1419f" cropright="2387f" cropbottom="2298f" o:title=""/>
                  <o:lock v:ext="edit" aspectratio="f"/>
                  <w10:wrap type="none"/>
                  <w10:anchorlock/>
                </v:shape>
                <o:OLEObject Type="Embed" ProgID="Visio.Drawing.11" ShapeID="_x0000_i1025" DrawAspect="Content" ObjectID="_1468075725" r:id="rId9">
                  <o:LockedField>false</o:LockedField>
                </o:OLEObject>
              </w:object>
            </w:r>
            <w:r>
              <w:rPr>
                <w:rFonts w:hint="default" w:ascii="Times New Roman" w:hAnsi="Times New Roman" w:eastAsia="宋体" w:cs="Times New Roman"/>
                <w:b/>
                <w:bCs/>
                <w:color w:val="auto"/>
                <w:sz w:val="24"/>
                <w:szCs w:val="24"/>
                <w:u w:val="single"/>
                <w:lang w:val="en-US" w:eastAsia="zh-CN"/>
              </w:rPr>
              <w:t>图2-</w:t>
            </w:r>
            <w:r>
              <w:rPr>
                <w:rFonts w:hint="eastAsia" w:cs="Times New Roman"/>
                <w:b/>
                <w:bCs/>
                <w:color w:val="auto"/>
                <w:sz w:val="24"/>
                <w:szCs w:val="24"/>
                <w:u w:val="single"/>
                <w:lang w:val="en-US" w:eastAsia="zh-CN"/>
              </w:rPr>
              <w:t>1</w:t>
            </w:r>
            <w:r>
              <w:rPr>
                <w:rFonts w:hint="default" w:ascii="Times New Roman" w:hAnsi="Times New Roman" w:eastAsia="宋体" w:cs="Times New Roman"/>
                <w:b/>
                <w:bCs/>
                <w:color w:val="auto"/>
                <w:sz w:val="24"/>
                <w:szCs w:val="24"/>
                <w:u w:val="single"/>
                <w:lang w:val="en-US" w:eastAsia="zh-CN"/>
              </w:rPr>
              <w:t xml:space="preserve">  项目水平衡图</w:t>
            </w:r>
            <w:r>
              <w:rPr>
                <w:rFonts w:hint="eastAsia" w:cs="Times New Roman"/>
                <w:b/>
                <w:bCs/>
                <w:color w:val="auto"/>
                <w:sz w:val="24"/>
                <w:szCs w:val="24"/>
                <w:u w:val="single"/>
                <w:lang w:val="en-US" w:eastAsia="zh-CN"/>
              </w:rPr>
              <w:t>（</w:t>
            </w:r>
            <w:r>
              <w:rPr>
                <w:rFonts w:hint="default" w:ascii="Times New Roman" w:hAnsi="Times New Roman" w:eastAsia="宋体" w:cs="Times New Roman"/>
                <w:b/>
                <w:bCs/>
                <w:color w:val="auto"/>
                <w:sz w:val="24"/>
                <w:szCs w:val="24"/>
                <w:u w:val="single"/>
                <w:lang w:val="en-US" w:eastAsia="zh-CN"/>
              </w:rPr>
              <w:t>单位：t/a</w:t>
            </w:r>
            <w:r>
              <w:rPr>
                <w:rFonts w:hint="eastAsia" w:cs="Times New Roman"/>
                <w:b/>
                <w:bCs/>
                <w:color w:val="auto"/>
                <w:sz w:val="24"/>
                <w:szCs w:val="24"/>
                <w:u w:val="single"/>
                <w:lang w:val="en-US" w:eastAsia="zh-CN"/>
              </w:rPr>
              <w:t>）</w:t>
            </w:r>
          </w:p>
          <w:p w14:paraId="71A8D832">
            <w:pPr>
              <w:pStyle w:val="82"/>
              <w:numPr>
                <w:ilvl w:val="0"/>
                <w:numId w:val="2"/>
              </w:numPr>
              <w:jc w:val="left"/>
              <w:rPr>
                <w:rFonts w:hint="default" w:ascii="Times New Roman" w:hAnsi="Times New Roman" w:cs="Times New Roman"/>
                <w:bCs/>
                <w:color w:val="auto"/>
              </w:rPr>
            </w:pPr>
            <w:r>
              <w:rPr>
                <w:rFonts w:hint="default" w:ascii="Times New Roman" w:hAnsi="Times New Roman" w:cs="Times New Roman"/>
                <w:bCs/>
                <w:color w:val="auto"/>
              </w:rPr>
              <w:t>供电</w:t>
            </w:r>
          </w:p>
          <w:p w14:paraId="47044719">
            <w:pPr>
              <w:pStyle w:val="95"/>
              <w:ind w:firstLine="480"/>
              <w:jc w:val="left"/>
              <w:rPr>
                <w:rFonts w:hint="default" w:ascii="Times New Roman" w:hAnsi="Times New Roman" w:cs="Times New Roman"/>
                <w:color w:val="auto"/>
              </w:rPr>
            </w:pPr>
            <w:r>
              <w:rPr>
                <w:rFonts w:hint="default" w:ascii="Times New Roman" w:hAnsi="Times New Roman" w:cs="Times New Roman"/>
                <w:color w:val="auto"/>
              </w:rPr>
              <w:t>项目用电由市政供电，市政供电设施已经连通至项目处</w:t>
            </w:r>
            <w:r>
              <w:rPr>
                <w:rFonts w:hint="eastAsia" w:cs="Times New Roman"/>
                <w:color w:val="auto"/>
                <w:lang w:eastAsia="zh-CN"/>
              </w:rPr>
              <w:t>，</w:t>
            </w:r>
            <w:r>
              <w:rPr>
                <w:rFonts w:hint="default" w:ascii="Times New Roman" w:hAnsi="Times New Roman" w:cs="Times New Roman"/>
                <w:color w:val="auto"/>
              </w:rPr>
              <w:t>供电能力要求满足需求</w:t>
            </w:r>
            <w:r>
              <w:rPr>
                <w:rFonts w:hint="default" w:ascii="Times New Roman" w:hAnsi="Times New Roman" w:cs="Times New Roman"/>
                <w:color w:val="auto"/>
                <w:u w:val="none"/>
              </w:rPr>
              <w:t>。</w:t>
            </w:r>
          </w:p>
          <w:p w14:paraId="4DBF10AF">
            <w:pPr>
              <w:pStyle w:val="82"/>
              <w:numPr>
                <w:ilvl w:val="0"/>
                <w:numId w:val="2"/>
              </w:numPr>
              <w:jc w:val="left"/>
              <w:rPr>
                <w:rFonts w:hint="default" w:ascii="Times New Roman" w:hAnsi="Times New Roman" w:cs="Times New Roman"/>
                <w:bCs/>
                <w:color w:val="auto"/>
              </w:rPr>
            </w:pPr>
            <w:r>
              <w:rPr>
                <w:rFonts w:hint="default" w:ascii="Times New Roman" w:hAnsi="Times New Roman" w:cs="Times New Roman"/>
                <w:bCs/>
                <w:color w:val="auto"/>
              </w:rPr>
              <w:t>供</w:t>
            </w:r>
            <w:r>
              <w:rPr>
                <w:rFonts w:hint="default" w:ascii="Times New Roman" w:hAnsi="Times New Roman" w:cs="Times New Roman"/>
                <w:bCs/>
                <w:color w:val="auto"/>
                <w:lang w:eastAsia="zh-CN"/>
              </w:rPr>
              <w:t>热</w:t>
            </w:r>
          </w:p>
          <w:p w14:paraId="1C568A90">
            <w:pPr>
              <w:pStyle w:val="82"/>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设置1台</w:t>
            </w:r>
            <w:r>
              <w:rPr>
                <w:rFonts w:hint="eastAsia" w:cs="Times New Roman"/>
                <w:color w:val="auto"/>
                <w:kern w:val="2"/>
                <w:sz w:val="24"/>
                <w:szCs w:val="24"/>
                <w:lang w:val="en-US" w:eastAsia="zh-CN" w:bidi="ar-SA"/>
              </w:rPr>
              <w:t>2.5t</w:t>
            </w:r>
            <w:r>
              <w:rPr>
                <w:rFonts w:hint="default" w:ascii="Times New Roman" w:hAnsi="Times New Roman" w:eastAsia="宋体" w:cs="Times New Roman"/>
                <w:color w:val="auto"/>
                <w:kern w:val="2"/>
                <w:sz w:val="24"/>
                <w:szCs w:val="24"/>
                <w:lang w:val="en-US" w:eastAsia="zh-CN" w:bidi="ar-SA"/>
              </w:rPr>
              <w:t>/h的生物质蒸汽发生器，用</w:t>
            </w:r>
            <w:r>
              <w:rPr>
                <w:rFonts w:hint="eastAsia" w:ascii="Times New Roman" w:hAnsi="Times New Roman" w:eastAsia="宋体" w:cs="Times New Roman"/>
                <w:color w:val="auto"/>
                <w:kern w:val="2"/>
                <w:sz w:val="24"/>
                <w:szCs w:val="24"/>
                <w:lang w:val="en-US" w:eastAsia="zh-CN" w:bidi="ar-SA"/>
              </w:rPr>
              <w:t>于</w:t>
            </w:r>
            <w:r>
              <w:rPr>
                <w:rFonts w:hint="eastAsia" w:cs="Times New Roman"/>
                <w:color w:val="auto"/>
                <w:kern w:val="2"/>
                <w:sz w:val="24"/>
                <w:szCs w:val="24"/>
                <w:lang w:val="en-US" w:eastAsia="zh-CN" w:bidi="ar-SA"/>
              </w:rPr>
              <w:t>原材料</w:t>
            </w:r>
            <w:r>
              <w:rPr>
                <w:rFonts w:hint="eastAsia" w:ascii="Times New Roman" w:hAnsi="Times New Roman" w:eastAsia="宋体" w:cs="Times New Roman"/>
                <w:color w:val="auto"/>
                <w:kern w:val="2"/>
                <w:sz w:val="24"/>
                <w:szCs w:val="24"/>
                <w:lang w:val="en-US" w:eastAsia="zh-CN" w:bidi="ar-SA"/>
              </w:rPr>
              <w:t>杀青</w:t>
            </w:r>
            <w:r>
              <w:rPr>
                <w:rFonts w:hint="eastAsia" w:cs="Times New Roman"/>
                <w:color w:val="auto"/>
                <w:kern w:val="2"/>
                <w:sz w:val="24"/>
                <w:szCs w:val="24"/>
                <w:lang w:val="en-US" w:eastAsia="zh-CN" w:bidi="ar-SA"/>
              </w:rPr>
              <w:t>；设置1台生物质鼓风机用于</w:t>
            </w:r>
            <w:r>
              <w:rPr>
                <w:rFonts w:hint="eastAsia" w:ascii="Times New Roman" w:hAnsi="Times New Roman" w:eastAsia="宋体" w:cs="Times New Roman"/>
                <w:color w:val="auto"/>
                <w:kern w:val="2"/>
                <w:sz w:val="24"/>
                <w:szCs w:val="24"/>
                <w:lang w:val="en-US" w:eastAsia="zh-CN" w:bidi="ar-SA"/>
              </w:rPr>
              <w:t>烘干</w:t>
            </w:r>
            <w:r>
              <w:rPr>
                <w:rFonts w:hint="default" w:ascii="Times New Roman" w:hAnsi="Times New Roman" w:eastAsia="宋体" w:cs="Times New Roman"/>
                <w:color w:val="auto"/>
                <w:kern w:val="2"/>
                <w:sz w:val="24"/>
                <w:szCs w:val="24"/>
                <w:lang w:val="en-US" w:eastAsia="zh-CN" w:bidi="ar-SA"/>
              </w:rPr>
              <w:t>。</w:t>
            </w:r>
          </w:p>
          <w:p w14:paraId="134E73CF">
            <w:pPr>
              <w:pStyle w:val="82"/>
              <w:ind w:firstLine="482"/>
              <w:jc w:val="left"/>
              <w:rPr>
                <w:rFonts w:hint="default" w:ascii="Times New Roman" w:hAnsi="Times New Roman" w:cs="Times New Roman"/>
                <w:b/>
                <w:color w:val="auto"/>
              </w:rPr>
            </w:pPr>
            <w:r>
              <w:rPr>
                <w:rFonts w:hint="default" w:ascii="Times New Roman" w:hAnsi="Times New Roman" w:cs="Times New Roman"/>
                <w:b/>
                <w:color w:val="auto"/>
              </w:rPr>
              <w:t>6、项目平面布置</w:t>
            </w:r>
          </w:p>
          <w:p w14:paraId="5D2FB11E">
            <w:pPr>
              <w:pStyle w:val="82"/>
              <w:jc w:val="left"/>
              <w:rPr>
                <w:rFonts w:hint="eastAsia" w:cs="Times New Roman"/>
                <w:bCs/>
                <w:color w:val="auto"/>
                <w:lang w:val="en-US" w:eastAsia="zh-CN"/>
              </w:rPr>
            </w:pPr>
            <w:r>
              <w:rPr>
                <w:rFonts w:hint="eastAsia" w:ascii="Times New Roman" w:hAnsi="Times New Roman" w:cs="Times New Roman"/>
                <w:bCs/>
                <w:color w:val="auto"/>
                <w:lang w:eastAsia="zh-CN"/>
              </w:rPr>
              <w:t>项目位于龙潭镇岩板村，项目</w:t>
            </w:r>
            <w:r>
              <w:rPr>
                <w:rFonts w:hint="eastAsia" w:cs="Times New Roman"/>
                <w:bCs/>
                <w:color w:val="auto"/>
                <w:lang w:val="en-US" w:eastAsia="zh-CN"/>
              </w:rPr>
              <w:t>用地北侧</w:t>
            </w:r>
            <w:r>
              <w:rPr>
                <w:rFonts w:hint="eastAsia" w:ascii="Times New Roman" w:hAnsi="Times New Roman" w:cs="Times New Roman"/>
                <w:bCs/>
                <w:color w:val="auto"/>
                <w:lang w:eastAsia="zh-CN"/>
              </w:rPr>
              <w:t>临近</w:t>
            </w:r>
            <w:r>
              <w:rPr>
                <w:rFonts w:hint="eastAsia" w:cs="Times New Roman"/>
                <w:bCs/>
                <w:color w:val="auto"/>
                <w:lang w:val="en-US" w:eastAsia="zh-CN"/>
              </w:rPr>
              <w:t>外部路可连接至省道S322</w:t>
            </w:r>
            <w:r>
              <w:rPr>
                <w:rFonts w:hint="eastAsia" w:ascii="Times New Roman" w:hAnsi="Times New Roman" w:cs="Times New Roman"/>
                <w:bCs/>
                <w:color w:val="auto"/>
                <w:lang w:eastAsia="zh-CN"/>
              </w:rPr>
              <w:t>，</w:t>
            </w:r>
            <w:r>
              <w:rPr>
                <w:rFonts w:hint="eastAsia" w:cs="Times New Roman"/>
                <w:bCs/>
                <w:color w:val="auto"/>
                <w:lang w:val="en-US" w:eastAsia="zh-CN"/>
              </w:rPr>
              <w:t>交通便利；用地北侧自东向西依次布设晾晒区、原料预处理车间、清洗区及清洗后堆存区、卸/堆货区，用地南侧自东向西依次为办公楼、食堂、生产车间、质检楼、生物质颗粒暂存区等。</w:t>
            </w:r>
          </w:p>
          <w:p w14:paraId="4A01CEA2">
            <w:pPr>
              <w:pStyle w:val="82"/>
              <w:jc w:val="left"/>
              <w:rPr>
                <w:rFonts w:hint="default" w:ascii="Times New Roman" w:hAnsi="Times New Roman" w:cs="Times New Roman"/>
                <w:bCs/>
                <w:color w:val="auto"/>
              </w:rPr>
            </w:pPr>
            <w:r>
              <w:rPr>
                <w:rFonts w:hint="eastAsia"/>
                <w:color w:val="auto"/>
                <w:sz w:val="24"/>
                <w:szCs w:val="24"/>
              </w:rPr>
              <w:t>各区功能明确，员工办公区和生产区、环保设施区分流</w:t>
            </w:r>
            <w:r>
              <w:rPr>
                <w:rFonts w:hint="eastAsia"/>
                <w:color w:val="auto"/>
                <w:sz w:val="24"/>
                <w:szCs w:val="24"/>
                <w:lang w:eastAsia="zh-CN"/>
              </w:rPr>
              <w:t>，</w:t>
            </w:r>
            <w:r>
              <w:rPr>
                <w:rFonts w:hint="default" w:ascii="Times New Roman" w:hAnsi="Times New Roman" w:cs="Times New Roman"/>
                <w:bCs/>
                <w:color w:val="auto"/>
              </w:rPr>
              <w:t>项目总平面布局合理（项目总平面布局详见附图2）。</w:t>
            </w:r>
          </w:p>
        </w:tc>
      </w:tr>
      <w:tr w14:paraId="35D430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Align w:val="center"/>
          </w:tcPr>
          <w:p w14:paraId="4F784D91">
            <w:pPr>
              <w:pStyle w:val="29"/>
              <w:adjustRightInd w:val="0"/>
              <w:snapToGrid w:val="0"/>
              <w:spacing w:before="0" w:beforeAutospacing="0" w:after="0" w:afterAutospacing="0"/>
              <w:jc w:val="center"/>
              <w:rPr>
                <w:rFonts w:hint="default" w:ascii="Times New Roman" w:hAnsi="Times New Roman" w:cs="Times New Roman"/>
                <w:color w:val="auto"/>
                <w:szCs w:val="24"/>
                <w:lang w:val="en-US" w:eastAsia="zh-CN"/>
              </w:rPr>
            </w:pPr>
            <w:r>
              <w:rPr>
                <w:rFonts w:hint="default" w:ascii="Times New Roman" w:hAnsi="Times New Roman" w:cs="Times New Roman"/>
                <w:color w:val="auto"/>
                <w:szCs w:val="24"/>
                <w:lang w:val="en-US" w:eastAsia="zh-CN"/>
              </w:rPr>
              <w:t>工艺流程和产排污环节</w:t>
            </w:r>
          </w:p>
        </w:tc>
        <w:tc>
          <w:tcPr>
            <w:tcW w:w="4521" w:type="pct"/>
          </w:tcPr>
          <w:p w14:paraId="2E5EC4D5">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eastAsia" w:cs="Times New Roman"/>
                <w:b/>
                <w:bCs/>
                <w:color w:val="auto"/>
                <w:sz w:val="24"/>
                <w:lang w:val="en-US" w:eastAsia="zh-CN"/>
              </w:rPr>
              <w:t>、</w:t>
            </w:r>
            <w:r>
              <w:rPr>
                <w:rFonts w:hint="default" w:ascii="Times New Roman" w:hAnsi="Times New Roman" w:cs="Times New Roman"/>
                <w:b/>
                <w:bCs/>
                <w:color w:val="auto"/>
                <w:sz w:val="24"/>
              </w:rPr>
              <w:t>营运期工艺流程及产污环节</w:t>
            </w:r>
          </w:p>
          <w:p w14:paraId="48BE9DD0">
            <w:pPr>
              <w:pStyle w:val="82"/>
              <w:jc w:val="left"/>
              <w:rPr>
                <w:rFonts w:hint="default" w:ascii="Times New Roman" w:hAnsi="Times New Roman" w:eastAsia="宋体" w:cs="Times New Roman"/>
                <w:bCs/>
                <w:color w:val="auto"/>
                <w:lang w:val="en-US" w:eastAsia="zh-CN"/>
              </w:rPr>
            </w:pPr>
            <w:r>
              <w:rPr>
                <w:rFonts w:hint="eastAsia" w:cs="Times New Roman"/>
                <w:b/>
                <w:bCs/>
                <w:color w:val="auto"/>
                <w:sz w:val="24"/>
                <w:lang w:eastAsia="zh-CN"/>
              </w:rPr>
              <w:t>（</w:t>
            </w:r>
            <w:r>
              <w:rPr>
                <w:rFonts w:hint="eastAsia" w:cs="Times New Roman"/>
                <w:b/>
                <w:bCs/>
                <w:color w:val="auto"/>
                <w:sz w:val="24"/>
                <w:lang w:val="en-US" w:eastAsia="zh-CN"/>
              </w:rPr>
              <w:t>1</w:t>
            </w:r>
            <w:r>
              <w:rPr>
                <w:rFonts w:hint="eastAsia" w:cs="Times New Roman"/>
                <w:b/>
                <w:bCs/>
                <w:color w:val="auto"/>
                <w:sz w:val="24"/>
                <w:lang w:eastAsia="zh-CN"/>
              </w:rPr>
              <w:t>）</w:t>
            </w:r>
            <w:r>
              <w:rPr>
                <w:rFonts w:hint="eastAsia" w:cs="Times New Roman"/>
                <w:b/>
                <w:bCs/>
                <w:color w:val="auto"/>
                <w:sz w:val="24"/>
                <w:lang w:val="en-US" w:eastAsia="zh-CN"/>
              </w:rPr>
              <w:t>玉竹加工工艺流程</w:t>
            </w:r>
          </w:p>
          <w:p w14:paraId="3FF3554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object>
                <v:shape id="_x0000_i1026" o:spt="75" type="#_x0000_t75" style="height:171.7pt;width:376.4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r>
              <w:rPr>
                <w:rFonts w:hint="default" w:ascii="Times New Roman" w:hAnsi="Times New Roman" w:eastAsia="宋体" w:cs="Times New Roman"/>
                <w:b/>
                <w:color w:val="auto"/>
                <w:sz w:val="24"/>
                <w:szCs w:val="24"/>
                <w:lang w:val="en-US" w:eastAsia="zh-CN"/>
              </w:rPr>
              <w:t>图2-</w:t>
            </w:r>
            <w:r>
              <w:rPr>
                <w:rFonts w:hint="eastAsia"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color w:val="auto"/>
                <w:sz w:val="24"/>
                <w:szCs w:val="24"/>
                <w:lang w:val="en-US" w:eastAsia="zh-CN"/>
              </w:rPr>
              <w:t xml:space="preserve"> 玉竹加工工艺流</w:t>
            </w:r>
            <w:r>
              <w:rPr>
                <w:rFonts w:hint="eastAsia" w:cs="Times New Roman"/>
                <w:b/>
                <w:bCs/>
                <w:color w:val="auto"/>
                <w:sz w:val="24"/>
                <w:lang w:val="en-US" w:eastAsia="zh-CN"/>
              </w:rPr>
              <w:t>程</w:t>
            </w:r>
            <w:r>
              <w:rPr>
                <w:rFonts w:hint="default" w:ascii="Times New Roman" w:hAnsi="Times New Roman" w:eastAsia="宋体" w:cs="Times New Roman"/>
                <w:b/>
                <w:color w:val="auto"/>
                <w:sz w:val="24"/>
                <w:szCs w:val="24"/>
                <w:lang w:val="en-US" w:eastAsia="zh-CN"/>
              </w:rPr>
              <w:t>及产污环节</w:t>
            </w:r>
            <w:r>
              <w:rPr>
                <w:rFonts w:hint="eastAsia" w:ascii="Times New Roman" w:hAnsi="Times New Roman" w:eastAsia="宋体" w:cs="Times New Roman"/>
                <w:b/>
                <w:color w:val="auto"/>
                <w:sz w:val="24"/>
                <w:szCs w:val="24"/>
                <w:lang w:val="en-US" w:eastAsia="zh-CN"/>
              </w:rPr>
              <w:t>图</w:t>
            </w:r>
          </w:p>
          <w:p w14:paraId="63C19F7F">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工艺流程简介：</w:t>
            </w:r>
          </w:p>
          <w:p w14:paraId="3D8128B6">
            <w:pPr>
              <w:pStyle w:val="82"/>
              <w:jc w:val="left"/>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清洗：使用玉竹滚筒式脱毛机，用</w:t>
            </w:r>
            <w:r>
              <w:rPr>
                <w:rFonts w:hint="eastAsia" w:cs="Times New Roman"/>
                <w:bCs/>
                <w:color w:val="auto"/>
                <w:lang w:val="en-US" w:eastAsia="zh-CN"/>
              </w:rPr>
              <w:t>经沉淀处理后的回用水</w:t>
            </w:r>
            <w:r>
              <w:rPr>
                <w:rFonts w:hint="eastAsia" w:ascii="Times New Roman" w:hAnsi="Times New Roman" w:eastAsia="宋体" w:cs="Times New Roman"/>
                <w:bCs/>
                <w:color w:val="auto"/>
                <w:lang w:val="en-US" w:eastAsia="zh-CN"/>
              </w:rPr>
              <w:t>将玉竹鲜根茎冲洗干净，将鲜玉竹进行脱须处理</w:t>
            </w:r>
            <w:r>
              <w:rPr>
                <w:rFonts w:hint="eastAsia" w:cs="Times New Roman"/>
                <w:bCs/>
                <w:color w:val="auto"/>
                <w:lang w:val="en-US" w:eastAsia="zh-CN"/>
              </w:rPr>
              <w:t>，</w:t>
            </w:r>
            <w:r>
              <w:rPr>
                <w:rFonts w:hint="eastAsia" w:ascii="Times New Roman" w:hAnsi="Times New Roman" w:eastAsia="宋体" w:cs="Times New Roman"/>
                <w:bCs/>
                <w:color w:val="auto"/>
                <w:lang w:val="en-US" w:eastAsia="zh-CN"/>
              </w:rPr>
              <w:t>并洗去表面的泥沙及残留的须根。注意清洗时不要过度揉搓，以免损伤药材。</w:t>
            </w:r>
            <w:r>
              <w:rPr>
                <w:rFonts w:hint="eastAsia" w:cs="Times New Roman"/>
                <w:bCs/>
                <w:color w:val="auto"/>
                <w:lang w:val="en-US" w:eastAsia="zh-CN"/>
              </w:rPr>
              <w:t>此过程会产生清洗废水。</w:t>
            </w:r>
          </w:p>
          <w:p w14:paraId="3975F633">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晾晒</w:t>
            </w:r>
            <w:r>
              <w:rPr>
                <w:rFonts w:hint="eastAsia" w:cs="Times New Roman"/>
                <w:bCs/>
                <w:color w:val="auto"/>
                <w:lang w:val="en-US" w:eastAsia="zh-CN"/>
              </w:rPr>
              <w:t>/初烘干</w:t>
            </w:r>
            <w:r>
              <w:rPr>
                <w:rFonts w:hint="eastAsia" w:ascii="Times New Roman" w:hAnsi="Times New Roman" w:eastAsia="宋体" w:cs="Times New Roman"/>
                <w:bCs/>
                <w:color w:val="auto"/>
                <w:lang w:val="en-US" w:eastAsia="zh-CN"/>
              </w:rPr>
              <w:t>：将清洗脱毛后的玉竹，平摊晾干水分</w:t>
            </w:r>
            <w:r>
              <w:rPr>
                <w:rFonts w:hint="eastAsia" w:cs="Times New Roman"/>
                <w:bCs/>
                <w:color w:val="auto"/>
                <w:lang w:val="en-US" w:eastAsia="zh-CN"/>
              </w:rPr>
              <w:t>或采用生物质热风炉对玉竹进行初烘干</w:t>
            </w:r>
            <w:r>
              <w:rPr>
                <w:rFonts w:hint="eastAsia" w:ascii="Times New Roman" w:hAnsi="Times New Roman" w:eastAsia="宋体" w:cs="Times New Roman"/>
                <w:bCs/>
                <w:color w:val="auto"/>
                <w:lang w:val="en-US" w:eastAsia="zh-CN"/>
              </w:rPr>
              <w:t>。</w:t>
            </w:r>
          </w:p>
          <w:p w14:paraId="3C9F2E58">
            <w:pPr>
              <w:pStyle w:val="82"/>
              <w:jc w:val="left"/>
              <w:rPr>
                <w:rFonts w:hint="eastAsia" w:ascii="Times New Roman" w:hAnsi="Times New Roman" w:eastAsia="宋体" w:cs="Times New Roman"/>
                <w:bCs/>
                <w:color w:val="auto"/>
                <w:lang w:val="en-US" w:eastAsia="zh-CN"/>
              </w:rPr>
            </w:pPr>
            <w:r>
              <w:rPr>
                <w:rFonts w:hint="eastAsia" w:cs="Times New Roman"/>
                <w:bCs/>
                <w:color w:val="auto"/>
                <w:lang w:val="en-US" w:eastAsia="zh-CN"/>
              </w:rPr>
              <w:t>初选分级</w:t>
            </w:r>
            <w:r>
              <w:rPr>
                <w:rFonts w:hint="eastAsia" w:ascii="Times New Roman" w:hAnsi="Times New Roman" w:eastAsia="宋体" w:cs="Times New Roman"/>
                <w:bCs/>
                <w:color w:val="auto"/>
                <w:lang w:val="en-US" w:eastAsia="zh-CN"/>
              </w:rPr>
              <w:t>：用振动筛筛分机筛除细末杂质，挑出异形变色片，按大小等级分选</w:t>
            </w:r>
            <w:r>
              <w:rPr>
                <w:rFonts w:hint="eastAsia" w:cs="Times New Roman"/>
                <w:bCs/>
                <w:color w:val="auto"/>
                <w:lang w:val="en-US" w:eastAsia="zh-CN"/>
              </w:rPr>
              <w:t>，</w:t>
            </w:r>
            <w:r>
              <w:rPr>
                <w:rFonts w:hint="eastAsia" w:ascii="Times New Roman" w:hAnsi="Times New Roman" w:eastAsia="宋体" w:cs="Times New Roman"/>
                <w:color w:val="auto"/>
                <w:kern w:val="0"/>
                <w:sz w:val="24"/>
                <w:lang w:val="en-US" w:eastAsia="zh-CN"/>
              </w:rPr>
              <w:t>筛分废弃物主要为树叶和树枝</w:t>
            </w:r>
            <w:r>
              <w:rPr>
                <w:rFonts w:hint="eastAsia" w:ascii="Times New Roman" w:hAnsi="Times New Roman" w:eastAsia="宋体" w:cs="Times New Roman"/>
                <w:bCs/>
                <w:color w:val="auto"/>
                <w:lang w:val="en-US" w:eastAsia="zh-CN"/>
              </w:rPr>
              <w:t>。</w:t>
            </w:r>
          </w:p>
          <w:p w14:paraId="3704909E">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切片/揉糖：采用机械切片，趁鲜切制多</w:t>
            </w:r>
            <w:r>
              <w:rPr>
                <w:rFonts w:hint="eastAsia" w:ascii="Times New Roman" w:hAnsi="Times New Roman" w:cs="Times New Roman"/>
                <w:bCs/>
                <w:color w:val="auto"/>
                <w:lang w:val="en-US" w:eastAsia="zh-CN"/>
              </w:rPr>
              <w:t>为</w:t>
            </w:r>
            <w:r>
              <w:rPr>
                <w:rFonts w:hint="eastAsia" w:ascii="Times New Roman" w:hAnsi="Times New Roman" w:eastAsia="宋体" w:cs="Times New Roman"/>
                <w:bCs/>
                <w:color w:val="auto"/>
                <w:lang w:val="en-US" w:eastAsia="zh-CN"/>
              </w:rPr>
              <w:t>3</w:t>
            </w:r>
            <w:r>
              <w:rPr>
                <w:rFonts w:hint="eastAsia" w:cs="Times New Roman"/>
                <w:bCs/>
                <w:color w:val="auto"/>
                <w:lang w:val="en-US" w:eastAsia="zh-CN"/>
              </w:rPr>
              <w:t>~</w:t>
            </w:r>
            <w:r>
              <w:rPr>
                <w:rFonts w:hint="eastAsia" w:ascii="Times New Roman" w:hAnsi="Times New Roman" w:eastAsia="宋体" w:cs="Times New Roman"/>
                <w:bCs/>
                <w:color w:val="auto"/>
                <w:lang w:val="en-US" w:eastAsia="zh-CN"/>
              </w:rPr>
              <w:t>4mm</w:t>
            </w:r>
            <w:r>
              <w:rPr>
                <w:rFonts w:hint="eastAsia" w:ascii="Times New Roman" w:hAnsi="Times New Roman" w:cs="Times New Roman"/>
                <w:bCs/>
                <w:color w:val="auto"/>
                <w:lang w:val="en-US" w:eastAsia="zh-CN"/>
              </w:rPr>
              <w:t>；</w:t>
            </w:r>
            <w:r>
              <w:rPr>
                <w:rFonts w:ascii="宋体" w:hAnsi="宋体" w:eastAsia="宋体" w:cs="宋体"/>
                <w:color w:val="auto"/>
                <w:sz w:val="24"/>
                <w:szCs w:val="24"/>
              </w:rPr>
              <w:t>揉糖是将干燥变软的玉竹条反复搓揉，使其析出糖汁、呈半透明状</w:t>
            </w:r>
            <w:r>
              <w:rPr>
                <w:rFonts w:hint="eastAsia" w:ascii="宋体" w:hAnsi="宋体" w:eastAsia="宋体" w:cs="宋体"/>
                <w:color w:val="auto"/>
                <w:sz w:val="24"/>
                <w:szCs w:val="24"/>
                <w:lang w:eastAsia="zh-CN"/>
              </w:rPr>
              <w:t>。</w:t>
            </w:r>
          </w:p>
          <w:p w14:paraId="7E74439B">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干燥：</w:t>
            </w:r>
            <w:r>
              <w:rPr>
                <w:rFonts w:hint="eastAsia" w:cs="Times New Roman"/>
                <w:color w:val="auto"/>
                <w:kern w:val="0"/>
                <w:sz w:val="24"/>
                <w:u w:val="single"/>
                <w:lang w:val="en-US" w:eastAsia="zh-CN"/>
              </w:rPr>
              <w:t>烘干2~3小时，烘干初温以45~50℃为宜，烘干终段温度控制在50~60℃，最终定型干燥温度控制于55℃为最佳</w:t>
            </w:r>
            <w:r>
              <w:rPr>
                <w:rFonts w:hint="eastAsia" w:ascii="Times New Roman" w:hAnsi="Times New Roman" w:eastAsia="宋体" w:cs="Times New Roman"/>
                <w:bCs/>
                <w:color w:val="auto"/>
                <w:lang w:val="en-US" w:eastAsia="zh-CN"/>
              </w:rPr>
              <w:t>。</w:t>
            </w:r>
            <w:r>
              <w:rPr>
                <w:rFonts w:hint="eastAsia" w:cs="Times New Roman"/>
                <w:color w:val="auto"/>
                <w:kern w:val="0"/>
                <w:sz w:val="24"/>
                <w:u w:val="single"/>
                <w:lang w:val="en-US" w:eastAsia="zh-CN"/>
              </w:rPr>
              <w:t>由蒸汽提供热源，该工序会产生生物质热风炉废气</w:t>
            </w:r>
            <w:r>
              <w:rPr>
                <w:rFonts w:hint="eastAsia" w:ascii="Times New Roman" w:hAnsi="Times New Roman" w:eastAsia="宋体" w:cs="Times New Roman"/>
                <w:bCs/>
                <w:color w:val="auto"/>
                <w:lang w:val="en-US" w:eastAsia="zh-CN"/>
              </w:rPr>
              <w:t>。</w:t>
            </w:r>
          </w:p>
          <w:p w14:paraId="301A7816">
            <w:pPr>
              <w:pStyle w:val="82"/>
              <w:jc w:val="left"/>
              <w:rPr>
                <w:rFonts w:hint="eastAsia" w:ascii="Times New Roman" w:hAnsi="Times New Roman" w:eastAsia="宋体" w:cs="Times New Roman"/>
                <w:bCs/>
                <w:color w:val="auto"/>
                <w:lang w:val="en-US" w:eastAsia="zh-CN"/>
              </w:rPr>
            </w:pPr>
            <w:r>
              <w:rPr>
                <w:rFonts w:hint="eastAsia" w:cs="Times New Roman"/>
                <w:bCs/>
                <w:color w:val="auto"/>
                <w:lang w:val="en-US" w:eastAsia="zh-CN"/>
              </w:rPr>
              <w:t>筛分：</w:t>
            </w:r>
            <w:r>
              <w:rPr>
                <w:rFonts w:hint="default" w:ascii="Times New Roman" w:hAnsi="Times New Roman" w:eastAsia="宋体" w:cs="Times New Roman"/>
                <w:color w:val="auto"/>
                <w:kern w:val="0"/>
                <w:sz w:val="24"/>
                <w:lang w:val="en-US" w:eastAsia="zh-CN"/>
              </w:rPr>
              <w:t>为了满足客户和市场需求，本项目</w:t>
            </w:r>
            <w:r>
              <w:rPr>
                <w:rFonts w:hint="eastAsia" w:ascii="Times New Roman" w:hAnsi="Times New Roman" w:eastAsia="宋体" w:cs="Times New Roman"/>
                <w:bCs/>
                <w:color w:val="auto"/>
                <w:lang w:val="en-US" w:eastAsia="zh-CN"/>
              </w:rPr>
              <w:t>玉竹</w:t>
            </w:r>
            <w:r>
              <w:rPr>
                <w:rFonts w:hint="default" w:ascii="Times New Roman" w:hAnsi="Times New Roman" w:eastAsia="宋体" w:cs="Times New Roman"/>
                <w:color w:val="auto"/>
                <w:kern w:val="0"/>
                <w:sz w:val="24"/>
                <w:lang w:val="en-US" w:eastAsia="zh-CN"/>
              </w:rPr>
              <w:t>需</w:t>
            </w:r>
            <w:r>
              <w:rPr>
                <w:rFonts w:hint="eastAsia" w:ascii="Times New Roman" w:hAnsi="Times New Roman" w:cs="Times New Roman"/>
                <w:color w:val="auto"/>
                <w:kern w:val="0"/>
                <w:sz w:val="24"/>
                <w:lang w:val="en-US" w:eastAsia="zh-CN"/>
              </w:rPr>
              <w:t>进行</w:t>
            </w:r>
            <w:r>
              <w:rPr>
                <w:rFonts w:hint="default" w:ascii="Times New Roman" w:hAnsi="Times New Roman" w:eastAsia="宋体" w:cs="Times New Roman"/>
                <w:color w:val="auto"/>
                <w:kern w:val="0"/>
                <w:sz w:val="24"/>
                <w:lang w:val="en-US" w:eastAsia="zh-CN"/>
              </w:rPr>
              <w:t>筛选分级，为保证加工前原材料品质、色泽不受破坏，采用人工手选分级</w:t>
            </w:r>
            <w:r>
              <w:rPr>
                <w:rFonts w:hint="eastAsia" w:ascii="Times New Roman" w:hAnsi="Times New Roman" w:eastAsia="宋体" w:cs="Times New Roman"/>
                <w:color w:val="auto"/>
                <w:kern w:val="0"/>
                <w:sz w:val="24"/>
                <w:lang w:val="en-US" w:eastAsia="zh-CN"/>
              </w:rPr>
              <w:t>与机械筛分结合方式，筛分废弃物主要为筛分废弃中药材尾料</w:t>
            </w:r>
            <w:r>
              <w:rPr>
                <w:rFonts w:hint="default" w:ascii="Times New Roman" w:hAnsi="Times New Roman" w:eastAsia="宋体" w:cs="Times New Roman"/>
                <w:color w:val="auto"/>
                <w:kern w:val="0"/>
                <w:sz w:val="24"/>
                <w:lang w:val="en-US" w:eastAsia="zh-CN"/>
              </w:rPr>
              <w:t>。</w:t>
            </w:r>
          </w:p>
          <w:p w14:paraId="2026C269">
            <w:pPr>
              <w:pStyle w:val="82"/>
              <w:jc w:val="left"/>
              <w:rPr>
                <w:rFonts w:hint="eastAsia" w:ascii="Times New Roman" w:hAnsi="Times New Roman" w:eastAsia="宋体" w:cs="Times New Roman"/>
                <w:bCs/>
                <w:color w:val="auto"/>
                <w:lang w:val="en-US" w:eastAsia="zh-CN"/>
              </w:rPr>
            </w:pPr>
            <w:r>
              <w:rPr>
                <w:rFonts w:hint="eastAsia" w:cs="Times New Roman"/>
                <w:bCs/>
                <w:color w:val="auto"/>
                <w:lang w:val="en-US" w:eastAsia="zh-CN"/>
              </w:rPr>
              <w:t>粉碎：经拆分后的部分</w:t>
            </w:r>
            <w:r>
              <w:rPr>
                <w:rFonts w:hint="eastAsia" w:ascii="Times New Roman" w:hAnsi="Times New Roman" w:eastAsia="宋体" w:cs="Times New Roman"/>
                <w:bCs/>
                <w:color w:val="auto"/>
                <w:lang w:val="en-US" w:eastAsia="zh-CN"/>
              </w:rPr>
              <w:t>玉竹</w:t>
            </w:r>
            <w:r>
              <w:rPr>
                <w:rFonts w:hint="eastAsia" w:cs="Times New Roman"/>
                <w:bCs/>
                <w:color w:val="auto"/>
                <w:lang w:val="en-US" w:eastAsia="zh-CN"/>
              </w:rPr>
              <w:t>进入粉碎工序加工成粉末状，此过程会产生粉尘。</w:t>
            </w:r>
          </w:p>
          <w:p w14:paraId="3A37BA38">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包装：将干燥好的玉竹按照不同的规格和等级进行筛选分类，称重后用食品级或药用塑料袋进行内包装，后用纸箱进行外包装。包装规格：10</w:t>
            </w:r>
            <w:r>
              <w:rPr>
                <w:rFonts w:hint="eastAsia" w:cs="Times New Roman"/>
                <w:bCs/>
                <w:color w:val="auto"/>
                <w:lang w:val="en-US" w:eastAsia="zh-CN"/>
              </w:rPr>
              <w:t>~</w:t>
            </w:r>
            <w:r>
              <w:rPr>
                <w:rFonts w:hint="eastAsia" w:ascii="Times New Roman" w:hAnsi="Times New Roman" w:eastAsia="宋体" w:cs="Times New Roman"/>
                <w:bCs/>
                <w:color w:val="auto"/>
                <w:lang w:val="en-US" w:eastAsia="zh-CN"/>
              </w:rPr>
              <w:t>50千克/袋</w:t>
            </w:r>
            <w:r>
              <w:rPr>
                <w:rFonts w:hint="eastAsia" w:cs="Times New Roman"/>
                <w:bCs/>
                <w:color w:val="auto"/>
                <w:lang w:val="en-US" w:eastAsia="zh-CN"/>
              </w:rPr>
              <w:t>。</w:t>
            </w:r>
          </w:p>
          <w:p w14:paraId="558A7C8C">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食品生产包装：将玉竹片粉碎后进行内</w:t>
            </w:r>
            <w:r>
              <w:rPr>
                <w:rFonts w:hint="eastAsia" w:cs="Times New Roman"/>
                <w:bCs/>
                <w:color w:val="auto"/>
                <w:lang w:val="en-US" w:eastAsia="zh-CN"/>
              </w:rPr>
              <w:t>包装</w:t>
            </w:r>
            <w:r>
              <w:rPr>
                <w:rFonts w:hint="eastAsia" w:ascii="Times New Roman" w:hAnsi="Times New Roman" w:eastAsia="宋体" w:cs="Times New Roman"/>
                <w:bCs/>
                <w:color w:val="auto"/>
                <w:lang w:val="en-US" w:eastAsia="zh-CN"/>
              </w:rPr>
              <w:t>，外包装后入库。</w:t>
            </w:r>
          </w:p>
          <w:p w14:paraId="07DAF27E">
            <w:pPr>
              <w:pStyle w:val="82"/>
              <w:jc w:val="left"/>
              <w:rPr>
                <w:rFonts w:hint="default" w:ascii="Times New Roman" w:hAnsi="Times New Roman" w:eastAsia="宋体" w:cs="Times New Roman"/>
                <w:bCs/>
                <w:color w:val="auto"/>
                <w:lang w:val="en-US" w:eastAsia="zh-CN"/>
              </w:rPr>
            </w:pPr>
            <w:r>
              <w:rPr>
                <w:rFonts w:hint="eastAsia" w:cs="Times New Roman"/>
                <w:b/>
                <w:bCs/>
                <w:color w:val="auto"/>
                <w:sz w:val="24"/>
                <w:lang w:eastAsia="zh-CN"/>
              </w:rPr>
              <w:t>（</w:t>
            </w:r>
            <w:r>
              <w:rPr>
                <w:rFonts w:hint="eastAsia" w:cs="Times New Roman"/>
                <w:b/>
                <w:bCs/>
                <w:color w:val="auto"/>
                <w:sz w:val="24"/>
                <w:lang w:val="en-US" w:eastAsia="zh-CN"/>
              </w:rPr>
              <w:t>2</w:t>
            </w:r>
            <w:r>
              <w:rPr>
                <w:rFonts w:hint="eastAsia" w:cs="Times New Roman"/>
                <w:b/>
                <w:bCs/>
                <w:color w:val="auto"/>
                <w:sz w:val="24"/>
                <w:lang w:eastAsia="zh-CN"/>
              </w:rPr>
              <w:t>）</w:t>
            </w:r>
            <w:r>
              <w:rPr>
                <w:rFonts w:hint="eastAsia" w:cs="Times New Roman"/>
                <w:b/>
                <w:bCs/>
                <w:color w:val="auto"/>
                <w:sz w:val="24"/>
                <w:lang w:val="en-US" w:eastAsia="zh-CN"/>
              </w:rPr>
              <w:t>黄精加工工艺流程</w:t>
            </w:r>
          </w:p>
          <w:p w14:paraId="73ABF44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color w:val="auto"/>
                <w:sz w:val="24"/>
                <w:u w:val="single"/>
              </w:rPr>
            </w:pPr>
            <w:r>
              <w:rPr>
                <w:rFonts w:hint="default" w:ascii="Times New Roman" w:hAnsi="Times New Roman" w:eastAsia="宋体" w:cs="Times New Roman"/>
                <w:b/>
                <w:color w:val="auto"/>
                <w:sz w:val="24"/>
                <w:szCs w:val="24"/>
                <w:u w:val="single"/>
                <w:lang w:val="en-US" w:eastAsia="zh-CN"/>
              </w:rPr>
              <w:object>
                <v:shape id="_x0000_i1027" o:spt="75" type="#_x0000_t75" style="height:201.5pt;width:370.65pt;" o:ole="t" filled="f" o:preferrelative="t" stroked="f" coordsize="21600,21600">
                  <v:path/>
                  <v:fill on="f" focussize="0,0"/>
                  <v:stroke on="f"/>
                  <v:imagedata r:id="rId14" o:title=""/>
                  <o:lock v:ext="edit" aspectratio="f"/>
                  <w10:wrap type="none"/>
                  <w10:anchorlock/>
                </v:shape>
                <o:OLEObject Type="Embed" ProgID="Visio.Drawing.11" ShapeID="_x0000_i1027" DrawAspect="Content" ObjectID="_1468075727" r:id="rId13">
                  <o:LockedField>false</o:LockedField>
                </o:OLEObject>
              </w:object>
            </w:r>
            <w:r>
              <w:rPr>
                <w:rFonts w:hint="default" w:ascii="Times New Roman" w:hAnsi="Times New Roman" w:eastAsia="宋体" w:cs="Times New Roman"/>
                <w:b/>
                <w:color w:val="auto"/>
                <w:sz w:val="24"/>
                <w:szCs w:val="24"/>
                <w:u w:val="single"/>
                <w:lang w:val="en-US" w:eastAsia="zh-CN"/>
              </w:rPr>
              <w:t>图2-</w:t>
            </w:r>
            <w:r>
              <w:rPr>
                <w:rFonts w:hint="eastAsia" w:cs="Times New Roman"/>
                <w:b/>
                <w:color w:val="auto"/>
                <w:sz w:val="24"/>
                <w:szCs w:val="24"/>
                <w:u w:val="single"/>
                <w:lang w:val="en-US" w:eastAsia="zh-CN"/>
              </w:rPr>
              <w:t>3</w:t>
            </w:r>
            <w:r>
              <w:rPr>
                <w:rFonts w:hint="default" w:ascii="Times New Roman" w:hAnsi="Times New Roman" w:eastAsia="宋体" w:cs="Times New Roman"/>
                <w:b/>
                <w:color w:val="auto"/>
                <w:sz w:val="24"/>
                <w:szCs w:val="24"/>
                <w:u w:val="single"/>
                <w:lang w:val="en-US" w:eastAsia="zh-CN"/>
              </w:rPr>
              <w:t xml:space="preserve">  </w:t>
            </w:r>
            <w:r>
              <w:rPr>
                <w:rFonts w:hint="eastAsia" w:ascii="Times New Roman" w:hAnsi="Times New Roman" w:eastAsia="宋体" w:cs="Times New Roman"/>
                <w:b/>
                <w:color w:val="auto"/>
                <w:sz w:val="24"/>
                <w:szCs w:val="24"/>
                <w:u w:val="single"/>
                <w:lang w:val="en-US" w:eastAsia="zh-CN"/>
              </w:rPr>
              <w:t xml:space="preserve"> 黄精加工工艺</w:t>
            </w:r>
            <w:r>
              <w:rPr>
                <w:rFonts w:hint="eastAsia" w:cs="Times New Roman"/>
                <w:b/>
                <w:bCs/>
                <w:color w:val="auto"/>
                <w:sz w:val="24"/>
                <w:u w:val="single"/>
                <w:lang w:val="en-US" w:eastAsia="zh-CN"/>
              </w:rPr>
              <w:t>流程</w:t>
            </w:r>
            <w:r>
              <w:rPr>
                <w:rFonts w:hint="default" w:ascii="Times New Roman" w:hAnsi="Times New Roman" w:eastAsia="宋体" w:cs="Times New Roman"/>
                <w:b/>
                <w:color w:val="auto"/>
                <w:sz w:val="24"/>
                <w:szCs w:val="24"/>
                <w:u w:val="single"/>
                <w:lang w:val="en-US" w:eastAsia="zh-CN"/>
              </w:rPr>
              <w:t>及产污环节</w:t>
            </w:r>
            <w:r>
              <w:rPr>
                <w:rFonts w:hint="eastAsia" w:ascii="Times New Roman" w:hAnsi="Times New Roman" w:eastAsia="宋体" w:cs="Times New Roman"/>
                <w:b/>
                <w:color w:val="auto"/>
                <w:sz w:val="24"/>
                <w:szCs w:val="24"/>
                <w:u w:val="single"/>
                <w:lang w:val="en-US" w:eastAsia="zh-CN"/>
              </w:rPr>
              <w:t>图</w:t>
            </w:r>
          </w:p>
          <w:p w14:paraId="254B51FE">
            <w:pPr>
              <w:pStyle w:val="82"/>
              <w:jc w:val="left"/>
              <w:rPr>
                <w:rFonts w:hint="eastAsia" w:asciiTheme="minorEastAsia" w:hAnsiTheme="minorEastAsia" w:cstheme="minorEastAsia"/>
                <w:color w:val="auto"/>
                <w:sz w:val="24"/>
                <w:szCs w:val="24"/>
                <w:highlight w:val="none"/>
                <w:lang w:val="en-US" w:eastAsia="zh-CN"/>
              </w:rPr>
            </w:pPr>
            <w:r>
              <w:rPr>
                <w:rFonts w:hint="eastAsia" w:ascii="Times New Roman" w:hAnsi="Times New Roman" w:eastAsia="宋体" w:cs="Times New Roman"/>
                <w:bCs/>
                <w:color w:val="auto"/>
                <w:lang w:val="en-US" w:eastAsia="zh-CN"/>
              </w:rPr>
              <w:t>工艺流程简介：</w:t>
            </w:r>
          </w:p>
          <w:p w14:paraId="62D4D7B6">
            <w:pPr>
              <w:pStyle w:val="82"/>
              <w:jc w:val="left"/>
              <w:rPr>
                <w:rFonts w:hint="eastAsia" w:ascii="Times New Roman" w:hAnsi="Times New Roman" w:eastAsia="宋体" w:cs="Times New Roman"/>
                <w:bCs/>
                <w:color w:val="auto"/>
                <w:lang w:val="en-US" w:eastAsia="zh-CN"/>
              </w:rPr>
            </w:pPr>
            <w:r>
              <w:rPr>
                <w:rFonts w:hint="eastAsia" w:asciiTheme="minorEastAsia" w:hAnsiTheme="minorEastAsia" w:cstheme="minorEastAsia"/>
                <w:color w:val="auto"/>
                <w:sz w:val="24"/>
                <w:szCs w:val="24"/>
                <w:highlight w:val="none"/>
                <w:lang w:val="en-US" w:eastAsia="zh-CN"/>
              </w:rPr>
              <w:t>清洗：</w:t>
            </w:r>
            <w:r>
              <w:rPr>
                <w:rFonts w:hint="eastAsia" w:ascii="Times New Roman" w:hAnsi="Times New Roman" w:eastAsia="宋体" w:cs="Times New Roman"/>
                <w:bCs/>
                <w:color w:val="auto"/>
                <w:lang w:val="en-US" w:eastAsia="zh-CN"/>
              </w:rPr>
              <w:t>使用黄精滚筒式脱毛机，用</w:t>
            </w:r>
            <w:r>
              <w:rPr>
                <w:rFonts w:hint="eastAsia" w:cs="Times New Roman"/>
                <w:bCs/>
                <w:color w:val="auto"/>
                <w:lang w:val="en-US" w:eastAsia="zh-CN"/>
              </w:rPr>
              <w:t>经沉淀处理后的回用水</w:t>
            </w:r>
            <w:r>
              <w:rPr>
                <w:rFonts w:hint="eastAsia" w:ascii="Times New Roman" w:hAnsi="Times New Roman" w:eastAsia="宋体" w:cs="Times New Roman"/>
                <w:bCs/>
                <w:color w:val="auto"/>
                <w:lang w:val="en-US" w:eastAsia="zh-CN"/>
              </w:rPr>
              <w:t>将黄精鲜根茎冲洗干净，将鲜黄精进行脱须处理</w:t>
            </w:r>
            <w:r>
              <w:rPr>
                <w:rFonts w:hint="eastAsia" w:cs="Times New Roman"/>
                <w:bCs/>
                <w:color w:val="auto"/>
                <w:lang w:val="en-US" w:eastAsia="zh-CN"/>
              </w:rPr>
              <w:t>，</w:t>
            </w:r>
            <w:r>
              <w:rPr>
                <w:rFonts w:hint="eastAsia" w:ascii="Times New Roman" w:hAnsi="Times New Roman" w:eastAsia="宋体" w:cs="Times New Roman"/>
                <w:bCs/>
                <w:color w:val="auto"/>
                <w:lang w:val="en-US" w:eastAsia="zh-CN"/>
              </w:rPr>
              <w:t>并洗去表面的泥沙及残留的须根。注意清洗时不要过度揉搓，以免损伤药材。</w:t>
            </w:r>
          </w:p>
          <w:p w14:paraId="23CF22F3">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干燥：使用热风干燥箱，初始温度设定为50~55℃，将黄精烘至五六成干（断面呈角质样或显颗粒性），过程中每2小时检查1次干燥状态，达标后停止干燥，冷却至室温。</w:t>
            </w:r>
            <w:r>
              <w:rPr>
                <w:rFonts w:hint="eastAsia" w:cs="Times New Roman"/>
                <w:color w:val="auto"/>
                <w:kern w:val="0"/>
                <w:sz w:val="24"/>
                <w:u w:val="single"/>
                <w:lang w:val="en-US" w:eastAsia="zh-CN"/>
              </w:rPr>
              <w:t>由热风炉提供热源，该工序会产生生物质热风炉废气。</w:t>
            </w:r>
          </w:p>
          <w:p w14:paraId="024F9D3F">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二次脱须清洗：再次使用黄精滚筒式脱毛机进行去粗皮抛光处理，去除残留表皮及须根；随后用流动水冲洗干净，置于洁净不锈钢容器中沥干（沥干时间≤2小时，避免长时间堆放变质）。</w:t>
            </w:r>
          </w:p>
          <w:p w14:paraId="176FE2B1">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①黄精片加工</w:t>
            </w:r>
          </w:p>
          <w:p w14:paraId="55614238">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切片：用切片机切片，厚度2mm～3mm。</w:t>
            </w:r>
          </w:p>
          <w:p w14:paraId="0E60C0C1">
            <w:pPr>
              <w:pStyle w:val="82"/>
              <w:jc w:val="left"/>
              <w:rPr>
                <w:rFonts w:hint="eastAsia" w:ascii="Times New Roman" w:hAnsi="Times New Roman" w:eastAsia="宋体" w:cs="Times New Roman"/>
                <w:bCs/>
                <w:color w:val="auto"/>
                <w:lang w:val="en-US" w:eastAsia="zh-CN"/>
              </w:rPr>
            </w:pPr>
            <w:r>
              <w:rPr>
                <w:rFonts w:hint="eastAsia" w:cs="Times New Roman"/>
                <w:bCs/>
                <w:color w:val="auto"/>
                <w:lang w:val="en-US" w:eastAsia="zh-CN"/>
              </w:rPr>
              <w:t>烘干</w:t>
            </w:r>
            <w:r>
              <w:rPr>
                <w:rFonts w:hint="eastAsia" w:ascii="Times New Roman" w:hAnsi="Times New Roman" w:eastAsia="宋体" w:cs="Times New Roman"/>
                <w:bCs/>
                <w:color w:val="auto"/>
                <w:lang w:val="en-US" w:eastAsia="zh-CN"/>
              </w:rPr>
              <w:t>：40~50℃烘（晒）干至水分15%以内。</w:t>
            </w:r>
            <w:r>
              <w:rPr>
                <w:rFonts w:hint="eastAsia" w:cs="Times New Roman"/>
                <w:color w:val="auto"/>
                <w:kern w:val="0"/>
                <w:sz w:val="24"/>
                <w:u w:val="single"/>
                <w:lang w:val="en-US" w:eastAsia="zh-CN"/>
              </w:rPr>
              <w:t>由热风炉提供热源，该工序会产生生物质热风炉废气。</w:t>
            </w:r>
          </w:p>
          <w:p w14:paraId="392CFC40">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筛分：用振动筛筛分机筛除细末杂质，挑出异形变色片，按大小等级分选。</w:t>
            </w:r>
            <w:r>
              <w:rPr>
                <w:rFonts w:hint="eastAsia" w:ascii="Times New Roman" w:hAnsi="Times New Roman" w:eastAsia="宋体" w:cs="Times New Roman"/>
                <w:color w:val="auto"/>
                <w:kern w:val="0"/>
                <w:sz w:val="24"/>
                <w:lang w:val="en-US" w:eastAsia="zh-CN"/>
              </w:rPr>
              <w:t>筛分废弃中药材尾料</w:t>
            </w:r>
            <w:r>
              <w:rPr>
                <w:rFonts w:hint="eastAsia" w:ascii="Times New Roman" w:hAnsi="Times New Roman" w:cs="Times New Roman"/>
                <w:color w:val="auto"/>
                <w:kern w:val="0"/>
                <w:sz w:val="24"/>
                <w:lang w:val="en-US" w:eastAsia="zh-CN"/>
              </w:rPr>
              <w:t>。</w:t>
            </w:r>
          </w:p>
          <w:p w14:paraId="4D8848C1">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包装：将干燥好的黄精按照不同的规格和等级进行筛选分类，称重后用食品级或药用塑料袋进行内包装，后用纸箱进行外包装。包装规格：10~50千克/袋</w:t>
            </w:r>
          </w:p>
          <w:p w14:paraId="2606128A">
            <w:pPr>
              <w:pStyle w:val="82"/>
              <w:jc w:val="left"/>
              <w:rPr>
                <w:rFonts w:hint="default" w:ascii="Times New Roman" w:hAnsi="Times New Roman" w:eastAsia="宋体" w:cs="Times New Roman"/>
                <w:bCs/>
                <w:color w:val="auto"/>
                <w:u w:val="single"/>
                <w:lang w:val="en-US" w:eastAsia="zh-CN"/>
              </w:rPr>
            </w:pPr>
            <w:r>
              <w:rPr>
                <w:rFonts w:hint="default" w:ascii="Times New Roman" w:hAnsi="Times New Roman" w:eastAsia="宋体" w:cs="Times New Roman"/>
                <w:bCs/>
                <w:color w:val="auto"/>
                <w:u w:val="single"/>
                <w:lang w:val="en-US" w:eastAsia="zh-CN"/>
              </w:rPr>
              <w:t>②九蒸九制</w:t>
            </w:r>
            <w:r>
              <w:rPr>
                <w:rFonts w:hint="eastAsia" w:ascii="Times New Roman" w:hAnsi="Times New Roman" w:eastAsia="宋体" w:cs="Times New Roman"/>
                <w:bCs/>
                <w:color w:val="auto"/>
                <w:u w:val="single"/>
                <w:lang w:val="en-US" w:eastAsia="zh-CN"/>
              </w:rPr>
              <w:t>黄精加工</w:t>
            </w:r>
          </w:p>
          <w:p w14:paraId="6EAED06B">
            <w:pPr>
              <w:pStyle w:val="82"/>
              <w:jc w:val="left"/>
              <w:rPr>
                <w:rFonts w:hint="default" w:ascii="Times New Roman" w:hAnsi="Times New Roman" w:eastAsia="宋体" w:cs="Times New Roman"/>
                <w:bCs/>
                <w:color w:val="auto"/>
                <w:u w:val="single"/>
                <w:lang w:val="en-US" w:eastAsia="zh-CN"/>
              </w:rPr>
            </w:pPr>
            <w:r>
              <w:rPr>
                <w:rFonts w:hint="default" w:ascii="Times New Roman" w:hAnsi="Times New Roman" w:eastAsia="宋体" w:cs="Times New Roman"/>
                <w:bCs/>
                <w:color w:val="auto"/>
                <w:u w:val="single"/>
                <w:lang w:val="en-US" w:eastAsia="zh-CN"/>
              </w:rPr>
              <w:t>九轮</w:t>
            </w:r>
            <w:r>
              <w:rPr>
                <w:rFonts w:hint="eastAsia" w:ascii="Times New Roman" w:hAnsi="Times New Roman" w:eastAsia="宋体" w:cs="Times New Roman"/>
                <w:bCs/>
                <w:color w:val="auto"/>
                <w:u w:val="single"/>
                <w:lang w:val="en-US" w:eastAsia="zh-CN"/>
              </w:rPr>
              <w:t>蒸制：</w:t>
            </w:r>
            <w:r>
              <w:rPr>
                <w:rFonts w:hint="default" w:ascii="Times New Roman" w:hAnsi="Times New Roman" w:eastAsia="宋体" w:cs="Times New Roman"/>
                <w:bCs/>
                <w:color w:val="auto"/>
                <w:u w:val="single"/>
                <w:lang w:val="en-US" w:eastAsia="zh-CN"/>
              </w:rPr>
              <w:t>第1轮：武火2</w:t>
            </w:r>
            <w:r>
              <w:rPr>
                <w:rFonts w:hint="eastAsia" w:cs="Times New Roman"/>
                <w:bCs/>
                <w:color w:val="auto"/>
                <w:u w:val="single"/>
                <w:lang w:val="en-US" w:eastAsia="zh-CN"/>
              </w:rPr>
              <w:t>~</w:t>
            </w:r>
            <w:r>
              <w:rPr>
                <w:rFonts w:hint="default" w:ascii="Times New Roman" w:hAnsi="Times New Roman" w:eastAsia="宋体" w:cs="Times New Roman"/>
                <w:bCs/>
                <w:color w:val="auto"/>
                <w:u w:val="single"/>
                <w:lang w:val="en-US" w:eastAsia="zh-CN"/>
              </w:rPr>
              <w:t>4小时，转文火续蒸至通体棕黄、软糯透心。第2</w:t>
            </w:r>
            <w:r>
              <w:rPr>
                <w:rFonts w:hint="eastAsia" w:cs="Times New Roman"/>
                <w:bCs/>
                <w:color w:val="auto"/>
                <w:u w:val="single"/>
                <w:lang w:val="en-US" w:eastAsia="zh-CN"/>
              </w:rPr>
              <w:t>~</w:t>
            </w:r>
            <w:r>
              <w:rPr>
                <w:rFonts w:hint="default" w:ascii="Times New Roman" w:hAnsi="Times New Roman" w:eastAsia="宋体" w:cs="Times New Roman"/>
                <w:bCs/>
                <w:color w:val="auto"/>
                <w:u w:val="single"/>
                <w:lang w:val="en-US" w:eastAsia="zh-CN"/>
              </w:rPr>
              <w:t>9轮：逐步用文火，时长4</w:t>
            </w:r>
            <w:r>
              <w:rPr>
                <w:rFonts w:hint="eastAsia" w:cs="Times New Roman"/>
                <w:bCs/>
                <w:color w:val="auto"/>
                <w:u w:val="single"/>
                <w:lang w:val="en-US" w:eastAsia="zh-CN"/>
              </w:rPr>
              <w:t>~</w:t>
            </w:r>
            <w:r>
              <w:rPr>
                <w:rFonts w:hint="default" w:ascii="Times New Roman" w:hAnsi="Times New Roman" w:eastAsia="宋体" w:cs="Times New Roman"/>
                <w:bCs/>
                <w:color w:val="auto"/>
                <w:u w:val="single"/>
                <w:lang w:val="en-US" w:eastAsia="zh-CN"/>
              </w:rPr>
              <w:t>8小时，确保内部成分充分转化。</w:t>
            </w:r>
          </w:p>
          <w:p w14:paraId="462CC8CE">
            <w:pPr>
              <w:pStyle w:val="82"/>
              <w:jc w:val="left"/>
              <w:rPr>
                <w:rFonts w:hint="default" w:ascii="Times New Roman" w:hAnsi="Times New Roman" w:eastAsia="宋体" w:cs="Times New Roman"/>
                <w:bCs/>
                <w:color w:val="auto"/>
                <w:u w:val="single"/>
                <w:lang w:val="en-US" w:eastAsia="zh-CN"/>
              </w:rPr>
            </w:pPr>
            <w:r>
              <w:rPr>
                <w:rFonts w:hint="eastAsia" w:ascii="Times New Roman" w:hAnsi="Times New Roman" w:eastAsia="宋体" w:cs="Times New Roman"/>
                <w:bCs/>
                <w:color w:val="auto"/>
                <w:u w:val="single"/>
                <w:lang w:val="en-US" w:eastAsia="zh-CN"/>
              </w:rPr>
              <w:t>烘/晒制：第九轮蒸闷后，彻底晒干或烘干至含水量≤15%。烘干由热风炉提供热源，会产生生物质热风炉废气。蒸煮设备清洗将产生设备清洗废水、残液缩膏等。</w:t>
            </w:r>
          </w:p>
          <w:p w14:paraId="37D036D6">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食品生产包装：将九蒸九晒（烘）后的黄精进行内</w:t>
            </w:r>
            <w:r>
              <w:rPr>
                <w:rFonts w:hint="eastAsia" w:cs="Times New Roman"/>
                <w:bCs/>
                <w:color w:val="auto"/>
                <w:lang w:val="en-US" w:eastAsia="zh-CN"/>
              </w:rPr>
              <w:t>包装</w:t>
            </w:r>
            <w:r>
              <w:rPr>
                <w:rFonts w:hint="eastAsia" w:ascii="Times New Roman" w:hAnsi="Times New Roman" w:eastAsia="宋体" w:cs="Times New Roman"/>
                <w:bCs/>
                <w:color w:val="auto"/>
                <w:lang w:val="en-US" w:eastAsia="zh-CN"/>
              </w:rPr>
              <w:t>，外包装后入库。</w:t>
            </w:r>
          </w:p>
          <w:p w14:paraId="4F63413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heme="minorEastAsia" w:hAnsiTheme="minorEastAsia" w:cstheme="minorEastAsia"/>
                <w:color w:val="auto"/>
                <w:sz w:val="24"/>
                <w:szCs w:val="24"/>
                <w:highlight w:val="yellow"/>
                <w:lang w:val="en-US" w:eastAsia="zh-CN"/>
              </w:rPr>
            </w:pPr>
            <w:r>
              <w:rPr>
                <w:rFonts w:hint="eastAsia" w:cs="Times New Roman"/>
                <w:b/>
                <w:bCs/>
                <w:color w:val="auto"/>
                <w:sz w:val="24"/>
                <w:lang w:eastAsia="zh-CN"/>
              </w:rPr>
              <w:t>（</w:t>
            </w:r>
            <w:r>
              <w:rPr>
                <w:rFonts w:hint="eastAsia" w:cs="Times New Roman"/>
                <w:b/>
                <w:bCs/>
                <w:color w:val="auto"/>
                <w:sz w:val="24"/>
                <w:lang w:val="en-US" w:eastAsia="zh-CN"/>
              </w:rPr>
              <w:t>3</w:t>
            </w:r>
            <w:r>
              <w:rPr>
                <w:rFonts w:hint="eastAsia" w:cs="Times New Roman"/>
                <w:b/>
                <w:bCs/>
                <w:color w:val="auto"/>
                <w:sz w:val="24"/>
                <w:lang w:eastAsia="zh-CN"/>
              </w:rPr>
              <w:t>）</w:t>
            </w:r>
            <w:r>
              <w:rPr>
                <w:rFonts w:hint="eastAsia" w:cs="Times New Roman"/>
                <w:b/>
                <w:bCs/>
                <w:color w:val="auto"/>
                <w:sz w:val="24"/>
                <w:lang w:val="en-US" w:eastAsia="zh-CN"/>
              </w:rPr>
              <w:t>白术加工工艺流程</w:t>
            </w:r>
          </w:p>
          <w:p w14:paraId="0CE260B9">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object>
                <v:shape id="_x0000_i1028" o:spt="75" type="#_x0000_t75" style="height:123pt;width:375.7pt;" o:ole="t" filled="f" o:preferrelative="t" stroked="f" coordsize="21600,21600">
                  <v:path/>
                  <v:fill on="f" focussize="0,0"/>
                  <v:stroke on="f"/>
                  <v:imagedata r:id="rId16" cropright="264f" o:title=""/>
                  <o:lock v:ext="edit" aspectratio="f"/>
                  <w10:wrap type="none"/>
                  <w10:anchorlock/>
                </v:shape>
                <o:OLEObject Type="Embed" ProgID="Visio.Drawing.11" ShapeID="_x0000_i1028" DrawAspect="Content" ObjectID="_1468075728" r:id="rId15">
                  <o:LockedField>false</o:LockedField>
                </o:OLEObject>
              </w:object>
            </w:r>
            <w:r>
              <w:rPr>
                <w:rFonts w:hint="default" w:ascii="Times New Roman" w:hAnsi="Times New Roman" w:eastAsia="宋体" w:cs="Times New Roman"/>
                <w:b/>
                <w:color w:val="auto"/>
                <w:sz w:val="24"/>
                <w:szCs w:val="24"/>
                <w:lang w:val="en-US" w:eastAsia="zh-CN"/>
              </w:rPr>
              <w:t>图2-</w:t>
            </w:r>
            <w:r>
              <w:rPr>
                <w:rFonts w:hint="eastAsia" w:cs="Times New Roman"/>
                <w:b/>
                <w:color w:val="auto"/>
                <w:sz w:val="24"/>
                <w:szCs w:val="24"/>
                <w:lang w:val="en-US" w:eastAsia="zh-CN"/>
              </w:rPr>
              <w:t>4</w:t>
            </w:r>
            <w:r>
              <w:rPr>
                <w:rFonts w:hint="default"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color w:val="auto"/>
                <w:sz w:val="24"/>
                <w:szCs w:val="24"/>
                <w:lang w:val="en-US" w:eastAsia="zh-CN"/>
              </w:rPr>
              <w:t xml:space="preserve"> 白术加</w:t>
            </w:r>
            <w:r>
              <w:rPr>
                <w:rFonts w:hint="eastAsia" w:cs="Times New Roman"/>
                <w:b/>
                <w:bCs/>
                <w:color w:val="auto"/>
                <w:sz w:val="24"/>
                <w:lang w:val="en-US" w:eastAsia="zh-CN"/>
              </w:rPr>
              <w:t>工工艺流程</w:t>
            </w:r>
            <w:r>
              <w:rPr>
                <w:rFonts w:hint="default" w:ascii="Times New Roman" w:hAnsi="Times New Roman" w:eastAsia="宋体" w:cs="Times New Roman"/>
                <w:b/>
                <w:color w:val="auto"/>
                <w:sz w:val="24"/>
                <w:szCs w:val="24"/>
                <w:lang w:val="en-US" w:eastAsia="zh-CN"/>
              </w:rPr>
              <w:t>及产污环节</w:t>
            </w:r>
            <w:r>
              <w:rPr>
                <w:rFonts w:hint="eastAsia" w:ascii="Times New Roman" w:hAnsi="Times New Roman" w:eastAsia="宋体" w:cs="Times New Roman"/>
                <w:b/>
                <w:color w:val="auto"/>
                <w:sz w:val="24"/>
                <w:szCs w:val="24"/>
                <w:lang w:val="en-US" w:eastAsia="zh-CN"/>
              </w:rPr>
              <w:t>图</w:t>
            </w:r>
          </w:p>
          <w:p w14:paraId="50017BC5">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工艺流程简介：</w:t>
            </w:r>
          </w:p>
          <w:p w14:paraId="42B73E07">
            <w:pPr>
              <w:pStyle w:val="82"/>
              <w:jc w:val="left"/>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脱须清洗：使用白术滚筒式脱毛机，用</w:t>
            </w:r>
            <w:r>
              <w:rPr>
                <w:rFonts w:hint="eastAsia" w:cs="Times New Roman"/>
                <w:bCs/>
                <w:color w:val="auto"/>
                <w:lang w:val="en-US" w:eastAsia="zh-CN"/>
              </w:rPr>
              <w:t>经沉淀处理后的回用水</w:t>
            </w:r>
            <w:r>
              <w:rPr>
                <w:rFonts w:hint="eastAsia" w:ascii="Times New Roman" w:hAnsi="Times New Roman" w:eastAsia="宋体" w:cs="Times New Roman"/>
                <w:bCs/>
                <w:color w:val="auto"/>
                <w:lang w:val="en-US" w:eastAsia="zh-CN"/>
              </w:rPr>
              <w:t>将白术鲜根茎冲洗干净，将鲜白术进行脱须处理</w:t>
            </w:r>
            <w:r>
              <w:rPr>
                <w:rFonts w:hint="eastAsia" w:cs="Times New Roman"/>
                <w:bCs/>
                <w:color w:val="auto"/>
                <w:lang w:val="en-US" w:eastAsia="zh-CN"/>
              </w:rPr>
              <w:t>，</w:t>
            </w:r>
            <w:r>
              <w:rPr>
                <w:rFonts w:hint="eastAsia" w:ascii="Times New Roman" w:hAnsi="Times New Roman" w:eastAsia="宋体" w:cs="Times New Roman"/>
                <w:bCs/>
                <w:color w:val="auto"/>
                <w:lang w:val="en-US" w:eastAsia="zh-CN"/>
              </w:rPr>
              <w:t>并洗去表面的泥沙及残留的须根。注意清洗时不要过度揉搓，以免损伤药材。</w:t>
            </w:r>
            <w:r>
              <w:rPr>
                <w:rFonts w:hint="eastAsia" w:cs="Times New Roman"/>
                <w:bCs/>
                <w:color w:val="auto"/>
                <w:lang w:val="en-US" w:eastAsia="zh-CN"/>
              </w:rPr>
              <w:t>此过程会产生清洗废水。</w:t>
            </w:r>
          </w:p>
          <w:p w14:paraId="1D984012">
            <w:pPr>
              <w:pStyle w:val="82"/>
              <w:jc w:val="left"/>
              <w:rPr>
                <w:rFonts w:hint="default" w:ascii="Times New Roman" w:hAnsi="Times New Roman" w:eastAsia="宋体" w:cs="Times New Roman"/>
                <w:bCs/>
                <w:color w:val="auto"/>
                <w:lang w:val="en-US" w:eastAsia="zh-CN"/>
              </w:rPr>
            </w:pPr>
            <w:r>
              <w:rPr>
                <w:rFonts w:hint="eastAsia" w:cs="Times New Roman"/>
                <w:bCs/>
                <w:color w:val="auto"/>
                <w:lang w:val="en-US" w:eastAsia="zh-CN"/>
              </w:rPr>
              <w:t>初级分选：</w:t>
            </w:r>
            <w:r>
              <w:rPr>
                <w:rFonts w:hint="default" w:ascii="Times New Roman" w:hAnsi="Times New Roman" w:eastAsia="宋体" w:cs="Times New Roman"/>
                <w:color w:val="auto"/>
                <w:kern w:val="0"/>
                <w:sz w:val="24"/>
                <w:lang w:val="en-US" w:eastAsia="zh-CN"/>
              </w:rPr>
              <w:t>为了满足客户和市场需求，本项目</w:t>
            </w:r>
            <w:r>
              <w:rPr>
                <w:rFonts w:hint="eastAsia" w:ascii="Times New Roman" w:hAnsi="Times New Roman" w:eastAsia="宋体" w:cs="Times New Roman"/>
                <w:bCs/>
                <w:color w:val="auto"/>
                <w:lang w:val="en-US" w:eastAsia="zh-CN"/>
              </w:rPr>
              <w:t>白术</w:t>
            </w:r>
            <w:r>
              <w:rPr>
                <w:rFonts w:hint="default" w:ascii="Times New Roman" w:hAnsi="Times New Roman" w:eastAsia="宋体" w:cs="Times New Roman"/>
                <w:color w:val="auto"/>
                <w:kern w:val="0"/>
                <w:sz w:val="24"/>
                <w:lang w:val="en-US" w:eastAsia="zh-CN"/>
              </w:rPr>
              <w:t>需对其进行加工前的筛选分级，为保证加工前原材料品质、色泽不受破坏，采用人工手选分级</w:t>
            </w:r>
            <w:r>
              <w:rPr>
                <w:rFonts w:hint="eastAsia" w:ascii="Times New Roman" w:hAnsi="Times New Roman" w:eastAsia="宋体" w:cs="Times New Roman"/>
                <w:color w:val="auto"/>
                <w:kern w:val="0"/>
                <w:sz w:val="24"/>
                <w:lang w:val="en-US" w:eastAsia="zh-CN"/>
              </w:rPr>
              <w:t>与机械筛分结合方式，废弃物主要为树叶和树枝</w:t>
            </w:r>
            <w:r>
              <w:rPr>
                <w:rFonts w:hint="default" w:ascii="Times New Roman" w:hAnsi="Times New Roman" w:eastAsia="宋体" w:cs="Times New Roman"/>
                <w:color w:val="auto"/>
                <w:kern w:val="0"/>
                <w:sz w:val="24"/>
                <w:lang w:val="en-US" w:eastAsia="zh-CN"/>
              </w:rPr>
              <w:t>。</w:t>
            </w:r>
          </w:p>
          <w:p w14:paraId="3EC89754">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切片：用切片机切片，厚度2mm～3mm。</w:t>
            </w:r>
          </w:p>
          <w:p w14:paraId="25BA7289">
            <w:pPr>
              <w:pStyle w:val="82"/>
              <w:jc w:val="left"/>
              <w:rPr>
                <w:rFonts w:hint="eastAsia" w:ascii="Times New Roman" w:hAnsi="Times New Roman" w:eastAsia="宋体" w:cs="Times New Roman"/>
                <w:bCs/>
                <w:color w:val="auto"/>
                <w:lang w:val="en-US" w:eastAsia="zh-CN"/>
              </w:rPr>
            </w:pPr>
            <w:r>
              <w:rPr>
                <w:rFonts w:hint="eastAsia" w:cs="Times New Roman"/>
                <w:bCs/>
                <w:color w:val="auto"/>
                <w:lang w:val="en-US" w:eastAsia="zh-CN"/>
              </w:rPr>
              <w:t>烘干</w:t>
            </w:r>
            <w:r>
              <w:rPr>
                <w:rFonts w:hint="eastAsia" w:ascii="Times New Roman" w:hAnsi="Times New Roman" w:eastAsia="宋体" w:cs="Times New Roman"/>
                <w:bCs/>
                <w:color w:val="auto"/>
                <w:lang w:val="en-US" w:eastAsia="zh-CN"/>
              </w:rPr>
              <w:t>：60~80℃烘（晒）干至水分15%以内。</w:t>
            </w:r>
            <w:r>
              <w:rPr>
                <w:rFonts w:hint="eastAsia" w:cs="Times New Roman"/>
                <w:color w:val="auto"/>
                <w:kern w:val="0"/>
                <w:sz w:val="24"/>
                <w:u w:val="single"/>
                <w:lang w:val="en-US" w:eastAsia="zh-CN"/>
              </w:rPr>
              <w:t>由热风炉提供热源，该工序会产生生物质热风炉废气。</w:t>
            </w:r>
          </w:p>
          <w:p w14:paraId="0AEBC187">
            <w:pPr>
              <w:pStyle w:val="82"/>
              <w:jc w:val="left"/>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筛分：用振动筛筛分机筛除细末杂质，挑出异形变色片，按大小等级分选。</w:t>
            </w:r>
            <w:r>
              <w:rPr>
                <w:rFonts w:hint="eastAsia" w:cs="Times New Roman"/>
                <w:bCs/>
                <w:color w:val="auto"/>
                <w:lang w:val="en-US" w:eastAsia="zh-CN"/>
              </w:rPr>
              <w:t>此过程产生</w:t>
            </w:r>
            <w:r>
              <w:rPr>
                <w:rFonts w:hint="eastAsia" w:ascii="Times New Roman" w:hAnsi="Times New Roman" w:eastAsia="宋体" w:cs="Times New Roman"/>
                <w:color w:val="auto"/>
                <w:kern w:val="0"/>
                <w:sz w:val="24"/>
                <w:lang w:val="en-US" w:eastAsia="zh-CN"/>
              </w:rPr>
              <w:t>筛分废弃中药材尾料</w:t>
            </w:r>
            <w:r>
              <w:rPr>
                <w:rFonts w:hint="eastAsia" w:ascii="Times New Roman" w:hAnsi="Times New Roman" w:cs="Times New Roman"/>
                <w:color w:val="auto"/>
                <w:kern w:val="0"/>
                <w:sz w:val="24"/>
                <w:lang w:val="en-US" w:eastAsia="zh-CN"/>
              </w:rPr>
              <w:t>。</w:t>
            </w:r>
          </w:p>
          <w:p w14:paraId="619AD160">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包装：将干燥好的白术按照不同的规格和等级进行筛选分类，称重后用食品级或药用塑料袋进行内包装，后用纸箱进行外包装。包装规格：10~50千克/袋</w:t>
            </w:r>
          </w:p>
          <w:p w14:paraId="79ADDCB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cs="Times New Roman"/>
                <w:b/>
                <w:bCs/>
                <w:color w:val="auto"/>
                <w:sz w:val="24"/>
                <w:lang w:eastAsia="zh-CN"/>
              </w:rPr>
              <w:t>（</w:t>
            </w:r>
            <w:r>
              <w:rPr>
                <w:rFonts w:hint="eastAsia" w:cs="Times New Roman"/>
                <w:b/>
                <w:bCs/>
                <w:color w:val="auto"/>
                <w:sz w:val="24"/>
                <w:lang w:val="en-US" w:eastAsia="zh-CN"/>
              </w:rPr>
              <w:t>4</w:t>
            </w:r>
            <w:r>
              <w:rPr>
                <w:rFonts w:hint="eastAsia" w:cs="Times New Roman"/>
                <w:b/>
                <w:bCs/>
                <w:color w:val="auto"/>
                <w:sz w:val="24"/>
                <w:lang w:eastAsia="zh-CN"/>
              </w:rPr>
              <w:t>）</w:t>
            </w:r>
            <w:r>
              <w:rPr>
                <w:rFonts w:hint="eastAsia" w:cs="Times New Roman"/>
                <w:b/>
                <w:bCs/>
                <w:color w:val="auto"/>
                <w:sz w:val="24"/>
                <w:lang w:val="en-US" w:eastAsia="zh-CN"/>
              </w:rPr>
              <w:t>黄柏加工工艺流程</w:t>
            </w:r>
          </w:p>
          <w:p w14:paraId="37B8E82C">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color w:val="auto"/>
                <w:sz w:val="24"/>
              </w:rPr>
            </w:pPr>
            <w:r>
              <w:rPr>
                <w:rFonts w:hint="default" w:ascii="Times New Roman" w:hAnsi="Times New Roman" w:cs="Times New Roman"/>
                <w:color w:val="auto"/>
                <w:sz w:val="24"/>
              </w:rPr>
              <w:object>
                <v:shape id="_x0000_i1029" o:spt="75" type="#_x0000_t75" style="height:122.1pt;width:375.7pt;" o:ole="t" filled="f" o:preferrelative="t" stroked="f" coordsize="21600,21600">
                  <v:path/>
                  <v:fill on="f" focussize="0,0"/>
                  <v:stroke on="f"/>
                  <v:imagedata r:id="rId18" cropright="184f" o:title=""/>
                  <o:lock v:ext="edit" aspectratio="f"/>
                  <w10:wrap type="none"/>
                  <w10:anchorlock/>
                </v:shape>
                <o:OLEObject Type="Embed" ProgID="Visio.Drawing.11" ShapeID="_x0000_i1029" DrawAspect="Content" ObjectID="_1468075729" r:id="rId17">
                  <o:LockedField>false</o:LockedField>
                </o:OLEObject>
              </w:object>
            </w:r>
            <w:r>
              <w:rPr>
                <w:rFonts w:hint="default" w:cs="Times New Roman"/>
                <w:b/>
                <w:bCs/>
                <w:color w:val="auto"/>
                <w:sz w:val="24"/>
                <w:lang w:val="en-US" w:eastAsia="zh-CN"/>
              </w:rPr>
              <w:t>图2-</w:t>
            </w:r>
            <w:r>
              <w:rPr>
                <w:rFonts w:hint="eastAsia" w:cs="Times New Roman"/>
                <w:b/>
                <w:bCs/>
                <w:color w:val="auto"/>
                <w:sz w:val="24"/>
                <w:lang w:val="en-US" w:eastAsia="zh-CN"/>
              </w:rPr>
              <w:t>5</w:t>
            </w:r>
            <w:r>
              <w:rPr>
                <w:rFonts w:hint="default" w:cs="Times New Roman"/>
                <w:b/>
                <w:bCs/>
                <w:color w:val="auto"/>
                <w:sz w:val="24"/>
                <w:lang w:val="en-US" w:eastAsia="zh-CN"/>
              </w:rPr>
              <w:t xml:space="preserve">  </w:t>
            </w:r>
            <w:r>
              <w:rPr>
                <w:rFonts w:hint="eastAsia" w:cs="Times New Roman"/>
                <w:b/>
                <w:bCs/>
                <w:color w:val="auto"/>
                <w:sz w:val="24"/>
                <w:lang w:val="en-US" w:eastAsia="zh-CN"/>
              </w:rPr>
              <w:t xml:space="preserve"> 黄柏加工工艺流程</w:t>
            </w:r>
            <w:r>
              <w:rPr>
                <w:rFonts w:hint="default" w:ascii="Times New Roman" w:hAnsi="Times New Roman" w:eastAsia="宋体" w:cs="Times New Roman"/>
                <w:b/>
                <w:color w:val="auto"/>
                <w:sz w:val="24"/>
                <w:szCs w:val="24"/>
                <w:lang w:val="en-US" w:eastAsia="zh-CN"/>
              </w:rPr>
              <w:t>及产污环节</w:t>
            </w:r>
            <w:r>
              <w:rPr>
                <w:rFonts w:hint="eastAsia" w:ascii="Times New Roman" w:hAnsi="Times New Roman" w:eastAsia="宋体" w:cs="Times New Roman"/>
                <w:b/>
                <w:color w:val="auto"/>
                <w:sz w:val="24"/>
                <w:szCs w:val="24"/>
                <w:lang w:val="en-US" w:eastAsia="zh-CN"/>
              </w:rPr>
              <w:t>图</w:t>
            </w:r>
          </w:p>
          <w:p w14:paraId="1E923218">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工艺流程</w:t>
            </w:r>
            <w:r>
              <w:rPr>
                <w:rFonts w:hint="eastAsia" w:cs="Times New Roman"/>
                <w:color w:val="auto"/>
                <w:sz w:val="24"/>
                <w:lang w:val="en-US" w:eastAsia="zh-CN"/>
              </w:rPr>
              <w:t>简述：</w:t>
            </w:r>
          </w:p>
          <w:p w14:paraId="6AEE1503">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去粗皮：使用树皮剥切机，去除黄柏树皮外层粗皮及杂质，避免损伤内层药用部位，操作过程中轻拿轻放。</w:t>
            </w:r>
            <w:r>
              <w:rPr>
                <w:rFonts w:hint="eastAsia" w:cs="Times New Roman"/>
                <w:bCs/>
                <w:color w:val="auto"/>
                <w:lang w:val="en-US" w:eastAsia="zh-CN"/>
              </w:rPr>
              <w:t>此过程会产生</w:t>
            </w:r>
            <w:r>
              <w:rPr>
                <w:rFonts w:hint="eastAsia" w:ascii="Times New Roman" w:hAnsi="Times New Roman" w:eastAsia="宋体" w:cs="Times New Roman"/>
                <w:bCs/>
                <w:color w:val="auto"/>
                <w:lang w:val="en-US" w:eastAsia="zh-CN"/>
              </w:rPr>
              <w:t>黄柏粗皮</w:t>
            </w:r>
            <w:r>
              <w:rPr>
                <w:rFonts w:hint="eastAsia" w:cs="Times New Roman"/>
                <w:bCs/>
                <w:color w:val="auto"/>
                <w:lang w:val="en-US" w:eastAsia="zh-CN"/>
              </w:rPr>
              <w:t>。</w:t>
            </w:r>
          </w:p>
          <w:p w14:paraId="5E72745B">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清洗：采用流动水冲洗，去除表面泥沙及残留杂质；清洗时间控制在15~20分钟，避免长时间浸泡导致有效成分流失，清洗后沥干表面水分。</w:t>
            </w:r>
            <w:r>
              <w:rPr>
                <w:rFonts w:hint="eastAsia" w:cs="Times New Roman"/>
                <w:bCs/>
                <w:color w:val="auto"/>
                <w:lang w:val="en-US" w:eastAsia="zh-CN"/>
              </w:rPr>
              <w:t>此过程会产生清洗废水。</w:t>
            </w:r>
          </w:p>
          <w:p w14:paraId="6D6AEFA5">
            <w:pPr>
              <w:pStyle w:val="82"/>
              <w:jc w:val="left"/>
              <w:rPr>
                <w:rFonts w:hint="eastAsia" w:ascii="Times New Roman" w:hAnsi="Times New Roman" w:eastAsia="宋体" w:cs="Times New Roman"/>
                <w:bCs/>
                <w:color w:val="auto"/>
                <w:lang w:val="en-US" w:eastAsia="zh-CN"/>
              </w:rPr>
            </w:pPr>
            <w:r>
              <w:rPr>
                <w:rFonts w:hint="eastAsia" w:cs="Times New Roman"/>
                <w:bCs/>
                <w:color w:val="auto"/>
                <w:lang w:val="en-US" w:eastAsia="zh-CN"/>
              </w:rPr>
              <w:t>初选分级</w:t>
            </w:r>
            <w:r>
              <w:rPr>
                <w:rFonts w:hint="eastAsia" w:ascii="Times New Roman" w:hAnsi="Times New Roman" w:eastAsia="宋体" w:cs="Times New Roman"/>
                <w:bCs/>
                <w:color w:val="auto"/>
                <w:lang w:val="en-US" w:eastAsia="zh-CN"/>
              </w:rPr>
              <w:t>：用振动筛筛分机筛除细末杂质，挑出异形变色片，按大小等级分选</w:t>
            </w:r>
            <w:r>
              <w:rPr>
                <w:rFonts w:hint="eastAsia" w:cs="Times New Roman"/>
                <w:bCs/>
                <w:color w:val="auto"/>
                <w:lang w:val="en-US" w:eastAsia="zh-CN"/>
              </w:rPr>
              <w:t>，此过程会产生</w:t>
            </w:r>
            <w:r>
              <w:rPr>
                <w:rFonts w:hint="eastAsia" w:ascii="Times New Roman" w:hAnsi="Times New Roman" w:eastAsia="宋体" w:cs="Times New Roman"/>
                <w:color w:val="auto"/>
                <w:kern w:val="0"/>
                <w:sz w:val="24"/>
                <w:lang w:val="en-US" w:eastAsia="zh-CN"/>
              </w:rPr>
              <w:t>筛分废弃中药材尾料</w:t>
            </w:r>
            <w:r>
              <w:rPr>
                <w:rFonts w:hint="eastAsia" w:ascii="Times New Roman" w:hAnsi="Times New Roman" w:eastAsia="宋体" w:cs="Times New Roman"/>
                <w:bCs/>
                <w:color w:val="auto"/>
                <w:lang w:val="en-US" w:eastAsia="zh-CN"/>
              </w:rPr>
              <w:t>。</w:t>
            </w:r>
          </w:p>
          <w:p w14:paraId="0D76E1D0">
            <w:pPr>
              <w:pStyle w:val="82"/>
              <w:jc w:val="both"/>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切片：使用树皮切片机，根据客户需求调整切片类型及厚度，横切片2~4mm、斜切片3~5mm，启动设备进行切制；每30分钟检查1次切片规格，确保符合要求。</w:t>
            </w:r>
          </w:p>
          <w:p w14:paraId="4274C4E6">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干燥：将切制后的黄柏片均匀摊放在烘干托盘上（摊放厚度≤2cm），放入干燥箱；40~55℃。</w:t>
            </w:r>
            <w:r>
              <w:rPr>
                <w:rFonts w:hint="eastAsia" w:cs="Times New Roman"/>
                <w:color w:val="auto"/>
                <w:kern w:val="0"/>
                <w:sz w:val="24"/>
                <w:u w:val="single"/>
                <w:lang w:val="en-US" w:eastAsia="zh-CN"/>
              </w:rPr>
              <w:t>由热风炉提供热源，该工序会产生生物质热风炉废气。</w:t>
            </w:r>
          </w:p>
          <w:p w14:paraId="7CE35B53">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包装：将干燥好的黄柏按照不同的规格和等级进行筛选分类，称重后用食品级或药用塑料袋进行内包装，后用纸箱进行外包装。包装规格：10</w:t>
            </w:r>
            <w:r>
              <w:rPr>
                <w:rFonts w:hint="eastAsia" w:cs="Times New Roman"/>
                <w:bCs/>
                <w:color w:val="auto"/>
                <w:lang w:val="en-US" w:eastAsia="zh-CN"/>
              </w:rPr>
              <w:t>~</w:t>
            </w:r>
            <w:r>
              <w:rPr>
                <w:rFonts w:hint="eastAsia" w:ascii="Times New Roman" w:hAnsi="Times New Roman" w:eastAsia="宋体" w:cs="Times New Roman"/>
                <w:bCs/>
                <w:color w:val="auto"/>
                <w:lang w:val="en-US" w:eastAsia="zh-CN"/>
              </w:rPr>
              <w:t>50千克/袋</w:t>
            </w:r>
            <w:r>
              <w:rPr>
                <w:rFonts w:hint="eastAsia" w:cs="Times New Roman"/>
                <w:bCs/>
                <w:color w:val="auto"/>
                <w:lang w:val="en-US" w:eastAsia="zh-CN"/>
              </w:rPr>
              <w:t>。</w:t>
            </w:r>
          </w:p>
          <w:p w14:paraId="048DFCCC">
            <w:pPr>
              <w:adjustRightInd w:val="0"/>
              <w:snapToGrid w:val="0"/>
              <w:spacing w:line="360" w:lineRule="auto"/>
              <w:ind w:firstLine="482" w:firstLineChars="200"/>
              <w:jc w:val="left"/>
              <w:rPr>
                <w:rFonts w:hint="default" w:ascii="Times New Roman" w:hAnsi="Times New Roman" w:eastAsia="宋体" w:cs="Times New Roman"/>
                <w:b/>
                <w:bCs/>
                <w:color w:val="auto"/>
                <w:sz w:val="24"/>
                <w:lang w:val="en-US" w:eastAsia="zh-CN"/>
              </w:rPr>
            </w:pPr>
            <w:r>
              <w:rPr>
                <w:rFonts w:hint="eastAsia" w:cs="Times New Roman"/>
                <w:b/>
                <w:bCs/>
                <w:color w:val="auto"/>
                <w:sz w:val="24"/>
                <w:lang w:eastAsia="zh-CN"/>
              </w:rPr>
              <w:t>（</w:t>
            </w:r>
            <w:r>
              <w:rPr>
                <w:rFonts w:hint="eastAsia" w:cs="Times New Roman"/>
                <w:b/>
                <w:bCs/>
                <w:color w:val="auto"/>
                <w:sz w:val="24"/>
                <w:lang w:val="en-US" w:eastAsia="zh-CN"/>
              </w:rPr>
              <w:t>5</w:t>
            </w:r>
            <w:r>
              <w:rPr>
                <w:rFonts w:hint="eastAsia" w:cs="Times New Roman"/>
                <w:b/>
                <w:bCs/>
                <w:color w:val="auto"/>
                <w:sz w:val="24"/>
                <w:lang w:eastAsia="zh-CN"/>
              </w:rPr>
              <w:t>）</w:t>
            </w:r>
            <w:r>
              <w:rPr>
                <w:rFonts w:hint="eastAsia" w:cs="Times New Roman"/>
                <w:b/>
                <w:bCs/>
                <w:color w:val="auto"/>
                <w:sz w:val="24"/>
                <w:lang w:val="en-US" w:eastAsia="zh-CN"/>
              </w:rPr>
              <w:t>山银花加工工艺流程</w:t>
            </w:r>
          </w:p>
          <w:p w14:paraId="3AC3CE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cs="Times New Roman"/>
                <w:color w:val="auto"/>
                <w:sz w:val="24"/>
              </w:rPr>
              <w:object>
                <v:shape id="_x0000_i1030" o:spt="75" type="#_x0000_t75" style="height:150.9pt;width:375.05pt;" o:ole="t" filled="f" o:preferrelative="t" stroked="f" coordsize="21600,21600">
                  <v:path/>
                  <v:fill on="f" focussize="0,0"/>
                  <v:stroke on="f"/>
                  <v:imagedata r:id="rId20" cropright="175f" o:title=""/>
                  <o:lock v:ext="edit" aspectratio="f"/>
                  <w10:wrap type="none"/>
                  <w10:anchorlock/>
                </v:shape>
                <o:OLEObject Type="Embed" ProgID="Visio.Drawing.11" ShapeID="_x0000_i1030" DrawAspect="Content" ObjectID="_1468075730" r:id="rId19">
                  <o:LockedField>false</o:LockedField>
                </o:OLEObject>
              </w:object>
            </w:r>
            <w:r>
              <w:rPr>
                <w:rFonts w:hint="default" w:ascii="Times New Roman" w:hAnsi="Times New Roman" w:eastAsia="宋体" w:cs="Times New Roman"/>
                <w:b/>
                <w:color w:val="auto"/>
                <w:sz w:val="24"/>
                <w:szCs w:val="24"/>
                <w:lang w:val="en-US" w:eastAsia="zh-CN"/>
              </w:rPr>
              <w:t>图2-</w:t>
            </w:r>
            <w:r>
              <w:rPr>
                <w:rFonts w:hint="eastAsia" w:cs="Times New Roman"/>
                <w:b/>
                <w:color w:val="auto"/>
                <w:sz w:val="24"/>
                <w:szCs w:val="24"/>
                <w:lang w:val="en-US" w:eastAsia="zh-CN"/>
              </w:rPr>
              <w:t>6</w:t>
            </w:r>
            <w:r>
              <w:rPr>
                <w:rFonts w:hint="default"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color w:val="auto"/>
                <w:sz w:val="24"/>
                <w:szCs w:val="24"/>
                <w:lang w:val="en-US" w:eastAsia="zh-CN"/>
              </w:rPr>
              <w:t xml:space="preserve"> </w:t>
            </w:r>
            <w:r>
              <w:rPr>
                <w:rFonts w:hint="eastAsia" w:cs="Times New Roman"/>
                <w:b/>
                <w:color w:val="auto"/>
                <w:sz w:val="24"/>
                <w:szCs w:val="24"/>
                <w:lang w:val="en-US" w:eastAsia="zh-CN"/>
              </w:rPr>
              <w:t>山银花</w:t>
            </w:r>
            <w:r>
              <w:rPr>
                <w:rFonts w:hint="eastAsia" w:cs="Times New Roman"/>
                <w:b/>
                <w:bCs/>
                <w:color w:val="auto"/>
                <w:sz w:val="24"/>
                <w:lang w:val="en-US" w:eastAsia="zh-CN"/>
              </w:rPr>
              <w:t>加工工艺流程</w:t>
            </w:r>
            <w:r>
              <w:rPr>
                <w:rFonts w:hint="default" w:ascii="Times New Roman" w:hAnsi="Times New Roman" w:eastAsia="宋体" w:cs="Times New Roman"/>
                <w:b/>
                <w:color w:val="auto"/>
                <w:sz w:val="24"/>
                <w:szCs w:val="24"/>
                <w:lang w:val="en-US" w:eastAsia="zh-CN"/>
              </w:rPr>
              <w:t>及产污环节</w:t>
            </w:r>
            <w:r>
              <w:rPr>
                <w:rFonts w:hint="eastAsia" w:ascii="Times New Roman" w:hAnsi="Times New Roman" w:eastAsia="宋体" w:cs="Times New Roman"/>
                <w:b/>
                <w:color w:val="auto"/>
                <w:sz w:val="24"/>
                <w:szCs w:val="24"/>
                <w:lang w:val="en-US" w:eastAsia="zh-CN"/>
              </w:rPr>
              <w:t>图</w:t>
            </w:r>
          </w:p>
          <w:p w14:paraId="7DB1BB7B">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工艺流程简介：</w:t>
            </w:r>
          </w:p>
          <w:p w14:paraId="4D438BB6">
            <w:pPr>
              <w:pStyle w:val="82"/>
              <w:jc w:val="left"/>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杀青：蒸汽杀青，将山银花鲜花疏松、均匀地放入蒸笼内，厚度1cm~2cm，置于蒸汽锅中，通蒸汽30s。</w:t>
            </w:r>
            <w:r>
              <w:rPr>
                <w:rFonts w:hint="eastAsia" w:cs="Times New Roman"/>
                <w:color w:val="auto"/>
                <w:kern w:val="0"/>
                <w:sz w:val="24"/>
                <w:u w:val="single"/>
                <w:lang w:val="en-US" w:eastAsia="zh-CN"/>
              </w:rPr>
              <w:t>由蒸汽提供热源，该工序会产生生物质热风炉废气</w:t>
            </w:r>
            <w:r>
              <w:rPr>
                <w:rFonts w:hint="eastAsia" w:cs="Times New Roman"/>
                <w:bCs/>
                <w:color w:val="auto"/>
                <w:lang w:val="en-US" w:eastAsia="zh-CN"/>
              </w:rPr>
              <w:t>。</w:t>
            </w:r>
          </w:p>
          <w:p w14:paraId="37121053">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除杂：初步摘除枝条、叶，去除其它杂质</w:t>
            </w:r>
            <w:r>
              <w:rPr>
                <w:rFonts w:hint="eastAsia" w:cs="Times New Roman"/>
                <w:bCs/>
                <w:color w:val="auto"/>
                <w:lang w:val="en-US" w:eastAsia="zh-CN"/>
              </w:rPr>
              <w:t>，此过程</w:t>
            </w:r>
            <w:r>
              <w:rPr>
                <w:rFonts w:hint="eastAsia" w:ascii="Times New Roman" w:hAnsi="Times New Roman" w:eastAsia="宋体" w:cs="Times New Roman"/>
                <w:color w:val="auto"/>
                <w:kern w:val="0"/>
                <w:sz w:val="24"/>
                <w:lang w:val="en-US" w:eastAsia="zh-CN"/>
              </w:rPr>
              <w:t>废弃物主要为树叶和树枝</w:t>
            </w:r>
            <w:r>
              <w:rPr>
                <w:rFonts w:hint="eastAsia" w:ascii="Times New Roman" w:hAnsi="Times New Roman" w:eastAsia="宋体" w:cs="Times New Roman"/>
                <w:bCs/>
                <w:color w:val="auto"/>
                <w:lang w:val="en-US" w:eastAsia="zh-CN"/>
              </w:rPr>
              <w:t>。</w:t>
            </w:r>
          </w:p>
          <w:p w14:paraId="0BB1B24D">
            <w:pPr>
              <w:pStyle w:val="82"/>
              <w:jc w:val="left"/>
              <w:rPr>
                <w:rFonts w:hint="eastAsia" w:ascii="Times New Roman" w:hAnsi="Times New Roman" w:eastAsia="宋体" w:cs="Times New Roman"/>
                <w:bCs/>
                <w:color w:val="auto"/>
                <w:lang w:val="en-US" w:eastAsia="zh-CN"/>
              </w:rPr>
            </w:pPr>
            <w:r>
              <w:rPr>
                <w:rFonts w:hint="eastAsia" w:cs="Times New Roman"/>
                <w:bCs/>
                <w:color w:val="auto"/>
                <w:lang w:val="en-US" w:eastAsia="zh-CN"/>
              </w:rPr>
              <w:t>烘干</w:t>
            </w:r>
            <w:r>
              <w:rPr>
                <w:rFonts w:hint="eastAsia" w:ascii="Times New Roman" w:hAnsi="Times New Roman" w:eastAsia="宋体" w:cs="Times New Roman"/>
                <w:bCs/>
                <w:color w:val="auto"/>
                <w:lang w:val="en-US" w:eastAsia="zh-CN"/>
              </w:rPr>
              <w:t>：将鲜山银花置于干燥箱内采用90℃以上的温度快速干燥至含水量低于15%，防止长时间水分含量过高导致山银花变黑。</w:t>
            </w:r>
            <w:r>
              <w:rPr>
                <w:rFonts w:hint="eastAsia" w:cs="Times New Roman"/>
                <w:color w:val="auto"/>
                <w:kern w:val="0"/>
                <w:sz w:val="24"/>
                <w:u w:val="single"/>
                <w:lang w:val="en-US" w:eastAsia="zh-CN"/>
              </w:rPr>
              <w:t>由热风炉提供热源，该工序会产生生物质热风炉废气。</w:t>
            </w:r>
          </w:p>
          <w:p w14:paraId="4D3BA345">
            <w:pPr>
              <w:pStyle w:val="82"/>
              <w:jc w:val="left"/>
              <w:rPr>
                <w:rFonts w:hint="eastAsia" w:ascii="Times New Roman" w:hAnsi="Times New Roman" w:eastAsia="宋体" w:cs="Times New Roman"/>
                <w:bCs/>
                <w:color w:val="auto"/>
                <w:lang w:val="en-US" w:eastAsia="zh-CN"/>
              </w:rPr>
            </w:pPr>
            <w:r>
              <w:rPr>
                <w:rFonts w:hint="eastAsia" w:cs="Times New Roman"/>
                <w:bCs/>
                <w:color w:val="auto"/>
                <w:lang w:val="en-US" w:eastAsia="zh-CN"/>
              </w:rPr>
              <w:t>筛分：</w:t>
            </w:r>
            <w:r>
              <w:rPr>
                <w:rFonts w:hint="default" w:ascii="Times New Roman" w:hAnsi="Times New Roman" w:eastAsia="宋体" w:cs="Times New Roman"/>
                <w:color w:val="auto"/>
                <w:kern w:val="0"/>
                <w:sz w:val="24"/>
                <w:lang w:val="en-US" w:eastAsia="zh-CN"/>
              </w:rPr>
              <w:t>为了满足客户和市场需求，本项目</w:t>
            </w:r>
            <w:r>
              <w:rPr>
                <w:rFonts w:hint="eastAsia" w:ascii="Times New Roman" w:hAnsi="Times New Roman" w:eastAsia="宋体" w:cs="Times New Roman"/>
                <w:color w:val="auto"/>
                <w:kern w:val="0"/>
                <w:sz w:val="24"/>
                <w:lang w:val="en-US" w:eastAsia="zh-CN"/>
              </w:rPr>
              <w:t>山</w:t>
            </w:r>
            <w:r>
              <w:rPr>
                <w:rFonts w:hint="default" w:ascii="Times New Roman" w:hAnsi="Times New Roman" w:eastAsia="宋体" w:cs="Times New Roman"/>
                <w:color w:val="auto"/>
                <w:kern w:val="0"/>
                <w:sz w:val="24"/>
                <w:lang w:val="en-US" w:eastAsia="zh-CN"/>
              </w:rPr>
              <w:t>银花需</w:t>
            </w:r>
            <w:r>
              <w:rPr>
                <w:rFonts w:hint="eastAsia" w:ascii="Times New Roman" w:hAnsi="Times New Roman" w:cs="Times New Roman"/>
                <w:color w:val="auto"/>
                <w:kern w:val="0"/>
                <w:sz w:val="24"/>
                <w:lang w:val="en-US" w:eastAsia="zh-CN"/>
              </w:rPr>
              <w:t>进行</w:t>
            </w:r>
            <w:r>
              <w:rPr>
                <w:rFonts w:hint="default" w:ascii="Times New Roman" w:hAnsi="Times New Roman" w:eastAsia="宋体" w:cs="Times New Roman"/>
                <w:color w:val="auto"/>
                <w:kern w:val="0"/>
                <w:sz w:val="24"/>
                <w:lang w:val="en-US" w:eastAsia="zh-CN"/>
              </w:rPr>
              <w:t>筛选分级，为保证加工前原材料品质、色泽不受破坏，采用人工手选分级</w:t>
            </w:r>
            <w:r>
              <w:rPr>
                <w:rFonts w:hint="eastAsia" w:ascii="Times New Roman" w:hAnsi="Times New Roman" w:eastAsia="宋体" w:cs="Times New Roman"/>
                <w:color w:val="auto"/>
                <w:kern w:val="0"/>
                <w:sz w:val="24"/>
                <w:lang w:val="en-US" w:eastAsia="zh-CN"/>
              </w:rPr>
              <w:t>与机械筛分结合方式，筛分废弃物主要为筛分废弃中药材尾料</w:t>
            </w:r>
            <w:r>
              <w:rPr>
                <w:rFonts w:hint="default" w:ascii="Times New Roman" w:hAnsi="Times New Roman" w:eastAsia="宋体" w:cs="Times New Roman"/>
                <w:color w:val="auto"/>
                <w:kern w:val="0"/>
                <w:sz w:val="24"/>
                <w:lang w:val="en-US" w:eastAsia="zh-CN"/>
              </w:rPr>
              <w:t>。</w:t>
            </w:r>
          </w:p>
          <w:p w14:paraId="4B769DB6">
            <w:pPr>
              <w:pStyle w:val="82"/>
              <w:jc w:val="left"/>
              <w:rPr>
                <w:rFonts w:hint="default" w:ascii="Times New Roman" w:hAnsi="Times New Roman" w:eastAsia="宋体" w:cs="Times New Roman"/>
                <w:bCs/>
                <w:color w:val="auto"/>
                <w:lang w:val="en-US" w:eastAsia="zh-CN"/>
              </w:rPr>
            </w:pPr>
            <w:r>
              <w:rPr>
                <w:rFonts w:hint="eastAsia" w:cs="Times New Roman"/>
                <w:bCs/>
                <w:color w:val="auto"/>
                <w:lang w:val="en-US" w:eastAsia="zh-CN"/>
              </w:rPr>
              <w:t>粉碎：经拆分后的部分山银花进入粉碎工序加工成粉末状，此过程会产生粉尘。</w:t>
            </w:r>
          </w:p>
          <w:p w14:paraId="48019B6A">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包装：将干燥好的山银花按照不同的规格和等级进行筛选分类，称重后用食品级或药用塑料袋进行内包装，后用纸箱进行外包装。</w:t>
            </w:r>
          </w:p>
          <w:p w14:paraId="6B1BDBCC">
            <w:pPr>
              <w:pStyle w:val="82"/>
              <w:jc w:val="left"/>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食品生产包装：将茶花品质山银花粉碎后进行内包装，外包装后入库。</w:t>
            </w:r>
          </w:p>
          <w:p w14:paraId="5EF0B9C0">
            <w:pPr>
              <w:pStyle w:val="82"/>
              <w:jc w:val="left"/>
              <w:rPr>
                <w:rFonts w:hint="eastAsia" w:ascii="Times New Roman" w:hAnsi="Times New Roman" w:eastAsia="宋体" w:cs="Times New Roman"/>
                <w:bCs/>
                <w:color w:val="auto"/>
                <w:lang w:val="en-US" w:eastAsia="zh-CN"/>
              </w:rPr>
            </w:pPr>
          </w:p>
          <w:p w14:paraId="3744299F">
            <w:pPr>
              <w:pStyle w:val="82"/>
              <w:ind w:left="0" w:leftChars="0" w:firstLine="0" w:firstLineChars="0"/>
              <w:jc w:val="left"/>
              <w:rPr>
                <w:rFonts w:hint="default" w:ascii="Times New Roman" w:hAnsi="Times New Roman" w:eastAsia="宋体" w:cs="Times New Roman"/>
                <w:bCs/>
                <w:color w:val="auto"/>
                <w:lang w:val="en-US" w:eastAsia="zh-CN"/>
              </w:rPr>
            </w:pPr>
          </w:p>
        </w:tc>
      </w:tr>
      <w:tr w14:paraId="078C5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78" w:type="pct"/>
            <w:vAlign w:val="top"/>
          </w:tcPr>
          <w:p w14:paraId="4E898403">
            <w:pPr>
              <w:pStyle w:val="29"/>
              <w:keepNext w:val="0"/>
              <w:keepLines w:val="0"/>
              <w:pageBreakBefore w:val="0"/>
              <w:widowControl/>
              <w:kinsoku/>
              <w:wordWrap/>
              <w:overflowPunct/>
              <w:topLinePunct w:val="0"/>
              <w:autoSpaceDE/>
              <w:autoSpaceDN/>
              <w:bidi w:val="0"/>
              <w:adjustRightInd w:val="0"/>
              <w:snapToGrid w:val="0"/>
              <w:spacing w:before="313" w:beforeLines="100" w:beforeAutospacing="0" w:after="0" w:afterAutospacing="0"/>
              <w:jc w:val="center"/>
              <w:textAlignment w:val="auto"/>
              <w:rPr>
                <w:rFonts w:hint="default" w:ascii="Times New Roman" w:hAnsi="Times New Roman" w:cs="Times New Roman"/>
                <w:color w:val="auto"/>
                <w:szCs w:val="24"/>
                <w:lang w:val="en-US" w:eastAsia="zh-CN"/>
              </w:rPr>
            </w:pPr>
            <w:r>
              <w:rPr>
                <w:rFonts w:hint="default" w:ascii="Times New Roman" w:hAnsi="Times New Roman" w:cs="Times New Roman"/>
                <w:bCs/>
                <w:color w:val="auto"/>
                <w:kern w:val="2"/>
                <w:szCs w:val="24"/>
                <w:lang w:val="en-US" w:eastAsia="zh-CN"/>
              </w:rPr>
              <w:t>与项目有关的原有环境污染问题</w:t>
            </w:r>
          </w:p>
        </w:tc>
        <w:tc>
          <w:tcPr>
            <w:tcW w:w="4521" w:type="pct"/>
          </w:tcPr>
          <w:p w14:paraId="4F492F02">
            <w:pPr>
              <w:keepNext w:val="0"/>
              <w:keepLines w:val="0"/>
              <w:pageBreakBefore w:val="0"/>
              <w:widowControl w:val="0"/>
              <w:kinsoku/>
              <w:wordWrap/>
              <w:overflowPunct/>
              <w:topLinePunct w:val="0"/>
              <w:autoSpaceDE/>
              <w:autoSpaceDN/>
              <w:bidi w:val="0"/>
              <w:adjustRightInd w:val="0"/>
              <w:snapToGrid w:val="0"/>
              <w:spacing w:before="313" w:beforeLines="100"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本项目为新建项目，拟用厂区为</w:t>
            </w:r>
            <w:r>
              <w:rPr>
                <w:rFonts w:hint="eastAsia" w:ascii="Times New Roman" w:hAnsi="Times New Roman" w:cs="Times New Roman"/>
                <w:color w:val="auto"/>
                <w:sz w:val="24"/>
                <w:lang w:val="en-US" w:eastAsia="zh-CN"/>
              </w:rPr>
              <w:t>原湖南怀化龙成中药饮片有限责任公司年产300吨中药饮片GMP加工建设项目生产厂区</w:t>
            </w:r>
            <w:r>
              <w:rPr>
                <w:rFonts w:hint="eastAsia" w:ascii="Times New Roman" w:hAnsi="Times New Roman" w:eastAsia="宋体" w:cs="Times New Roman"/>
                <w:color w:val="auto"/>
                <w:kern w:val="0"/>
                <w:sz w:val="24"/>
                <w:lang w:val="en-US" w:eastAsia="zh-CN"/>
              </w:rPr>
              <w:t>，原</w:t>
            </w:r>
            <w:r>
              <w:rPr>
                <w:rFonts w:hint="eastAsia" w:ascii="Times New Roman" w:hAnsi="Times New Roman" w:cs="Times New Roman"/>
                <w:color w:val="auto"/>
                <w:sz w:val="24"/>
                <w:lang w:val="en-US" w:eastAsia="zh-CN"/>
              </w:rPr>
              <w:t>龙成项目环保手续齐全（详见附件9），</w:t>
            </w:r>
            <w:r>
              <w:rPr>
                <w:rFonts w:hint="eastAsia" w:cs="Times New Roman"/>
                <w:color w:val="auto"/>
                <w:sz w:val="24"/>
                <w:u w:val="single"/>
                <w:lang w:val="en-US" w:eastAsia="zh-CN"/>
              </w:rPr>
              <w:t>且</w:t>
            </w:r>
            <w:r>
              <w:rPr>
                <w:rFonts w:hint="eastAsia" w:ascii="Times New Roman" w:hAnsi="Times New Roman" w:cs="Times New Roman"/>
                <w:color w:val="auto"/>
                <w:sz w:val="24"/>
                <w:u w:val="single"/>
                <w:lang w:val="en-US" w:eastAsia="zh-CN"/>
              </w:rPr>
              <w:t>该项目已于2024年6月停产，</w:t>
            </w:r>
            <w:r>
              <w:rPr>
                <w:rFonts w:hint="eastAsia" w:cs="Times New Roman"/>
                <w:color w:val="auto"/>
                <w:sz w:val="24"/>
                <w:u w:val="single"/>
                <w:lang w:val="en-US" w:eastAsia="zh-CN"/>
              </w:rPr>
              <w:t>废气、废水、噪声等污染随着该项目停产而消失，</w:t>
            </w:r>
            <w:r>
              <w:rPr>
                <w:rFonts w:hint="eastAsia" w:ascii="Times New Roman" w:hAnsi="Times New Roman" w:cs="Times New Roman"/>
                <w:color w:val="auto"/>
                <w:sz w:val="24"/>
                <w:u w:val="single"/>
                <w:lang w:val="en-US" w:eastAsia="zh-CN"/>
              </w:rPr>
              <w:t>经现场踏勘，厂区</w:t>
            </w:r>
            <w:r>
              <w:rPr>
                <w:rFonts w:hint="eastAsia" w:cs="Times New Roman"/>
                <w:color w:val="auto"/>
                <w:sz w:val="24"/>
                <w:u w:val="single"/>
                <w:lang w:val="en-US" w:eastAsia="zh-CN"/>
              </w:rPr>
              <w:t>内</w:t>
            </w:r>
            <w:r>
              <w:rPr>
                <w:rFonts w:hint="eastAsia" w:ascii="Times New Roman" w:hAnsi="Times New Roman" w:cs="Times New Roman"/>
                <w:color w:val="auto"/>
                <w:sz w:val="24"/>
                <w:u w:val="single"/>
                <w:lang w:val="en-US" w:eastAsia="zh-CN"/>
              </w:rPr>
              <w:t>无</w:t>
            </w:r>
            <w:r>
              <w:rPr>
                <w:rFonts w:hint="eastAsia" w:ascii="Times New Roman" w:hAnsi="Times New Roman" w:eastAsia="宋体" w:cs="Times New Roman"/>
                <w:color w:val="auto"/>
                <w:kern w:val="0"/>
                <w:sz w:val="24"/>
                <w:u w:val="single"/>
                <w:lang w:val="en-US" w:eastAsia="zh-CN"/>
              </w:rPr>
              <w:t>原</w:t>
            </w:r>
            <w:r>
              <w:rPr>
                <w:rFonts w:hint="eastAsia" w:ascii="Times New Roman" w:hAnsi="Times New Roman" w:cs="Times New Roman"/>
                <w:color w:val="auto"/>
                <w:sz w:val="24"/>
                <w:u w:val="single"/>
                <w:lang w:val="en-US" w:eastAsia="zh-CN"/>
              </w:rPr>
              <w:t>龙成项目运营产生的废水、固体废物等污染物存在，无历史遗留环保问题，厂区仅保留原龙成项目的部分生产设备，故不存在原有环境污染问题。</w:t>
            </w:r>
          </w:p>
          <w:p w14:paraId="12CE2D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3BA78D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0A6291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03AEA6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270942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17A18B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12A5BE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0658DB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3A0015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311119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6B1F5B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0CA5C0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509A464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3C9C36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00CB05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5F87EA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165507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6B17963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685E44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70CEA5F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218B53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4E521E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0A4C9C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7354CC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p>
          <w:p w14:paraId="762DB2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p>
        </w:tc>
      </w:tr>
    </w:tbl>
    <w:p w14:paraId="5EF5D542">
      <w:pPr>
        <w:pStyle w:val="29"/>
        <w:jc w:val="center"/>
        <w:rPr>
          <w:rFonts w:hint="default" w:ascii="Times New Roman" w:hAnsi="Times New Roman" w:eastAsia="黑体" w:cs="Times New Roman"/>
          <w:snapToGrid w:val="0"/>
          <w:color w:val="auto"/>
          <w:sz w:val="36"/>
          <w:szCs w:val="36"/>
        </w:rPr>
        <w:sectPr>
          <w:pgSz w:w="11905" w:h="16838"/>
          <w:pgMar w:top="1440" w:right="1803" w:bottom="1440" w:left="1803"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p w14:paraId="7175015F">
      <w:pPr>
        <w:pStyle w:val="2"/>
        <w:bidi w:val="0"/>
        <w:jc w:val="center"/>
        <w:rPr>
          <w:rFonts w:hint="default" w:asciiTheme="majorEastAsia" w:hAnsiTheme="majorEastAsia" w:eastAsiaTheme="majorEastAsia" w:cstheme="majorEastAsia"/>
          <w:b/>
          <w:bCs/>
          <w:color w:val="auto"/>
        </w:rPr>
      </w:pPr>
      <w:bookmarkStart w:id="9" w:name="_Toc25626"/>
      <w:bookmarkStart w:id="10" w:name="_Toc14218"/>
      <w:r>
        <w:rPr>
          <w:rFonts w:hint="default" w:asciiTheme="majorEastAsia" w:hAnsiTheme="majorEastAsia" w:eastAsiaTheme="majorEastAsia" w:cstheme="majorEastAsia"/>
          <w:b/>
          <w:bCs/>
          <w:color w:val="auto"/>
        </w:rPr>
        <w:t>三、区域环境质量现状、环境保护目标及评价标准</w:t>
      </w:r>
      <w:bookmarkEnd w:id="7"/>
      <w:bookmarkEnd w:id="9"/>
      <w:bookmarkEnd w:id="10"/>
    </w:p>
    <w:tbl>
      <w:tblPr>
        <w:tblStyle w:val="32"/>
        <w:tblW w:w="86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4"/>
        <w:gridCol w:w="7804"/>
      </w:tblGrid>
      <w:tr w14:paraId="70CBF5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44" w:type="dxa"/>
            <w:vAlign w:val="center"/>
          </w:tcPr>
          <w:p w14:paraId="5FCB1DB8">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区域环境质量现状</w:t>
            </w:r>
          </w:p>
        </w:tc>
        <w:tc>
          <w:tcPr>
            <w:tcW w:w="7804" w:type="dxa"/>
            <w:vAlign w:val="center"/>
          </w:tcPr>
          <w:p w14:paraId="2EAB4D4A">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color w:val="auto"/>
                <w:kern w:val="0"/>
                <w:sz w:val="24"/>
                <w:u w:val="none" w:color="auto"/>
              </w:rPr>
            </w:pPr>
            <w:r>
              <w:rPr>
                <w:rFonts w:hint="default" w:ascii="Times New Roman" w:hAnsi="Times New Roman" w:cs="Times New Roman"/>
                <w:b/>
                <w:bCs/>
                <w:color w:val="auto"/>
                <w:kern w:val="0"/>
                <w:sz w:val="24"/>
                <w:u w:val="none" w:color="auto"/>
              </w:rPr>
              <w:t>1、环境空气质量现状</w:t>
            </w:r>
          </w:p>
          <w:p w14:paraId="3ACEB754">
            <w:pPr>
              <w:pStyle w:val="131"/>
              <w:ind w:firstLine="480"/>
              <w:rPr>
                <w:color w:val="auto"/>
              </w:rPr>
            </w:pPr>
            <w:bookmarkStart w:id="11" w:name="_Ref528415780"/>
            <w:r>
              <w:rPr>
                <w:rFonts w:hint="eastAsia" w:cs="Times New Roman"/>
                <w:color w:val="auto"/>
                <w:sz w:val="24"/>
                <w:u w:val="none" w:color="auto"/>
                <w:lang w:eastAsia="zh-CN"/>
              </w:rPr>
              <w:t>（</w:t>
            </w:r>
            <w:r>
              <w:rPr>
                <w:rFonts w:hint="eastAsia" w:cs="Times New Roman"/>
                <w:color w:val="auto"/>
                <w:sz w:val="24"/>
                <w:u w:val="none" w:color="auto"/>
                <w:lang w:val="en-US" w:eastAsia="zh-CN"/>
              </w:rPr>
              <w:t>1</w:t>
            </w:r>
            <w:r>
              <w:rPr>
                <w:rFonts w:hint="eastAsia" w:cs="Times New Roman"/>
                <w:color w:val="auto"/>
                <w:sz w:val="24"/>
                <w:u w:val="none" w:color="auto"/>
                <w:lang w:eastAsia="zh-CN"/>
              </w:rPr>
              <w:t>）</w:t>
            </w:r>
            <w:r>
              <w:rPr>
                <w:color w:val="auto"/>
                <w:szCs w:val="28"/>
              </w:rPr>
              <w:t>环境空气达标判定</w:t>
            </w:r>
          </w:p>
          <w:p w14:paraId="5D928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根据《环境影响评价技术导则-大气环境》（HJ2.2-2018），项目所在区域达标判定，优先采用国家或地方生态环境主管部门公开发布的评价基准年环境质量公告或环境质量报告中的数据或结论。</w:t>
            </w:r>
          </w:p>
          <w:bookmarkEnd w:id="11"/>
          <w:p w14:paraId="79D774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为了解项目所在区域的空气环境质量现状，本次评价采用怀化市生态环境主管部门公布的《2024年12月环境空气质量月报及空气质量年报》中</w:t>
            </w:r>
            <w:r>
              <w:rPr>
                <w:rFonts w:hint="eastAsia" w:cs="Times New Roman"/>
                <w:color w:val="auto"/>
                <w:sz w:val="24"/>
                <w:szCs w:val="24"/>
                <w:u w:val="none" w:color="auto"/>
                <w:lang w:val="en-US" w:eastAsia="zh-CN"/>
              </w:rPr>
              <w:t>溆浦县</w:t>
            </w:r>
            <w:r>
              <w:rPr>
                <w:rFonts w:hint="default" w:ascii="Times New Roman" w:hAnsi="Times New Roman" w:eastAsia="宋体" w:cs="Times New Roman"/>
                <w:color w:val="auto"/>
                <w:sz w:val="24"/>
                <w:szCs w:val="24"/>
                <w:u w:val="none" w:color="auto"/>
              </w:rPr>
              <w:t>的环境空气监测数据来说明环境空气质量情况，监测结果详见下表</w:t>
            </w:r>
            <w:r>
              <w:rPr>
                <w:rFonts w:hint="default" w:ascii="Times New Roman" w:hAnsi="Times New Roman" w:eastAsia="宋体" w:cs="Times New Roman"/>
                <w:color w:val="auto"/>
                <w:sz w:val="24"/>
                <w:szCs w:val="24"/>
                <w:u w:val="none" w:color="auto"/>
                <w:lang w:val="en-US" w:eastAsia="zh-CN"/>
              </w:rPr>
              <w:t>3-1</w:t>
            </w:r>
            <w:r>
              <w:rPr>
                <w:rFonts w:hint="default" w:ascii="Times New Roman" w:hAnsi="Times New Roman" w:eastAsia="宋体" w:cs="Times New Roman"/>
                <w:color w:val="auto"/>
                <w:sz w:val="24"/>
                <w:szCs w:val="24"/>
                <w:u w:val="none" w:color="auto"/>
              </w:rPr>
              <w:t>。</w:t>
            </w:r>
          </w:p>
          <w:p w14:paraId="233F08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 xml:space="preserve">表3-1 </w:t>
            </w:r>
            <w:r>
              <w:rPr>
                <w:rFonts w:hint="default" w:ascii="Times New Roman" w:hAnsi="Times New Roman" w:eastAsia="宋体" w:cs="Times New Roman"/>
                <w:b/>
                <w:color w:val="auto"/>
                <w:sz w:val="24"/>
                <w:szCs w:val="24"/>
                <w:u w:val="none" w:color="auto"/>
                <w:lang w:val="en-US" w:eastAsia="zh-CN"/>
              </w:rPr>
              <w:t xml:space="preserve"> </w:t>
            </w:r>
            <w:r>
              <w:rPr>
                <w:rFonts w:hint="eastAsia" w:cs="Times New Roman"/>
                <w:b/>
                <w:color w:val="auto"/>
                <w:sz w:val="24"/>
                <w:szCs w:val="24"/>
                <w:u w:val="none" w:color="auto"/>
                <w:lang w:val="en-US" w:eastAsia="zh-CN"/>
              </w:rPr>
              <w:t xml:space="preserve"> </w:t>
            </w:r>
            <w:r>
              <w:rPr>
                <w:rFonts w:hint="eastAsia" w:ascii="Times New Roman" w:hAnsi="Times New Roman" w:eastAsia="宋体" w:cs="Times New Roman"/>
                <w:b/>
                <w:color w:val="auto"/>
                <w:sz w:val="24"/>
                <w:szCs w:val="24"/>
                <w:u w:val="none" w:color="auto"/>
                <w:lang w:val="en-US" w:eastAsia="zh-CN"/>
              </w:rPr>
              <w:t>2024</w:t>
            </w:r>
            <w:r>
              <w:rPr>
                <w:rFonts w:hint="default" w:ascii="Times New Roman" w:hAnsi="Times New Roman" w:eastAsia="宋体" w:cs="Times New Roman"/>
                <w:b/>
                <w:color w:val="auto"/>
                <w:sz w:val="24"/>
                <w:szCs w:val="24"/>
                <w:u w:val="none" w:color="auto"/>
              </w:rPr>
              <w:t>年</w:t>
            </w:r>
            <w:r>
              <w:rPr>
                <w:rFonts w:hint="eastAsia" w:ascii="Times New Roman" w:hAnsi="Times New Roman" w:eastAsia="宋体" w:cs="Times New Roman"/>
                <w:b/>
                <w:color w:val="auto"/>
                <w:sz w:val="24"/>
                <w:szCs w:val="24"/>
                <w:u w:val="none" w:color="auto"/>
                <w:lang w:val="en-US" w:eastAsia="zh-CN"/>
              </w:rPr>
              <w:t>溆浦县</w:t>
            </w:r>
            <w:r>
              <w:rPr>
                <w:rFonts w:hint="default" w:ascii="Times New Roman" w:hAnsi="Times New Roman" w:eastAsia="宋体" w:cs="Times New Roman"/>
                <w:b/>
                <w:color w:val="auto"/>
                <w:sz w:val="24"/>
                <w:szCs w:val="24"/>
                <w:u w:val="none" w:color="auto"/>
              </w:rPr>
              <w:t>环境空气质量评价结果</w:t>
            </w:r>
          </w:p>
          <w:p w14:paraId="5E61DCE6">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单位：μg/m</w:t>
            </w:r>
            <w:r>
              <w:rPr>
                <w:rFonts w:hint="default" w:ascii="Times New Roman" w:hAnsi="Times New Roman" w:eastAsia="宋体" w:cs="Times New Roman"/>
                <w:b/>
                <w:color w:val="auto"/>
                <w:sz w:val="24"/>
                <w:szCs w:val="24"/>
                <w:u w:val="none" w:color="auto"/>
                <w:vertAlign w:val="superscript"/>
              </w:rPr>
              <w:t>3</w:t>
            </w:r>
            <w:r>
              <w:rPr>
                <w:rFonts w:hint="default" w:ascii="Times New Roman" w:hAnsi="Times New Roman" w:eastAsia="宋体" w:cs="Times New Roman"/>
                <w:b/>
                <w:color w:val="auto"/>
                <w:sz w:val="24"/>
                <w:szCs w:val="24"/>
                <w:u w:val="none" w:color="auto"/>
              </w:rPr>
              <w:t>（CO：mg/m</w:t>
            </w:r>
            <w:r>
              <w:rPr>
                <w:rFonts w:hint="default" w:ascii="Times New Roman" w:hAnsi="Times New Roman" w:eastAsia="宋体" w:cs="Times New Roman"/>
                <w:b/>
                <w:color w:val="auto"/>
                <w:sz w:val="24"/>
                <w:szCs w:val="24"/>
                <w:u w:val="none" w:color="auto"/>
                <w:vertAlign w:val="superscript"/>
              </w:rPr>
              <w:t>3</w:t>
            </w:r>
            <w:r>
              <w:rPr>
                <w:rFonts w:hint="default" w:ascii="Times New Roman" w:hAnsi="Times New Roman" w:eastAsia="宋体" w:cs="Times New Roman"/>
                <w:b/>
                <w:color w:val="auto"/>
                <w:sz w:val="24"/>
                <w:szCs w:val="24"/>
                <w:u w:val="none" w:color="auto"/>
              </w:rPr>
              <w:t>）</w:t>
            </w:r>
          </w:p>
          <w:tbl>
            <w:tblPr>
              <w:tblStyle w:val="33"/>
              <w:tblW w:w="77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892"/>
              <w:gridCol w:w="648"/>
              <w:gridCol w:w="682"/>
              <w:gridCol w:w="852"/>
              <w:gridCol w:w="699"/>
              <w:gridCol w:w="698"/>
              <w:gridCol w:w="838"/>
              <w:gridCol w:w="689"/>
            </w:tblGrid>
            <w:tr w14:paraId="3AD58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Merge w:val="restart"/>
                  <w:tcBorders>
                    <w:tl2br w:val="nil"/>
                    <w:tr2bl w:val="nil"/>
                  </w:tcBorders>
                  <w:shd w:val="clear" w:color="auto" w:fill="auto"/>
                  <w:vAlign w:val="center"/>
                </w:tcPr>
                <w:p w14:paraId="7F05D435">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污染物</w:t>
                  </w:r>
                </w:p>
              </w:tc>
              <w:tc>
                <w:tcPr>
                  <w:tcW w:w="1892" w:type="dxa"/>
                  <w:vMerge w:val="restart"/>
                  <w:tcBorders>
                    <w:tl2br w:val="nil"/>
                    <w:tr2bl w:val="nil"/>
                  </w:tcBorders>
                  <w:shd w:val="clear" w:color="auto" w:fill="auto"/>
                  <w:vAlign w:val="center"/>
                </w:tcPr>
                <w:p w14:paraId="6809727B">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年评价指标</w:t>
                  </w:r>
                </w:p>
              </w:tc>
              <w:tc>
                <w:tcPr>
                  <w:tcW w:w="648" w:type="dxa"/>
                  <w:vMerge w:val="restart"/>
                  <w:tcBorders>
                    <w:tl2br w:val="nil"/>
                    <w:tr2bl w:val="nil"/>
                  </w:tcBorders>
                  <w:shd w:val="clear" w:color="auto" w:fill="auto"/>
                  <w:vAlign w:val="center"/>
                </w:tcPr>
                <w:p w14:paraId="093E807C">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现状浓度</w:t>
                  </w:r>
                </w:p>
              </w:tc>
              <w:tc>
                <w:tcPr>
                  <w:tcW w:w="2233" w:type="dxa"/>
                  <w:gridSpan w:val="3"/>
                  <w:tcBorders>
                    <w:tl2br w:val="nil"/>
                    <w:tr2bl w:val="nil"/>
                  </w:tcBorders>
                  <w:shd w:val="clear" w:color="auto" w:fill="auto"/>
                  <w:vAlign w:val="center"/>
                </w:tcPr>
                <w:p w14:paraId="5140813C">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GB3095-2012</w:t>
                  </w:r>
                </w:p>
              </w:tc>
              <w:tc>
                <w:tcPr>
                  <w:tcW w:w="2225" w:type="dxa"/>
                  <w:gridSpan w:val="3"/>
                  <w:tcBorders>
                    <w:tl2br w:val="nil"/>
                    <w:tr2bl w:val="nil"/>
                  </w:tcBorders>
                  <w:shd w:val="clear" w:color="auto" w:fill="auto"/>
                  <w:vAlign w:val="center"/>
                </w:tcPr>
                <w:p w14:paraId="03A13DFE">
                  <w:pPr>
                    <w:bidi w:val="0"/>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cs="Times New Roman" w:eastAsiaTheme="minorEastAsia"/>
                      <w:color w:val="auto"/>
                      <w:sz w:val="21"/>
                      <w:szCs w:val="21"/>
                      <w:u w:val="none" w:color="auto"/>
                    </w:rPr>
                    <w:t>GB3095-20</w:t>
                  </w:r>
                  <w:r>
                    <w:rPr>
                      <w:rFonts w:hint="eastAsia" w:ascii="Times New Roman" w:hAnsi="Times New Roman" w:cs="Times New Roman" w:eastAsiaTheme="minorEastAsia"/>
                      <w:color w:val="auto"/>
                      <w:sz w:val="21"/>
                      <w:szCs w:val="21"/>
                      <w:u w:val="none" w:color="auto"/>
                      <w:lang w:val="en-US" w:eastAsia="zh-CN"/>
                    </w:rPr>
                    <w:t>26</w:t>
                  </w:r>
                </w:p>
              </w:tc>
            </w:tr>
            <w:tr w14:paraId="52EB83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vMerge w:val="continue"/>
                  <w:tcBorders>
                    <w:tl2br w:val="nil"/>
                    <w:tr2bl w:val="nil"/>
                  </w:tcBorders>
                  <w:shd w:val="clear" w:color="auto" w:fill="auto"/>
                  <w:vAlign w:val="center"/>
                </w:tcPr>
                <w:p w14:paraId="2016E957">
                  <w:pPr>
                    <w:bidi w:val="0"/>
                    <w:spacing w:line="240" w:lineRule="auto"/>
                    <w:jc w:val="center"/>
                    <w:rPr>
                      <w:rFonts w:hint="default" w:ascii="Times New Roman" w:hAnsi="Times New Roman" w:cs="Times New Roman" w:eastAsiaTheme="minorEastAsia"/>
                      <w:color w:val="auto"/>
                      <w:sz w:val="21"/>
                      <w:szCs w:val="21"/>
                      <w:u w:val="none" w:color="auto"/>
                    </w:rPr>
                  </w:pPr>
                </w:p>
              </w:tc>
              <w:tc>
                <w:tcPr>
                  <w:tcW w:w="1892" w:type="dxa"/>
                  <w:vMerge w:val="continue"/>
                  <w:tcBorders>
                    <w:tl2br w:val="nil"/>
                    <w:tr2bl w:val="nil"/>
                  </w:tcBorders>
                  <w:shd w:val="clear" w:color="auto" w:fill="auto"/>
                  <w:vAlign w:val="center"/>
                </w:tcPr>
                <w:p w14:paraId="611D6CBC">
                  <w:pPr>
                    <w:bidi w:val="0"/>
                    <w:spacing w:line="240" w:lineRule="auto"/>
                    <w:jc w:val="center"/>
                    <w:rPr>
                      <w:rFonts w:hint="default" w:ascii="Times New Roman" w:hAnsi="Times New Roman" w:cs="Times New Roman" w:eastAsiaTheme="minorEastAsia"/>
                      <w:color w:val="auto"/>
                      <w:sz w:val="21"/>
                      <w:szCs w:val="21"/>
                      <w:u w:val="none" w:color="auto"/>
                    </w:rPr>
                  </w:pPr>
                </w:p>
              </w:tc>
              <w:tc>
                <w:tcPr>
                  <w:tcW w:w="648" w:type="dxa"/>
                  <w:vMerge w:val="continue"/>
                  <w:tcBorders>
                    <w:tl2br w:val="nil"/>
                    <w:tr2bl w:val="nil"/>
                  </w:tcBorders>
                  <w:shd w:val="clear" w:color="auto" w:fill="auto"/>
                  <w:vAlign w:val="center"/>
                </w:tcPr>
                <w:p w14:paraId="08EA0EDA">
                  <w:pPr>
                    <w:bidi w:val="0"/>
                    <w:spacing w:line="240" w:lineRule="auto"/>
                    <w:jc w:val="center"/>
                    <w:rPr>
                      <w:rFonts w:hint="default" w:ascii="Times New Roman" w:hAnsi="Times New Roman" w:cs="Times New Roman" w:eastAsiaTheme="minorEastAsia"/>
                      <w:color w:val="auto"/>
                      <w:sz w:val="21"/>
                      <w:szCs w:val="21"/>
                      <w:u w:val="none" w:color="auto"/>
                    </w:rPr>
                  </w:pPr>
                </w:p>
              </w:tc>
              <w:tc>
                <w:tcPr>
                  <w:tcW w:w="682" w:type="dxa"/>
                  <w:tcBorders>
                    <w:tl2br w:val="nil"/>
                    <w:tr2bl w:val="nil"/>
                  </w:tcBorders>
                  <w:shd w:val="clear" w:color="auto" w:fill="auto"/>
                  <w:vAlign w:val="center"/>
                </w:tcPr>
                <w:p w14:paraId="300ADCC4">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标准值</w:t>
                  </w:r>
                </w:p>
              </w:tc>
              <w:tc>
                <w:tcPr>
                  <w:tcW w:w="852" w:type="dxa"/>
                  <w:tcBorders>
                    <w:tl2br w:val="nil"/>
                    <w:tr2bl w:val="nil"/>
                  </w:tcBorders>
                  <w:shd w:val="clear" w:color="auto" w:fill="auto"/>
                  <w:vAlign w:val="center"/>
                </w:tcPr>
                <w:p w14:paraId="6BDE825B">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占标率（%）</w:t>
                  </w:r>
                </w:p>
              </w:tc>
              <w:tc>
                <w:tcPr>
                  <w:tcW w:w="699" w:type="dxa"/>
                  <w:tcBorders>
                    <w:tl2br w:val="nil"/>
                    <w:tr2bl w:val="nil"/>
                  </w:tcBorders>
                  <w:shd w:val="clear" w:color="auto" w:fill="auto"/>
                  <w:vAlign w:val="center"/>
                </w:tcPr>
                <w:p w14:paraId="38589D09">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达标情况</w:t>
                  </w:r>
                </w:p>
              </w:tc>
              <w:tc>
                <w:tcPr>
                  <w:tcW w:w="698" w:type="dxa"/>
                  <w:tcBorders>
                    <w:tl2br w:val="nil"/>
                    <w:tr2bl w:val="nil"/>
                  </w:tcBorders>
                  <w:shd w:val="clear" w:color="auto" w:fill="auto"/>
                  <w:vAlign w:val="center"/>
                </w:tcPr>
                <w:p w14:paraId="5A11D104">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标准值</w:t>
                  </w:r>
                </w:p>
              </w:tc>
              <w:tc>
                <w:tcPr>
                  <w:tcW w:w="838" w:type="dxa"/>
                  <w:tcBorders>
                    <w:tl2br w:val="nil"/>
                    <w:tr2bl w:val="nil"/>
                  </w:tcBorders>
                  <w:shd w:val="clear" w:color="auto" w:fill="auto"/>
                  <w:vAlign w:val="center"/>
                </w:tcPr>
                <w:p w14:paraId="02A7486A">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占标率（%）</w:t>
                  </w:r>
                </w:p>
              </w:tc>
              <w:tc>
                <w:tcPr>
                  <w:tcW w:w="689" w:type="dxa"/>
                  <w:tcBorders>
                    <w:tl2br w:val="nil"/>
                    <w:tr2bl w:val="nil"/>
                  </w:tcBorders>
                  <w:shd w:val="clear" w:color="auto" w:fill="auto"/>
                  <w:vAlign w:val="center"/>
                </w:tcPr>
                <w:p w14:paraId="56BFDEBC">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达标情况</w:t>
                  </w:r>
                </w:p>
              </w:tc>
            </w:tr>
            <w:tr w14:paraId="6C9A5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shd w:val="clear" w:color="auto" w:fill="auto"/>
                  <w:vAlign w:val="center"/>
                </w:tcPr>
                <w:p w14:paraId="2E53D42E">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SO</w:t>
                  </w:r>
                  <w:r>
                    <w:rPr>
                      <w:rFonts w:hint="default" w:ascii="Times New Roman" w:hAnsi="Times New Roman" w:cs="Times New Roman" w:eastAsiaTheme="minorEastAsia"/>
                      <w:color w:val="auto"/>
                      <w:sz w:val="21"/>
                      <w:szCs w:val="21"/>
                      <w:u w:val="none" w:color="auto"/>
                      <w:vertAlign w:val="subscript"/>
                    </w:rPr>
                    <w:t>2</w:t>
                  </w:r>
                </w:p>
              </w:tc>
              <w:tc>
                <w:tcPr>
                  <w:tcW w:w="1892" w:type="dxa"/>
                  <w:tcBorders>
                    <w:tl2br w:val="nil"/>
                    <w:tr2bl w:val="nil"/>
                  </w:tcBorders>
                  <w:shd w:val="clear" w:color="auto" w:fill="auto"/>
                  <w:vAlign w:val="center"/>
                </w:tcPr>
                <w:p w14:paraId="0CC69240">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年平均质量浓度</w:t>
                  </w:r>
                </w:p>
              </w:tc>
              <w:tc>
                <w:tcPr>
                  <w:tcW w:w="648" w:type="dxa"/>
                  <w:tcBorders>
                    <w:tl2br w:val="nil"/>
                    <w:tr2bl w:val="nil"/>
                  </w:tcBorders>
                  <w:shd w:val="clear" w:color="auto" w:fill="auto"/>
                  <w:vAlign w:val="center"/>
                </w:tcPr>
                <w:p w14:paraId="2281F5E0">
                  <w:pPr>
                    <w:bidi w:val="0"/>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cs="Times New Roman" w:eastAsiaTheme="minorEastAsia"/>
                      <w:color w:val="auto"/>
                      <w:sz w:val="21"/>
                      <w:szCs w:val="21"/>
                      <w:u w:val="none" w:color="auto"/>
                      <w:lang w:val="en-US" w:eastAsia="zh-CN"/>
                    </w:rPr>
                    <w:t>12</w:t>
                  </w:r>
                </w:p>
              </w:tc>
              <w:tc>
                <w:tcPr>
                  <w:tcW w:w="682" w:type="dxa"/>
                  <w:tcBorders>
                    <w:tl2br w:val="nil"/>
                    <w:tr2bl w:val="nil"/>
                  </w:tcBorders>
                  <w:shd w:val="clear" w:color="auto" w:fill="auto"/>
                  <w:vAlign w:val="center"/>
                </w:tcPr>
                <w:p w14:paraId="2E42EE45">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60</w:t>
                  </w:r>
                </w:p>
              </w:tc>
              <w:tc>
                <w:tcPr>
                  <w:tcW w:w="852" w:type="dxa"/>
                  <w:tcBorders>
                    <w:tl2br w:val="nil"/>
                    <w:tr2bl w:val="nil"/>
                  </w:tcBorders>
                  <w:shd w:val="clear" w:color="auto" w:fill="auto"/>
                  <w:vAlign w:val="center"/>
                </w:tcPr>
                <w:p w14:paraId="71FB4F30">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lang w:val="en-US" w:eastAsia="zh-CN"/>
                    </w:rPr>
                    <w:t>20</w:t>
                  </w:r>
                </w:p>
              </w:tc>
              <w:tc>
                <w:tcPr>
                  <w:tcW w:w="699" w:type="dxa"/>
                  <w:tcBorders>
                    <w:tl2br w:val="nil"/>
                    <w:tr2bl w:val="nil"/>
                  </w:tcBorders>
                  <w:shd w:val="clear" w:color="auto" w:fill="auto"/>
                  <w:vAlign w:val="center"/>
                </w:tcPr>
                <w:p w14:paraId="24FB35C4">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达标</w:t>
                  </w:r>
                </w:p>
              </w:tc>
              <w:tc>
                <w:tcPr>
                  <w:tcW w:w="698" w:type="dxa"/>
                  <w:tcBorders>
                    <w:tl2br w:val="nil"/>
                    <w:tr2bl w:val="nil"/>
                  </w:tcBorders>
                  <w:shd w:val="clear" w:color="auto" w:fill="auto"/>
                  <w:vAlign w:val="center"/>
                </w:tcPr>
                <w:p w14:paraId="196A60D3">
                  <w:pPr>
                    <w:bidi w:val="0"/>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cs="Times New Roman" w:eastAsiaTheme="minorEastAsia"/>
                      <w:color w:val="auto"/>
                      <w:sz w:val="21"/>
                      <w:szCs w:val="21"/>
                      <w:u w:val="none" w:color="auto"/>
                      <w:lang w:val="en-US" w:eastAsia="zh-CN"/>
                    </w:rPr>
                    <w:t>60</w:t>
                  </w:r>
                </w:p>
              </w:tc>
              <w:tc>
                <w:tcPr>
                  <w:tcW w:w="838" w:type="dxa"/>
                  <w:tcBorders>
                    <w:tl2br w:val="nil"/>
                    <w:tr2bl w:val="nil"/>
                  </w:tcBorders>
                  <w:shd w:val="clear" w:color="auto" w:fill="auto"/>
                  <w:vAlign w:val="center"/>
                </w:tcPr>
                <w:p w14:paraId="64A0A11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689" w:type="dxa"/>
                  <w:tcBorders>
                    <w:tl2br w:val="nil"/>
                    <w:tr2bl w:val="nil"/>
                  </w:tcBorders>
                  <w:shd w:val="clear" w:color="auto" w:fill="auto"/>
                  <w:vAlign w:val="center"/>
                </w:tcPr>
                <w:p w14:paraId="284B85FD">
                  <w:pPr>
                    <w:bidi w:val="0"/>
                    <w:spacing w:line="240" w:lineRule="auto"/>
                    <w:jc w:val="center"/>
                    <w:rPr>
                      <w:rFonts w:hint="eastAsia" w:ascii="Times New Roman" w:hAnsi="Times New Roman" w:cs="Times New Roman" w:eastAsiaTheme="minorEastAsia"/>
                      <w:color w:val="auto"/>
                      <w:sz w:val="21"/>
                      <w:szCs w:val="21"/>
                      <w:u w:val="none" w:color="auto"/>
                      <w:lang w:val="en-US" w:eastAsia="zh-CN"/>
                    </w:rPr>
                  </w:pPr>
                  <w:r>
                    <w:rPr>
                      <w:rFonts w:hint="eastAsia" w:cs="Times New Roman" w:eastAsiaTheme="minorEastAsia"/>
                      <w:color w:val="auto"/>
                      <w:sz w:val="21"/>
                      <w:szCs w:val="21"/>
                      <w:u w:val="none" w:color="auto"/>
                      <w:lang w:val="en-US" w:eastAsia="zh-CN"/>
                    </w:rPr>
                    <w:t>达标</w:t>
                  </w:r>
                </w:p>
              </w:tc>
            </w:tr>
            <w:tr w14:paraId="7DC11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shd w:val="clear" w:color="auto" w:fill="auto"/>
                  <w:vAlign w:val="center"/>
                </w:tcPr>
                <w:p w14:paraId="7B06C787">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NO</w:t>
                  </w:r>
                  <w:r>
                    <w:rPr>
                      <w:rFonts w:hint="default" w:ascii="Times New Roman" w:hAnsi="Times New Roman" w:cs="Times New Roman" w:eastAsiaTheme="minorEastAsia"/>
                      <w:color w:val="auto"/>
                      <w:sz w:val="21"/>
                      <w:szCs w:val="21"/>
                      <w:u w:val="none" w:color="auto"/>
                      <w:vertAlign w:val="subscript"/>
                    </w:rPr>
                    <w:t>2</w:t>
                  </w:r>
                </w:p>
              </w:tc>
              <w:tc>
                <w:tcPr>
                  <w:tcW w:w="1892" w:type="dxa"/>
                  <w:tcBorders>
                    <w:tl2br w:val="nil"/>
                    <w:tr2bl w:val="nil"/>
                  </w:tcBorders>
                  <w:shd w:val="clear" w:color="auto" w:fill="auto"/>
                  <w:vAlign w:val="center"/>
                </w:tcPr>
                <w:p w14:paraId="405F84F4">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年平均质量浓度</w:t>
                  </w:r>
                </w:p>
              </w:tc>
              <w:tc>
                <w:tcPr>
                  <w:tcW w:w="648" w:type="dxa"/>
                  <w:tcBorders>
                    <w:tl2br w:val="nil"/>
                    <w:tr2bl w:val="nil"/>
                  </w:tcBorders>
                  <w:shd w:val="clear" w:color="auto" w:fill="auto"/>
                  <w:vAlign w:val="center"/>
                </w:tcPr>
                <w:p w14:paraId="11730622">
                  <w:pPr>
                    <w:bidi w:val="0"/>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cs="Times New Roman" w:eastAsiaTheme="minorEastAsia"/>
                      <w:color w:val="auto"/>
                      <w:sz w:val="21"/>
                      <w:szCs w:val="21"/>
                      <w:u w:val="none" w:color="auto"/>
                      <w:lang w:val="en-US" w:eastAsia="zh-CN"/>
                    </w:rPr>
                    <w:t>7</w:t>
                  </w:r>
                </w:p>
              </w:tc>
              <w:tc>
                <w:tcPr>
                  <w:tcW w:w="682" w:type="dxa"/>
                  <w:tcBorders>
                    <w:tl2br w:val="nil"/>
                    <w:tr2bl w:val="nil"/>
                  </w:tcBorders>
                  <w:shd w:val="clear" w:color="auto" w:fill="auto"/>
                  <w:vAlign w:val="center"/>
                </w:tcPr>
                <w:p w14:paraId="352AB226">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40</w:t>
                  </w:r>
                </w:p>
              </w:tc>
              <w:tc>
                <w:tcPr>
                  <w:tcW w:w="852" w:type="dxa"/>
                  <w:tcBorders>
                    <w:tl2br w:val="nil"/>
                    <w:tr2bl w:val="nil"/>
                  </w:tcBorders>
                  <w:shd w:val="clear" w:color="auto" w:fill="auto"/>
                  <w:vAlign w:val="center"/>
                </w:tcPr>
                <w:p w14:paraId="5CB75E28">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lang w:val="en-US" w:eastAsia="zh-CN"/>
                    </w:rPr>
                    <w:t>17.5</w:t>
                  </w:r>
                </w:p>
              </w:tc>
              <w:tc>
                <w:tcPr>
                  <w:tcW w:w="699" w:type="dxa"/>
                  <w:tcBorders>
                    <w:tl2br w:val="nil"/>
                    <w:tr2bl w:val="nil"/>
                  </w:tcBorders>
                  <w:shd w:val="clear" w:color="auto" w:fill="auto"/>
                  <w:vAlign w:val="center"/>
                </w:tcPr>
                <w:p w14:paraId="6738182A">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达标</w:t>
                  </w:r>
                </w:p>
              </w:tc>
              <w:tc>
                <w:tcPr>
                  <w:tcW w:w="698" w:type="dxa"/>
                  <w:tcBorders>
                    <w:tl2br w:val="nil"/>
                    <w:tr2bl w:val="nil"/>
                  </w:tcBorders>
                  <w:shd w:val="clear" w:color="auto" w:fill="auto"/>
                  <w:vAlign w:val="center"/>
                </w:tcPr>
                <w:p w14:paraId="0116D1EF">
                  <w:pPr>
                    <w:bidi w:val="0"/>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cs="Times New Roman" w:eastAsiaTheme="minorEastAsia"/>
                      <w:color w:val="auto"/>
                      <w:sz w:val="21"/>
                      <w:szCs w:val="21"/>
                      <w:u w:val="none" w:color="auto"/>
                      <w:lang w:val="en-US" w:eastAsia="zh-CN"/>
                    </w:rPr>
                    <w:t>40</w:t>
                  </w:r>
                </w:p>
              </w:tc>
              <w:tc>
                <w:tcPr>
                  <w:tcW w:w="838" w:type="dxa"/>
                  <w:tcBorders>
                    <w:tl2br w:val="nil"/>
                    <w:tr2bl w:val="nil"/>
                  </w:tcBorders>
                  <w:shd w:val="clear" w:color="auto" w:fill="auto"/>
                  <w:vAlign w:val="center"/>
                </w:tcPr>
                <w:p w14:paraId="4803DFAB">
                  <w:pPr>
                    <w:keepNext w:val="0"/>
                    <w:keepLines w:val="0"/>
                    <w:widowControl/>
                    <w:suppressLineNumbers w:val="0"/>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689" w:type="dxa"/>
                  <w:tcBorders>
                    <w:tl2br w:val="nil"/>
                    <w:tr2bl w:val="nil"/>
                  </w:tcBorders>
                  <w:shd w:val="clear" w:color="auto" w:fill="auto"/>
                  <w:vAlign w:val="center"/>
                </w:tcPr>
                <w:p w14:paraId="3B2AAD70">
                  <w:pPr>
                    <w:bidi w:val="0"/>
                    <w:spacing w:line="240" w:lineRule="auto"/>
                    <w:jc w:val="center"/>
                    <w:rPr>
                      <w:rFonts w:hint="default" w:ascii="Times New Roman" w:hAnsi="Times New Roman" w:cs="Times New Roman" w:eastAsiaTheme="minorEastAsia"/>
                      <w:color w:val="auto"/>
                      <w:sz w:val="21"/>
                      <w:szCs w:val="21"/>
                      <w:u w:val="none" w:color="auto"/>
                    </w:rPr>
                  </w:pPr>
                  <w:r>
                    <w:rPr>
                      <w:rFonts w:hint="eastAsia" w:cs="Times New Roman" w:eastAsiaTheme="minorEastAsia"/>
                      <w:color w:val="auto"/>
                      <w:sz w:val="21"/>
                      <w:szCs w:val="21"/>
                      <w:u w:val="none" w:color="auto"/>
                      <w:lang w:val="en-US" w:eastAsia="zh-CN"/>
                    </w:rPr>
                    <w:t>达标</w:t>
                  </w:r>
                </w:p>
              </w:tc>
            </w:tr>
            <w:tr w14:paraId="0D3BB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shd w:val="clear" w:color="auto" w:fill="auto"/>
                  <w:vAlign w:val="center"/>
                </w:tcPr>
                <w:p w14:paraId="449EBE5B">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PM</w:t>
                  </w:r>
                  <w:r>
                    <w:rPr>
                      <w:rFonts w:hint="default" w:ascii="Times New Roman" w:hAnsi="Times New Roman" w:cs="Times New Roman" w:eastAsiaTheme="minorEastAsia"/>
                      <w:color w:val="auto"/>
                      <w:sz w:val="21"/>
                      <w:szCs w:val="21"/>
                      <w:u w:val="none" w:color="auto"/>
                      <w:vertAlign w:val="subscript"/>
                    </w:rPr>
                    <w:t>10</w:t>
                  </w:r>
                </w:p>
              </w:tc>
              <w:tc>
                <w:tcPr>
                  <w:tcW w:w="1892" w:type="dxa"/>
                  <w:tcBorders>
                    <w:tl2br w:val="nil"/>
                    <w:tr2bl w:val="nil"/>
                  </w:tcBorders>
                  <w:shd w:val="clear" w:color="auto" w:fill="auto"/>
                  <w:vAlign w:val="center"/>
                </w:tcPr>
                <w:p w14:paraId="0B0C3B05">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年平均质量浓度</w:t>
                  </w:r>
                </w:p>
              </w:tc>
              <w:tc>
                <w:tcPr>
                  <w:tcW w:w="648" w:type="dxa"/>
                  <w:tcBorders>
                    <w:tl2br w:val="nil"/>
                    <w:tr2bl w:val="nil"/>
                  </w:tcBorders>
                  <w:shd w:val="clear" w:color="auto" w:fill="auto"/>
                  <w:vAlign w:val="center"/>
                </w:tcPr>
                <w:p w14:paraId="5F02C6FF">
                  <w:pPr>
                    <w:bidi w:val="0"/>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cs="Times New Roman" w:eastAsiaTheme="minorEastAsia"/>
                      <w:color w:val="auto"/>
                      <w:sz w:val="21"/>
                      <w:szCs w:val="21"/>
                      <w:u w:val="none" w:color="auto"/>
                      <w:lang w:val="en-US" w:eastAsia="zh-CN"/>
                    </w:rPr>
                    <w:t>29</w:t>
                  </w:r>
                </w:p>
              </w:tc>
              <w:tc>
                <w:tcPr>
                  <w:tcW w:w="682" w:type="dxa"/>
                  <w:tcBorders>
                    <w:tl2br w:val="nil"/>
                    <w:tr2bl w:val="nil"/>
                  </w:tcBorders>
                  <w:shd w:val="clear" w:color="auto" w:fill="auto"/>
                  <w:vAlign w:val="center"/>
                </w:tcPr>
                <w:p w14:paraId="784D895B">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70</w:t>
                  </w:r>
                </w:p>
              </w:tc>
              <w:tc>
                <w:tcPr>
                  <w:tcW w:w="852" w:type="dxa"/>
                  <w:tcBorders>
                    <w:tl2br w:val="nil"/>
                    <w:tr2bl w:val="nil"/>
                  </w:tcBorders>
                  <w:shd w:val="clear" w:color="auto" w:fill="auto"/>
                  <w:vAlign w:val="center"/>
                </w:tcPr>
                <w:p w14:paraId="7D843718">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lang w:val="en-US" w:eastAsia="zh-CN"/>
                    </w:rPr>
                    <w:t>41.4</w:t>
                  </w:r>
                </w:p>
              </w:tc>
              <w:tc>
                <w:tcPr>
                  <w:tcW w:w="699" w:type="dxa"/>
                  <w:tcBorders>
                    <w:tl2br w:val="nil"/>
                    <w:tr2bl w:val="nil"/>
                  </w:tcBorders>
                  <w:shd w:val="clear" w:color="auto" w:fill="auto"/>
                  <w:vAlign w:val="center"/>
                </w:tcPr>
                <w:p w14:paraId="6C2556F0">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达标</w:t>
                  </w:r>
                </w:p>
              </w:tc>
              <w:tc>
                <w:tcPr>
                  <w:tcW w:w="698" w:type="dxa"/>
                  <w:tcBorders>
                    <w:tl2br w:val="nil"/>
                    <w:tr2bl w:val="nil"/>
                  </w:tcBorders>
                  <w:shd w:val="clear" w:color="auto" w:fill="auto"/>
                  <w:vAlign w:val="center"/>
                </w:tcPr>
                <w:p w14:paraId="27981090">
                  <w:pPr>
                    <w:bidi w:val="0"/>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cs="Times New Roman" w:eastAsiaTheme="minorEastAsia"/>
                      <w:color w:val="auto"/>
                      <w:sz w:val="21"/>
                      <w:szCs w:val="21"/>
                      <w:u w:val="none" w:color="auto"/>
                      <w:lang w:val="en-US" w:eastAsia="zh-CN"/>
                    </w:rPr>
                    <w:t>60</w:t>
                  </w:r>
                </w:p>
              </w:tc>
              <w:tc>
                <w:tcPr>
                  <w:tcW w:w="838" w:type="dxa"/>
                  <w:tcBorders>
                    <w:tl2br w:val="nil"/>
                    <w:tr2bl w:val="nil"/>
                  </w:tcBorders>
                  <w:shd w:val="clear" w:color="auto" w:fill="auto"/>
                  <w:vAlign w:val="center"/>
                </w:tcPr>
                <w:p w14:paraId="11C0B743">
                  <w:pPr>
                    <w:keepNext w:val="0"/>
                    <w:keepLines w:val="0"/>
                    <w:widowControl/>
                    <w:suppressLineNumbers w:val="0"/>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48</w:t>
                  </w:r>
                </w:p>
              </w:tc>
              <w:tc>
                <w:tcPr>
                  <w:tcW w:w="689" w:type="dxa"/>
                  <w:tcBorders>
                    <w:tl2br w:val="nil"/>
                    <w:tr2bl w:val="nil"/>
                  </w:tcBorders>
                  <w:shd w:val="clear" w:color="auto" w:fill="auto"/>
                  <w:vAlign w:val="center"/>
                </w:tcPr>
                <w:p w14:paraId="5D2D8A8B">
                  <w:pPr>
                    <w:bidi w:val="0"/>
                    <w:spacing w:line="240" w:lineRule="auto"/>
                    <w:jc w:val="center"/>
                    <w:rPr>
                      <w:rFonts w:hint="default" w:ascii="Times New Roman" w:hAnsi="Times New Roman" w:cs="Times New Roman" w:eastAsiaTheme="minorEastAsia"/>
                      <w:color w:val="auto"/>
                      <w:sz w:val="21"/>
                      <w:szCs w:val="21"/>
                      <w:u w:val="none" w:color="auto"/>
                    </w:rPr>
                  </w:pPr>
                  <w:r>
                    <w:rPr>
                      <w:rFonts w:hint="eastAsia" w:cs="Times New Roman" w:eastAsiaTheme="minorEastAsia"/>
                      <w:color w:val="auto"/>
                      <w:sz w:val="21"/>
                      <w:szCs w:val="21"/>
                      <w:u w:val="none" w:color="auto"/>
                      <w:lang w:val="en-US" w:eastAsia="zh-CN"/>
                    </w:rPr>
                    <w:t>达标</w:t>
                  </w:r>
                </w:p>
              </w:tc>
            </w:tr>
            <w:tr w14:paraId="2EA06F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shd w:val="clear" w:color="auto" w:fill="auto"/>
                  <w:vAlign w:val="center"/>
                </w:tcPr>
                <w:p w14:paraId="12B20EB8">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PM</w:t>
                  </w:r>
                  <w:r>
                    <w:rPr>
                      <w:rFonts w:hint="default" w:ascii="Times New Roman" w:hAnsi="Times New Roman" w:cs="Times New Roman" w:eastAsiaTheme="minorEastAsia"/>
                      <w:color w:val="auto"/>
                      <w:sz w:val="21"/>
                      <w:szCs w:val="21"/>
                      <w:u w:val="none" w:color="auto"/>
                      <w:vertAlign w:val="subscript"/>
                    </w:rPr>
                    <w:t>2.5</w:t>
                  </w:r>
                </w:p>
              </w:tc>
              <w:tc>
                <w:tcPr>
                  <w:tcW w:w="1892" w:type="dxa"/>
                  <w:tcBorders>
                    <w:tl2br w:val="nil"/>
                    <w:tr2bl w:val="nil"/>
                  </w:tcBorders>
                  <w:shd w:val="clear" w:color="auto" w:fill="auto"/>
                  <w:vAlign w:val="center"/>
                </w:tcPr>
                <w:p w14:paraId="3CEE5219">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年平均质量浓度</w:t>
                  </w:r>
                </w:p>
              </w:tc>
              <w:tc>
                <w:tcPr>
                  <w:tcW w:w="648" w:type="dxa"/>
                  <w:tcBorders>
                    <w:tl2br w:val="nil"/>
                    <w:tr2bl w:val="nil"/>
                  </w:tcBorders>
                  <w:shd w:val="clear" w:color="auto" w:fill="auto"/>
                  <w:vAlign w:val="center"/>
                </w:tcPr>
                <w:p w14:paraId="02E02026">
                  <w:pPr>
                    <w:bidi w:val="0"/>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cs="Times New Roman" w:eastAsiaTheme="minorEastAsia"/>
                      <w:color w:val="auto"/>
                      <w:sz w:val="21"/>
                      <w:szCs w:val="21"/>
                      <w:u w:val="none" w:color="auto"/>
                      <w:lang w:val="en-US" w:eastAsia="zh-CN"/>
                    </w:rPr>
                    <w:t>23</w:t>
                  </w:r>
                </w:p>
              </w:tc>
              <w:tc>
                <w:tcPr>
                  <w:tcW w:w="682" w:type="dxa"/>
                  <w:tcBorders>
                    <w:tl2br w:val="nil"/>
                    <w:tr2bl w:val="nil"/>
                  </w:tcBorders>
                  <w:shd w:val="clear" w:color="auto" w:fill="auto"/>
                  <w:vAlign w:val="center"/>
                </w:tcPr>
                <w:p w14:paraId="79CABB06">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35</w:t>
                  </w:r>
                </w:p>
              </w:tc>
              <w:tc>
                <w:tcPr>
                  <w:tcW w:w="852" w:type="dxa"/>
                  <w:tcBorders>
                    <w:tl2br w:val="nil"/>
                    <w:tr2bl w:val="nil"/>
                  </w:tcBorders>
                  <w:shd w:val="clear" w:color="auto" w:fill="auto"/>
                  <w:vAlign w:val="center"/>
                </w:tcPr>
                <w:p w14:paraId="28D6C801">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lang w:val="en-US" w:eastAsia="zh-CN"/>
                    </w:rPr>
                    <w:t>65.7</w:t>
                  </w:r>
                </w:p>
              </w:tc>
              <w:tc>
                <w:tcPr>
                  <w:tcW w:w="699" w:type="dxa"/>
                  <w:tcBorders>
                    <w:tl2br w:val="nil"/>
                    <w:tr2bl w:val="nil"/>
                  </w:tcBorders>
                  <w:shd w:val="clear" w:color="auto" w:fill="auto"/>
                  <w:vAlign w:val="center"/>
                </w:tcPr>
                <w:p w14:paraId="34BFCD64">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达标</w:t>
                  </w:r>
                </w:p>
              </w:tc>
              <w:tc>
                <w:tcPr>
                  <w:tcW w:w="698" w:type="dxa"/>
                  <w:tcBorders>
                    <w:tl2br w:val="nil"/>
                    <w:tr2bl w:val="nil"/>
                  </w:tcBorders>
                  <w:shd w:val="clear" w:color="auto" w:fill="auto"/>
                  <w:vAlign w:val="center"/>
                </w:tcPr>
                <w:p w14:paraId="7FAEECBE">
                  <w:pPr>
                    <w:bidi w:val="0"/>
                    <w:spacing w:line="240" w:lineRule="auto"/>
                    <w:jc w:val="center"/>
                    <w:rPr>
                      <w:rFonts w:hint="default" w:ascii="Times New Roman" w:hAnsi="Times New Roman" w:cs="Times New Roman" w:eastAsiaTheme="minorEastAsia"/>
                      <w:color w:val="auto"/>
                      <w:sz w:val="21"/>
                      <w:szCs w:val="21"/>
                      <w:u w:val="none" w:color="auto"/>
                    </w:rPr>
                  </w:pPr>
                  <w:r>
                    <w:rPr>
                      <w:rFonts w:hint="eastAsia" w:cs="Times New Roman" w:eastAsiaTheme="minorEastAsia"/>
                      <w:color w:val="auto"/>
                      <w:sz w:val="21"/>
                      <w:szCs w:val="21"/>
                      <w:u w:val="none" w:color="auto"/>
                      <w:lang w:val="en-US" w:eastAsia="zh-CN"/>
                    </w:rPr>
                    <w:t>30</w:t>
                  </w:r>
                </w:p>
              </w:tc>
              <w:tc>
                <w:tcPr>
                  <w:tcW w:w="838" w:type="dxa"/>
                  <w:tcBorders>
                    <w:tl2br w:val="nil"/>
                    <w:tr2bl w:val="nil"/>
                  </w:tcBorders>
                  <w:shd w:val="clear" w:color="auto" w:fill="auto"/>
                  <w:vAlign w:val="center"/>
                </w:tcPr>
                <w:p w14:paraId="1A2C1B7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77</w:t>
                  </w:r>
                </w:p>
              </w:tc>
              <w:tc>
                <w:tcPr>
                  <w:tcW w:w="689" w:type="dxa"/>
                  <w:tcBorders>
                    <w:tl2br w:val="nil"/>
                    <w:tr2bl w:val="nil"/>
                  </w:tcBorders>
                  <w:shd w:val="clear" w:color="auto" w:fill="auto"/>
                  <w:vAlign w:val="center"/>
                </w:tcPr>
                <w:p w14:paraId="616767F6">
                  <w:pPr>
                    <w:bidi w:val="0"/>
                    <w:spacing w:line="240" w:lineRule="auto"/>
                    <w:jc w:val="center"/>
                    <w:rPr>
                      <w:rFonts w:hint="default" w:ascii="Times New Roman" w:hAnsi="Times New Roman" w:cs="Times New Roman" w:eastAsiaTheme="minorEastAsia"/>
                      <w:color w:val="auto"/>
                      <w:sz w:val="21"/>
                      <w:szCs w:val="21"/>
                      <w:u w:val="none" w:color="auto"/>
                    </w:rPr>
                  </w:pPr>
                  <w:r>
                    <w:rPr>
                      <w:rFonts w:hint="eastAsia" w:cs="Times New Roman" w:eastAsiaTheme="minorEastAsia"/>
                      <w:color w:val="auto"/>
                      <w:sz w:val="21"/>
                      <w:szCs w:val="21"/>
                      <w:u w:val="none" w:color="auto"/>
                      <w:lang w:val="en-US" w:eastAsia="zh-CN"/>
                    </w:rPr>
                    <w:t>达标</w:t>
                  </w:r>
                </w:p>
              </w:tc>
            </w:tr>
            <w:tr w14:paraId="5C7AF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shd w:val="clear" w:color="auto" w:fill="auto"/>
                  <w:vAlign w:val="center"/>
                </w:tcPr>
                <w:p w14:paraId="63B05081">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O</w:t>
                  </w:r>
                  <w:r>
                    <w:rPr>
                      <w:rFonts w:hint="default" w:ascii="Times New Roman" w:hAnsi="Times New Roman" w:cs="Times New Roman" w:eastAsiaTheme="minorEastAsia"/>
                      <w:color w:val="auto"/>
                      <w:sz w:val="21"/>
                      <w:szCs w:val="21"/>
                      <w:u w:val="none" w:color="auto"/>
                      <w:vertAlign w:val="subscript"/>
                    </w:rPr>
                    <w:t>3</w:t>
                  </w:r>
                </w:p>
              </w:tc>
              <w:tc>
                <w:tcPr>
                  <w:tcW w:w="1892" w:type="dxa"/>
                  <w:tcBorders>
                    <w:tl2br w:val="nil"/>
                    <w:tr2bl w:val="nil"/>
                  </w:tcBorders>
                  <w:shd w:val="clear" w:color="auto" w:fill="auto"/>
                  <w:vAlign w:val="center"/>
                </w:tcPr>
                <w:p w14:paraId="4CA773A7">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90百分位数最大8小时平均质量浓度</w:t>
                  </w:r>
                </w:p>
              </w:tc>
              <w:tc>
                <w:tcPr>
                  <w:tcW w:w="648" w:type="dxa"/>
                  <w:tcBorders>
                    <w:tl2br w:val="nil"/>
                    <w:tr2bl w:val="nil"/>
                  </w:tcBorders>
                  <w:shd w:val="clear" w:color="auto" w:fill="auto"/>
                  <w:vAlign w:val="center"/>
                </w:tcPr>
                <w:p w14:paraId="36CD347F">
                  <w:pPr>
                    <w:bidi w:val="0"/>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cs="Times New Roman" w:eastAsiaTheme="minorEastAsia"/>
                      <w:color w:val="auto"/>
                      <w:sz w:val="21"/>
                      <w:szCs w:val="21"/>
                      <w:u w:val="none" w:color="auto"/>
                      <w:lang w:val="en-US" w:eastAsia="zh-CN"/>
                    </w:rPr>
                    <w:t>123</w:t>
                  </w:r>
                </w:p>
              </w:tc>
              <w:tc>
                <w:tcPr>
                  <w:tcW w:w="682" w:type="dxa"/>
                  <w:tcBorders>
                    <w:tl2br w:val="nil"/>
                    <w:tr2bl w:val="nil"/>
                  </w:tcBorders>
                  <w:shd w:val="clear" w:color="auto" w:fill="auto"/>
                  <w:vAlign w:val="center"/>
                </w:tcPr>
                <w:p w14:paraId="3BDBD5A6">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160</w:t>
                  </w:r>
                </w:p>
              </w:tc>
              <w:tc>
                <w:tcPr>
                  <w:tcW w:w="852" w:type="dxa"/>
                  <w:tcBorders>
                    <w:tl2br w:val="nil"/>
                    <w:tr2bl w:val="nil"/>
                  </w:tcBorders>
                  <w:shd w:val="clear" w:color="auto" w:fill="auto"/>
                  <w:vAlign w:val="center"/>
                </w:tcPr>
                <w:p w14:paraId="69EFE6C6">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lang w:val="en-US" w:eastAsia="zh-CN"/>
                    </w:rPr>
                    <w:t>76.9</w:t>
                  </w:r>
                </w:p>
              </w:tc>
              <w:tc>
                <w:tcPr>
                  <w:tcW w:w="699" w:type="dxa"/>
                  <w:tcBorders>
                    <w:tl2br w:val="nil"/>
                    <w:tr2bl w:val="nil"/>
                  </w:tcBorders>
                  <w:shd w:val="clear" w:color="auto" w:fill="auto"/>
                  <w:vAlign w:val="center"/>
                </w:tcPr>
                <w:p w14:paraId="70CF012B">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达标</w:t>
                  </w:r>
                </w:p>
              </w:tc>
              <w:tc>
                <w:tcPr>
                  <w:tcW w:w="698" w:type="dxa"/>
                  <w:tcBorders>
                    <w:tl2br w:val="nil"/>
                    <w:tr2bl w:val="nil"/>
                  </w:tcBorders>
                  <w:shd w:val="clear" w:color="auto" w:fill="auto"/>
                  <w:vAlign w:val="center"/>
                </w:tcPr>
                <w:p w14:paraId="0475DB6F">
                  <w:pPr>
                    <w:bidi w:val="0"/>
                    <w:spacing w:line="240" w:lineRule="auto"/>
                    <w:jc w:val="center"/>
                    <w:rPr>
                      <w:rFonts w:hint="default" w:ascii="Times New Roman" w:hAnsi="Times New Roman" w:cs="Times New Roman" w:eastAsiaTheme="minorEastAsia"/>
                      <w:color w:val="auto"/>
                      <w:sz w:val="21"/>
                      <w:szCs w:val="21"/>
                      <w:u w:val="none" w:color="auto"/>
                      <w:lang w:val="en-US" w:eastAsia="zh-CN"/>
                    </w:rPr>
                  </w:pPr>
                  <w:r>
                    <w:rPr>
                      <w:rFonts w:hint="eastAsia" w:cs="Times New Roman" w:eastAsiaTheme="minorEastAsia"/>
                      <w:color w:val="auto"/>
                      <w:sz w:val="21"/>
                      <w:szCs w:val="21"/>
                      <w:u w:val="none" w:color="auto"/>
                      <w:lang w:val="en-US" w:eastAsia="zh-CN"/>
                    </w:rPr>
                    <w:t>160</w:t>
                  </w:r>
                </w:p>
              </w:tc>
              <w:tc>
                <w:tcPr>
                  <w:tcW w:w="838" w:type="dxa"/>
                  <w:tcBorders>
                    <w:tl2br w:val="nil"/>
                    <w:tr2bl w:val="nil"/>
                  </w:tcBorders>
                  <w:shd w:val="clear" w:color="auto" w:fill="auto"/>
                  <w:vAlign w:val="center"/>
                </w:tcPr>
                <w:p w14:paraId="3B2D486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77</w:t>
                  </w:r>
                </w:p>
              </w:tc>
              <w:tc>
                <w:tcPr>
                  <w:tcW w:w="689" w:type="dxa"/>
                  <w:tcBorders>
                    <w:tl2br w:val="nil"/>
                    <w:tr2bl w:val="nil"/>
                  </w:tcBorders>
                  <w:shd w:val="clear" w:color="auto" w:fill="auto"/>
                  <w:vAlign w:val="center"/>
                </w:tcPr>
                <w:p w14:paraId="19384C41">
                  <w:pPr>
                    <w:bidi w:val="0"/>
                    <w:spacing w:line="240" w:lineRule="auto"/>
                    <w:jc w:val="center"/>
                    <w:rPr>
                      <w:rFonts w:hint="default" w:ascii="Times New Roman" w:hAnsi="Times New Roman" w:cs="Times New Roman" w:eastAsiaTheme="minorEastAsia"/>
                      <w:color w:val="auto"/>
                      <w:sz w:val="21"/>
                      <w:szCs w:val="21"/>
                      <w:u w:val="none" w:color="auto"/>
                    </w:rPr>
                  </w:pPr>
                  <w:r>
                    <w:rPr>
                      <w:rFonts w:hint="eastAsia" w:cs="Times New Roman" w:eastAsiaTheme="minorEastAsia"/>
                      <w:color w:val="auto"/>
                      <w:sz w:val="21"/>
                      <w:szCs w:val="21"/>
                      <w:u w:val="none" w:color="auto"/>
                      <w:lang w:val="en-US" w:eastAsia="zh-CN"/>
                    </w:rPr>
                    <w:t>达标</w:t>
                  </w:r>
                </w:p>
              </w:tc>
            </w:tr>
            <w:tr w14:paraId="75329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9" w:type="dxa"/>
                  <w:tcBorders>
                    <w:tl2br w:val="nil"/>
                    <w:tr2bl w:val="nil"/>
                  </w:tcBorders>
                  <w:shd w:val="clear" w:color="auto" w:fill="auto"/>
                  <w:vAlign w:val="center"/>
                </w:tcPr>
                <w:p w14:paraId="4881FDCD">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CO</w:t>
                  </w:r>
                </w:p>
              </w:tc>
              <w:tc>
                <w:tcPr>
                  <w:tcW w:w="1892" w:type="dxa"/>
                  <w:tcBorders>
                    <w:tl2br w:val="nil"/>
                    <w:tr2bl w:val="nil"/>
                  </w:tcBorders>
                  <w:shd w:val="clear" w:color="auto" w:fill="auto"/>
                  <w:vAlign w:val="center"/>
                </w:tcPr>
                <w:p w14:paraId="2B31F125">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95百分位数日平均质量浓度</w:t>
                  </w:r>
                </w:p>
              </w:tc>
              <w:tc>
                <w:tcPr>
                  <w:tcW w:w="648" w:type="dxa"/>
                  <w:tcBorders>
                    <w:tl2br w:val="nil"/>
                    <w:tr2bl w:val="nil"/>
                  </w:tcBorders>
                  <w:shd w:val="clear" w:color="auto" w:fill="auto"/>
                  <w:vAlign w:val="center"/>
                </w:tcPr>
                <w:p w14:paraId="2F484FDB">
                  <w:pPr>
                    <w:bidi w:val="0"/>
                    <w:spacing w:line="240" w:lineRule="auto"/>
                    <w:jc w:val="center"/>
                    <w:rPr>
                      <w:rFonts w:hint="default" w:ascii="Times New Roman" w:hAnsi="Times New Roman" w:cs="Times New Roman" w:eastAsiaTheme="minorEastAsia"/>
                      <w:color w:val="auto"/>
                      <w:sz w:val="21"/>
                      <w:szCs w:val="21"/>
                      <w:u w:val="none" w:color="auto"/>
                    </w:rPr>
                  </w:pPr>
                  <w:r>
                    <w:rPr>
                      <w:rFonts w:hint="default" w:ascii="Times New Roman" w:hAnsi="Times New Roman" w:cs="Times New Roman" w:eastAsiaTheme="minorEastAsia"/>
                      <w:color w:val="auto"/>
                      <w:sz w:val="21"/>
                      <w:szCs w:val="21"/>
                      <w:u w:val="none" w:color="auto"/>
                    </w:rPr>
                    <w:t>0.9</w:t>
                  </w:r>
                </w:p>
              </w:tc>
              <w:tc>
                <w:tcPr>
                  <w:tcW w:w="682" w:type="dxa"/>
                  <w:tcBorders>
                    <w:tl2br w:val="nil"/>
                    <w:tr2bl w:val="nil"/>
                  </w:tcBorders>
                  <w:shd w:val="clear" w:color="auto" w:fill="auto"/>
                  <w:vAlign w:val="center"/>
                </w:tcPr>
                <w:p w14:paraId="37708C85">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4.0</w:t>
                  </w:r>
                </w:p>
              </w:tc>
              <w:tc>
                <w:tcPr>
                  <w:tcW w:w="852" w:type="dxa"/>
                  <w:tcBorders>
                    <w:tl2br w:val="nil"/>
                    <w:tr2bl w:val="nil"/>
                  </w:tcBorders>
                  <w:shd w:val="clear" w:color="auto" w:fill="auto"/>
                  <w:vAlign w:val="center"/>
                </w:tcPr>
                <w:p w14:paraId="4F6004D1">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22.5</w:t>
                  </w:r>
                </w:p>
              </w:tc>
              <w:tc>
                <w:tcPr>
                  <w:tcW w:w="699" w:type="dxa"/>
                  <w:tcBorders>
                    <w:tl2br w:val="nil"/>
                    <w:tr2bl w:val="nil"/>
                  </w:tcBorders>
                  <w:shd w:val="clear" w:color="auto" w:fill="auto"/>
                  <w:vAlign w:val="center"/>
                </w:tcPr>
                <w:p w14:paraId="60F24ECB">
                  <w:pPr>
                    <w:bidi w:val="0"/>
                    <w:spacing w:line="240" w:lineRule="auto"/>
                    <w:jc w:val="center"/>
                    <w:rPr>
                      <w:rFonts w:hint="default" w:ascii="Times New Roman" w:hAnsi="Times New Roman" w:cs="Times New Roman" w:eastAsiaTheme="minorEastAsia"/>
                      <w:color w:val="auto"/>
                      <w:kern w:val="2"/>
                      <w:sz w:val="21"/>
                      <w:szCs w:val="21"/>
                      <w:u w:val="none" w:color="auto"/>
                      <w:lang w:val="en-US" w:eastAsia="zh-CN" w:bidi="ar-SA"/>
                    </w:rPr>
                  </w:pPr>
                  <w:r>
                    <w:rPr>
                      <w:rFonts w:hint="default" w:ascii="Times New Roman" w:hAnsi="Times New Roman" w:cs="Times New Roman" w:eastAsiaTheme="minorEastAsia"/>
                      <w:color w:val="auto"/>
                      <w:sz w:val="21"/>
                      <w:szCs w:val="21"/>
                      <w:u w:val="none" w:color="auto"/>
                    </w:rPr>
                    <w:t>达标</w:t>
                  </w:r>
                </w:p>
              </w:tc>
              <w:tc>
                <w:tcPr>
                  <w:tcW w:w="698" w:type="dxa"/>
                  <w:tcBorders>
                    <w:tl2br w:val="nil"/>
                    <w:tr2bl w:val="nil"/>
                  </w:tcBorders>
                  <w:shd w:val="clear" w:color="auto" w:fill="auto"/>
                  <w:vAlign w:val="center"/>
                </w:tcPr>
                <w:p w14:paraId="5984553B">
                  <w:pPr>
                    <w:bidi w:val="0"/>
                    <w:spacing w:line="240" w:lineRule="auto"/>
                    <w:jc w:val="center"/>
                    <w:rPr>
                      <w:rFonts w:hint="eastAsia" w:ascii="Times New Roman" w:hAnsi="Times New Roman" w:cs="Times New Roman" w:eastAsiaTheme="minorEastAsia"/>
                      <w:color w:val="auto"/>
                      <w:sz w:val="21"/>
                      <w:szCs w:val="21"/>
                      <w:u w:val="none" w:color="auto"/>
                      <w:lang w:val="en-US" w:eastAsia="zh-CN"/>
                    </w:rPr>
                  </w:pPr>
                  <w:r>
                    <w:rPr>
                      <w:rFonts w:hint="eastAsia" w:cs="Times New Roman" w:eastAsiaTheme="minorEastAsia"/>
                      <w:color w:val="auto"/>
                      <w:sz w:val="21"/>
                      <w:szCs w:val="21"/>
                      <w:u w:val="none" w:color="auto"/>
                      <w:lang w:val="en-US" w:eastAsia="zh-CN"/>
                    </w:rPr>
                    <w:t>4</w:t>
                  </w:r>
                </w:p>
              </w:tc>
              <w:tc>
                <w:tcPr>
                  <w:tcW w:w="838" w:type="dxa"/>
                  <w:tcBorders>
                    <w:tl2br w:val="nil"/>
                    <w:tr2bl w:val="nil"/>
                  </w:tcBorders>
                  <w:shd w:val="clear" w:color="auto" w:fill="auto"/>
                  <w:vAlign w:val="center"/>
                </w:tcPr>
                <w:p w14:paraId="7CD29537">
                  <w:pPr>
                    <w:keepNext w:val="0"/>
                    <w:keepLines w:val="0"/>
                    <w:widowControl/>
                    <w:suppressLineNumbers w:val="0"/>
                    <w:jc w:val="center"/>
                    <w:textAlignment w:val="center"/>
                    <w:rPr>
                      <w:rFonts w:hint="default" w:ascii="Times New Roman" w:hAnsi="Times New Roman" w:cs="Times New Roman" w:eastAsiaTheme="minorEastAsia"/>
                      <w:color w:val="auto"/>
                      <w:sz w:val="21"/>
                      <w:szCs w:val="21"/>
                      <w:u w:val="none" w:color="auto"/>
                    </w:rPr>
                  </w:pPr>
                  <w:r>
                    <w:rPr>
                      <w:rFonts w:hint="default" w:ascii="Times New Roman" w:hAnsi="Times New Roman" w:eastAsia="宋体" w:cs="Times New Roman"/>
                      <w:i w:val="0"/>
                      <w:iCs w:val="0"/>
                      <w:color w:val="auto"/>
                      <w:kern w:val="0"/>
                      <w:sz w:val="21"/>
                      <w:szCs w:val="21"/>
                      <w:u w:val="none"/>
                      <w:lang w:val="en-US" w:eastAsia="zh-CN" w:bidi="ar"/>
                    </w:rPr>
                    <w:t>23</w:t>
                  </w:r>
                </w:p>
              </w:tc>
              <w:tc>
                <w:tcPr>
                  <w:tcW w:w="689" w:type="dxa"/>
                  <w:tcBorders>
                    <w:tl2br w:val="nil"/>
                    <w:tr2bl w:val="nil"/>
                  </w:tcBorders>
                  <w:shd w:val="clear" w:color="auto" w:fill="auto"/>
                  <w:vAlign w:val="center"/>
                </w:tcPr>
                <w:p w14:paraId="50CBB0F2">
                  <w:pPr>
                    <w:bidi w:val="0"/>
                    <w:spacing w:line="240" w:lineRule="auto"/>
                    <w:jc w:val="center"/>
                    <w:rPr>
                      <w:rFonts w:hint="default" w:ascii="Times New Roman" w:hAnsi="Times New Roman" w:cs="Times New Roman" w:eastAsiaTheme="minorEastAsia"/>
                      <w:color w:val="auto"/>
                      <w:sz w:val="21"/>
                      <w:szCs w:val="21"/>
                      <w:u w:val="none" w:color="auto"/>
                    </w:rPr>
                  </w:pPr>
                  <w:r>
                    <w:rPr>
                      <w:rFonts w:hint="eastAsia" w:cs="Times New Roman" w:eastAsiaTheme="minorEastAsia"/>
                      <w:color w:val="auto"/>
                      <w:sz w:val="21"/>
                      <w:szCs w:val="21"/>
                      <w:u w:val="none" w:color="auto"/>
                      <w:lang w:val="en-US" w:eastAsia="zh-CN"/>
                    </w:rPr>
                    <w:t>达标</w:t>
                  </w:r>
                </w:p>
              </w:tc>
            </w:tr>
          </w:tbl>
          <w:p w14:paraId="6D56862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b w:val="0"/>
                <w:bCs w:val="0"/>
                <w:color w:val="auto"/>
                <w:sz w:val="24"/>
                <w:szCs w:val="24"/>
                <w:u w:val="none" w:color="auto"/>
              </w:rPr>
            </w:pPr>
            <w:r>
              <w:rPr>
                <w:rFonts w:hint="default" w:ascii="Times New Roman" w:hAnsi="Times New Roman" w:eastAsia="宋体" w:cs="Times New Roman"/>
                <w:b w:val="0"/>
                <w:bCs w:val="0"/>
                <w:color w:val="auto"/>
                <w:sz w:val="24"/>
                <w:szCs w:val="24"/>
                <w:u w:val="none" w:color="auto"/>
              </w:rPr>
              <w:t>综上所述，本项目所在区域的SO</w:t>
            </w:r>
            <w:r>
              <w:rPr>
                <w:rFonts w:hint="default" w:ascii="Times New Roman" w:hAnsi="Times New Roman" w:eastAsia="宋体" w:cs="Times New Roman"/>
                <w:b w:val="0"/>
                <w:bCs w:val="0"/>
                <w:color w:val="auto"/>
                <w:sz w:val="24"/>
                <w:szCs w:val="24"/>
                <w:u w:val="none" w:color="auto"/>
                <w:vertAlign w:val="subscript"/>
              </w:rPr>
              <w:t>2</w:t>
            </w:r>
            <w:r>
              <w:rPr>
                <w:rFonts w:hint="default" w:ascii="Times New Roman" w:hAnsi="Times New Roman" w:eastAsia="宋体" w:cs="Times New Roman"/>
                <w:b w:val="0"/>
                <w:bCs w:val="0"/>
                <w:color w:val="auto"/>
                <w:sz w:val="24"/>
                <w:szCs w:val="24"/>
                <w:u w:val="none" w:color="auto"/>
              </w:rPr>
              <w:t>、PM</w:t>
            </w:r>
            <w:r>
              <w:rPr>
                <w:rFonts w:hint="default" w:ascii="Times New Roman" w:hAnsi="Times New Roman" w:eastAsia="宋体" w:cs="Times New Roman"/>
                <w:b w:val="0"/>
                <w:bCs w:val="0"/>
                <w:color w:val="auto"/>
                <w:sz w:val="24"/>
                <w:szCs w:val="24"/>
                <w:u w:val="none" w:color="auto"/>
                <w:vertAlign w:val="subscript"/>
              </w:rPr>
              <w:t>2.5</w:t>
            </w:r>
            <w:r>
              <w:rPr>
                <w:rFonts w:hint="default" w:ascii="Times New Roman" w:hAnsi="Times New Roman" w:eastAsia="宋体" w:cs="Times New Roman"/>
                <w:b w:val="0"/>
                <w:bCs w:val="0"/>
                <w:color w:val="auto"/>
                <w:sz w:val="24"/>
                <w:szCs w:val="24"/>
                <w:u w:val="none" w:color="auto"/>
              </w:rPr>
              <w:t>、PM</w:t>
            </w:r>
            <w:r>
              <w:rPr>
                <w:rFonts w:hint="default" w:ascii="Times New Roman" w:hAnsi="Times New Roman" w:eastAsia="宋体" w:cs="Times New Roman"/>
                <w:b w:val="0"/>
                <w:bCs w:val="0"/>
                <w:color w:val="auto"/>
                <w:sz w:val="24"/>
                <w:szCs w:val="24"/>
                <w:u w:val="none" w:color="auto"/>
                <w:vertAlign w:val="subscript"/>
              </w:rPr>
              <w:t>10</w:t>
            </w:r>
            <w:r>
              <w:rPr>
                <w:rFonts w:hint="default" w:ascii="Times New Roman" w:hAnsi="Times New Roman" w:eastAsia="宋体" w:cs="Times New Roman"/>
                <w:b w:val="0"/>
                <w:bCs w:val="0"/>
                <w:color w:val="auto"/>
                <w:sz w:val="24"/>
                <w:szCs w:val="24"/>
                <w:u w:val="none" w:color="auto"/>
              </w:rPr>
              <w:t>、NO</w:t>
            </w:r>
            <w:r>
              <w:rPr>
                <w:rFonts w:hint="default" w:ascii="Times New Roman" w:hAnsi="Times New Roman" w:eastAsia="宋体" w:cs="Times New Roman"/>
                <w:b w:val="0"/>
                <w:bCs w:val="0"/>
                <w:color w:val="auto"/>
                <w:sz w:val="24"/>
                <w:szCs w:val="24"/>
                <w:u w:val="none" w:color="auto"/>
                <w:vertAlign w:val="subscript"/>
              </w:rPr>
              <w:t>2</w:t>
            </w:r>
            <w:r>
              <w:rPr>
                <w:rFonts w:hint="default" w:ascii="Times New Roman" w:hAnsi="Times New Roman" w:eastAsia="宋体" w:cs="Times New Roman"/>
                <w:b w:val="0"/>
                <w:bCs w:val="0"/>
                <w:color w:val="auto"/>
                <w:sz w:val="24"/>
                <w:szCs w:val="24"/>
                <w:u w:val="none" w:color="auto"/>
              </w:rPr>
              <w:t>年平均质量浓度、CO第95百分位数日平均质量浓度和臭氧百分位数日最大8小时平均质量浓度均</w:t>
            </w:r>
            <w:r>
              <w:rPr>
                <w:rFonts w:hint="eastAsia" w:cs="Times New Roman"/>
                <w:b w:val="0"/>
                <w:bCs w:val="0"/>
                <w:color w:val="auto"/>
                <w:sz w:val="24"/>
                <w:szCs w:val="24"/>
                <w:u w:val="none" w:color="auto"/>
                <w:lang w:val="en-US" w:eastAsia="zh-CN"/>
              </w:rPr>
              <w:t>符合</w:t>
            </w:r>
            <w:r>
              <w:rPr>
                <w:rFonts w:hint="default" w:ascii="Times New Roman" w:hAnsi="Times New Roman" w:eastAsia="宋体" w:cs="Times New Roman"/>
                <w:b w:val="0"/>
                <w:bCs w:val="0"/>
                <w:color w:val="auto"/>
                <w:sz w:val="24"/>
                <w:szCs w:val="24"/>
                <w:u w:val="none" w:color="auto"/>
              </w:rPr>
              <w:t>《环境空气质量标准》（GB3095-2012）及其修改单二级标准</w:t>
            </w:r>
            <w:r>
              <w:rPr>
                <w:rFonts w:hint="eastAsia" w:cs="Times New Roman"/>
                <w:b w:val="0"/>
                <w:bCs w:val="0"/>
                <w:color w:val="auto"/>
                <w:sz w:val="24"/>
                <w:szCs w:val="24"/>
                <w:u w:val="none" w:color="auto"/>
                <w:lang w:eastAsia="zh-CN"/>
              </w:rPr>
              <w:t>；</w:t>
            </w:r>
            <w:r>
              <w:rPr>
                <w:rFonts w:hint="eastAsia" w:cs="Times New Roman"/>
                <w:b w:val="0"/>
                <w:bCs w:val="0"/>
                <w:color w:val="auto"/>
                <w:sz w:val="24"/>
                <w:szCs w:val="24"/>
                <w:u w:val="none" w:color="auto"/>
                <w:lang w:val="en-US" w:eastAsia="zh-CN"/>
              </w:rPr>
              <w:t>同时符合</w:t>
            </w:r>
            <w:r>
              <w:rPr>
                <w:rFonts w:hint="default" w:ascii="Times New Roman" w:hAnsi="Times New Roman" w:eastAsia="宋体" w:cs="Times New Roman"/>
                <w:b w:val="0"/>
                <w:bCs w:val="0"/>
                <w:color w:val="auto"/>
                <w:sz w:val="24"/>
                <w:szCs w:val="24"/>
                <w:u w:val="none" w:color="auto"/>
              </w:rPr>
              <w:t>《环境空气质量标准》（GB3095-20</w:t>
            </w:r>
            <w:r>
              <w:rPr>
                <w:rFonts w:hint="eastAsia" w:cs="Times New Roman"/>
                <w:b w:val="0"/>
                <w:bCs w:val="0"/>
                <w:color w:val="auto"/>
                <w:sz w:val="24"/>
                <w:szCs w:val="24"/>
                <w:u w:val="none" w:color="auto"/>
                <w:lang w:val="en-US" w:eastAsia="zh-CN"/>
              </w:rPr>
              <w:t>26</w:t>
            </w:r>
            <w:r>
              <w:rPr>
                <w:rFonts w:hint="default" w:ascii="Times New Roman" w:hAnsi="Times New Roman" w:eastAsia="宋体" w:cs="Times New Roman"/>
                <w:b w:val="0"/>
                <w:bCs w:val="0"/>
                <w:color w:val="auto"/>
                <w:sz w:val="24"/>
                <w:szCs w:val="24"/>
                <w:u w:val="none" w:color="auto"/>
              </w:rPr>
              <w:t>）二级标准。因此，项目区域所在</w:t>
            </w:r>
            <w:r>
              <w:rPr>
                <w:rFonts w:hint="eastAsia" w:ascii="Times New Roman" w:hAnsi="Times New Roman" w:eastAsia="宋体" w:cs="Times New Roman"/>
                <w:b w:val="0"/>
                <w:bCs w:val="0"/>
                <w:color w:val="auto"/>
                <w:sz w:val="24"/>
                <w:szCs w:val="24"/>
                <w:u w:val="none" w:color="auto"/>
                <w:lang w:val="en-US" w:eastAsia="zh-CN"/>
              </w:rPr>
              <w:t>溆浦县属于</w:t>
            </w:r>
            <w:r>
              <w:rPr>
                <w:rFonts w:hint="default" w:ascii="Times New Roman" w:hAnsi="Times New Roman" w:eastAsia="宋体" w:cs="Times New Roman"/>
                <w:b w:val="0"/>
                <w:bCs w:val="0"/>
                <w:color w:val="auto"/>
                <w:sz w:val="24"/>
                <w:szCs w:val="24"/>
                <w:u w:val="none" w:color="auto"/>
              </w:rPr>
              <w:t>环境空气质量达标区。</w:t>
            </w:r>
          </w:p>
          <w:p w14:paraId="34BA13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auto"/>
                <w:sz w:val="24"/>
              </w:rPr>
            </w:pPr>
            <w:r>
              <w:rPr>
                <w:rFonts w:ascii="Times New Roman" w:hAnsi="Times New Roman" w:eastAsia="宋体" w:cs="Times New Roman"/>
                <w:color w:val="auto"/>
                <w:sz w:val="24"/>
              </w:rPr>
              <w:t>（2）</w:t>
            </w:r>
            <w:r>
              <w:rPr>
                <w:rFonts w:hint="eastAsia" w:ascii="Times New Roman" w:hAnsi="Times New Roman" w:eastAsia="宋体" w:cs="Times New Roman"/>
                <w:color w:val="auto"/>
                <w:sz w:val="24"/>
              </w:rPr>
              <w:t>其他污染物</w:t>
            </w:r>
            <w:r>
              <w:rPr>
                <w:rFonts w:ascii="Times New Roman" w:hAnsi="Times New Roman" w:eastAsia="宋体" w:cs="Times New Roman"/>
                <w:color w:val="auto"/>
                <w:sz w:val="24"/>
              </w:rPr>
              <w:t>监测</w:t>
            </w:r>
          </w:p>
          <w:p w14:paraId="32B5F1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为了解本项目特征因子质量现状，本</w:t>
            </w:r>
            <w:r>
              <w:rPr>
                <w:rFonts w:hint="eastAsia" w:ascii="Times New Roman" w:hAnsi="Times New Roman" w:eastAsia="宋体" w:cs="Times New Roman"/>
                <w:color w:val="auto"/>
                <w:sz w:val="24"/>
                <w:lang w:val="en-US" w:eastAsia="zh-CN"/>
              </w:rPr>
              <w:t>次评价引用怀化市友钰建设有限公司《年处理10万吨麻石废料加工生产线建设项目</w:t>
            </w:r>
            <w:r>
              <w:rPr>
                <w:rFonts w:hint="eastAsia" w:ascii="Times New Roman" w:hAnsi="Times New Roman" w:eastAsia="宋体" w:cs="Times New Roman"/>
                <w:color w:val="auto"/>
                <w:sz w:val="24"/>
              </w:rPr>
              <w:t>环境影响报告表</w:t>
            </w:r>
            <w:r>
              <w:rPr>
                <w:rFonts w:hint="eastAsia" w:ascii="Times New Roman" w:hAnsi="Times New Roman" w:eastAsia="宋体" w:cs="Times New Roman"/>
                <w:color w:val="auto"/>
                <w:sz w:val="24"/>
                <w:lang w:val="en-US" w:eastAsia="zh-CN"/>
              </w:rPr>
              <w:t>》中</w:t>
            </w:r>
            <w:r>
              <w:rPr>
                <w:rFonts w:hint="default" w:ascii="Times New Roman" w:hAnsi="Times New Roman" w:eastAsia="宋体" w:cs="Times New Roman"/>
                <w:color w:val="auto"/>
                <w:sz w:val="24"/>
              </w:rPr>
              <w:t>湖南</w:t>
            </w:r>
            <w:r>
              <w:rPr>
                <w:rFonts w:hint="eastAsia" w:ascii="Times New Roman" w:hAnsi="Times New Roman" w:eastAsia="宋体" w:cs="Times New Roman"/>
                <w:color w:val="auto"/>
                <w:sz w:val="24"/>
                <w:lang w:val="en-US" w:eastAsia="zh-CN"/>
              </w:rPr>
              <w:t>中青检测</w:t>
            </w:r>
            <w:r>
              <w:rPr>
                <w:rFonts w:hint="default" w:ascii="Times New Roman" w:hAnsi="Times New Roman" w:eastAsia="宋体" w:cs="Times New Roman"/>
                <w:color w:val="auto"/>
                <w:sz w:val="24"/>
              </w:rPr>
              <w:t>有限公司于2024年</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日到</w:t>
            </w:r>
            <w:r>
              <w:rPr>
                <w:rFonts w:hint="eastAsia" w:ascii="Times New Roman" w:hAnsi="Times New Roman" w:eastAsia="宋体" w:cs="Times New Roman"/>
                <w:color w:val="auto"/>
                <w:sz w:val="24"/>
                <w:lang w:val="en-US" w:eastAsia="zh-CN"/>
              </w:rPr>
              <w:t>11</w:t>
            </w:r>
            <w:r>
              <w:rPr>
                <w:rFonts w:hint="default" w:ascii="Times New Roman" w:hAnsi="Times New Roman" w:eastAsia="宋体" w:cs="Times New Roman"/>
                <w:color w:val="auto"/>
                <w:sz w:val="24"/>
              </w:rPr>
              <w:t>日对</w:t>
            </w:r>
            <w:r>
              <w:rPr>
                <w:rFonts w:hint="eastAsia" w:ascii="Times New Roman" w:hAnsi="Times New Roman" w:eastAsia="宋体" w:cs="Times New Roman"/>
                <w:color w:val="auto"/>
                <w:sz w:val="24"/>
                <w:lang w:val="en-US" w:eastAsia="zh-CN"/>
              </w:rPr>
              <w:t>该</w:t>
            </w:r>
            <w:r>
              <w:rPr>
                <w:rFonts w:hint="default" w:ascii="Times New Roman" w:hAnsi="Times New Roman" w:eastAsia="宋体" w:cs="Times New Roman"/>
                <w:color w:val="auto"/>
                <w:sz w:val="24"/>
              </w:rPr>
              <w:t>项目下风向</w:t>
            </w:r>
            <w:r>
              <w:rPr>
                <w:rFonts w:hint="default" w:ascii="Times New Roman" w:hAnsi="Times New Roman" w:eastAsia="宋体" w:cs="Times New Roman"/>
                <w:color w:val="auto"/>
                <w:sz w:val="24"/>
                <w:lang w:val="en-US" w:eastAsia="zh-CN"/>
              </w:rPr>
              <w:t>居民点</w:t>
            </w:r>
            <w:r>
              <w:rPr>
                <w:rFonts w:hint="default" w:ascii="Times New Roman" w:hAnsi="Times New Roman" w:eastAsia="宋体" w:cs="Times New Roman"/>
                <w:color w:val="auto"/>
                <w:sz w:val="24"/>
              </w:rPr>
              <w:t>进行</w:t>
            </w:r>
            <w:r>
              <w:rPr>
                <w:rFonts w:hint="eastAsia"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颗粒物监测，具体监测结果详见下表。</w:t>
            </w:r>
          </w:p>
          <w:p w14:paraId="7077B6AF">
            <w:pPr>
              <w:widowControl/>
              <w:jc w:val="center"/>
              <w:rPr>
                <w:rFonts w:hint="eastAsia"/>
                <w:b/>
                <w:bCs/>
                <w:color w:val="auto"/>
                <w:sz w:val="24"/>
              </w:rPr>
            </w:pPr>
            <w:r>
              <w:rPr>
                <w:rFonts w:hint="eastAsia"/>
                <w:b/>
                <w:bCs/>
                <w:color w:val="auto"/>
                <w:sz w:val="24"/>
              </w:rPr>
              <w:t>表3-2   引用监测点位基本信息</w:t>
            </w:r>
          </w:p>
          <w:tbl>
            <w:tblPr>
              <w:tblStyle w:val="32"/>
              <w:tblW w:w="769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41"/>
              <w:gridCol w:w="1111"/>
              <w:gridCol w:w="2016"/>
              <w:gridCol w:w="2129"/>
            </w:tblGrid>
            <w:tr w14:paraId="7EBD5C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2441" w:type="dxa"/>
                  <w:noWrap w:val="0"/>
                  <w:vAlign w:val="center"/>
                </w:tcPr>
                <w:p w14:paraId="038298B7">
                  <w:pPr>
                    <w:jc w:val="center"/>
                    <w:rPr>
                      <w:color w:val="auto"/>
                      <w:szCs w:val="21"/>
                      <w:u w:val="none"/>
                    </w:rPr>
                  </w:pPr>
                  <w:r>
                    <w:rPr>
                      <w:color w:val="auto"/>
                      <w:szCs w:val="21"/>
                      <w:u w:val="none"/>
                    </w:rPr>
                    <w:t>监测点名称</w:t>
                  </w:r>
                </w:p>
              </w:tc>
              <w:tc>
                <w:tcPr>
                  <w:tcW w:w="1111" w:type="dxa"/>
                  <w:noWrap w:val="0"/>
                  <w:vAlign w:val="center"/>
                </w:tcPr>
                <w:p w14:paraId="6E77796A">
                  <w:pPr>
                    <w:jc w:val="center"/>
                    <w:rPr>
                      <w:color w:val="auto"/>
                      <w:szCs w:val="21"/>
                      <w:u w:val="none"/>
                    </w:rPr>
                  </w:pPr>
                  <w:r>
                    <w:rPr>
                      <w:color w:val="auto"/>
                      <w:szCs w:val="21"/>
                      <w:u w:val="none"/>
                    </w:rPr>
                    <w:t>监测因子</w:t>
                  </w:r>
                </w:p>
              </w:tc>
              <w:tc>
                <w:tcPr>
                  <w:tcW w:w="2016" w:type="dxa"/>
                  <w:noWrap w:val="0"/>
                  <w:vAlign w:val="center"/>
                </w:tcPr>
                <w:p w14:paraId="76FE4EA2">
                  <w:pPr>
                    <w:jc w:val="center"/>
                    <w:rPr>
                      <w:color w:val="auto"/>
                      <w:szCs w:val="21"/>
                      <w:u w:val="none"/>
                    </w:rPr>
                  </w:pPr>
                  <w:r>
                    <w:rPr>
                      <w:color w:val="auto"/>
                      <w:szCs w:val="21"/>
                      <w:u w:val="none"/>
                    </w:rPr>
                    <w:t>监测频次</w:t>
                  </w:r>
                </w:p>
              </w:tc>
              <w:tc>
                <w:tcPr>
                  <w:tcW w:w="2129" w:type="dxa"/>
                  <w:noWrap w:val="0"/>
                  <w:vAlign w:val="center"/>
                </w:tcPr>
                <w:p w14:paraId="10D17BEB">
                  <w:pPr>
                    <w:jc w:val="center"/>
                    <w:rPr>
                      <w:color w:val="auto"/>
                      <w:szCs w:val="21"/>
                      <w:u w:val="none"/>
                    </w:rPr>
                  </w:pPr>
                  <w:r>
                    <w:rPr>
                      <w:color w:val="auto"/>
                      <w:szCs w:val="21"/>
                      <w:u w:val="none"/>
                    </w:rPr>
                    <w:t>与本项目位置关系</w:t>
                  </w:r>
                </w:p>
              </w:tc>
            </w:tr>
            <w:tr w14:paraId="771AD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8" w:hRule="atLeast"/>
                <w:jc w:val="center"/>
              </w:trPr>
              <w:tc>
                <w:tcPr>
                  <w:tcW w:w="2441" w:type="dxa"/>
                  <w:noWrap w:val="0"/>
                  <w:vAlign w:val="center"/>
                </w:tcPr>
                <w:p w14:paraId="748951CB">
                  <w:pPr>
                    <w:jc w:val="center"/>
                    <w:rPr>
                      <w:rFonts w:ascii="Times New Roman" w:hAnsi="Times New Roman" w:eastAsia="宋体" w:cs="Times New Roman"/>
                      <w:color w:val="auto"/>
                      <w:szCs w:val="21"/>
                      <w:u w:val="none"/>
                    </w:rPr>
                  </w:pPr>
                  <w:r>
                    <w:rPr>
                      <w:rFonts w:hint="eastAsia" w:ascii="Times New Roman" w:hAnsi="Times New Roman" w:eastAsia="宋体" w:cs="Times New Roman"/>
                      <w:color w:val="auto"/>
                      <w:szCs w:val="21"/>
                      <w:u w:val="none"/>
                      <w:lang w:val="en-US" w:eastAsia="zh-CN"/>
                    </w:rPr>
                    <w:t>麻石废料加工</w:t>
                  </w:r>
                  <w:r>
                    <w:rPr>
                      <w:rFonts w:hint="default" w:ascii="Times New Roman" w:hAnsi="Times New Roman" w:eastAsia="宋体" w:cs="Times New Roman"/>
                      <w:color w:val="auto"/>
                      <w:szCs w:val="21"/>
                      <w:u w:val="none"/>
                      <w:lang w:val="en-US" w:eastAsia="zh-CN"/>
                    </w:rPr>
                    <w:t>项目厂界下风向蚂蟥岩居民点</w:t>
                  </w:r>
                </w:p>
              </w:tc>
              <w:tc>
                <w:tcPr>
                  <w:tcW w:w="1111" w:type="dxa"/>
                  <w:noWrap w:val="0"/>
                  <w:vAlign w:val="center"/>
                </w:tcPr>
                <w:p w14:paraId="792B2E57">
                  <w:pPr>
                    <w:jc w:val="center"/>
                    <w:rPr>
                      <w:rFonts w:hint="default" w:ascii="Times New Roman" w:hAnsi="Times New Roman" w:eastAsia="宋体" w:cs="Times New Roman"/>
                      <w:color w:val="auto"/>
                      <w:szCs w:val="21"/>
                      <w:u w:val="none"/>
                      <w:lang w:val="en-US" w:eastAsia="zh-CN"/>
                    </w:rPr>
                  </w:pPr>
                  <w:r>
                    <w:rPr>
                      <w:rFonts w:ascii="Times New Roman" w:hAnsi="Times New Roman" w:eastAsia="宋体" w:cs="Times New Roman"/>
                      <w:color w:val="auto"/>
                      <w:szCs w:val="21"/>
                      <w:u w:val="none"/>
                    </w:rPr>
                    <w:t>T</w:t>
                  </w:r>
                  <w:r>
                    <w:rPr>
                      <w:rFonts w:hint="eastAsia" w:ascii="Times New Roman" w:hAnsi="Times New Roman" w:eastAsia="宋体" w:cs="Times New Roman"/>
                      <w:color w:val="auto"/>
                      <w:szCs w:val="21"/>
                      <w:u w:val="none"/>
                      <w:lang w:val="en-US" w:eastAsia="zh-CN"/>
                    </w:rPr>
                    <w:t>SP</w:t>
                  </w:r>
                </w:p>
              </w:tc>
              <w:tc>
                <w:tcPr>
                  <w:tcW w:w="2016" w:type="dxa"/>
                  <w:noWrap w:val="0"/>
                  <w:vAlign w:val="center"/>
                </w:tcPr>
                <w:p w14:paraId="1A8F0920">
                  <w:pPr>
                    <w:jc w:val="center"/>
                    <w:rPr>
                      <w:rFonts w:ascii="Times New Roman" w:hAnsi="Times New Roman" w:eastAsia="宋体" w:cs="Times New Roman"/>
                      <w:color w:val="auto"/>
                      <w:szCs w:val="21"/>
                      <w:u w:val="none"/>
                    </w:rPr>
                  </w:pPr>
                  <w:r>
                    <w:rPr>
                      <w:rFonts w:ascii="Times New Roman" w:hAnsi="Times New Roman" w:eastAsia="宋体" w:cs="Times New Roman"/>
                      <w:color w:val="auto"/>
                      <w:szCs w:val="21"/>
                      <w:u w:val="none"/>
                    </w:rPr>
                    <w:t>连续3天，每天1次</w:t>
                  </w:r>
                </w:p>
              </w:tc>
              <w:tc>
                <w:tcPr>
                  <w:tcW w:w="2129" w:type="dxa"/>
                  <w:noWrap w:val="0"/>
                  <w:vAlign w:val="center"/>
                </w:tcPr>
                <w:p w14:paraId="44591480">
                  <w:pPr>
                    <w:jc w:val="center"/>
                    <w:rPr>
                      <w:color w:val="auto"/>
                      <w:szCs w:val="21"/>
                      <w:u w:val="none"/>
                    </w:rPr>
                  </w:pPr>
                  <w:r>
                    <w:rPr>
                      <w:color w:val="auto"/>
                      <w:szCs w:val="21"/>
                      <w:u w:val="none"/>
                    </w:rPr>
                    <w:t>位于本项目</w:t>
                  </w:r>
                  <w:r>
                    <w:rPr>
                      <w:rFonts w:hint="eastAsia"/>
                      <w:color w:val="auto"/>
                      <w:szCs w:val="21"/>
                      <w:u w:val="none"/>
                      <w:lang w:val="en-US" w:eastAsia="zh-CN"/>
                    </w:rPr>
                    <w:t>东北</w:t>
                  </w:r>
                  <w:r>
                    <w:rPr>
                      <w:color w:val="auto"/>
                      <w:szCs w:val="21"/>
                      <w:u w:val="none"/>
                    </w:rPr>
                    <w:t>侧约</w:t>
                  </w:r>
                  <w:r>
                    <w:rPr>
                      <w:rFonts w:hint="eastAsia"/>
                      <w:color w:val="auto"/>
                      <w:szCs w:val="21"/>
                      <w:u w:val="none"/>
                      <w:lang w:val="en-US" w:eastAsia="zh-CN"/>
                    </w:rPr>
                    <w:t>4.3</w:t>
                  </w:r>
                  <w:r>
                    <w:rPr>
                      <w:color w:val="auto"/>
                      <w:szCs w:val="21"/>
                      <w:u w:val="none"/>
                    </w:rPr>
                    <w:t>km</w:t>
                  </w:r>
                </w:p>
              </w:tc>
            </w:tr>
          </w:tbl>
          <w:p w14:paraId="3E77C2A8">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center"/>
              <w:textAlignment w:val="auto"/>
              <w:rPr>
                <w:rFonts w:hint="default" w:ascii="Times New Roman" w:hAnsi="Times New Roman" w:cs="Times New Roman"/>
                <w:b/>
                <w:bCs/>
                <w:color w:val="auto"/>
                <w:kern w:val="0"/>
                <w:sz w:val="24"/>
                <w:szCs w:val="24"/>
                <w:u w:val="none"/>
                <w:lang w:bidi="ar"/>
              </w:rPr>
            </w:pPr>
            <w:r>
              <w:rPr>
                <w:rFonts w:hint="default" w:ascii="Times New Roman" w:hAnsi="Times New Roman" w:cs="Times New Roman"/>
                <w:b/>
                <w:bCs/>
                <w:color w:val="auto"/>
                <w:kern w:val="0"/>
                <w:sz w:val="24"/>
                <w:szCs w:val="24"/>
                <w:u w:val="none"/>
                <w:lang w:bidi="ar"/>
              </w:rPr>
              <w:t>表3-</w:t>
            </w:r>
            <w:r>
              <w:rPr>
                <w:rFonts w:hint="eastAsia" w:ascii="Times New Roman" w:hAnsi="Times New Roman" w:cs="Times New Roman"/>
                <w:b/>
                <w:bCs/>
                <w:color w:val="auto"/>
                <w:kern w:val="0"/>
                <w:sz w:val="24"/>
                <w:szCs w:val="24"/>
                <w:u w:val="none"/>
                <w:lang w:val="en-US" w:eastAsia="zh-CN" w:bidi="ar"/>
              </w:rPr>
              <w:t xml:space="preserve">3  </w:t>
            </w:r>
            <w:r>
              <w:rPr>
                <w:rFonts w:hint="default" w:ascii="Times New Roman" w:hAnsi="Times New Roman" w:cs="Times New Roman"/>
                <w:b/>
                <w:bCs/>
                <w:color w:val="auto"/>
                <w:kern w:val="0"/>
                <w:sz w:val="24"/>
                <w:szCs w:val="24"/>
                <w:u w:val="none"/>
                <w:lang w:bidi="ar"/>
              </w:rPr>
              <w:t xml:space="preserve"> 环境空气监测结果</w:t>
            </w:r>
          </w:p>
          <w:tbl>
            <w:tblPr>
              <w:tblStyle w:val="32"/>
              <w:tblW w:w="76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1172"/>
              <w:gridCol w:w="1474"/>
              <w:gridCol w:w="1211"/>
              <w:gridCol w:w="1103"/>
              <w:gridCol w:w="867"/>
            </w:tblGrid>
            <w:tr w14:paraId="3A56C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1" w:type="pct"/>
                  <w:tcBorders>
                    <w:tl2br w:val="nil"/>
                    <w:tr2bl w:val="nil"/>
                  </w:tcBorders>
                  <w:noWrap w:val="0"/>
                  <w:vAlign w:val="center"/>
                </w:tcPr>
                <w:p w14:paraId="46F42BC0">
                  <w:pPr>
                    <w:pStyle w:val="132"/>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监测点</w:t>
                  </w:r>
                </w:p>
              </w:tc>
              <w:tc>
                <w:tcPr>
                  <w:tcW w:w="768" w:type="pct"/>
                  <w:tcBorders>
                    <w:tl2br w:val="nil"/>
                    <w:tr2bl w:val="nil"/>
                  </w:tcBorders>
                  <w:noWrap w:val="0"/>
                  <w:vAlign w:val="center"/>
                </w:tcPr>
                <w:p w14:paraId="332403B2">
                  <w:pPr>
                    <w:pStyle w:val="132"/>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检测项目</w:t>
                  </w:r>
                </w:p>
              </w:tc>
              <w:tc>
                <w:tcPr>
                  <w:tcW w:w="1759" w:type="pct"/>
                  <w:gridSpan w:val="2"/>
                  <w:tcBorders>
                    <w:tl2br w:val="nil"/>
                    <w:tr2bl w:val="nil"/>
                  </w:tcBorders>
                  <w:noWrap w:val="0"/>
                  <w:vAlign w:val="center"/>
                </w:tcPr>
                <w:p w14:paraId="12506F12">
                  <w:pPr>
                    <w:pStyle w:val="132"/>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监测日期及检测结果</w:t>
                  </w:r>
                </w:p>
              </w:tc>
              <w:tc>
                <w:tcPr>
                  <w:tcW w:w="722" w:type="pct"/>
                  <w:tcBorders>
                    <w:tl2br w:val="nil"/>
                    <w:tr2bl w:val="nil"/>
                  </w:tcBorders>
                  <w:noWrap w:val="0"/>
                  <w:vAlign w:val="center"/>
                </w:tcPr>
                <w:p w14:paraId="346988F6">
                  <w:pPr>
                    <w:pStyle w:val="132"/>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标准限值</w:t>
                  </w:r>
                </w:p>
              </w:tc>
              <w:tc>
                <w:tcPr>
                  <w:tcW w:w="568" w:type="pct"/>
                  <w:tcBorders>
                    <w:tl2br w:val="nil"/>
                    <w:tr2bl w:val="nil"/>
                  </w:tcBorders>
                  <w:noWrap w:val="0"/>
                  <w:vAlign w:val="center"/>
                </w:tcPr>
                <w:p w14:paraId="63CDD0DF">
                  <w:pPr>
                    <w:pStyle w:val="132"/>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单位</w:t>
                  </w:r>
                </w:p>
              </w:tc>
            </w:tr>
            <w:tr w14:paraId="4642C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1" w:type="pct"/>
                  <w:vMerge w:val="restart"/>
                  <w:tcBorders>
                    <w:tl2br w:val="nil"/>
                    <w:tr2bl w:val="nil"/>
                  </w:tcBorders>
                  <w:shd w:val="clear" w:color="auto" w:fill="auto"/>
                  <w:noWrap w:val="0"/>
                  <w:vAlign w:val="center"/>
                </w:tcPr>
                <w:p w14:paraId="5446414F">
                  <w:pPr>
                    <w:pStyle w:val="133"/>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麻石废料加工项目厂界下风向蚂蟥岩居民点</w:t>
                  </w:r>
                </w:p>
              </w:tc>
              <w:tc>
                <w:tcPr>
                  <w:tcW w:w="768" w:type="pct"/>
                  <w:vMerge w:val="restart"/>
                  <w:tcBorders>
                    <w:tl2br w:val="nil"/>
                    <w:tr2bl w:val="nil"/>
                  </w:tcBorders>
                  <w:shd w:val="clear" w:color="auto" w:fill="auto"/>
                  <w:noWrap w:val="0"/>
                  <w:vAlign w:val="center"/>
                </w:tcPr>
                <w:p w14:paraId="682597FA">
                  <w:pPr>
                    <w:pStyle w:val="133"/>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szCs w:val="21"/>
                      <w:u w:val="none"/>
                    </w:rPr>
                    <w:t>TSP</w:t>
                  </w:r>
                </w:p>
              </w:tc>
              <w:tc>
                <w:tcPr>
                  <w:tcW w:w="966" w:type="pct"/>
                  <w:tcBorders>
                    <w:tl2br w:val="nil"/>
                    <w:tr2bl w:val="nil"/>
                  </w:tcBorders>
                  <w:noWrap w:val="0"/>
                  <w:vAlign w:val="center"/>
                </w:tcPr>
                <w:p w14:paraId="7B96B620">
                  <w:pPr>
                    <w:pStyle w:val="133"/>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2024.</w:t>
                  </w:r>
                  <w:r>
                    <w:rPr>
                      <w:rFonts w:hint="default" w:ascii="Times New Roman" w:hAnsi="Times New Roman" w:cs="Times New Roman"/>
                      <w:color w:val="auto"/>
                      <w:sz w:val="21"/>
                      <w:szCs w:val="21"/>
                      <w:u w:val="none"/>
                      <w:lang w:val="en-US" w:eastAsia="zh-CN"/>
                    </w:rPr>
                    <w:t>7.9</w:t>
                  </w:r>
                </w:p>
              </w:tc>
              <w:tc>
                <w:tcPr>
                  <w:tcW w:w="793" w:type="pct"/>
                  <w:tcBorders>
                    <w:tl2br w:val="nil"/>
                    <w:tr2bl w:val="nil"/>
                  </w:tcBorders>
                  <w:noWrap w:val="0"/>
                  <w:vAlign w:val="center"/>
                </w:tcPr>
                <w:p w14:paraId="3ACEEEE6">
                  <w:pPr>
                    <w:pStyle w:val="133"/>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0.251</w:t>
                  </w:r>
                </w:p>
              </w:tc>
              <w:tc>
                <w:tcPr>
                  <w:tcW w:w="722" w:type="pct"/>
                  <w:vMerge w:val="restart"/>
                  <w:tcBorders>
                    <w:tl2br w:val="nil"/>
                    <w:tr2bl w:val="nil"/>
                  </w:tcBorders>
                  <w:noWrap w:val="0"/>
                  <w:vAlign w:val="center"/>
                </w:tcPr>
                <w:p w14:paraId="15A6E5AC">
                  <w:pPr>
                    <w:pStyle w:val="133"/>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0.3</w:t>
                  </w:r>
                </w:p>
              </w:tc>
              <w:tc>
                <w:tcPr>
                  <w:tcW w:w="568" w:type="pct"/>
                  <w:vMerge w:val="restart"/>
                  <w:tcBorders>
                    <w:tl2br w:val="nil"/>
                    <w:tr2bl w:val="nil"/>
                  </w:tcBorders>
                  <w:noWrap w:val="0"/>
                  <w:vAlign w:val="center"/>
                </w:tcPr>
                <w:p w14:paraId="5FC780D3">
                  <w:pPr>
                    <w:pStyle w:val="133"/>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m</w:t>
                  </w:r>
                  <w:r>
                    <w:rPr>
                      <w:rFonts w:hint="default" w:ascii="Times New Roman" w:hAnsi="Times New Roman" w:cs="Times New Roman"/>
                      <w:color w:val="auto"/>
                      <w:sz w:val="21"/>
                      <w:szCs w:val="21"/>
                      <w:u w:val="none"/>
                    </w:rPr>
                    <w:t>g/m</w:t>
                  </w:r>
                  <w:r>
                    <w:rPr>
                      <w:rFonts w:hint="default" w:ascii="Times New Roman" w:hAnsi="Times New Roman" w:cs="Times New Roman"/>
                      <w:color w:val="auto"/>
                      <w:sz w:val="21"/>
                      <w:szCs w:val="21"/>
                      <w:u w:val="none"/>
                      <w:vertAlign w:val="superscript"/>
                    </w:rPr>
                    <w:t>3</w:t>
                  </w:r>
                </w:p>
              </w:tc>
            </w:tr>
            <w:tr w14:paraId="6D46D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1" w:type="pct"/>
                  <w:vMerge w:val="continue"/>
                  <w:tcBorders>
                    <w:tl2br w:val="nil"/>
                    <w:tr2bl w:val="nil"/>
                  </w:tcBorders>
                  <w:noWrap w:val="0"/>
                  <w:vAlign w:val="center"/>
                </w:tcPr>
                <w:p w14:paraId="3AAFCD41">
                  <w:pPr>
                    <w:pStyle w:val="133"/>
                    <w:rPr>
                      <w:rFonts w:hint="default" w:ascii="Times New Roman" w:hAnsi="Times New Roman" w:cs="Times New Roman"/>
                      <w:color w:val="auto"/>
                      <w:sz w:val="21"/>
                      <w:szCs w:val="21"/>
                      <w:u w:val="none"/>
                    </w:rPr>
                  </w:pPr>
                </w:p>
              </w:tc>
              <w:tc>
                <w:tcPr>
                  <w:tcW w:w="768" w:type="pct"/>
                  <w:vMerge w:val="continue"/>
                  <w:tcBorders>
                    <w:tl2br w:val="nil"/>
                    <w:tr2bl w:val="nil"/>
                  </w:tcBorders>
                  <w:noWrap w:val="0"/>
                  <w:vAlign w:val="center"/>
                </w:tcPr>
                <w:p w14:paraId="47A82C4E">
                  <w:pPr>
                    <w:pStyle w:val="133"/>
                    <w:rPr>
                      <w:rFonts w:hint="default" w:ascii="Times New Roman" w:hAnsi="Times New Roman" w:cs="Times New Roman"/>
                      <w:color w:val="auto"/>
                      <w:sz w:val="21"/>
                      <w:szCs w:val="21"/>
                      <w:u w:val="none"/>
                    </w:rPr>
                  </w:pPr>
                </w:p>
              </w:tc>
              <w:tc>
                <w:tcPr>
                  <w:tcW w:w="966" w:type="pct"/>
                  <w:tcBorders>
                    <w:tl2br w:val="nil"/>
                    <w:tr2bl w:val="nil"/>
                  </w:tcBorders>
                  <w:noWrap w:val="0"/>
                  <w:vAlign w:val="center"/>
                </w:tcPr>
                <w:p w14:paraId="3F0D8A77">
                  <w:pPr>
                    <w:pStyle w:val="133"/>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2024.</w:t>
                  </w:r>
                  <w:r>
                    <w:rPr>
                      <w:rFonts w:hint="default" w:ascii="Times New Roman" w:hAnsi="Times New Roman" w:cs="Times New Roman"/>
                      <w:color w:val="auto"/>
                      <w:sz w:val="21"/>
                      <w:szCs w:val="21"/>
                      <w:u w:val="none"/>
                      <w:lang w:val="en-US" w:eastAsia="zh-CN"/>
                    </w:rPr>
                    <w:t>7.10</w:t>
                  </w:r>
                </w:p>
              </w:tc>
              <w:tc>
                <w:tcPr>
                  <w:tcW w:w="793" w:type="pct"/>
                  <w:tcBorders>
                    <w:tl2br w:val="nil"/>
                    <w:tr2bl w:val="nil"/>
                  </w:tcBorders>
                  <w:noWrap w:val="0"/>
                  <w:vAlign w:val="center"/>
                </w:tcPr>
                <w:p w14:paraId="2563EC76">
                  <w:pPr>
                    <w:pStyle w:val="133"/>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0.192</w:t>
                  </w:r>
                </w:p>
              </w:tc>
              <w:tc>
                <w:tcPr>
                  <w:tcW w:w="722" w:type="pct"/>
                  <w:vMerge w:val="continue"/>
                  <w:tcBorders>
                    <w:tl2br w:val="nil"/>
                    <w:tr2bl w:val="nil"/>
                  </w:tcBorders>
                  <w:noWrap w:val="0"/>
                  <w:vAlign w:val="center"/>
                </w:tcPr>
                <w:p w14:paraId="1DC0926E">
                  <w:pPr>
                    <w:pStyle w:val="133"/>
                    <w:rPr>
                      <w:rFonts w:hint="default" w:ascii="Times New Roman" w:hAnsi="Times New Roman" w:cs="Times New Roman"/>
                      <w:color w:val="auto"/>
                      <w:sz w:val="21"/>
                      <w:szCs w:val="21"/>
                      <w:u w:val="none"/>
                    </w:rPr>
                  </w:pPr>
                </w:p>
              </w:tc>
              <w:tc>
                <w:tcPr>
                  <w:tcW w:w="568" w:type="pct"/>
                  <w:vMerge w:val="continue"/>
                  <w:tcBorders>
                    <w:tl2br w:val="nil"/>
                    <w:tr2bl w:val="nil"/>
                  </w:tcBorders>
                  <w:noWrap w:val="0"/>
                  <w:vAlign w:val="center"/>
                </w:tcPr>
                <w:p w14:paraId="1997FB11">
                  <w:pPr>
                    <w:pStyle w:val="133"/>
                    <w:rPr>
                      <w:rFonts w:hint="default" w:ascii="Times New Roman" w:hAnsi="Times New Roman" w:cs="Times New Roman"/>
                      <w:color w:val="auto"/>
                      <w:sz w:val="21"/>
                      <w:szCs w:val="21"/>
                      <w:u w:val="none"/>
                    </w:rPr>
                  </w:pPr>
                </w:p>
              </w:tc>
            </w:tr>
            <w:tr w14:paraId="20E55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1" w:type="pct"/>
                  <w:vMerge w:val="continue"/>
                  <w:tcBorders>
                    <w:tl2br w:val="nil"/>
                    <w:tr2bl w:val="nil"/>
                  </w:tcBorders>
                  <w:noWrap w:val="0"/>
                  <w:vAlign w:val="center"/>
                </w:tcPr>
                <w:p w14:paraId="2D6C276F">
                  <w:pPr>
                    <w:pStyle w:val="133"/>
                    <w:rPr>
                      <w:rFonts w:hint="default" w:ascii="Times New Roman" w:hAnsi="Times New Roman" w:cs="Times New Roman"/>
                      <w:color w:val="auto"/>
                      <w:sz w:val="21"/>
                      <w:szCs w:val="21"/>
                      <w:u w:val="none"/>
                    </w:rPr>
                  </w:pPr>
                </w:p>
              </w:tc>
              <w:tc>
                <w:tcPr>
                  <w:tcW w:w="768" w:type="pct"/>
                  <w:vMerge w:val="continue"/>
                  <w:tcBorders>
                    <w:tl2br w:val="nil"/>
                    <w:tr2bl w:val="nil"/>
                  </w:tcBorders>
                  <w:noWrap w:val="0"/>
                  <w:vAlign w:val="center"/>
                </w:tcPr>
                <w:p w14:paraId="686AC081">
                  <w:pPr>
                    <w:pStyle w:val="133"/>
                    <w:rPr>
                      <w:rFonts w:hint="default" w:ascii="Times New Roman" w:hAnsi="Times New Roman" w:cs="Times New Roman"/>
                      <w:color w:val="auto"/>
                      <w:sz w:val="21"/>
                      <w:szCs w:val="21"/>
                      <w:u w:val="none"/>
                    </w:rPr>
                  </w:pPr>
                </w:p>
              </w:tc>
              <w:tc>
                <w:tcPr>
                  <w:tcW w:w="966" w:type="pct"/>
                  <w:tcBorders>
                    <w:tl2br w:val="nil"/>
                    <w:tr2bl w:val="nil"/>
                  </w:tcBorders>
                  <w:noWrap w:val="0"/>
                  <w:vAlign w:val="center"/>
                </w:tcPr>
                <w:p w14:paraId="655EF68F">
                  <w:pPr>
                    <w:pStyle w:val="133"/>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2024.</w:t>
                  </w:r>
                  <w:r>
                    <w:rPr>
                      <w:rFonts w:hint="default" w:ascii="Times New Roman" w:hAnsi="Times New Roman" w:cs="Times New Roman"/>
                      <w:color w:val="auto"/>
                      <w:sz w:val="21"/>
                      <w:szCs w:val="21"/>
                      <w:u w:val="none"/>
                      <w:lang w:val="en-US" w:eastAsia="zh-CN"/>
                    </w:rPr>
                    <w:t>7.11</w:t>
                  </w:r>
                </w:p>
              </w:tc>
              <w:tc>
                <w:tcPr>
                  <w:tcW w:w="793" w:type="pct"/>
                  <w:tcBorders>
                    <w:tl2br w:val="nil"/>
                    <w:tr2bl w:val="nil"/>
                  </w:tcBorders>
                  <w:noWrap w:val="0"/>
                  <w:vAlign w:val="center"/>
                </w:tcPr>
                <w:p w14:paraId="54580A21">
                  <w:pPr>
                    <w:pStyle w:val="133"/>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0.244</w:t>
                  </w:r>
                </w:p>
              </w:tc>
              <w:tc>
                <w:tcPr>
                  <w:tcW w:w="722" w:type="pct"/>
                  <w:vMerge w:val="continue"/>
                  <w:tcBorders>
                    <w:tl2br w:val="nil"/>
                    <w:tr2bl w:val="nil"/>
                  </w:tcBorders>
                  <w:noWrap w:val="0"/>
                  <w:vAlign w:val="center"/>
                </w:tcPr>
                <w:p w14:paraId="2E5E83E5">
                  <w:pPr>
                    <w:pStyle w:val="133"/>
                    <w:rPr>
                      <w:rFonts w:hint="default" w:ascii="Times New Roman" w:hAnsi="Times New Roman" w:cs="Times New Roman"/>
                      <w:color w:val="auto"/>
                      <w:sz w:val="21"/>
                      <w:szCs w:val="21"/>
                      <w:u w:val="none"/>
                    </w:rPr>
                  </w:pPr>
                </w:p>
              </w:tc>
              <w:tc>
                <w:tcPr>
                  <w:tcW w:w="568" w:type="pct"/>
                  <w:vMerge w:val="continue"/>
                  <w:tcBorders>
                    <w:tl2br w:val="nil"/>
                    <w:tr2bl w:val="nil"/>
                  </w:tcBorders>
                  <w:noWrap w:val="0"/>
                  <w:vAlign w:val="center"/>
                </w:tcPr>
                <w:p w14:paraId="0945B655">
                  <w:pPr>
                    <w:pStyle w:val="133"/>
                    <w:rPr>
                      <w:rFonts w:hint="default" w:ascii="Times New Roman" w:hAnsi="Times New Roman" w:cs="Times New Roman"/>
                      <w:color w:val="auto"/>
                      <w:sz w:val="21"/>
                      <w:szCs w:val="21"/>
                      <w:u w:val="none"/>
                    </w:rPr>
                  </w:pPr>
                </w:p>
              </w:tc>
            </w:tr>
          </w:tbl>
          <w:p w14:paraId="49D02368">
            <w:pPr>
              <w:keepNext w:val="0"/>
              <w:keepLines w:val="0"/>
              <w:pageBreakBefore w:val="0"/>
              <w:widowControl w:val="0"/>
              <w:kinsoku/>
              <w:wordWrap/>
              <w:overflowPunct/>
              <w:topLinePunct w:val="0"/>
              <w:autoSpaceDE/>
              <w:autoSpaceDN/>
              <w:bidi w:val="0"/>
              <w:adjustRightInd/>
              <w:snapToGrid/>
              <w:spacing w:before="63" w:beforeLines="20" w:line="360" w:lineRule="auto"/>
              <w:ind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eastAsia" w:cs="Times New Roman"/>
                <w:color w:val="auto"/>
                <w:sz w:val="24"/>
                <w:lang w:val="en-US" w:eastAsia="zh-CN"/>
              </w:rPr>
              <w:t>引用</w:t>
            </w:r>
            <w:r>
              <w:rPr>
                <w:rFonts w:hint="default" w:ascii="Times New Roman" w:hAnsi="Times New Roman" w:eastAsia="宋体" w:cs="Times New Roman"/>
                <w:color w:val="auto"/>
                <w:sz w:val="24"/>
              </w:rPr>
              <w:t>监测结果，本项目所在区域特征因子颗粒物（TSP）满足《环境空气质量标准》（GB3095-20</w:t>
            </w:r>
            <w:r>
              <w:rPr>
                <w:rFonts w:hint="eastAsia" w:cs="Times New Roman"/>
                <w:color w:val="auto"/>
                <w:sz w:val="24"/>
                <w:lang w:val="en-US" w:eastAsia="zh-CN"/>
              </w:rPr>
              <w:t>26</w:t>
            </w:r>
            <w:r>
              <w:rPr>
                <w:rFonts w:hint="default" w:ascii="Times New Roman" w:hAnsi="Times New Roman" w:eastAsia="宋体" w:cs="Times New Roman"/>
                <w:color w:val="auto"/>
                <w:sz w:val="24"/>
              </w:rPr>
              <w:t>）二级浓度限值（24小时平均值）。</w:t>
            </w:r>
          </w:p>
          <w:p w14:paraId="669CD54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color w:val="auto"/>
                <w:sz w:val="24"/>
                <w:u w:val="none" w:color="auto"/>
              </w:rPr>
            </w:pPr>
            <w:r>
              <w:rPr>
                <w:rFonts w:hint="default" w:ascii="Times New Roman" w:hAnsi="Times New Roman" w:cs="Times New Roman"/>
                <w:b/>
                <w:bCs/>
                <w:color w:val="auto"/>
                <w:sz w:val="24"/>
                <w:u w:val="none" w:color="auto"/>
              </w:rPr>
              <w:t>2、地表水环境质量现状</w:t>
            </w:r>
          </w:p>
          <w:p w14:paraId="4100D0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rPr>
              <w:t>根据怀化市生态环境局发布的《</w:t>
            </w:r>
            <w:r>
              <w:rPr>
                <w:rFonts w:hint="eastAsia" w:ascii="Times New Roman" w:hAnsi="Times New Roman" w:eastAsia="宋体" w:cs="Times New Roman"/>
                <w:color w:val="auto"/>
                <w:sz w:val="24"/>
                <w:u w:val="none" w:color="auto"/>
              </w:rPr>
              <w:t>2025年怀化市水环境质量年报</w:t>
            </w:r>
            <w:r>
              <w:rPr>
                <w:rFonts w:hint="default" w:ascii="Times New Roman" w:hAnsi="Times New Roman" w:eastAsia="宋体" w:cs="Times New Roman"/>
                <w:color w:val="auto"/>
                <w:sz w:val="24"/>
                <w:u w:val="none" w:color="auto"/>
              </w:rPr>
              <w:t>》可知</w:t>
            </w:r>
            <w:r>
              <w:rPr>
                <w:rFonts w:hint="eastAsia" w:ascii="Times New Roman" w:hAnsi="Times New Roman" w:eastAsia="宋体" w:cs="Times New Roman"/>
                <w:color w:val="auto"/>
                <w:sz w:val="24"/>
                <w:u w:val="none" w:color="auto"/>
                <w:lang w:eastAsia="zh-CN"/>
              </w:rPr>
              <w:t>：</w:t>
            </w:r>
          </w:p>
          <w:p w14:paraId="05EE22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u w:val="none" w:color="auto"/>
                <w:lang w:eastAsia="zh-CN"/>
              </w:rPr>
            </w:pPr>
            <w:r>
              <w:rPr>
                <w:rFonts w:hint="eastAsia" w:cs="Times New Roman"/>
                <w:color w:val="auto"/>
                <w:sz w:val="24"/>
                <w:u w:val="none" w:color="auto"/>
                <w:lang w:eastAsia="zh-CN"/>
              </w:rPr>
              <w:t>国考网络：202</w:t>
            </w:r>
            <w:r>
              <w:rPr>
                <w:rFonts w:hint="eastAsia" w:cs="Times New Roman"/>
                <w:color w:val="auto"/>
                <w:sz w:val="24"/>
                <w:u w:val="none" w:color="auto"/>
                <w:lang w:val="en-US" w:eastAsia="zh-CN"/>
              </w:rPr>
              <w:t>5</w:t>
            </w:r>
            <w:r>
              <w:rPr>
                <w:rFonts w:hint="eastAsia" w:cs="Times New Roman"/>
                <w:color w:val="auto"/>
                <w:sz w:val="24"/>
                <w:u w:val="none" w:color="auto"/>
                <w:lang w:eastAsia="zh-CN"/>
              </w:rPr>
              <w:t>年全市14个国控考核断面地表水水质总体为优，</w:t>
            </w:r>
            <w:r>
              <w:rPr>
                <w:rFonts w:hint="eastAsia" w:cs="Times New Roman"/>
                <w:color w:val="auto"/>
                <w:sz w:val="24"/>
                <w:u w:val="none" w:color="auto"/>
                <w:lang w:val="en-US" w:eastAsia="zh-CN"/>
              </w:rPr>
              <w:t>均为</w:t>
            </w:r>
            <w:r>
              <w:rPr>
                <w:rFonts w:hint="eastAsia" w:cs="Times New Roman"/>
                <w:color w:val="auto"/>
                <w:sz w:val="24"/>
                <w:u w:val="none" w:color="auto"/>
                <w:lang w:eastAsia="zh-CN"/>
              </w:rPr>
              <w:t>Ⅱ类水质。14个国控考核断面均达到年度水质目标。</w:t>
            </w:r>
          </w:p>
          <w:p w14:paraId="58C48F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u w:val="none" w:color="auto"/>
                <w:lang w:eastAsia="zh-CN"/>
              </w:rPr>
            </w:pPr>
            <w:r>
              <w:rPr>
                <w:rFonts w:hint="eastAsia" w:cs="Times New Roman"/>
                <w:color w:val="auto"/>
                <w:sz w:val="24"/>
                <w:u w:val="none" w:color="auto"/>
                <w:lang w:eastAsia="zh-CN"/>
              </w:rPr>
              <w:t>省考网络：202</w:t>
            </w:r>
            <w:r>
              <w:rPr>
                <w:rFonts w:hint="eastAsia" w:cs="Times New Roman"/>
                <w:color w:val="auto"/>
                <w:sz w:val="24"/>
                <w:u w:val="none" w:color="auto"/>
                <w:lang w:val="en-US" w:eastAsia="zh-CN"/>
              </w:rPr>
              <w:t>5</w:t>
            </w:r>
            <w:r>
              <w:rPr>
                <w:rFonts w:hint="eastAsia" w:cs="Times New Roman"/>
                <w:color w:val="auto"/>
                <w:sz w:val="24"/>
                <w:u w:val="none" w:color="auto"/>
                <w:lang w:eastAsia="zh-CN"/>
              </w:rPr>
              <w:t>年全市35个省控考核断面地表水水质总体为优，均为Ⅱ类水质。35个省控考核断面均达到年度水质目标。</w:t>
            </w:r>
          </w:p>
          <w:p w14:paraId="06D79A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本项目周边最近的地表水体为溆水，其水质监测情况如下表所示：</w:t>
            </w:r>
          </w:p>
          <w:tbl>
            <w:tblPr>
              <w:tblStyle w:val="33"/>
              <w:tblpPr w:leftFromText="180" w:rightFromText="180" w:vertAnchor="text" w:horzAnchor="page" w:tblpX="99" w:tblpY="312"/>
              <w:tblOverlap w:val="never"/>
              <w:tblW w:w="761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29"/>
              <w:gridCol w:w="881"/>
              <w:gridCol w:w="1536"/>
              <w:gridCol w:w="858"/>
              <w:gridCol w:w="684"/>
              <w:gridCol w:w="1083"/>
              <w:gridCol w:w="1071"/>
            </w:tblGrid>
            <w:tr w14:paraId="6A2E7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442" w:type="pct"/>
                  <w:vMerge w:val="restart"/>
                  <w:tcBorders>
                    <w:tl2br w:val="nil"/>
                    <w:tr2bl w:val="nil"/>
                  </w:tcBorders>
                  <w:noWrap w:val="0"/>
                  <w:vAlign w:val="center"/>
                </w:tcPr>
                <w:p w14:paraId="7B474D3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vertAlign w:val="baseline"/>
                      <w:lang w:eastAsia="zh-CN"/>
                    </w:rPr>
                  </w:pPr>
                  <w:r>
                    <w:rPr>
                      <w:rFonts w:hint="default" w:ascii="Times New Roman" w:hAnsi="Times New Roman" w:cs="Times New Roman" w:eastAsiaTheme="minorEastAsia"/>
                      <w:b/>
                      <w:bCs w:val="0"/>
                      <w:color w:val="auto"/>
                      <w:sz w:val="21"/>
                      <w:szCs w:val="21"/>
                      <w:u w:val="none" w:color="auto"/>
                      <w:vertAlign w:val="baseline"/>
                      <w:lang w:eastAsia="zh-CN"/>
                    </w:rPr>
                    <w:t>序号</w:t>
                  </w:r>
                </w:p>
              </w:tc>
              <w:tc>
                <w:tcPr>
                  <w:tcW w:w="544" w:type="pct"/>
                  <w:vMerge w:val="restart"/>
                  <w:tcBorders>
                    <w:tl2br w:val="nil"/>
                    <w:tr2bl w:val="nil"/>
                  </w:tcBorders>
                  <w:noWrap w:val="0"/>
                  <w:vAlign w:val="center"/>
                </w:tcPr>
                <w:p w14:paraId="2057FBB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vertAlign w:val="baseline"/>
                      <w:lang w:eastAsia="zh-CN"/>
                    </w:rPr>
                  </w:pPr>
                  <w:r>
                    <w:rPr>
                      <w:rFonts w:hint="default" w:ascii="Times New Roman" w:hAnsi="Times New Roman" w:cs="Times New Roman" w:eastAsiaTheme="minorEastAsia"/>
                      <w:b/>
                      <w:bCs w:val="0"/>
                      <w:color w:val="auto"/>
                      <w:sz w:val="21"/>
                      <w:szCs w:val="21"/>
                      <w:u w:val="none" w:color="auto"/>
                      <w:vertAlign w:val="baseline"/>
                      <w:lang w:eastAsia="zh-CN"/>
                    </w:rPr>
                    <w:t>河流名称</w:t>
                  </w:r>
                </w:p>
              </w:tc>
              <w:tc>
                <w:tcPr>
                  <w:tcW w:w="578" w:type="pct"/>
                  <w:vMerge w:val="restart"/>
                  <w:tcBorders>
                    <w:tl2br w:val="nil"/>
                    <w:tr2bl w:val="nil"/>
                  </w:tcBorders>
                  <w:noWrap w:val="0"/>
                  <w:vAlign w:val="center"/>
                </w:tcPr>
                <w:p w14:paraId="400ED94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vertAlign w:val="baseline"/>
                      <w:lang w:eastAsia="zh-CN"/>
                    </w:rPr>
                  </w:pPr>
                  <w:r>
                    <w:rPr>
                      <w:rFonts w:hint="default" w:ascii="Times New Roman" w:hAnsi="Times New Roman" w:cs="Times New Roman" w:eastAsiaTheme="minorEastAsia"/>
                      <w:b/>
                      <w:bCs w:val="0"/>
                      <w:color w:val="auto"/>
                      <w:sz w:val="21"/>
                      <w:szCs w:val="21"/>
                      <w:u w:val="none" w:color="auto"/>
                      <w:vertAlign w:val="baseline"/>
                      <w:lang w:eastAsia="zh-CN"/>
                    </w:rPr>
                    <w:t>断面所属地</w:t>
                  </w:r>
                </w:p>
              </w:tc>
              <w:tc>
                <w:tcPr>
                  <w:tcW w:w="1008" w:type="pct"/>
                  <w:vMerge w:val="restart"/>
                  <w:tcBorders>
                    <w:tl2br w:val="nil"/>
                    <w:tr2bl w:val="nil"/>
                  </w:tcBorders>
                  <w:noWrap w:val="0"/>
                  <w:vAlign w:val="center"/>
                </w:tcPr>
                <w:p w14:paraId="3DE9134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vertAlign w:val="baseline"/>
                      <w:lang w:eastAsia="zh-CN"/>
                    </w:rPr>
                  </w:pPr>
                  <w:r>
                    <w:rPr>
                      <w:rFonts w:hint="default" w:ascii="Times New Roman" w:hAnsi="Times New Roman" w:cs="Times New Roman" w:eastAsiaTheme="minorEastAsia"/>
                      <w:b/>
                      <w:bCs w:val="0"/>
                      <w:color w:val="auto"/>
                      <w:sz w:val="21"/>
                      <w:szCs w:val="21"/>
                      <w:u w:val="none" w:color="auto"/>
                      <w:vertAlign w:val="baseline"/>
                      <w:lang w:eastAsia="zh-CN"/>
                    </w:rPr>
                    <w:t>断面名称</w:t>
                  </w:r>
                </w:p>
              </w:tc>
              <w:tc>
                <w:tcPr>
                  <w:tcW w:w="563" w:type="pct"/>
                  <w:vMerge w:val="restart"/>
                  <w:tcBorders>
                    <w:tl2br w:val="nil"/>
                    <w:tr2bl w:val="nil"/>
                  </w:tcBorders>
                  <w:noWrap w:val="0"/>
                  <w:vAlign w:val="center"/>
                </w:tcPr>
                <w:p w14:paraId="1F7D240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vertAlign w:val="baseline"/>
                      <w:lang w:eastAsia="zh-CN"/>
                    </w:rPr>
                  </w:pPr>
                  <w:r>
                    <w:rPr>
                      <w:rFonts w:hint="default" w:ascii="Times New Roman" w:hAnsi="Times New Roman" w:cs="Times New Roman" w:eastAsiaTheme="minorEastAsia"/>
                      <w:b/>
                      <w:bCs w:val="0"/>
                      <w:color w:val="auto"/>
                      <w:sz w:val="21"/>
                      <w:szCs w:val="21"/>
                      <w:u w:val="none" w:color="auto"/>
                      <w:vertAlign w:val="baseline"/>
                      <w:lang w:eastAsia="zh-CN"/>
                    </w:rPr>
                    <w:t>断面性质</w:t>
                  </w:r>
                </w:p>
              </w:tc>
              <w:tc>
                <w:tcPr>
                  <w:tcW w:w="1863" w:type="pct"/>
                  <w:gridSpan w:val="3"/>
                  <w:tcBorders>
                    <w:tl2br w:val="nil"/>
                    <w:tr2bl w:val="nil"/>
                  </w:tcBorders>
                  <w:noWrap w:val="0"/>
                  <w:vAlign w:val="center"/>
                </w:tcPr>
                <w:p w14:paraId="65DBA28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vertAlign w:val="baseline"/>
                      <w:lang w:eastAsia="zh-CN"/>
                    </w:rPr>
                  </w:pPr>
                  <w:r>
                    <w:rPr>
                      <w:rFonts w:hint="default" w:ascii="Times New Roman" w:hAnsi="Times New Roman" w:cs="Times New Roman" w:eastAsiaTheme="minorEastAsia"/>
                      <w:b/>
                      <w:bCs w:val="0"/>
                      <w:color w:val="auto"/>
                      <w:sz w:val="21"/>
                      <w:szCs w:val="21"/>
                      <w:u w:val="none" w:color="auto"/>
                      <w:vertAlign w:val="baseline"/>
                      <w:lang w:eastAsia="zh-CN"/>
                    </w:rPr>
                    <w:t>达到水质类别</w:t>
                  </w:r>
                </w:p>
              </w:tc>
            </w:tr>
            <w:tr w14:paraId="6A9D8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2" w:type="pct"/>
                  <w:vMerge w:val="continue"/>
                  <w:tcBorders>
                    <w:tl2br w:val="nil"/>
                    <w:tr2bl w:val="nil"/>
                  </w:tcBorders>
                  <w:noWrap w:val="0"/>
                  <w:vAlign w:val="center"/>
                </w:tcPr>
                <w:p w14:paraId="6F24AED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rPr>
                  </w:pPr>
                </w:p>
              </w:tc>
              <w:tc>
                <w:tcPr>
                  <w:tcW w:w="544" w:type="pct"/>
                  <w:vMerge w:val="continue"/>
                  <w:tcBorders>
                    <w:tl2br w:val="nil"/>
                    <w:tr2bl w:val="nil"/>
                  </w:tcBorders>
                  <w:noWrap w:val="0"/>
                  <w:vAlign w:val="center"/>
                </w:tcPr>
                <w:p w14:paraId="23C6B8F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rPr>
                  </w:pPr>
                </w:p>
              </w:tc>
              <w:tc>
                <w:tcPr>
                  <w:tcW w:w="578" w:type="pct"/>
                  <w:vMerge w:val="continue"/>
                  <w:tcBorders>
                    <w:tl2br w:val="nil"/>
                    <w:tr2bl w:val="nil"/>
                  </w:tcBorders>
                  <w:noWrap w:val="0"/>
                  <w:vAlign w:val="center"/>
                </w:tcPr>
                <w:p w14:paraId="5206D63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rPr>
                  </w:pPr>
                </w:p>
              </w:tc>
              <w:tc>
                <w:tcPr>
                  <w:tcW w:w="1008" w:type="pct"/>
                  <w:vMerge w:val="continue"/>
                  <w:tcBorders>
                    <w:tl2br w:val="nil"/>
                    <w:tr2bl w:val="nil"/>
                  </w:tcBorders>
                  <w:noWrap w:val="0"/>
                  <w:vAlign w:val="center"/>
                </w:tcPr>
                <w:p w14:paraId="6F2C41A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rPr>
                  </w:pPr>
                </w:p>
              </w:tc>
              <w:tc>
                <w:tcPr>
                  <w:tcW w:w="563" w:type="pct"/>
                  <w:vMerge w:val="continue"/>
                  <w:tcBorders>
                    <w:tl2br w:val="nil"/>
                    <w:tr2bl w:val="nil"/>
                  </w:tcBorders>
                  <w:noWrap w:val="0"/>
                  <w:vAlign w:val="center"/>
                </w:tcPr>
                <w:p w14:paraId="5AD3628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rPr>
                  </w:pPr>
                </w:p>
              </w:tc>
              <w:tc>
                <w:tcPr>
                  <w:tcW w:w="449" w:type="pct"/>
                  <w:tcBorders>
                    <w:tl2br w:val="nil"/>
                    <w:tr2bl w:val="nil"/>
                  </w:tcBorders>
                  <w:noWrap w:val="0"/>
                  <w:vAlign w:val="center"/>
                </w:tcPr>
                <w:p w14:paraId="55DEC6F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vertAlign w:val="baseline"/>
                      <w:lang w:eastAsia="zh-CN"/>
                    </w:rPr>
                  </w:pPr>
                  <w:r>
                    <w:rPr>
                      <w:rFonts w:hint="default" w:ascii="Times New Roman" w:hAnsi="Times New Roman" w:cs="Times New Roman" w:eastAsiaTheme="minorEastAsia"/>
                      <w:b/>
                      <w:bCs w:val="0"/>
                      <w:color w:val="auto"/>
                      <w:sz w:val="21"/>
                      <w:szCs w:val="21"/>
                      <w:u w:val="none" w:color="auto"/>
                      <w:vertAlign w:val="baseline"/>
                      <w:lang w:eastAsia="zh-CN"/>
                    </w:rPr>
                    <w:t>本年</w:t>
                  </w:r>
                </w:p>
              </w:tc>
              <w:tc>
                <w:tcPr>
                  <w:tcW w:w="711" w:type="pct"/>
                  <w:tcBorders>
                    <w:tl2br w:val="nil"/>
                    <w:tr2bl w:val="nil"/>
                  </w:tcBorders>
                  <w:noWrap w:val="0"/>
                  <w:vAlign w:val="center"/>
                </w:tcPr>
                <w:p w14:paraId="76DA997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vertAlign w:val="baseline"/>
                      <w:lang w:eastAsia="zh-CN"/>
                    </w:rPr>
                  </w:pPr>
                  <w:r>
                    <w:rPr>
                      <w:rFonts w:hint="default" w:ascii="Times New Roman" w:hAnsi="Times New Roman" w:cs="Times New Roman" w:eastAsiaTheme="minorEastAsia"/>
                      <w:b/>
                      <w:bCs w:val="0"/>
                      <w:color w:val="auto"/>
                      <w:sz w:val="21"/>
                      <w:szCs w:val="21"/>
                      <w:u w:val="none" w:color="auto"/>
                      <w:vertAlign w:val="baseline"/>
                      <w:lang w:eastAsia="zh-CN"/>
                    </w:rPr>
                    <w:t>上年同期</w:t>
                  </w:r>
                </w:p>
              </w:tc>
              <w:tc>
                <w:tcPr>
                  <w:tcW w:w="703" w:type="pct"/>
                  <w:tcBorders>
                    <w:tl2br w:val="nil"/>
                    <w:tr2bl w:val="nil"/>
                  </w:tcBorders>
                  <w:noWrap w:val="0"/>
                  <w:vAlign w:val="center"/>
                </w:tcPr>
                <w:p w14:paraId="1B8CF05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val="0"/>
                      <w:color w:val="auto"/>
                      <w:sz w:val="21"/>
                      <w:szCs w:val="21"/>
                      <w:u w:val="none" w:color="auto"/>
                      <w:vertAlign w:val="baseline"/>
                      <w:lang w:eastAsia="zh-CN"/>
                    </w:rPr>
                  </w:pPr>
                  <w:r>
                    <w:rPr>
                      <w:rFonts w:hint="default" w:ascii="Times New Roman" w:hAnsi="Times New Roman" w:cs="Times New Roman" w:eastAsiaTheme="minorEastAsia"/>
                      <w:b/>
                      <w:bCs w:val="0"/>
                      <w:color w:val="auto"/>
                      <w:sz w:val="21"/>
                      <w:szCs w:val="21"/>
                      <w:u w:val="none" w:color="auto"/>
                      <w:vertAlign w:val="baseline"/>
                      <w:lang w:eastAsia="zh-CN"/>
                    </w:rPr>
                    <w:t>同比变化</w:t>
                  </w:r>
                </w:p>
              </w:tc>
            </w:tr>
            <w:tr w14:paraId="6AF2B3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2" w:type="pct"/>
                  <w:tcBorders>
                    <w:tl2br w:val="nil"/>
                    <w:tr2bl w:val="nil"/>
                  </w:tcBorders>
                  <w:noWrap w:val="0"/>
                  <w:vAlign w:val="center"/>
                </w:tcPr>
                <w:p w14:paraId="1D0F5AC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val="en-US" w:eastAsia="zh-CN"/>
                    </w:rPr>
                  </w:pPr>
                  <w:r>
                    <w:rPr>
                      <w:rFonts w:hint="default" w:ascii="Times New Roman" w:hAnsi="Times New Roman" w:cs="Times New Roman" w:eastAsiaTheme="minorEastAsia"/>
                      <w:bCs/>
                      <w:color w:val="auto"/>
                      <w:sz w:val="21"/>
                      <w:szCs w:val="21"/>
                      <w:u w:val="none" w:color="auto"/>
                      <w:vertAlign w:val="baseline"/>
                      <w:lang w:val="en-US" w:eastAsia="zh-CN"/>
                    </w:rPr>
                    <w:t>1</w:t>
                  </w:r>
                </w:p>
              </w:tc>
              <w:tc>
                <w:tcPr>
                  <w:tcW w:w="544" w:type="pct"/>
                  <w:vMerge w:val="restart"/>
                  <w:tcBorders>
                    <w:tl2br w:val="nil"/>
                    <w:tr2bl w:val="nil"/>
                  </w:tcBorders>
                  <w:noWrap w:val="0"/>
                  <w:vAlign w:val="center"/>
                </w:tcPr>
                <w:p w14:paraId="17BEC20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溆水</w:t>
                  </w:r>
                </w:p>
              </w:tc>
              <w:tc>
                <w:tcPr>
                  <w:tcW w:w="578" w:type="pct"/>
                  <w:vMerge w:val="restart"/>
                  <w:tcBorders>
                    <w:tl2br w:val="nil"/>
                    <w:tr2bl w:val="nil"/>
                  </w:tcBorders>
                  <w:noWrap w:val="0"/>
                  <w:vAlign w:val="center"/>
                </w:tcPr>
                <w:p w14:paraId="4BD3032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溆浦县</w:t>
                  </w:r>
                </w:p>
              </w:tc>
              <w:tc>
                <w:tcPr>
                  <w:tcW w:w="1008" w:type="pct"/>
                  <w:tcBorders>
                    <w:tl2br w:val="nil"/>
                    <w:tr2bl w:val="nil"/>
                  </w:tcBorders>
                  <w:noWrap w:val="0"/>
                  <w:vAlign w:val="center"/>
                </w:tcPr>
                <w:p w14:paraId="77187DA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龙潭</w:t>
                  </w:r>
                </w:p>
              </w:tc>
              <w:tc>
                <w:tcPr>
                  <w:tcW w:w="563" w:type="pct"/>
                  <w:tcBorders>
                    <w:tl2br w:val="nil"/>
                    <w:tr2bl w:val="nil"/>
                  </w:tcBorders>
                  <w:noWrap w:val="0"/>
                  <w:vAlign w:val="center"/>
                </w:tcPr>
                <w:p w14:paraId="0E6C98E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省控</w:t>
                  </w:r>
                </w:p>
              </w:tc>
              <w:tc>
                <w:tcPr>
                  <w:tcW w:w="449" w:type="pct"/>
                  <w:tcBorders>
                    <w:tl2br w:val="nil"/>
                    <w:tr2bl w:val="nil"/>
                  </w:tcBorders>
                  <w:noWrap w:val="0"/>
                  <w:vAlign w:val="center"/>
                </w:tcPr>
                <w:p w14:paraId="5BE6054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Ⅱ类</w:t>
                  </w:r>
                </w:p>
              </w:tc>
              <w:tc>
                <w:tcPr>
                  <w:tcW w:w="711" w:type="pct"/>
                  <w:tcBorders>
                    <w:tl2br w:val="nil"/>
                    <w:tr2bl w:val="nil"/>
                  </w:tcBorders>
                  <w:noWrap w:val="0"/>
                  <w:vAlign w:val="center"/>
                </w:tcPr>
                <w:p w14:paraId="59FA09B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Ⅱ类</w:t>
                  </w:r>
                </w:p>
              </w:tc>
              <w:tc>
                <w:tcPr>
                  <w:tcW w:w="703" w:type="pct"/>
                  <w:tcBorders>
                    <w:tl2br w:val="nil"/>
                    <w:tr2bl w:val="nil"/>
                  </w:tcBorders>
                  <w:noWrap w:val="0"/>
                  <w:vAlign w:val="center"/>
                </w:tcPr>
                <w:p w14:paraId="0730591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val="en-US" w:eastAsia="zh-CN"/>
                    </w:rPr>
                  </w:pPr>
                  <w:r>
                    <w:rPr>
                      <w:rFonts w:hint="default" w:ascii="Times New Roman" w:hAnsi="Times New Roman" w:cs="Times New Roman" w:eastAsiaTheme="minorEastAsia"/>
                      <w:bCs/>
                      <w:color w:val="auto"/>
                      <w:sz w:val="21"/>
                      <w:szCs w:val="21"/>
                      <w:u w:val="none" w:color="auto"/>
                      <w:vertAlign w:val="baseline"/>
                      <w:lang w:val="en-US" w:eastAsia="zh-CN"/>
                    </w:rPr>
                    <w:t>/</w:t>
                  </w:r>
                </w:p>
              </w:tc>
            </w:tr>
            <w:tr w14:paraId="62C4E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2" w:type="pct"/>
                  <w:tcBorders>
                    <w:tl2br w:val="nil"/>
                    <w:tr2bl w:val="nil"/>
                  </w:tcBorders>
                  <w:noWrap w:val="0"/>
                  <w:vAlign w:val="center"/>
                </w:tcPr>
                <w:p w14:paraId="3F8A4E4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val="en-US" w:eastAsia="zh-CN"/>
                    </w:rPr>
                  </w:pPr>
                  <w:r>
                    <w:rPr>
                      <w:rFonts w:hint="default" w:ascii="Times New Roman" w:hAnsi="Times New Roman" w:cs="Times New Roman" w:eastAsiaTheme="minorEastAsia"/>
                      <w:bCs/>
                      <w:color w:val="auto"/>
                      <w:sz w:val="21"/>
                      <w:szCs w:val="21"/>
                      <w:u w:val="none" w:color="auto"/>
                      <w:vertAlign w:val="baseline"/>
                      <w:lang w:val="en-US" w:eastAsia="zh-CN"/>
                    </w:rPr>
                    <w:t>2</w:t>
                  </w:r>
                </w:p>
              </w:tc>
              <w:tc>
                <w:tcPr>
                  <w:tcW w:w="544" w:type="pct"/>
                  <w:vMerge w:val="continue"/>
                  <w:tcBorders>
                    <w:tl2br w:val="nil"/>
                    <w:tr2bl w:val="nil"/>
                  </w:tcBorders>
                  <w:noWrap w:val="0"/>
                  <w:vAlign w:val="center"/>
                </w:tcPr>
                <w:p w14:paraId="1595D15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p>
              </w:tc>
              <w:tc>
                <w:tcPr>
                  <w:tcW w:w="578" w:type="pct"/>
                  <w:vMerge w:val="continue"/>
                  <w:tcBorders>
                    <w:tl2br w:val="nil"/>
                    <w:tr2bl w:val="nil"/>
                  </w:tcBorders>
                  <w:noWrap w:val="0"/>
                  <w:vAlign w:val="center"/>
                </w:tcPr>
                <w:p w14:paraId="1A44891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p>
              </w:tc>
              <w:tc>
                <w:tcPr>
                  <w:tcW w:w="1008" w:type="pct"/>
                  <w:tcBorders>
                    <w:tl2br w:val="nil"/>
                    <w:tr2bl w:val="nil"/>
                  </w:tcBorders>
                  <w:noWrap w:val="0"/>
                  <w:vAlign w:val="center"/>
                </w:tcPr>
                <w:p w14:paraId="7335EDA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溆浦县水厂</w:t>
                  </w:r>
                </w:p>
              </w:tc>
              <w:tc>
                <w:tcPr>
                  <w:tcW w:w="563" w:type="pct"/>
                  <w:tcBorders>
                    <w:tl2br w:val="nil"/>
                    <w:tr2bl w:val="nil"/>
                  </w:tcBorders>
                  <w:noWrap w:val="0"/>
                  <w:vAlign w:val="center"/>
                </w:tcPr>
                <w:p w14:paraId="45416BD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省控</w:t>
                  </w:r>
                </w:p>
              </w:tc>
              <w:tc>
                <w:tcPr>
                  <w:tcW w:w="449" w:type="pct"/>
                  <w:tcBorders>
                    <w:tl2br w:val="nil"/>
                    <w:tr2bl w:val="nil"/>
                  </w:tcBorders>
                  <w:noWrap w:val="0"/>
                  <w:vAlign w:val="center"/>
                </w:tcPr>
                <w:p w14:paraId="6B3F524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Ⅱ类</w:t>
                  </w:r>
                </w:p>
              </w:tc>
              <w:tc>
                <w:tcPr>
                  <w:tcW w:w="711" w:type="pct"/>
                  <w:tcBorders>
                    <w:tl2br w:val="nil"/>
                    <w:tr2bl w:val="nil"/>
                  </w:tcBorders>
                  <w:noWrap w:val="0"/>
                  <w:vAlign w:val="center"/>
                </w:tcPr>
                <w:p w14:paraId="1888021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Ⅱ类</w:t>
                  </w:r>
                </w:p>
              </w:tc>
              <w:tc>
                <w:tcPr>
                  <w:tcW w:w="703" w:type="pct"/>
                  <w:tcBorders>
                    <w:tl2br w:val="nil"/>
                    <w:tr2bl w:val="nil"/>
                  </w:tcBorders>
                  <w:noWrap w:val="0"/>
                  <w:vAlign w:val="center"/>
                </w:tcPr>
                <w:p w14:paraId="4B66FAA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val="en-US" w:eastAsia="zh-CN"/>
                    </w:rPr>
                  </w:pPr>
                  <w:r>
                    <w:rPr>
                      <w:rFonts w:hint="default" w:ascii="Times New Roman" w:hAnsi="Times New Roman" w:cs="Times New Roman" w:eastAsiaTheme="minorEastAsia"/>
                      <w:bCs/>
                      <w:color w:val="auto"/>
                      <w:sz w:val="21"/>
                      <w:szCs w:val="21"/>
                      <w:u w:val="none" w:color="auto"/>
                      <w:vertAlign w:val="baseline"/>
                      <w:lang w:val="en-US" w:eastAsia="zh-CN"/>
                    </w:rPr>
                    <w:t>/</w:t>
                  </w:r>
                </w:p>
              </w:tc>
            </w:tr>
            <w:tr w14:paraId="541E2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2" w:type="pct"/>
                  <w:tcBorders>
                    <w:tl2br w:val="nil"/>
                    <w:tr2bl w:val="nil"/>
                  </w:tcBorders>
                  <w:noWrap w:val="0"/>
                  <w:vAlign w:val="center"/>
                </w:tcPr>
                <w:p w14:paraId="3319FE1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val="en-US" w:eastAsia="zh-CN"/>
                    </w:rPr>
                  </w:pPr>
                  <w:r>
                    <w:rPr>
                      <w:rFonts w:hint="default" w:ascii="Times New Roman" w:hAnsi="Times New Roman" w:cs="Times New Roman" w:eastAsiaTheme="minorEastAsia"/>
                      <w:bCs/>
                      <w:color w:val="auto"/>
                      <w:sz w:val="21"/>
                      <w:szCs w:val="21"/>
                      <w:u w:val="none" w:color="auto"/>
                      <w:vertAlign w:val="baseline"/>
                      <w:lang w:val="en-US" w:eastAsia="zh-CN"/>
                    </w:rPr>
                    <w:t>3</w:t>
                  </w:r>
                </w:p>
              </w:tc>
              <w:tc>
                <w:tcPr>
                  <w:tcW w:w="544" w:type="pct"/>
                  <w:vMerge w:val="continue"/>
                  <w:tcBorders>
                    <w:tl2br w:val="nil"/>
                    <w:tr2bl w:val="nil"/>
                  </w:tcBorders>
                  <w:noWrap w:val="0"/>
                  <w:vAlign w:val="center"/>
                </w:tcPr>
                <w:p w14:paraId="1B2A4C4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p>
              </w:tc>
              <w:tc>
                <w:tcPr>
                  <w:tcW w:w="578" w:type="pct"/>
                  <w:vMerge w:val="continue"/>
                  <w:tcBorders>
                    <w:tl2br w:val="nil"/>
                    <w:tr2bl w:val="nil"/>
                  </w:tcBorders>
                  <w:noWrap w:val="0"/>
                  <w:vAlign w:val="center"/>
                </w:tcPr>
                <w:p w14:paraId="5539515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p>
              </w:tc>
              <w:tc>
                <w:tcPr>
                  <w:tcW w:w="1008" w:type="pct"/>
                  <w:tcBorders>
                    <w:tl2br w:val="nil"/>
                    <w:tr2bl w:val="nil"/>
                  </w:tcBorders>
                  <w:noWrap w:val="0"/>
                  <w:vAlign w:val="center"/>
                </w:tcPr>
                <w:p w14:paraId="1DEC02C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仲夏村</w:t>
                  </w:r>
                </w:p>
              </w:tc>
              <w:tc>
                <w:tcPr>
                  <w:tcW w:w="563" w:type="pct"/>
                  <w:tcBorders>
                    <w:tl2br w:val="nil"/>
                    <w:tr2bl w:val="nil"/>
                  </w:tcBorders>
                  <w:noWrap w:val="0"/>
                  <w:vAlign w:val="center"/>
                </w:tcPr>
                <w:p w14:paraId="1C6C397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省控</w:t>
                  </w:r>
                </w:p>
              </w:tc>
              <w:tc>
                <w:tcPr>
                  <w:tcW w:w="449" w:type="pct"/>
                  <w:tcBorders>
                    <w:tl2br w:val="nil"/>
                    <w:tr2bl w:val="nil"/>
                  </w:tcBorders>
                  <w:noWrap w:val="0"/>
                  <w:vAlign w:val="center"/>
                </w:tcPr>
                <w:p w14:paraId="12002F6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Ⅱ类</w:t>
                  </w:r>
                </w:p>
              </w:tc>
              <w:tc>
                <w:tcPr>
                  <w:tcW w:w="711" w:type="pct"/>
                  <w:tcBorders>
                    <w:tl2br w:val="nil"/>
                    <w:tr2bl w:val="nil"/>
                  </w:tcBorders>
                  <w:noWrap w:val="0"/>
                  <w:vAlign w:val="center"/>
                </w:tcPr>
                <w:p w14:paraId="293252C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Ⅱ类</w:t>
                  </w:r>
                </w:p>
              </w:tc>
              <w:tc>
                <w:tcPr>
                  <w:tcW w:w="703" w:type="pct"/>
                  <w:tcBorders>
                    <w:tl2br w:val="nil"/>
                    <w:tr2bl w:val="nil"/>
                  </w:tcBorders>
                  <w:noWrap w:val="0"/>
                  <w:vAlign w:val="center"/>
                </w:tcPr>
                <w:p w14:paraId="099F3DB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val="en-US" w:eastAsia="zh-CN"/>
                    </w:rPr>
                  </w:pPr>
                  <w:r>
                    <w:rPr>
                      <w:rFonts w:hint="default" w:ascii="Times New Roman" w:hAnsi="Times New Roman" w:cs="Times New Roman" w:eastAsiaTheme="minorEastAsia"/>
                      <w:bCs/>
                      <w:color w:val="auto"/>
                      <w:sz w:val="21"/>
                      <w:szCs w:val="21"/>
                      <w:u w:val="none" w:color="auto"/>
                      <w:vertAlign w:val="baseline"/>
                      <w:lang w:val="en-US" w:eastAsia="zh-CN"/>
                    </w:rPr>
                    <w:t>/</w:t>
                  </w:r>
                </w:p>
              </w:tc>
            </w:tr>
            <w:tr w14:paraId="219AA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2" w:type="pct"/>
                  <w:tcBorders>
                    <w:tl2br w:val="nil"/>
                    <w:tr2bl w:val="nil"/>
                  </w:tcBorders>
                  <w:noWrap w:val="0"/>
                  <w:vAlign w:val="center"/>
                </w:tcPr>
                <w:p w14:paraId="0A16831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val="en-US" w:eastAsia="zh-CN"/>
                    </w:rPr>
                  </w:pPr>
                  <w:r>
                    <w:rPr>
                      <w:rFonts w:hint="default" w:ascii="Times New Roman" w:hAnsi="Times New Roman" w:cs="Times New Roman" w:eastAsiaTheme="minorEastAsia"/>
                      <w:bCs/>
                      <w:color w:val="auto"/>
                      <w:sz w:val="21"/>
                      <w:szCs w:val="21"/>
                      <w:u w:val="none" w:color="auto"/>
                      <w:vertAlign w:val="baseline"/>
                      <w:lang w:val="en-US" w:eastAsia="zh-CN"/>
                    </w:rPr>
                    <w:t>4</w:t>
                  </w:r>
                </w:p>
              </w:tc>
              <w:tc>
                <w:tcPr>
                  <w:tcW w:w="544" w:type="pct"/>
                  <w:vMerge w:val="continue"/>
                  <w:tcBorders>
                    <w:tl2br w:val="nil"/>
                    <w:tr2bl w:val="nil"/>
                  </w:tcBorders>
                  <w:noWrap w:val="0"/>
                  <w:vAlign w:val="center"/>
                </w:tcPr>
                <w:p w14:paraId="1A97850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p>
              </w:tc>
              <w:tc>
                <w:tcPr>
                  <w:tcW w:w="578" w:type="pct"/>
                  <w:vMerge w:val="continue"/>
                  <w:tcBorders>
                    <w:tl2br w:val="nil"/>
                    <w:tr2bl w:val="nil"/>
                  </w:tcBorders>
                  <w:noWrap w:val="0"/>
                  <w:vAlign w:val="center"/>
                </w:tcPr>
                <w:p w14:paraId="4FC2A5B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p>
              </w:tc>
              <w:tc>
                <w:tcPr>
                  <w:tcW w:w="1008" w:type="pct"/>
                  <w:tcBorders>
                    <w:tl2br w:val="nil"/>
                    <w:tr2bl w:val="nil"/>
                  </w:tcBorders>
                  <w:noWrap w:val="0"/>
                  <w:vAlign w:val="center"/>
                </w:tcPr>
                <w:p w14:paraId="672684A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溆水入沅江口</w:t>
                  </w:r>
                </w:p>
              </w:tc>
              <w:tc>
                <w:tcPr>
                  <w:tcW w:w="563" w:type="pct"/>
                  <w:tcBorders>
                    <w:tl2br w:val="nil"/>
                    <w:tr2bl w:val="nil"/>
                  </w:tcBorders>
                  <w:noWrap w:val="0"/>
                  <w:vAlign w:val="center"/>
                </w:tcPr>
                <w:p w14:paraId="73F2FCB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国控</w:t>
                  </w:r>
                </w:p>
              </w:tc>
              <w:tc>
                <w:tcPr>
                  <w:tcW w:w="449" w:type="pct"/>
                  <w:tcBorders>
                    <w:tl2br w:val="nil"/>
                    <w:tr2bl w:val="nil"/>
                  </w:tcBorders>
                  <w:noWrap w:val="0"/>
                  <w:vAlign w:val="center"/>
                </w:tcPr>
                <w:p w14:paraId="7D37740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Ⅱ类</w:t>
                  </w:r>
                </w:p>
              </w:tc>
              <w:tc>
                <w:tcPr>
                  <w:tcW w:w="711" w:type="pct"/>
                  <w:tcBorders>
                    <w:tl2br w:val="nil"/>
                    <w:tr2bl w:val="nil"/>
                  </w:tcBorders>
                  <w:noWrap w:val="0"/>
                  <w:vAlign w:val="center"/>
                </w:tcPr>
                <w:p w14:paraId="21C7E33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eastAsia="zh-CN"/>
                    </w:rPr>
                  </w:pPr>
                  <w:r>
                    <w:rPr>
                      <w:rFonts w:hint="default" w:ascii="Times New Roman" w:hAnsi="Times New Roman" w:cs="Times New Roman" w:eastAsiaTheme="minorEastAsia"/>
                      <w:bCs/>
                      <w:color w:val="auto"/>
                      <w:sz w:val="21"/>
                      <w:szCs w:val="21"/>
                      <w:u w:val="none" w:color="auto"/>
                      <w:vertAlign w:val="baseline"/>
                      <w:lang w:eastAsia="zh-CN"/>
                    </w:rPr>
                    <w:t>Ⅱ类</w:t>
                  </w:r>
                </w:p>
              </w:tc>
              <w:tc>
                <w:tcPr>
                  <w:tcW w:w="703" w:type="pct"/>
                  <w:tcBorders>
                    <w:tl2br w:val="nil"/>
                    <w:tr2bl w:val="nil"/>
                  </w:tcBorders>
                  <w:noWrap w:val="0"/>
                  <w:vAlign w:val="center"/>
                </w:tcPr>
                <w:p w14:paraId="33EB3A3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Cs/>
                      <w:color w:val="auto"/>
                      <w:sz w:val="21"/>
                      <w:szCs w:val="21"/>
                      <w:u w:val="none" w:color="auto"/>
                      <w:vertAlign w:val="baseline"/>
                      <w:lang w:val="en-US" w:eastAsia="zh-CN"/>
                    </w:rPr>
                  </w:pPr>
                  <w:r>
                    <w:rPr>
                      <w:rFonts w:hint="default" w:ascii="Times New Roman" w:hAnsi="Times New Roman" w:cs="Times New Roman" w:eastAsiaTheme="minorEastAsia"/>
                      <w:bCs/>
                      <w:color w:val="auto"/>
                      <w:sz w:val="21"/>
                      <w:szCs w:val="21"/>
                      <w:u w:val="none" w:color="auto"/>
                      <w:vertAlign w:val="baseline"/>
                      <w:lang w:val="en-US" w:eastAsia="zh-CN"/>
                    </w:rPr>
                    <w:t>/</w:t>
                  </w:r>
                </w:p>
              </w:tc>
            </w:tr>
          </w:tbl>
          <w:p w14:paraId="316439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color w:val="auto"/>
                <w:sz w:val="24"/>
                <w:szCs w:val="24"/>
                <w:u w:val="none" w:color="auto"/>
                <w:lang w:val="en-US" w:eastAsia="zh-CN"/>
              </w:rPr>
            </w:pPr>
            <w:r>
              <w:rPr>
                <w:rFonts w:hint="default" w:ascii="Times New Roman" w:hAnsi="Times New Roman" w:eastAsia="宋体" w:cs="Times New Roman"/>
                <w:b/>
                <w:color w:val="auto"/>
                <w:sz w:val="24"/>
                <w:szCs w:val="24"/>
                <w:u w:val="none" w:color="auto"/>
              </w:rPr>
              <w:t>表3-</w:t>
            </w:r>
            <w:r>
              <w:rPr>
                <w:rFonts w:hint="eastAsia" w:cs="Times New Roman"/>
                <w:b/>
                <w:color w:val="auto"/>
                <w:sz w:val="24"/>
                <w:szCs w:val="24"/>
                <w:u w:val="none" w:color="auto"/>
                <w:lang w:val="en-US" w:eastAsia="zh-CN"/>
              </w:rPr>
              <w:t>4</w:t>
            </w:r>
            <w:r>
              <w:rPr>
                <w:rFonts w:hint="default" w:ascii="Times New Roman" w:hAnsi="Times New Roman" w:eastAsia="宋体" w:cs="Times New Roman"/>
                <w:b/>
                <w:color w:val="auto"/>
                <w:sz w:val="24"/>
                <w:szCs w:val="24"/>
                <w:u w:val="none" w:color="auto"/>
              </w:rPr>
              <w:t xml:space="preserve">  </w:t>
            </w:r>
            <w:r>
              <w:rPr>
                <w:rFonts w:hint="eastAsia" w:cs="Times New Roman"/>
                <w:b/>
                <w:color w:val="auto"/>
                <w:sz w:val="24"/>
                <w:szCs w:val="24"/>
                <w:u w:val="none" w:color="auto"/>
                <w:lang w:val="en-US" w:eastAsia="zh-CN"/>
              </w:rPr>
              <w:t xml:space="preserve"> </w:t>
            </w:r>
            <w:r>
              <w:rPr>
                <w:rFonts w:hint="default" w:ascii="Times New Roman" w:hAnsi="Times New Roman" w:eastAsia="宋体" w:cs="Times New Roman"/>
                <w:b/>
                <w:color w:val="auto"/>
                <w:sz w:val="24"/>
                <w:szCs w:val="24"/>
                <w:u w:val="none" w:color="auto"/>
              </w:rPr>
              <w:t>202</w:t>
            </w:r>
            <w:r>
              <w:rPr>
                <w:rFonts w:hint="eastAsia" w:cs="Times New Roman"/>
                <w:b/>
                <w:color w:val="auto"/>
                <w:sz w:val="24"/>
                <w:szCs w:val="24"/>
                <w:u w:val="none" w:color="auto"/>
                <w:lang w:val="en-US" w:eastAsia="zh-CN"/>
              </w:rPr>
              <w:t>5</w:t>
            </w:r>
            <w:r>
              <w:rPr>
                <w:rFonts w:hint="default" w:ascii="Times New Roman" w:hAnsi="Times New Roman" w:eastAsia="宋体" w:cs="Times New Roman"/>
                <w:b/>
                <w:color w:val="auto"/>
                <w:sz w:val="24"/>
                <w:szCs w:val="24"/>
                <w:u w:val="none" w:color="auto"/>
              </w:rPr>
              <w:t>年</w:t>
            </w:r>
            <w:r>
              <w:rPr>
                <w:rFonts w:hint="eastAsia" w:cs="Times New Roman"/>
                <w:b/>
                <w:color w:val="auto"/>
                <w:sz w:val="24"/>
                <w:szCs w:val="24"/>
                <w:u w:val="none" w:color="auto"/>
                <w:lang w:val="en-US" w:eastAsia="zh-CN"/>
              </w:rPr>
              <w:t>溆水</w:t>
            </w:r>
            <w:r>
              <w:rPr>
                <w:rFonts w:hint="default" w:ascii="Times New Roman" w:hAnsi="Times New Roman" w:eastAsia="宋体" w:cs="Times New Roman"/>
                <w:b/>
                <w:color w:val="auto"/>
                <w:sz w:val="24"/>
                <w:szCs w:val="24"/>
                <w:u w:val="none" w:color="auto"/>
              </w:rPr>
              <w:t>水质</w:t>
            </w:r>
            <w:r>
              <w:rPr>
                <w:rFonts w:hint="eastAsia" w:cs="Times New Roman"/>
                <w:b/>
                <w:color w:val="auto"/>
                <w:sz w:val="24"/>
                <w:szCs w:val="24"/>
                <w:u w:val="none" w:color="auto"/>
                <w:lang w:val="en-US" w:eastAsia="zh-CN"/>
              </w:rPr>
              <w:t>状况</w:t>
            </w:r>
          </w:p>
          <w:p w14:paraId="15684ABE">
            <w:pPr>
              <w:pStyle w:val="122"/>
              <w:keepNext w:val="0"/>
              <w:keepLines w:val="0"/>
              <w:pageBreakBefore w:val="0"/>
              <w:widowControl w:val="0"/>
              <w:kinsoku/>
              <w:wordWrap/>
              <w:overflowPunct/>
              <w:topLinePunct w:val="0"/>
              <w:autoSpaceDE/>
              <w:autoSpaceDN/>
              <w:bidi w:val="0"/>
              <w:adjustRightInd/>
              <w:snapToGrid/>
              <w:spacing w:before="63" w:beforeLines="20" w:line="360" w:lineRule="auto"/>
              <w:jc w:val="both"/>
              <w:textAlignment w:val="auto"/>
              <w:rPr>
                <w:rFonts w:hint="default" w:ascii="Times New Roman" w:hAnsi="Times New Roman" w:cs="Times New Roman"/>
                <w:color w:val="auto"/>
                <w:sz w:val="24"/>
                <w:u w:val="none" w:color="auto"/>
              </w:rPr>
            </w:pPr>
            <w:r>
              <w:rPr>
                <w:rFonts w:hint="eastAsia" w:ascii="Times New Roman" w:hAnsi="Times New Roman" w:eastAsia="宋体" w:cs="Times New Roman"/>
                <w:bCs/>
                <w:color w:val="auto"/>
                <w:sz w:val="24"/>
                <w:u w:val="none" w:color="auto"/>
                <w:lang w:eastAsia="zh-CN"/>
              </w:rPr>
              <w:t>项目与</w:t>
            </w:r>
            <w:r>
              <w:rPr>
                <w:rFonts w:hint="default" w:ascii="Times New Roman" w:hAnsi="Times New Roman" w:eastAsia="宋体" w:cs="Times New Roman"/>
                <w:bCs/>
                <w:color w:val="auto"/>
                <w:sz w:val="24"/>
                <w:u w:val="none" w:color="auto"/>
                <w:lang w:eastAsia="zh-CN"/>
              </w:rPr>
              <w:t>龙潭</w:t>
            </w:r>
            <w:r>
              <w:rPr>
                <w:rFonts w:hint="eastAsia" w:ascii="Times New Roman" w:hAnsi="Times New Roman" w:eastAsia="宋体" w:cs="Times New Roman"/>
                <w:bCs/>
                <w:color w:val="auto"/>
                <w:sz w:val="24"/>
                <w:u w:val="none" w:color="auto"/>
                <w:lang w:eastAsia="zh-CN"/>
              </w:rPr>
              <w:t>溆水监测断面最近，</w:t>
            </w:r>
            <w:r>
              <w:rPr>
                <w:rFonts w:hint="default" w:ascii="Times New Roman" w:hAnsi="Times New Roman" w:eastAsia="宋体" w:cs="Times New Roman"/>
                <w:bCs/>
                <w:color w:val="auto"/>
                <w:sz w:val="24"/>
                <w:u w:val="none" w:color="auto"/>
              </w:rPr>
              <w:t>由上表分析评价可知，</w:t>
            </w:r>
            <w:r>
              <w:rPr>
                <w:rFonts w:hint="eastAsia" w:hAnsi="Times New Roman" w:cs="Times New Roman"/>
                <w:bCs/>
                <w:color w:val="auto"/>
                <w:sz w:val="24"/>
                <w:u w:val="none" w:color="auto"/>
                <w:lang w:val="en-US" w:eastAsia="zh-CN"/>
              </w:rPr>
              <w:t>2025年</w:t>
            </w:r>
            <w:r>
              <w:rPr>
                <w:rFonts w:hint="default" w:ascii="Times New Roman" w:hAnsi="Times New Roman" w:eastAsia="宋体" w:cs="Times New Roman"/>
                <w:bCs/>
                <w:color w:val="auto"/>
                <w:sz w:val="24"/>
                <w:u w:val="none" w:color="auto"/>
                <w:lang w:eastAsia="zh-CN"/>
              </w:rPr>
              <w:t>溆水监测断面</w:t>
            </w:r>
            <w:r>
              <w:rPr>
                <w:rFonts w:hint="default" w:ascii="Times New Roman" w:hAnsi="Times New Roman" w:eastAsia="宋体" w:cs="Times New Roman"/>
                <w:bCs/>
                <w:color w:val="auto"/>
                <w:sz w:val="24"/>
                <w:u w:val="none" w:color="auto"/>
              </w:rPr>
              <w:t>水质均达到《地表水环境质量标准》（GB3838-2002）</w:t>
            </w:r>
            <w:r>
              <w:rPr>
                <w:rFonts w:hint="default" w:ascii="Times New Roman" w:hAnsi="Times New Roman" w:eastAsia="宋体" w:cs="Times New Roman"/>
                <w:color w:val="auto"/>
                <w:sz w:val="24"/>
                <w:u w:val="none" w:color="auto"/>
              </w:rPr>
              <w:t>Ⅱ</w:t>
            </w:r>
            <w:r>
              <w:rPr>
                <w:rFonts w:hint="default" w:ascii="Times New Roman" w:hAnsi="Times New Roman" w:eastAsia="宋体" w:cs="Times New Roman"/>
                <w:bCs/>
                <w:color w:val="auto"/>
                <w:sz w:val="24"/>
                <w:u w:val="none" w:color="auto"/>
              </w:rPr>
              <w:t>类标准，区域地表水环境</w:t>
            </w:r>
            <w:r>
              <w:rPr>
                <w:rFonts w:hint="eastAsia" w:ascii="Times New Roman" w:hAnsi="Times New Roman" w:eastAsia="宋体" w:cs="Times New Roman"/>
                <w:bCs/>
                <w:color w:val="auto"/>
                <w:sz w:val="24"/>
                <w:u w:val="none" w:color="auto"/>
                <w:lang w:val="en-US" w:eastAsia="zh-CN"/>
              </w:rPr>
              <w:t>达标</w:t>
            </w:r>
            <w:r>
              <w:rPr>
                <w:rFonts w:hint="default" w:ascii="Times New Roman" w:hAnsi="Times New Roman" w:eastAsia="宋体" w:cs="Times New Roman"/>
                <w:bCs/>
                <w:color w:val="auto"/>
                <w:sz w:val="24"/>
                <w:u w:val="none" w:color="auto"/>
              </w:rPr>
              <w:t>。</w:t>
            </w:r>
          </w:p>
          <w:p w14:paraId="4EFA06C2">
            <w:pPr>
              <w:keepNext w:val="0"/>
              <w:keepLines w:val="0"/>
              <w:pageBreakBefore w:val="0"/>
              <w:widowControl w:val="0"/>
              <w:kinsoku/>
              <w:wordWrap/>
              <w:overflowPunct/>
              <w:topLinePunct w:val="0"/>
              <w:autoSpaceDE/>
              <w:autoSpaceDN/>
              <w:bidi w:val="0"/>
              <w:adjustRightInd/>
              <w:snapToGrid/>
              <w:spacing w:before="63" w:beforeLines="20" w:line="360" w:lineRule="auto"/>
              <w:ind w:firstLine="482" w:firstLineChars="200"/>
              <w:textAlignment w:val="auto"/>
              <w:rPr>
                <w:rFonts w:hint="default" w:ascii="Times New Roman" w:hAnsi="Times New Roman" w:cs="Times New Roman"/>
                <w:bCs/>
                <w:color w:val="auto"/>
                <w:sz w:val="24"/>
              </w:rPr>
            </w:pPr>
            <w:r>
              <w:rPr>
                <w:rFonts w:hint="default" w:ascii="Times New Roman" w:hAnsi="Times New Roman" w:cs="Times New Roman"/>
                <w:b/>
                <w:bCs/>
                <w:color w:val="auto"/>
                <w:sz w:val="24"/>
              </w:rPr>
              <w:t>3</w:t>
            </w:r>
            <w:bookmarkStart w:id="37" w:name="_GoBack"/>
            <w:bookmarkEnd w:id="37"/>
          </w:p>
          <w:p w14:paraId="1FF57791">
            <w:pPr>
              <w:pStyle w:val="47"/>
              <w:adjustRightInd/>
              <w:spacing w:line="360" w:lineRule="auto"/>
              <w:rPr>
                <w:rFonts w:hint="default" w:ascii="Times New Roman" w:hAnsi="Times New Roman" w:cs="Times New Roman"/>
                <w:b/>
                <w:bCs/>
                <w:color w:val="auto"/>
                <w:kern w:val="2"/>
              </w:rPr>
            </w:pPr>
            <w:r>
              <w:rPr>
                <w:rFonts w:hint="default" w:ascii="Times New Roman" w:hAnsi="Times New Roman" w:cs="Times New Roman"/>
                <w:b/>
                <w:bCs/>
                <w:color w:val="auto"/>
                <w:kern w:val="2"/>
              </w:rPr>
              <w:t>4、生态环境现状</w:t>
            </w:r>
          </w:p>
          <w:p w14:paraId="218970DD">
            <w:pPr>
              <w:pStyle w:val="13"/>
              <w:spacing w:after="0" w:line="360" w:lineRule="auto"/>
              <w:ind w:left="0" w:leftChars="0" w:firstLine="480"/>
              <w:rPr>
                <w:rFonts w:hint="default" w:ascii="Times New Roman" w:hAnsi="Times New Roman" w:cs="Times New Roman"/>
                <w:color w:val="auto"/>
                <w:kern w:val="2"/>
                <w:szCs w:val="24"/>
                <w:lang w:val="en-US" w:eastAsia="zh-CN"/>
              </w:rPr>
            </w:pPr>
            <w:r>
              <w:rPr>
                <w:rFonts w:hint="default" w:ascii="Times New Roman" w:hAnsi="Times New Roman" w:cs="Times New Roman"/>
                <w:color w:val="auto"/>
                <w:kern w:val="2"/>
                <w:szCs w:val="24"/>
                <w:lang w:val="en-US" w:eastAsia="zh-CN"/>
              </w:rPr>
              <w:t>项目位于龙潭镇</w:t>
            </w:r>
            <w:r>
              <w:rPr>
                <w:rFonts w:hint="eastAsia" w:cs="Times New Roman"/>
                <w:color w:val="auto"/>
                <w:kern w:val="2"/>
                <w:szCs w:val="24"/>
                <w:lang w:val="en-US" w:eastAsia="zh-CN"/>
              </w:rPr>
              <w:t>岩板村</w:t>
            </w:r>
            <w:r>
              <w:rPr>
                <w:rFonts w:hint="default" w:ascii="Times New Roman" w:hAnsi="Times New Roman" w:cs="Times New Roman"/>
                <w:color w:val="auto"/>
                <w:kern w:val="2"/>
                <w:szCs w:val="24"/>
                <w:lang w:val="en-US" w:eastAsia="zh-CN"/>
              </w:rPr>
              <w:t>，周围、区域自然植被少，主要为人工种植的树木，项目区域内无珍稀动、植物也无古稀树木和保护树种，因此区域生态系统敏感程度低。</w:t>
            </w:r>
          </w:p>
          <w:p w14:paraId="40FAB2AD">
            <w:pPr>
              <w:pStyle w:val="47"/>
              <w:adjustRightInd/>
              <w:spacing w:line="360" w:lineRule="auto"/>
              <w:rPr>
                <w:rFonts w:hint="default" w:ascii="Times New Roman" w:hAnsi="Times New Roman" w:cs="Times New Roman"/>
                <w:b/>
                <w:bCs/>
                <w:color w:val="auto"/>
                <w:kern w:val="2"/>
              </w:rPr>
            </w:pPr>
            <w:r>
              <w:rPr>
                <w:rFonts w:hint="default" w:ascii="Times New Roman" w:hAnsi="Times New Roman" w:cs="Times New Roman"/>
                <w:b/>
                <w:bCs/>
                <w:color w:val="auto"/>
                <w:kern w:val="2"/>
              </w:rPr>
              <w:t>5、地下水、土壤环境现状</w:t>
            </w:r>
          </w:p>
          <w:p w14:paraId="762DE82D">
            <w:pPr>
              <w:pStyle w:val="13"/>
              <w:spacing w:after="0" w:line="360" w:lineRule="auto"/>
              <w:ind w:left="0" w:leftChars="0" w:firstLine="480"/>
              <w:rPr>
                <w:rFonts w:hint="default" w:ascii="Times New Roman" w:hAnsi="Times New Roman" w:cs="Times New Roman"/>
                <w:color w:val="auto"/>
                <w:kern w:val="2"/>
                <w:szCs w:val="24"/>
                <w:lang w:val="en-US" w:eastAsia="zh-CN"/>
              </w:rPr>
            </w:pPr>
            <w:r>
              <w:rPr>
                <w:rFonts w:hint="default" w:ascii="Times New Roman" w:hAnsi="Times New Roman" w:cs="Times New Roman"/>
                <w:color w:val="auto"/>
                <w:kern w:val="2"/>
                <w:szCs w:val="24"/>
                <w:lang w:val="en-US" w:eastAsia="zh-CN"/>
              </w:rPr>
              <w:t>根据生态环境部办公厅2020年12月24日印发的《建设项目环境影响报告表编制技术指南（污染影响类）（试行）》中的要求：</w:t>
            </w:r>
            <w:r>
              <w:rPr>
                <w:rFonts w:hint="eastAsia" w:cs="Times New Roman"/>
                <w:color w:val="auto"/>
                <w:kern w:val="2"/>
                <w:szCs w:val="24"/>
                <w:lang w:val="en-US" w:eastAsia="zh-CN"/>
              </w:rPr>
              <w:t>“</w:t>
            </w:r>
            <w:r>
              <w:rPr>
                <w:rFonts w:hint="default" w:ascii="Times New Roman" w:hAnsi="Times New Roman" w:cs="Times New Roman"/>
                <w:color w:val="auto"/>
                <w:kern w:val="2"/>
                <w:szCs w:val="24"/>
                <w:lang w:val="en-US" w:eastAsia="zh-CN"/>
              </w:rPr>
              <w:t>地下水、土壤环境。原则上不开展环境质量现状调查。建设项目存在土壤、地下水环境污染途径的，应结合污染源、保护目标分布情况开展现状调查以留作背景值。</w:t>
            </w:r>
            <w:r>
              <w:rPr>
                <w:rFonts w:hint="eastAsia" w:cs="Times New Roman"/>
                <w:color w:val="auto"/>
                <w:kern w:val="2"/>
                <w:szCs w:val="24"/>
                <w:lang w:val="en-US" w:eastAsia="zh-CN"/>
              </w:rPr>
              <w:t>”</w:t>
            </w:r>
            <w:r>
              <w:rPr>
                <w:rFonts w:hint="default" w:ascii="Times New Roman" w:hAnsi="Times New Roman" w:cs="Times New Roman"/>
                <w:color w:val="auto"/>
                <w:kern w:val="2"/>
                <w:szCs w:val="24"/>
                <w:lang w:val="en-US" w:eastAsia="zh-CN"/>
              </w:rPr>
              <w:t>结合本项目工程分析，本</w:t>
            </w:r>
            <w:r>
              <w:rPr>
                <w:rFonts w:hint="eastAsia" w:cs="Times New Roman"/>
                <w:color w:val="auto"/>
                <w:kern w:val="2"/>
                <w:szCs w:val="24"/>
                <w:lang w:val="en-US" w:eastAsia="zh-CN"/>
              </w:rPr>
              <w:t>项目</w:t>
            </w:r>
            <w:r>
              <w:rPr>
                <w:rFonts w:hint="default" w:ascii="Times New Roman" w:hAnsi="Times New Roman" w:cs="Times New Roman"/>
                <w:color w:val="auto"/>
                <w:kern w:val="2"/>
                <w:szCs w:val="24"/>
                <w:lang w:val="en-US" w:eastAsia="zh-CN"/>
              </w:rPr>
              <w:t>地面均按要求进行防渗措施，故项目不存在土壤、地下水环境污染途径，因此，可不开展土壤、地下水环境质量现状调查。</w:t>
            </w:r>
          </w:p>
          <w:p w14:paraId="5C7D00E7">
            <w:pPr>
              <w:rPr>
                <w:rFonts w:hint="default"/>
                <w:color w:val="auto"/>
                <w:lang w:val="en-US" w:eastAsia="zh-CN"/>
              </w:rPr>
            </w:pPr>
          </w:p>
          <w:p w14:paraId="12214442">
            <w:pPr>
              <w:rPr>
                <w:rFonts w:hint="default"/>
                <w:color w:val="auto"/>
                <w:lang w:val="en-US" w:eastAsia="zh-CN"/>
              </w:rPr>
            </w:pPr>
          </w:p>
        </w:tc>
      </w:tr>
      <w:tr w14:paraId="15461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9" w:hRule="atLeast"/>
          <w:jc w:val="center"/>
        </w:trPr>
        <w:tc>
          <w:tcPr>
            <w:tcW w:w="844" w:type="dxa"/>
            <w:vAlign w:val="center"/>
          </w:tcPr>
          <w:p w14:paraId="329332FF">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w:t>
            </w:r>
          </w:p>
          <w:p w14:paraId="6B88106C">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保护</w:t>
            </w:r>
          </w:p>
          <w:p w14:paraId="09BF0B8C">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目标</w:t>
            </w:r>
          </w:p>
        </w:tc>
        <w:tc>
          <w:tcPr>
            <w:tcW w:w="7804" w:type="dxa"/>
            <w:vAlign w:val="center"/>
          </w:tcPr>
          <w:p w14:paraId="42AA871A">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textAlignment w:val="auto"/>
              <w:rPr>
                <w:color w:val="auto"/>
                <w:kern w:val="0"/>
                <w:sz w:val="24"/>
              </w:rPr>
            </w:pPr>
            <w:r>
              <w:rPr>
                <w:color w:val="auto"/>
                <w:kern w:val="0"/>
                <w:sz w:val="24"/>
              </w:rPr>
              <w:t>经初步调查，本次评价范围内无风景名胜区、饮用水源地等敏感点。项目厂区周边环境保护目标详见下表及附图</w:t>
            </w:r>
            <w:r>
              <w:rPr>
                <w:rFonts w:hint="eastAsia"/>
                <w:color w:val="auto"/>
                <w:kern w:val="0"/>
                <w:sz w:val="24"/>
                <w:lang w:val="en-US" w:eastAsia="zh-CN"/>
              </w:rPr>
              <w:t>3</w:t>
            </w:r>
            <w:r>
              <w:rPr>
                <w:color w:val="auto"/>
                <w:kern w:val="0"/>
                <w:sz w:val="24"/>
              </w:rPr>
              <w:t>。</w:t>
            </w:r>
          </w:p>
          <w:p w14:paraId="3BA3BE59">
            <w:pPr>
              <w:pStyle w:val="127"/>
              <w:topLinePunct/>
              <w:rPr>
                <w:rFonts w:ascii="Times New Roman" w:hAnsi="Times New Roman"/>
                <w:bCs/>
                <w:color w:val="auto"/>
                <w:kern w:val="2"/>
                <w:sz w:val="24"/>
              </w:rPr>
            </w:pPr>
            <w:r>
              <w:rPr>
                <w:rFonts w:ascii="Times New Roman" w:hAnsi="Times New Roman"/>
                <w:bCs/>
                <w:color w:val="auto"/>
                <w:kern w:val="2"/>
                <w:sz w:val="24"/>
              </w:rPr>
              <w:t>表3-</w:t>
            </w:r>
            <w:r>
              <w:rPr>
                <w:rFonts w:hint="eastAsia" w:ascii="Times New Roman" w:hAnsi="Times New Roman"/>
                <w:bCs/>
                <w:color w:val="auto"/>
                <w:kern w:val="2"/>
                <w:sz w:val="24"/>
                <w:lang w:val="en-US" w:eastAsia="zh-CN"/>
              </w:rPr>
              <w:t>6</w:t>
            </w:r>
            <w:r>
              <w:rPr>
                <w:rFonts w:hint="eastAsia" w:ascii="Times New Roman" w:hAnsi="Times New Roman"/>
                <w:bCs/>
                <w:color w:val="auto"/>
                <w:kern w:val="2"/>
                <w:sz w:val="24"/>
              </w:rPr>
              <w:t xml:space="preserve">   </w:t>
            </w:r>
            <w:r>
              <w:rPr>
                <w:rFonts w:ascii="Times New Roman" w:hAnsi="Times New Roman"/>
                <w:bCs/>
                <w:color w:val="auto"/>
                <w:kern w:val="2"/>
                <w:sz w:val="24"/>
              </w:rPr>
              <w:t>环境保护目标一览表</w:t>
            </w:r>
          </w:p>
          <w:tbl>
            <w:tblPr>
              <w:tblStyle w:val="32"/>
              <w:tblW w:w="76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96"/>
              <w:gridCol w:w="999"/>
              <w:gridCol w:w="600"/>
              <w:gridCol w:w="630"/>
              <w:gridCol w:w="799"/>
              <w:gridCol w:w="854"/>
              <w:gridCol w:w="774"/>
              <w:gridCol w:w="857"/>
              <w:gridCol w:w="1547"/>
            </w:tblGrid>
            <w:tr w14:paraId="0F636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8" w:hRule="atLeast"/>
                <w:jc w:val="center"/>
              </w:trPr>
              <w:tc>
                <w:tcPr>
                  <w:tcW w:w="596" w:type="dxa"/>
                  <w:vMerge w:val="restart"/>
                  <w:tcBorders>
                    <w:tl2br w:val="nil"/>
                    <w:tr2bl w:val="nil"/>
                  </w:tcBorders>
                  <w:noWrap w:val="0"/>
                  <w:vAlign w:val="center"/>
                </w:tcPr>
                <w:p w14:paraId="0C2C68FB">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w:t>
                  </w:r>
                </w:p>
                <w:p w14:paraId="131BBB51">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要素</w:t>
                  </w:r>
                </w:p>
              </w:tc>
              <w:tc>
                <w:tcPr>
                  <w:tcW w:w="999" w:type="dxa"/>
                  <w:vMerge w:val="restart"/>
                  <w:tcBorders>
                    <w:tl2br w:val="nil"/>
                    <w:tr2bl w:val="nil"/>
                  </w:tcBorders>
                  <w:noWrap w:val="0"/>
                  <w:vAlign w:val="center"/>
                </w:tcPr>
                <w:p w14:paraId="04C03E43">
                  <w:pPr>
                    <w:pStyle w:val="129"/>
                    <w:spacing w:line="240" w:lineRule="auto"/>
                    <w:rPr>
                      <w:color w:val="auto"/>
                      <w:szCs w:val="21"/>
                    </w:rPr>
                  </w:pPr>
                  <w:r>
                    <w:rPr>
                      <w:color w:val="auto"/>
                      <w:szCs w:val="21"/>
                    </w:rPr>
                    <w:t>保护目标名称</w:t>
                  </w:r>
                </w:p>
              </w:tc>
              <w:tc>
                <w:tcPr>
                  <w:tcW w:w="1230" w:type="dxa"/>
                  <w:gridSpan w:val="2"/>
                  <w:tcBorders>
                    <w:tl2br w:val="nil"/>
                    <w:tr2bl w:val="nil"/>
                  </w:tcBorders>
                  <w:noWrap w:val="0"/>
                  <w:vAlign w:val="center"/>
                </w:tcPr>
                <w:p w14:paraId="62B4BBA4">
                  <w:pPr>
                    <w:pStyle w:val="129"/>
                    <w:spacing w:line="240" w:lineRule="auto"/>
                    <w:rPr>
                      <w:color w:val="auto"/>
                      <w:szCs w:val="21"/>
                    </w:rPr>
                  </w:pPr>
                  <w:r>
                    <w:rPr>
                      <w:color w:val="auto"/>
                      <w:szCs w:val="21"/>
                    </w:rPr>
                    <w:t>坐标</w:t>
                  </w:r>
                </w:p>
              </w:tc>
              <w:tc>
                <w:tcPr>
                  <w:tcW w:w="799" w:type="dxa"/>
                  <w:vMerge w:val="restart"/>
                  <w:tcBorders>
                    <w:tl2br w:val="nil"/>
                    <w:tr2bl w:val="nil"/>
                  </w:tcBorders>
                  <w:noWrap w:val="0"/>
                  <w:vAlign w:val="center"/>
                </w:tcPr>
                <w:p w14:paraId="09013E6B">
                  <w:pPr>
                    <w:pStyle w:val="129"/>
                    <w:spacing w:line="240" w:lineRule="auto"/>
                    <w:rPr>
                      <w:color w:val="auto"/>
                      <w:szCs w:val="21"/>
                    </w:rPr>
                  </w:pPr>
                  <w:r>
                    <w:rPr>
                      <w:color w:val="auto"/>
                      <w:szCs w:val="21"/>
                    </w:rPr>
                    <w:t>方位</w:t>
                  </w:r>
                </w:p>
              </w:tc>
              <w:tc>
                <w:tcPr>
                  <w:tcW w:w="854" w:type="dxa"/>
                  <w:vMerge w:val="restart"/>
                  <w:tcBorders>
                    <w:tl2br w:val="nil"/>
                    <w:tr2bl w:val="nil"/>
                  </w:tcBorders>
                  <w:noWrap w:val="0"/>
                  <w:vAlign w:val="center"/>
                </w:tcPr>
                <w:p w14:paraId="73213F52">
                  <w:pPr>
                    <w:pStyle w:val="129"/>
                    <w:spacing w:line="240" w:lineRule="auto"/>
                    <w:rPr>
                      <w:color w:val="auto"/>
                      <w:szCs w:val="21"/>
                    </w:rPr>
                  </w:pPr>
                  <w:r>
                    <w:rPr>
                      <w:color w:val="auto"/>
                      <w:szCs w:val="21"/>
                    </w:rPr>
                    <w:t>距离</w:t>
                  </w:r>
                </w:p>
                <w:p w14:paraId="3F719E89">
                  <w:pPr>
                    <w:pStyle w:val="129"/>
                    <w:spacing w:line="240" w:lineRule="auto"/>
                    <w:rPr>
                      <w:color w:val="auto"/>
                      <w:szCs w:val="21"/>
                    </w:rPr>
                  </w:pPr>
                  <w:r>
                    <w:rPr>
                      <w:color w:val="auto"/>
                      <w:szCs w:val="21"/>
                    </w:rPr>
                    <w:t>（m）</w:t>
                  </w:r>
                </w:p>
              </w:tc>
              <w:tc>
                <w:tcPr>
                  <w:tcW w:w="774" w:type="dxa"/>
                  <w:vMerge w:val="restart"/>
                  <w:tcBorders>
                    <w:tl2br w:val="nil"/>
                    <w:tr2bl w:val="nil"/>
                  </w:tcBorders>
                  <w:noWrap w:val="0"/>
                  <w:vAlign w:val="center"/>
                </w:tcPr>
                <w:p w14:paraId="2D59DA9C">
                  <w:pPr>
                    <w:pStyle w:val="129"/>
                    <w:spacing w:line="240" w:lineRule="auto"/>
                    <w:rPr>
                      <w:color w:val="auto"/>
                      <w:szCs w:val="21"/>
                    </w:rPr>
                  </w:pPr>
                  <w:r>
                    <w:rPr>
                      <w:color w:val="auto"/>
                      <w:szCs w:val="21"/>
                    </w:rPr>
                    <w:t>性质</w:t>
                  </w:r>
                </w:p>
              </w:tc>
              <w:tc>
                <w:tcPr>
                  <w:tcW w:w="857" w:type="dxa"/>
                  <w:vMerge w:val="restart"/>
                  <w:tcBorders>
                    <w:tl2br w:val="nil"/>
                    <w:tr2bl w:val="nil"/>
                  </w:tcBorders>
                  <w:noWrap w:val="0"/>
                  <w:vAlign w:val="center"/>
                </w:tcPr>
                <w:p w14:paraId="68364EA6">
                  <w:pPr>
                    <w:pStyle w:val="129"/>
                    <w:spacing w:line="240" w:lineRule="auto"/>
                    <w:rPr>
                      <w:color w:val="auto"/>
                      <w:szCs w:val="21"/>
                    </w:rPr>
                  </w:pPr>
                  <w:r>
                    <w:rPr>
                      <w:color w:val="auto"/>
                      <w:szCs w:val="21"/>
                    </w:rPr>
                    <w:t>规模</w:t>
                  </w:r>
                </w:p>
              </w:tc>
              <w:tc>
                <w:tcPr>
                  <w:tcW w:w="1547" w:type="dxa"/>
                  <w:vMerge w:val="restart"/>
                  <w:tcBorders>
                    <w:tl2br w:val="nil"/>
                    <w:tr2bl w:val="nil"/>
                  </w:tcBorders>
                  <w:noWrap w:val="0"/>
                  <w:vAlign w:val="center"/>
                </w:tcPr>
                <w:p w14:paraId="69F8EF75">
                  <w:pPr>
                    <w:pStyle w:val="129"/>
                    <w:spacing w:line="240" w:lineRule="auto"/>
                    <w:rPr>
                      <w:color w:val="auto"/>
                      <w:szCs w:val="21"/>
                    </w:rPr>
                  </w:pPr>
                  <w:r>
                    <w:rPr>
                      <w:color w:val="auto"/>
                      <w:szCs w:val="21"/>
                    </w:rPr>
                    <w:t>保护级别</w:t>
                  </w:r>
                </w:p>
              </w:tc>
            </w:tr>
            <w:tr w14:paraId="09479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36" w:hRule="atLeast"/>
                <w:jc w:val="center"/>
              </w:trPr>
              <w:tc>
                <w:tcPr>
                  <w:tcW w:w="596" w:type="dxa"/>
                  <w:vMerge w:val="continue"/>
                  <w:tcBorders>
                    <w:tl2br w:val="nil"/>
                    <w:tr2bl w:val="nil"/>
                  </w:tcBorders>
                  <w:noWrap w:val="0"/>
                  <w:vAlign w:val="center"/>
                </w:tcPr>
                <w:p w14:paraId="4CFB43B1">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p>
              </w:tc>
              <w:tc>
                <w:tcPr>
                  <w:tcW w:w="999" w:type="dxa"/>
                  <w:vMerge w:val="continue"/>
                  <w:tcBorders>
                    <w:tl2br w:val="nil"/>
                    <w:tr2bl w:val="nil"/>
                  </w:tcBorders>
                  <w:noWrap w:val="0"/>
                  <w:vAlign w:val="center"/>
                </w:tcPr>
                <w:p w14:paraId="7045C3FA">
                  <w:pPr>
                    <w:pStyle w:val="129"/>
                    <w:spacing w:line="240" w:lineRule="auto"/>
                    <w:rPr>
                      <w:color w:val="auto"/>
                      <w:szCs w:val="21"/>
                    </w:rPr>
                  </w:pPr>
                </w:p>
              </w:tc>
              <w:tc>
                <w:tcPr>
                  <w:tcW w:w="600" w:type="dxa"/>
                  <w:tcBorders>
                    <w:tl2br w:val="nil"/>
                    <w:tr2bl w:val="nil"/>
                  </w:tcBorders>
                  <w:noWrap w:val="0"/>
                  <w:vAlign w:val="center"/>
                </w:tcPr>
                <w:p w14:paraId="235D1DCA">
                  <w:pPr>
                    <w:pStyle w:val="129"/>
                    <w:spacing w:line="240" w:lineRule="auto"/>
                    <w:rPr>
                      <w:color w:val="auto"/>
                      <w:szCs w:val="21"/>
                    </w:rPr>
                  </w:pPr>
                  <w:r>
                    <w:rPr>
                      <w:color w:val="auto"/>
                      <w:szCs w:val="21"/>
                    </w:rPr>
                    <w:t>X</w:t>
                  </w:r>
                </w:p>
              </w:tc>
              <w:tc>
                <w:tcPr>
                  <w:tcW w:w="630" w:type="dxa"/>
                  <w:tcBorders>
                    <w:tl2br w:val="nil"/>
                    <w:tr2bl w:val="nil"/>
                  </w:tcBorders>
                  <w:noWrap w:val="0"/>
                  <w:vAlign w:val="center"/>
                </w:tcPr>
                <w:p w14:paraId="158C0077">
                  <w:pPr>
                    <w:pStyle w:val="129"/>
                    <w:spacing w:line="240" w:lineRule="auto"/>
                    <w:rPr>
                      <w:color w:val="auto"/>
                      <w:szCs w:val="21"/>
                    </w:rPr>
                  </w:pPr>
                  <w:r>
                    <w:rPr>
                      <w:color w:val="auto"/>
                      <w:szCs w:val="21"/>
                    </w:rPr>
                    <w:t>Y</w:t>
                  </w:r>
                </w:p>
              </w:tc>
              <w:tc>
                <w:tcPr>
                  <w:tcW w:w="799" w:type="dxa"/>
                  <w:vMerge w:val="continue"/>
                  <w:tcBorders>
                    <w:tl2br w:val="nil"/>
                    <w:tr2bl w:val="nil"/>
                  </w:tcBorders>
                  <w:noWrap w:val="0"/>
                  <w:vAlign w:val="center"/>
                </w:tcPr>
                <w:p w14:paraId="78813731">
                  <w:pPr>
                    <w:pStyle w:val="129"/>
                    <w:spacing w:line="240" w:lineRule="auto"/>
                    <w:rPr>
                      <w:color w:val="auto"/>
                      <w:szCs w:val="21"/>
                    </w:rPr>
                  </w:pPr>
                </w:p>
              </w:tc>
              <w:tc>
                <w:tcPr>
                  <w:tcW w:w="854" w:type="dxa"/>
                  <w:vMerge w:val="continue"/>
                  <w:tcBorders>
                    <w:tl2br w:val="nil"/>
                    <w:tr2bl w:val="nil"/>
                  </w:tcBorders>
                  <w:noWrap w:val="0"/>
                  <w:vAlign w:val="center"/>
                </w:tcPr>
                <w:p w14:paraId="087471B6">
                  <w:pPr>
                    <w:pStyle w:val="129"/>
                    <w:spacing w:line="240" w:lineRule="auto"/>
                    <w:rPr>
                      <w:color w:val="auto"/>
                      <w:szCs w:val="21"/>
                    </w:rPr>
                  </w:pPr>
                </w:p>
              </w:tc>
              <w:tc>
                <w:tcPr>
                  <w:tcW w:w="774" w:type="dxa"/>
                  <w:vMerge w:val="continue"/>
                  <w:tcBorders>
                    <w:tl2br w:val="nil"/>
                    <w:tr2bl w:val="nil"/>
                  </w:tcBorders>
                  <w:noWrap w:val="0"/>
                  <w:vAlign w:val="center"/>
                </w:tcPr>
                <w:p w14:paraId="4CBA548D">
                  <w:pPr>
                    <w:pStyle w:val="129"/>
                    <w:spacing w:line="240" w:lineRule="auto"/>
                    <w:rPr>
                      <w:color w:val="auto"/>
                      <w:szCs w:val="21"/>
                    </w:rPr>
                  </w:pPr>
                </w:p>
              </w:tc>
              <w:tc>
                <w:tcPr>
                  <w:tcW w:w="857" w:type="dxa"/>
                  <w:vMerge w:val="continue"/>
                  <w:tcBorders>
                    <w:tl2br w:val="nil"/>
                    <w:tr2bl w:val="nil"/>
                  </w:tcBorders>
                  <w:noWrap w:val="0"/>
                  <w:vAlign w:val="center"/>
                </w:tcPr>
                <w:p w14:paraId="44D328B6">
                  <w:pPr>
                    <w:pStyle w:val="129"/>
                    <w:spacing w:line="240" w:lineRule="auto"/>
                    <w:rPr>
                      <w:color w:val="auto"/>
                      <w:szCs w:val="21"/>
                    </w:rPr>
                  </w:pPr>
                </w:p>
              </w:tc>
              <w:tc>
                <w:tcPr>
                  <w:tcW w:w="1547" w:type="dxa"/>
                  <w:vMerge w:val="continue"/>
                  <w:tcBorders>
                    <w:tl2br w:val="nil"/>
                    <w:tr2bl w:val="nil"/>
                  </w:tcBorders>
                  <w:noWrap w:val="0"/>
                  <w:vAlign w:val="center"/>
                </w:tcPr>
                <w:p w14:paraId="44D561D0">
                  <w:pPr>
                    <w:pStyle w:val="129"/>
                    <w:spacing w:line="240" w:lineRule="auto"/>
                    <w:rPr>
                      <w:color w:val="auto"/>
                      <w:szCs w:val="21"/>
                    </w:rPr>
                  </w:pPr>
                </w:p>
              </w:tc>
            </w:tr>
            <w:tr w14:paraId="0FA7E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60" w:hRule="atLeast"/>
                <w:jc w:val="center"/>
              </w:trPr>
              <w:tc>
                <w:tcPr>
                  <w:tcW w:w="596" w:type="dxa"/>
                  <w:vMerge w:val="restart"/>
                  <w:tcBorders>
                    <w:tl2br w:val="nil"/>
                    <w:tr2bl w:val="nil"/>
                  </w:tcBorders>
                  <w:noWrap w:val="0"/>
                  <w:vAlign w:val="center"/>
                </w:tcPr>
                <w:p w14:paraId="1F4CE85D">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大气环境</w:t>
                  </w:r>
                </w:p>
              </w:tc>
              <w:tc>
                <w:tcPr>
                  <w:tcW w:w="999" w:type="dxa"/>
                  <w:tcBorders>
                    <w:tl2br w:val="nil"/>
                    <w:tr2bl w:val="nil"/>
                  </w:tcBorders>
                  <w:noWrap w:val="0"/>
                  <w:vAlign w:val="center"/>
                </w:tcPr>
                <w:p w14:paraId="20FDFB4F">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岩板村</w:t>
                  </w:r>
                </w:p>
              </w:tc>
              <w:tc>
                <w:tcPr>
                  <w:tcW w:w="600" w:type="dxa"/>
                  <w:tcBorders>
                    <w:tl2br w:val="nil"/>
                    <w:tr2bl w:val="nil"/>
                  </w:tcBorders>
                  <w:noWrap w:val="0"/>
                  <w:vAlign w:val="center"/>
                </w:tcPr>
                <w:p w14:paraId="4D3CA9A1">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110.52883</w:t>
                  </w:r>
                </w:p>
              </w:tc>
              <w:tc>
                <w:tcPr>
                  <w:tcW w:w="630" w:type="dxa"/>
                  <w:tcBorders>
                    <w:tl2br w:val="nil"/>
                    <w:tr2bl w:val="nil"/>
                  </w:tcBorders>
                  <w:noWrap w:val="0"/>
                  <w:vAlign w:val="center"/>
                </w:tcPr>
                <w:p w14:paraId="20F3A04F">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27.41215</w:t>
                  </w:r>
                </w:p>
              </w:tc>
              <w:tc>
                <w:tcPr>
                  <w:tcW w:w="799" w:type="dxa"/>
                  <w:tcBorders>
                    <w:tl2br w:val="nil"/>
                    <w:tr2bl w:val="nil"/>
                  </w:tcBorders>
                  <w:noWrap w:val="0"/>
                  <w:vAlign w:val="center"/>
                </w:tcPr>
                <w:p w14:paraId="4D874E51">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val="en-US" w:eastAsia="zh-CN"/>
                    </w:rPr>
                    <w:t>东、南、西、</w:t>
                  </w:r>
                  <w:r>
                    <w:rPr>
                      <w:rFonts w:hint="eastAsia" w:ascii="Times New Roman" w:hAnsi="Times New Roman" w:eastAsia="宋体" w:cs="Times New Roman"/>
                      <w:color w:val="auto"/>
                      <w:sz w:val="21"/>
                      <w:szCs w:val="24"/>
                      <w:lang w:eastAsia="zh-CN"/>
                    </w:rPr>
                    <w:t>北</w:t>
                  </w:r>
                </w:p>
              </w:tc>
              <w:tc>
                <w:tcPr>
                  <w:tcW w:w="854" w:type="dxa"/>
                  <w:tcBorders>
                    <w:tl2br w:val="nil"/>
                    <w:tr2bl w:val="nil"/>
                  </w:tcBorders>
                  <w:noWrap w:val="0"/>
                  <w:vAlign w:val="center"/>
                </w:tcPr>
                <w:p w14:paraId="42CD6C21">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val="en-US" w:eastAsia="zh-CN"/>
                    </w:rPr>
                    <w:t>8</w:t>
                  </w:r>
                  <w:r>
                    <w:rPr>
                      <w:rFonts w:hint="eastAsia" w:ascii="Times New Roman" w:hAnsi="Times New Roman" w:eastAsia="宋体" w:cs="Times New Roman"/>
                      <w:color w:val="auto"/>
                      <w:sz w:val="21"/>
                      <w:szCs w:val="24"/>
                      <w:lang w:eastAsia="zh-CN"/>
                    </w:rPr>
                    <w:t>-</w:t>
                  </w:r>
                  <w:r>
                    <w:rPr>
                      <w:rFonts w:hint="eastAsia" w:ascii="Times New Roman" w:hAnsi="Times New Roman" w:eastAsia="宋体" w:cs="Times New Roman"/>
                      <w:color w:val="auto"/>
                      <w:sz w:val="21"/>
                      <w:szCs w:val="24"/>
                      <w:lang w:val="en-US" w:eastAsia="zh-CN"/>
                    </w:rPr>
                    <w:t>50</w:t>
                  </w:r>
                  <w:r>
                    <w:rPr>
                      <w:rFonts w:hint="eastAsia" w:ascii="Times New Roman" w:hAnsi="Times New Roman" w:eastAsia="宋体" w:cs="Times New Roman"/>
                      <w:color w:val="auto"/>
                      <w:sz w:val="21"/>
                      <w:szCs w:val="24"/>
                      <w:lang w:eastAsia="zh-CN"/>
                    </w:rPr>
                    <w:t>0</w:t>
                  </w:r>
                </w:p>
              </w:tc>
              <w:tc>
                <w:tcPr>
                  <w:tcW w:w="774" w:type="dxa"/>
                  <w:tcBorders>
                    <w:tl2br w:val="nil"/>
                    <w:tr2bl w:val="nil"/>
                  </w:tcBorders>
                  <w:noWrap w:val="0"/>
                  <w:vAlign w:val="center"/>
                </w:tcPr>
                <w:p w14:paraId="7B5E31EF">
                  <w:pPr>
                    <w:spacing w:line="240" w:lineRule="atLeast"/>
                    <w:jc w:val="center"/>
                    <w:rPr>
                      <w:rFonts w:hint="default"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居民</w:t>
                  </w:r>
                </w:p>
              </w:tc>
              <w:tc>
                <w:tcPr>
                  <w:tcW w:w="857" w:type="dxa"/>
                  <w:tcBorders>
                    <w:tl2br w:val="nil"/>
                    <w:tr2bl w:val="nil"/>
                  </w:tcBorders>
                  <w:noWrap w:val="0"/>
                  <w:vAlign w:val="center"/>
                </w:tcPr>
                <w:p w14:paraId="74B0C7AB">
                  <w:pPr>
                    <w:spacing w:line="240" w:lineRule="atLeast"/>
                    <w:jc w:val="center"/>
                    <w:rPr>
                      <w:rFonts w:hint="default"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约</w:t>
                  </w:r>
                  <w:r>
                    <w:rPr>
                      <w:rFonts w:hint="eastAsia" w:ascii="Times New Roman" w:hAnsi="Times New Roman" w:eastAsia="宋体" w:cs="Times New Roman"/>
                      <w:color w:val="auto"/>
                      <w:sz w:val="21"/>
                      <w:szCs w:val="24"/>
                      <w:lang w:val="en-US" w:eastAsia="zh-CN"/>
                    </w:rPr>
                    <w:t>4</w:t>
                  </w:r>
                  <w:r>
                    <w:rPr>
                      <w:rFonts w:hint="default" w:ascii="Times New Roman" w:hAnsi="Times New Roman" w:eastAsia="宋体" w:cs="Times New Roman"/>
                      <w:color w:val="auto"/>
                      <w:sz w:val="21"/>
                      <w:szCs w:val="24"/>
                      <w:lang w:val="en-US" w:eastAsia="zh-CN"/>
                    </w:rPr>
                    <w:t>00</w:t>
                  </w:r>
                  <w:r>
                    <w:rPr>
                      <w:rFonts w:hint="default" w:ascii="Times New Roman" w:hAnsi="Times New Roman" w:eastAsia="宋体" w:cs="Times New Roman"/>
                      <w:color w:val="auto"/>
                      <w:sz w:val="21"/>
                      <w:szCs w:val="24"/>
                      <w:lang w:eastAsia="zh-CN"/>
                    </w:rPr>
                    <w:t>人</w:t>
                  </w:r>
                </w:p>
              </w:tc>
              <w:tc>
                <w:tcPr>
                  <w:tcW w:w="1547" w:type="dxa"/>
                  <w:vMerge w:val="restart"/>
                  <w:tcBorders>
                    <w:tl2br w:val="nil"/>
                    <w:tr2bl w:val="nil"/>
                  </w:tcBorders>
                  <w:noWrap w:val="0"/>
                  <w:vAlign w:val="center"/>
                </w:tcPr>
                <w:p w14:paraId="1D1A84C1">
                  <w:pPr>
                    <w:pStyle w:val="129"/>
                    <w:spacing w:line="240" w:lineRule="auto"/>
                    <w:rPr>
                      <w:color w:val="auto"/>
                      <w:szCs w:val="21"/>
                    </w:rPr>
                  </w:pPr>
                  <w:r>
                    <w:rPr>
                      <w:color w:val="auto"/>
                      <w:szCs w:val="21"/>
                    </w:rPr>
                    <w:t>《环境空气质量标准》（GB3095-20</w:t>
                  </w:r>
                  <w:r>
                    <w:rPr>
                      <w:rFonts w:hint="eastAsia"/>
                      <w:color w:val="auto"/>
                      <w:szCs w:val="21"/>
                      <w:lang w:val="en-US" w:eastAsia="zh-CN"/>
                    </w:rPr>
                    <w:t>26</w:t>
                  </w:r>
                  <w:r>
                    <w:rPr>
                      <w:color w:val="auto"/>
                      <w:szCs w:val="21"/>
                    </w:rPr>
                    <w:t>）中二级标准</w:t>
                  </w:r>
                </w:p>
              </w:tc>
            </w:tr>
            <w:tr w14:paraId="1C9BE9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8" w:hRule="atLeast"/>
                <w:jc w:val="center"/>
              </w:trPr>
              <w:tc>
                <w:tcPr>
                  <w:tcW w:w="596" w:type="dxa"/>
                  <w:vMerge w:val="continue"/>
                  <w:tcBorders>
                    <w:tl2br w:val="nil"/>
                    <w:tr2bl w:val="nil"/>
                  </w:tcBorders>
                  <w:noWrap w:val="0"/>
                  <w:vAlign w:val="center"/>
                </w:tcPr>
                <w:p w14:paraId="5156BB1E">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p>
              </w:tc>
              <w:tc>
                <w:tcPr>
                  <w:tcW w:w="999" w:type="dxa"/>
                  <w:tcBorders>
                    <w:tl2br w:val="nil"/>
                    <w:tr2bl w:val="nil"/>
                  </w:tcBorders>
                  <w:noWrap w:val="0"/>
                  <w:vAlign w:val="center"/>
                </w:tcPr>
                <w:p w14:paraId="3E765C1F">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崇实书院</w:t>
                  </w:r>
                </w:p>
              </w:tc>
              <w:tc>
                <w:tcPr>
                  <w:tcW w:w="600" w:type="dxa"/>
                  <w:tcBorders>
                    <w:tl2br w:val="nil"/>
                    <w:tr2bl w:val="nil"/>
                  </w:tcBorders>
                  <w:noWrap w:val="0"/>
                  <w:vAlign w:val="center"/>
                </w:tcPr>
                <w:p w14:paraId="2DCC6B47">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110.53265</w:t>
                  </w:r>
                </w:p>
              </w:tc>
              <w:tc>
                <w:tcPr>
                  <w:tcW w:w="630" w:type="dxa"/>
                  <w:tcBorders>
                    <w:tl2br w:val="nil"/>
                    <w:tr2bl w:val="nil"/>
                  </w:tcBorders>
                  <w:noWrap w:val="0"/>
                  <w:vAlign w:val="center"/>
                </w:tcPr>
                <w:p w14:paraId="37949DD6">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27.41275</w:t>
                  </w:r>
                </w:p>
              </w:tc>
              <w:tc>
                <w:tcPr>
                  <w:tcW w:w="799" w:type="dxa"/>
                  <w:tcBorders>
                    <w:tl2br w:val="nil"/>
                    <w:tr2bl w:val="nil"/>
                  </w:tcBorders>
                  <w:noWrap w:val="0"/>
                  <w:vAlign w:val="center"/>
                </w:tcPr>
                <w:p w14:paraId="1F389B3D">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东南</w:t>
                  </w:r>
                </w:p>
              </w:tc>
              <w:tc>
                <w:tcPr>
                  <w:tcW w:w="854" w:type="dxa"/>
                  <w:tcBorders>
                    <w:tl2br w:val="nil"/>
                    <w:tr2bl w:val="nil"/>
                  </w:tcBorders>
                  <w:noWrap w:val="0"/>
                  <w:vAlign w:val="center"/>
                </w:tcPr>
                <w:p w14:paraId="655592D1">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20~90</w:t>
                  </w:r>
                </w:p>
              </w:tc>
              <w:tc>
                <w:tcPr>
                  <w:tcW w:w="774" w:type="dxa"/>
                  <w:tcBorders>
                    <w:tl2br w:val="nil"/>
                    <w:tr2bl w:val="nil"/>
                  </w:tcBorders>
                  <w:noWrap w:val="0"/>
                  <w:vAlign w:val="center"/>
                </w:tcPr>
                <w:p w14:paraId="0289CB95">
                  <w:pPr>
                    <w:spacing w:line="240" w:lineRule="atLeast"/>
                    <w:jc w:val="center"/>
                    <w:rPr>
                      <w:rFonts w:hint="default" w:ascii="Times New Roman" w:hAnsi="Times New Roman" w:eastAsia="宋体" w:cs="Times New Roman"/>
                      <w:color w:val="auto"/>
                      <w:sz w:val="21"/>
                      <w:szCs w:val="24"/>
                      <w:lang w:eastAsia="zh-CN"/>
                    </w:rPr>
                  </w:pPr>
                  <w:r>
                    <w:rPr>
                      <w:rFonts w:hint="eastAsia" w:ascii="Helvetica" w:hAnsi="Helvetica" w:eastAsia="宋体" w:cs="Helvetica"/>
                      <w:i w:val="0"/>
                      <w:iCs w:val="0"/>
                      <w:caps w:val="0"/>
                      <w:color w:val="auto"/>
                      <w:spacing w:val="0"/>
                      <w:sz w:val="21"/>
                      <w:szCs w:val="21"/>
                      <w:shd w:val="clear" w:fill="FFFFFF"/>
                      <w:lang w:val="en-US" w:eastAsia="zh-CN"/>
                    </w:rPr>
                    <w:t>清代</w:t>
                  </w:r>
                  <w:r>
                    <w:rPr>
                      <w:rFonts w:ascii="Helvetica" w:hAnsi="Helvetica" w:eastAsia="Helvetica" w:cs="Helvetica"/>
                      <w:i w:val="0"/>
                      <w:iCs w:val="0"/>
                      <w:caps w:val="0"/>
                      <w:color w:val="auto"/>
                      <w:spacing w:val="0"/>
                      <w:sz w:val="21"/>
                      <w:szCs w:val="21"/>
                      <w:shd w:val="clear" w:fill="FFFFFF"/>
                    </w:rPr>
                    <w:t>氏族书院</w:t>
                  </w:r>
                </w:p>
              </w:tc>
              <w:tc>
                <w:tcPr>
                  <w:tcW w:w="857" w:type="dxa"/>
                  <w:tcBorders>
                    <w:tl2br w:val="nil"/>
                    <w:tr2bl w:val="nil"/>
                  </w:tcBorders>
                  <w:noWrap w:val="0"/>
                  <w:vAlign w:val="center"/>
                </w:tcPr>
                <w:p w14:paraId="5AC8FF6B">
                  <w:pPr>
                    <w:spacing w:line="240" w:lineRule="atLeast"/>
                    <w:jc w:val="center"/>
                    <w:rPr>
                      <w:rFonts w:hint="default" w:ascii="Times New Roman" w:hAnsi="Times New Roman" w:eastAsia="宋体" w:cs="Times New Roman"/>
                      <w:color w:val="auto"/>
                      <w:sz w:val="21"/>
                      <w:szCs w:val="24"/>
                      <w:lang w:eastAsia="zh-CN"/>
                    </w:rPr>
                  </w:pPr>
                  <w:r>
                    <w:rPr>
                      <w:rFonts w:ascii="Helvetica" w:hAnsi="Helvetica" w:eastAsia="Helvetica" w:cs="Helvetica"/>
                      <w:i w:val="0"/>
                      <w:iCs w:val="0"/>
                      <w:caps w:val="0"/>
                      <w:color w:val="auto"/>
                      <w:spacing w:val="0"/>
                      <w:sz w:val="21"/>
                      <w:szCs w:val="21"/>
                      <w:shd w:val="clear" w:fill="FFFFFF"/>
                    </w:rPr>
                    <w:t>溆浦县</w:t>
                  </w:r>
                  <w:r>
                    <w:rPr>
                      <w:rFonts w:hint="default" w:ascii="Helvetica" w:hAnsi="Helvetica" w:eastAsia="Helvetica" w:cs="Helvetica"/>
                      <w:i w:val="0"/>
                      <w:iCs w:val="0"/>
                      <w:caps w:val="0"/>
                      <w:color w:val="auto"/>
                      <w:spacing w:val="0"/>
                      <w:sz w:val="21"/>
                      <w:szCs w:val="21"/>
                      <w:shd w:val="clear" w:fill="FFFFFF"/>
                    </w:rPr>
                    <w:t>文物保护单位</w:t>
                  </w:r>
                </w:p>
              </w:tc>
              <w:tc>
                <w:tcPr>
                  <w:tcW w:w="1547" w:type="dxa"/>
                  <w:vMerge w:val="continue"/>
                  <w:tcBorders>
                    <w:tl2br w:val="nil"/>
                    <w:tr2bl w:val="nil"/>
                  </w:tcBorders>
                  <w:noWrap w:val="0"/>
                  <w:vAlign w:val="center"/>
                </w:tcPr>
                <w:p w14:paraId="17AD04A2">
                  <w:pPr>
                    <w:pStyle w:val="129"/>
                    <w:spacing w:line="240" w:lineRule="auto"/>
                    <w:rPr>
                      <w:color w:val="auto"/>
                      <w:szCs w:val="21"/>
                    </w:rPr>
                  </w:pPr>
                </w:p>
              </w:tc>
            </w:tr>
            <w:tr w14:paraId="04FF7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60" w:hRule="atLeast"/>
                <w:jc w:val="center"/>
              </w:trPr>
              <w:tc>
                <w:tcPr>
                  <w:tcW w:w="596" w:type="dxa"/>
                  <w:vMerge w:val="continue"/>
                  <w:tcBorders>
                    <w:tl2br w:val="nil"/>
                    <w:tr2bl w:val="nil"/>
                  </w:tcBorders>
                  <w:noWrap w:val="0"/>
                  <w:vAlign w:val="center"/>
                </w:tcPr>
                <w:p w14:paraId="692E4611">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p>
              </w:tc>
              <w:tc>
                <w:tcPr>
                  <w:tcW w:w="999" w:type="dxa"/>
                  <w:tcBorders>
                    <w:tl2br w:val="nil"/>
                    <w:tr2bl w:val="nil"/>
                  </w:tcBorders>
                  <w:noWrap w:val="0"/>
                  <w:vAlign w:val="center"/>
                </w:tcPr>
                <w:p w14:paraId="515BEC67">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云盘村</w:t>
                  </w:r>
                </w:p>
              </w:tc>
              <w:tc>
                <w:tcPr>
                  <w:tcW w:w="600" w:type="dxa"/>
                  <w:tcBorders>
                    <w:tl2br w:val="nil"/>
                    <w:tr2bl w:val="nil"/>
                  </w:tcBorders>
                  <w:noWrap w:val="0"/>
                  <w:vAlign w:val="center"/>
                </w:tcPr>
                <w:p w14:paraId="5D9CC030">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110.53548</w:t>
                  </w:r>
                </w:p>
              </w:tc>
              <w:tc>
                <w:tcPr>
                  <w:tcW w:w="630" w:type="dxa"/>
                  <w:tcBorders>
                    <w:tl2br w:val="nil"/>
                    <w:tr2bl w:val="nil"/>
                  </w:tcBorders>
                  <w:noWrap w:val="0"/>
                  <w:vAlign w:val="center"/>
                </w:tcPr>
                <w:p w14:paraId="2B1DB687">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27.41384</w:t>
                  </w:r>
                </w:p>
              </w:tc>
              <w:tc>
                <w:tcPr>
                  <w:tcW w:w="799" w:type="dxa"/>
                  <w:tcBorders>
                    <w:tl2br w:val="nil"/>
                    <w:tr2bl w:val="nil"/>
                  </w:tcBorders>
                  <w:noWrap w:val="0"/>
                  <w:vAlign w:val="center"/>
                </w:tcPr>
                <w:p w14:paraId="4302B815">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东南、东、东北</w:t>
                  </w:r>
                </w:p>
              </w:tc>
              <w:tc>
                <w:tcPr>
                  <w:tcW w:w="854" w:type="dxa"/>
                  <w:tcBorders>
                    <w:tl2br w:val="nil"/>
                    <w:tr2bl w:val="nil"/>
                  </w:tcBorders>
                  <w:noWrap w:val="0"/>
                  <w:vAlign w:val="center"/>
                </w:tcPr>
                <w:p w14:paraId="075A677A">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190~500</w:t>
                  </w:r>
                </w:p>
              </w:tc>
              <w:tc>
                <w:tcPr>
                  <w:tcW w:w="774" w:type="dxa"/>
                  <w:tcBorders>
                    <w:tl2br w:val="nil"/>
                    <w:tr2bl w:val="nil"/>
                  </w:tcBorders>
                  <w:noWrap w:val="0"/>
                  <w:vAlign w:val="center"/>
                </w:tcPr>
                <w:p w14:paraId="23606859">
                  <w:pPr>
                    <w:spacing w:line="240" w:lineRule="atLeast"/>
                    <w:jc w:val="center"/>
                    <w:rPr>
                      <w:rFonts w:hint="eastAsia" w:ascii="Times New Roman" w:hAnsi="Times New Roman" w:eastAsia="宋体" w:cs="Times New Roman"/>
                      <w:color w:val="auto"/>
                      <w:sz w:val="21"/>
                      <w:szCs w:val="24"/>
                      <w:lang w:eastAsia="zh-CN"/>
                    </w:rPr>
                  </w:pPr>
                  <w:r>
                    <w:rPr>
                      <w:rFonts w:hint="default" w:ascii="Times New Roman" w:hAnsi="Times New Roman" w:eastAsia="宋体" w:cs="Times New Roman"/>
                      <w:color w:val="auto"/>
                      <w:sz w:val="21"/>
                      <w:szCs w:val="24"/>
                      <w:lang w:eastAsia="zh-CN"/>
                    </w:rPr>
                    <w:t>居民</w:t>
                  </w:r>
                </w:p>
              </w:tc>
              <w:tc>
                <w:tcPr>
                  <w:tcW w:w="857" w:type="dxa"/>
                  <w:tcBorders>
                    <w:tl2br w:val="nil"/>
                    <w:tr2bl w:val="nil"/>
                  </w:tcBorders>
                  <w:noWrap w:val="0"/>
                  <w:vAlign w:val="center"/>
                </w:tcPr>
                <w:p w14:paraId="61A19687">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约200人</w:t>
                  </w:r>
                </w:p>
              </w:tc>
              <w:tc>
                <w:tcPr>
                  <w:tcW w:w="1547" w:type="dxa"/>
                  <w:vMerge w:val="continue"/>
                  <w:tcBorders>
                    <w:tl2br w:val="nil"/>
                    <w:tr2bl w:val="nil"/>
                  </w:tcBorders>
                  <w:noWrap w:val="0"/>
                  <w:vAlign w:val="center"/>
                </w:tcPr>
                <w:p w14:paraId="794BB732">
                  <w:pPr>
                    <w:pStyle w:val="129"/>
                    <w:spacing w:line="240" w:lineRule="auto"/>
                    <w:rPr>
                      <w:color w:val="auto"/>
                      <w:szCs w:val="21"/>
                    </w:rPr>
                  </w:pPr>
                </w:p>
              </w:tc>
            </w:tr>
            <w:tr w14:paraId="3BEA2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60" w:hRule="atLeast"/>
                <w:jc w:val="center"/>
              </w:trPr>
              <w:tc>
                <w:tcPr>
                  <w:tcW w:w="596" w:type="dxa"/>
                  <w:vMerge w:val="continue"/>
                  <w:tcBorders>
                    <w:tl2br w:val="nil"/>
                    <w:tr2bl w:val="nil"/>
                  </w:tcBorders>
                  <w:noWrap w:val="0"/>
                  <w:vAlign w:val="center"/>
                </w:tcPr>
                <w:p w14:paraId="647B251A">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p>
              </w:tc>
              <w:tc>
                <w:tcPr>
                  <w:tcW w:w="999" w:type="dxa"/>
                  <w:tcBorders>
                    <w:tl2br w:val="nil"/>
                    <w:tr2bl w:val="nil"/>
                  </w:tcBorders>
                  <w:noWrap w:val="0"/>
                  <w:vAlign w:val="center"/>
                </w:tcPr>
                <w:p w14:paraId="76C8E41E">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eastAsia="zh-CN"/>
                    </w:rPr>
                    <w:t>御景龙苑</w:t>
                  </w:r>
                  <w:r>
                    <w:rPr>
                      <w:rFonts w:hint="eastAsia" w:ascii="Times New Roman" w:hAnsi="Times New Roman" w:eastAsia="宋体" w:cs="Times New Roman"/>
                      <w:color w:val="auto"/>
                      <w:sz w:val="21"/>
                      <w:szCs w:val="24"/>
                      <w:lang w:val="en-US" w:eastAsia="zh-CN"/>
                    </w:rPr>
                    <w:t>小区</w:t>
                  </w:r>
                </w:p>
              </w:tc>
              <w:tc>
                <w:tcPr>
                  <w:tcW w:w="600" w:type="dxa"/>
                  <w:tcBorders>
                    <w:tl2br w:val="nil"/>
                    <w:tr2bl w:val="nil"/>
                  </w:tcBorders>
                  <w:noWrap w:val="0"/>
                  <w:vAlign w:val="center"/>
                </w:tcPr>
                <w:p w14:paraId="43051FF2">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110.53334</w:t>
                  </w:r>
                </w:p>
              </w:tc>
              <w:tc>
                <w:tcPr>
                  <w:tcW w:w="630" w:type="dxa"/>
                  <w:tcBorders>
                    <w:tl2br w:val="nil"/>
                    <w:tr2bl w:val="nil"/>
                  </w:tcBorders>
                  <w:noWrap w:val="0"/>
                  <w:vAlign w:val="center"/>
                </w:tcPr>
                <w:p w14:paraId="54206360">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27.41441</w:t>
                  </w:r>
                </w:p>
              </w:tc>
              <w:tc>
                <w:tcPr>
                  <w:tcW w:w="799" w:type="dxa"/>
                  <w:tcBorders>
                    <w:tl2br w:val="nil"/>
                    <w:tr2bl w:val="nil"/>
                  </w:tcBorders>
                  <w:noWrap w:val="0"/>
                  <w:vAlign w:val="center"/>
                </w:tcPr>
                <w:p w14:paraId="26908C59">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东北</w:t>
                  </w:r>
                </w:p>
              </w:tc>
              <w:tc>
                <w:tcPr>
                  <w:tcW w:w="854" w:type="dxa"/>
                  <w:tcBorders>
                    <w:tl2br w:val="nil"/>
                    <w:tr2bl w:val="nil"/>
                  </w:tcBorders>
                  <w:noWrap w:val="0"/>
                  <w:vAlign w:val="center"/>
                </w:tcPr>
                <w:p w14:paraId="453DD602">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140~230</w:t>
                  </w:r>
                </w:p>
              </w:tc>
              <w:tc>
                <w:tcPr>
                  <w:tcW w:w="774" w:type="dxa"/>
                  <w:tcBorders>
                    <w:tl2br w:val="nil"/>
                    <w:tr2bl w:val="nil"/>
                  </w:tcBorders>
                  <w:noWrap w:val="0"/>
                  <w:vAlign w:val="center"/>
                </w:tcPr>
                <w:p w14:paraId="29195690">
                  <w:pPr>
                    <w:spacing w:line="240" w:lineRule="atLeast"/>
                    <w:jc w:val="center"/>
                    <w:rPr>
                      <w:rFonts w:hint="eastAsia" w:ascii="Times New Roman" w:hAnsi="Times New Roman" w:eastAsia="宋体" w:cs="Times New Roman"/>
                      <w:color w:val="auto"/>
                      <w:sz w:val="21"/>
                      <w:szCs w:val="24"/>
                      <w:lang w:eastAsia="zh-CN"/>
                    </w:rPr>
                  </w:pPr>
                  <w:r>
                    <w:rPr>
                      <w:rFonts w:hint="default" w:ascii="Times New Roman" w:hAnsi="Times New Roman" w:eastAsia="宋体" w:cs="Times New Roman"/>
                      <w:color w:val="auto"/>
                      <w:sz w:val="21"/>
                      <w:szCs w:val="24"/>
                      <w:lang w:eastAsia="zh-CN"/>
                    </w:rPr>
                    <w:t>居民</w:t>
                  </w:r>
                </w:p>
              </w:tc>
              <w:tc>
                <w:tcPr>
                  <w:tcW w:w="857" w:type="dxa"/>
                  <w:tcBorders>
                    <w:tl2br w:val="nil"/>
                    <w:tr2bl w:val="nil"/>
                  </w:tcBorders>
                  <w:noWrap w:val="0"/>
                  <w:vAlign w:val="center"/>
                </w:tcPr>
                <w:p w14:paraId="47683510">
                  <w:pPr>
                    <w:spacing w:line="240" w:lineRule="atLeast"/>
                    <w:jc w:val="center"/>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约200人</w:t>
                  </w:r>
                </w:p>
              </w:tc>
              <w:tc>
                <w:tcPr>
                  <w:tcW w:w="1547" w:type="dxa"/>
                  <w:vMerge w:val="continue"/>
                  <w:tcBorders>
                    <w:tl2br w:val="nil"/>
                    <w:tr2bl w:val="nil"/>
                  </w:tcBorders>
                  <w:noWrap w:val="0"/>
                  <w:vAlign w:val="center"/>
                </w:tcPr>
                <w:p w14:paraId="62F6EA4C">
                  <w:pPr>
                    <w:pStyle w:val="129"/>
                    <w:spacing w:line="240" w:lineRule="auto"/>
                    <w:rPr>
                      <w:color w:val="auto"/>
                      <w:szCs w:val="21"/>
                    </w:rPr>
                  </w:pPr>
                </w:p>
              </w:tc>
            </w:tr>
            <w:tr w14:paraId="76349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60" w:hRule="atLeast"/>
                <w:jc w:val="center"/>
              </w:trPr>
              <w:tc>
                <w:tcPr>
                  <w:tcW w:w="596" w:type="dxa"/>
                  <w:vMerge w:val="continue"/>
                  <w:tcBorders>
                    <w:tl2br w:val="nil"/>
                    <w:tr2bl w:val="nil"/>
                  </w:tcBorders>
                  <w:noWrap w:val="0"/>
                  <w:vAlign w:val="center"/>
                </w:tcPr>
                <w:p w14:paraId="43B1CE93">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p>
              </w:tc>
              <w:tc>
                <w:tcPr>
                  <w:tcW w:w="999" w:type="dxa"/>
                  <w:tcBorders>
                    <w:tl2br w:val="nil"/>
                    <w:tr2bl w:val="nil"/>
                  </w:tcBorders>
                  <w:noWrap w:val="0"/>
                  <w:vAlign w:val="center"/>
                </w:tcPr>
                <w:p w14:paraId="394951C7">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龙潭时代富城</w:t>
                  </w:r>
                  <w:r>
                    <w:rPr>
                      <w:rFonts w:hint="eastAsia" w:ascii="Times New Roman" w:hAnsi="Times New Roman" w:eastAsia="宋体" w:cs="Times New Roman"/>
                      <w:color w:val="auto"/>
                      <w:sz w:val="21"/>
                      <w:szCs w:val="24"/>
                      <w:lang w:val="en-US" w:eastAsia="zh-CN"/>
                    </w:rPr>
                    <w:t>小区</w:t>
                  </w:r>
                </w:p>
              </w:tc>
              <w:tc>
                <w:tcPr>
                  <w:tcW w:w="600" w:type="dxa"/>
                  <w:tcBorders>
                    <w:tl2br w:val="nil"/>
                    <w:tr2bl w:val="nil"/>
                  </w:tcBorders>
                  <w:noWrap w:val="0"/>
                  <w:vAlign w:val="center"/>
                </w:tcPr>
                <w:p w14:paraId="3F79C644">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110.53658</w:t>
                  </w:r>
                </w:p>
              </w:tc>
              <w:tc>
                <w:tcPr>
                  <w:tcW w:w="630" w:type="dxa"/>
                  <w:tcBorders>
                    <w:tl2br w:val="nil"/>
                    <w:tr2bl w:val="nil"/>
                  </w:tcBorders>
                  <w:noWrap w:val="0"/>
                  <w:vAlign w:val="center"/>
                </w:tcPr>
                <w:p w14:paraId="432D8CF2">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27.41395</w:t>
                  </w:r>
                </w:p>
              </w:tc>
              <w:tc>
                <w:tcPr>
                  <w:tcW w:w="799" w:type="dxa"/>
                  <w:tcBorders>
                    <w:tl2br w:val="nil"/>
                    <w:tr2bl w:val="nil"/>
                  </w:tcBorders>
                  <w:noWrap w:val="0"/>
                  <w:vAlign w:val="center"/>
                </w:tcPr>
                <w:p w14:paraId="4013A1FE">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东</w:t>
                  </w:r>
                </w:p>
              </w:tc>
              <w:tc>
                <w:tcPr>
                  <w:tcW w:w="854" w:type="dxa"/>
                  <w:tcBorders>
                    <w:tl2br w:val="nil"/>
                    <w:tr2bl w:val="nil"/>
                  </w:tcBorders>
                  <w:noWrap w:val="0"/>
                  <w:vAlign w:val="center"/>
                </w:tcPr>
                <w:p w14:paraId="0DCC981D">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360~500</w:t>
                  </w:r>
                </w:p>
              </w:tc>
              <w:tc>
                <w:tcPr>
                  <w:tcW w:w="774" w:type="dxa"/>
                  <w:tcBorders>
                    <w:tl2br w:val="nil"/>
                    <w:tr2bl w:val="nil"/>
                  </w:tcBorders>
                  <w:noWrap w:val="0"/>
                  <w:vAlign w:val="center"/>
                </w:tcPr>
                <w:p w14:paraId="6E79FAF8">
                  <w:pPr>
                    <w:spacing w:line="240" w:lineRule="atLeast"/>
                    <w:jc w:val="center"/>
                    <w:rPr>
                      <w:rFonts w:hint="eastAsia" w:ascii="Times New Roman" w:hAnsi="Times New Roman" w:eastAsia="宋体" w:cs="Times New Roman"/>
                      <w:color w:val="auto"/>
                      <w:sz w:val="21"/>
                      <w:szCs w:val="24"/>
                      <w:lang w:eastAsia="zh-CN"/>
                    </w:rPr>
                  </w:pPr>
                  <w:r>
                    <w:rPr>
                      <w:rFonts w:hint="default" w:ascii="Times New Roman" w:hAnsi="Times New Roman" w:eastAsia="宋体" w:cs="Times New Roman"/>
                      <w:color w:val="auto"/>
                      <w:sz w:val="21"/>
                      <w:szCs w:val="24"/>
                      <w:lang w:eastAsia="zh-CN"/>
                    </w:rPr>
                    <w:t>居民</w:t>
                  </w:r>
                </w:p>
              </w:tc>
              <w:tc>
                <w:tcPr>
                  <w:tcW w:w="857" w:type="dxa"/>
                  <w:tcBorders>
                    <w:tl2br w:val="nil"/>
                    <w:tr2bl w:val="nil"/>
                  </w:tcBorders>
                  <w:noWrap w:val="0"/>
                  <w:vAlign w:val="center"/>
                </w:tcPr>
                <w:p w14:paraId="7362F852">
                  <w:pPr>
                    <w:spacing w:line="240" w:lineRule="atLeast"/>
                    <w:jc w:val="center"/>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约300人</w:t>
                  </w:r>
                </w:p>
              </w:tc>
              <w:tc>
                <w:tcPr>
                  <w:tcW w:w="1547" w:type="dxa"/>
                  <w:vMerge w:val="continue"/>
                  <w:tcBorders>
                    <w:tl2br w:val="nil"/>
                    <w:tr2bl w:val="nil"/>
                  </w:tcBorders>
                  <w:noWrap w:val="0"/>
                  <w:vAlign w:val="center"/>
                </w:tcPr>
                <w:p w14:paraId="1DD3F7FB">
                  <w:pPr>
                    <w:pStyle w:val="129"/>
                    <w:spacing w:line="240" w:lineRule="auto"/>
                    <w:rPr>
                      <w:color w:val="auto"/>
                      <w:szCs w:val="21"/>
                    </w:rPr>
                  </w:pPr>
                </w:p>
              </w:tc>
            </w:tr>
            <w:tr w14:paraId="07B16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99" w:hRule="atLeast"/>
                <w:jc w:val="center"/>
              </w:trPr>
              <w:tc>
                <w:tcPr>
                  <w:tcW w:w="596" w:type="dxa"/>
                  <w:vMerge w:val="continue"/>
                  <w:tcBorders>
                    <w:tl2br w:val="nil"/>
                    <w:tr2bl w:val="nil"/>
                  </w:tcBorders>
                  <w:noWrap w:val="0"/>
                  <w:vAlign w:val="center"/>
                </w:tcPr>
                <w:p w14:paraId="2741D74F">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p>
              </w:tc>
              <w:tc>
                <w:tcPr>
                  <w:tcW w:w="999" w:type="dxa"/>
                  <w:tcBorders>
                    <w:tl2br w:val="nil"/>
                    <w:tr2bl w:val="nil"/>
                  </w:tcBorders>
                  <w:shd w:val="clear" w:color="auto" w:fill="auto"/>
                  <w:noWrap w:val="0"/>
                  <w:vAlign w:val="center"/>
                </w:tcPr>
                <w:p w14:paraId="49685B64">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eastAsia="zh-CN"/>
                    </w:rPr>
                    <w:t>杞子湾居民</w:t>
                  </w:r>
                </w:p>
              </w:tc>
              <w:tc>
                <w:tcPr>
                  <w:tcW w:w="600" w:type="dxa"/>
                  <w:tcBorders>
                    <w:tl2br w:val="nil"/>
                    <w:tr2bl w:val="nil"/>
                  </w:tcBorders>
                  <w:shd w:val="clear" w:color="auto" w:fill="auto"/>
                  <w:noWrap w:val="0"/>
                  <w:vAlign w:val="center"/>
                </w:tcPr>
                <w:p w14:paraId="2FD8119D">
                  <w:pPr>
                    <w:spacing w:line="240" w:lineRule="atLeast"/>
                    <w:jc w:val="center"/>
                    <w:rPr>
                      <w:rFonts w:hint="eastAsia"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110.</w:t>
                  </w:r>
                  <w:r>
                    <w:rPr>
                      <w:rFonts w:hint="eastAsia" w:ascii="Times New Roman" w:hAnsi="Times New Roman" w:eastAsia="宋体" w:cs="Times New Roman"/>
                      <w:color w:val="auto"/>
                      <w:sz w:val="21"/>
                      <w:szCs w:val="24"/>
                      <w:lang w:val="en-US" w:eastAsia="zh-CN"/>
                    </w:rPr>
                    <w:t>53181</w:t>
                  </w:r>
                </w:p>
              </w:tc>
              <w:tc>
                <w:tcPr>
                  <w:tcW w:w="630" w:type="dxa"/>
                  <w:tcBorders>
                    <w:tl2br w:val="nil"/>
                    <w:tr2bl w:val="nil"/>
                  </w:tcBorders>
                  <w:shd w:val="clear" w:color="auto" w:fill="auto"/>
                  <w:noWrap w:val="0"/>
                  <w:vAlign w:val="center"/>
                </w:tcPr>
                <w:p w14:paraId="53701ACF">
                  <w:pPr>
                    <w:spacing w:line="240" w:lineRule="atLeast"/>
                    <w:jc w:val="center"/>
                    <w:rPr>
                      <w:rFonts w:hint="default"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27.4</w:t>
                  </w:r>
                  <w:r>
                    <w:rPr>
                      <w:rFonts w:hint="eastAsia" w:ascii="Times New Roman" w:hAnsi="Times New Roman" w:eastAsia="宋体" w:cs="Times New Roman"/>
                      <w:color w:val="auto"/>
                      <w:sz w:val="21"/>
                      <w:szCs w:val="24"/>
                      <w:lang w:val="en-US" w:eastAsia="zh-CN"/>
                    </w:rPr>
                    <w:t>1615</w:t>
                  </w:r>
                </w:p>
              </w:tc>
              <w:tc>
                <w:tcPr>
                  <w:tcW w:w="799" w:type="dxa"/>
                  <w:tcBorders>
                    <w:tl2br w:val="nil"/>
                    <w:tr2bl w:val="nil"/>
                  </w:tcBorders>
                  <w:shd w:val="clear" w:color="auto" w:fill="auto"/>
                  <w:noWrap w:val="0"/>
                  <w:vAlign w:val="center"/>
                </w:tcPr>
                <w:p w14:paraId="47A2A3D7">
                  <w:pPr>
                    <w:spacing w:line="240" w:lineRule="atLeast"/>
                    <w:jc w:val="center"/>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东北、北</w:t>
                  </w:r>
                </w:p>
              </w:tc>
              <w:tc>
                <w:tcPr>
                  <w:tcW w:w="854" w:type="dxa"/>
                  <w:tcBorders>
                    <w:tl2br w:val="nil"/>
                    <w:tr2bl w:val="nil"/>
                  </w:tcBorders>
                  <w:shd w:val="clear" w:color="auto" w:fill="auto"/>
                  <w:noWrap w:val="0"/>
                  <w:vAlign w:val="center"/>
                </w:tcPr>
                <w:p w14:paraId="6BC987D1">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150~340</w:t>
                  </w:r>
                </w:p>
              </w:tc>
              <w:tc>
                <w:tcPr>
                  <w:tcW w:w="774" w:type="dxa"/>
                  <w:tcBorders>
                    <w:tl2br w:val="nil"/>
                    <w:tr2bl w:val="nil"/>
                  </w:tcBorders>
                  <w:shd w:val="clear" w:color="auto" w:fill="auto"/>
                  <w:noWrap w:val="0"/>
                  <w:vAlign w:val="center"/>
                </w:tcPr>
                <w:p w14:paraId="773777E5">
                  <w:pPr>
                    <w:spacing w:line="240" w:lineRule="atLeast"/>
                    <w:jc w:val="center"/>
                    <w:rPr>
                      <w:rFonts w:hint="default"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居民</w:t>
                  </w:r>
                </w:p>
              </w:tc>
              <w:tc>
                <w:tcPr>
                  <w:tcW w:w="857" w:type="dxa"/>
                  <w:tcBorders>
                    <w:tl2br w:val="nil"/>
                    <w:tr2bl w:val="nil"/>
                  </w:tcBorders>
                  <w:shd w:val="clear" w:color="auto" w:fill="auto"/>
                  <w:noWrap w:val="0"/>
                  <w:vAlign w:val="center"/>
                </w:tcPr>
                <w:p w14:paraId="73A9386B">
                  <w:pPr>
                    <w:spacing w:line="240" w:lineRule="atLeast"/>
                    <w:jc w:val="center"/>
                    <w:rPr>
                      <w:rFonts w:hint="default"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约200人</w:t>
                  </w:r>
                </w:p>
              </w:tc>
              <w:tc>
                <w:tcPr>
                  <w:tcW w:w="1547" w:type="dxa"/>
                  <w:vMerge w:val="continue"/>
                  <w:tcBorders>
                    <w:tl2br w:val="nil"/>
                    <w:tr2bl w:val="nil"/>
                  </w:tcBorders>
                  <w:noWrap w:val="0"/>
                  <w:vAlign w:val="center"/>
                </w:tcPr>
                <w:p w14:paraId="63AE322B">
                  <w:pPr>
                    <w:pStyle w:val="129"/>
                    <w:spacing w:line="240" w:lineRule="auto"/>
                    <w:rPr>
                      <w:color w:val="auto"/>
                      <w:szCs w:val="21"/>
                    </w:rPr>
                  </w:pPr>
                </w:p>
              </w:tc>
            </w:tr>
            <w:tr w14:paraId="0C5A2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60" w:hRule="atLeast"/>
                <w:jc w:val="center"/>
              </w:trPr>
              <w:tc>
                <w:tcPr>
                  <w:tcW w:w="596" w:type="dxa"/>
                  <w:vMerge w:val="continue"/>
                  <w:tcBorders>
                    <w:tl2br w:val="nil"/>
                    <w:tr2bl w:val="nil"/>
                  </w:tcBorders>
                  <w:noWrap w:val="0"/>
                  <w:vAlign w:val="center"/>
                </w:tcPr>
                <w:p w14:paraId="3203ACDB">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p>
              </w:tc>
              <w:tc>
                <w:tcPr>
                  <w:tcW w:w="999" w:type="dxa"/>
                  <w:tcBorders>
                    <w:tl2br w:val="nil"/>
                    <w:tr2bl w:val="nil"/>
                  </w:tcBorders>
                  <w:shd w:val="clear" w:color="auto" w:fill="auto"/>
                  <w:noWrap w:val="0"/>
                  <w:vAlign w:val="center"/>
                </w:tcPr>
                <w:p w14:paraId="27AE58ED">
                  <w:pPr>
                    <w:spacing w:line="240" w:lineRule="atLeast"/>
                    <w:jc w:val="center"/>
                    <w:rPr>
                      <w:rFonts w:hint="eastAsia"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龙潭</w:t>
                  </w:r>
                  <w:r>
                    <w:rPr>
                      <w:rFonts w:hint="eastAsia" w:ascii="Times New Roman" w:hAnsi="Times New Roman" w:eastAsia="宋体" w:cs="Times New Roman"/>
                      <w:color w:val="auto"/>
                      <w:sz w:val="21"/>
                      <w:szCs w:val="24"/>
                      <w:lang w:eastAsia="zh-CN"/>
                    </w:rPr>
                    <w:t>院子小区</w:t>
                  </w:r>
                </w:p>
              </w:tc>
              <w:tc>
                <w:tcPr>
                  <w:tcW w:w="600" w:type="dxa"/>
                  <w:tcBorders>
                    <w:tl2br w:val="nil"/>
                    <w:tr2bl w:val="nil"/>
                  </w:tcBorders>
                  <w:shd w:val="clear" w:color="auto" w:fill="auto"/>
                  <w:noWrap w:val="0"/>
                  <w:vAlign w:val="center"/>
                </w:tcPr>
                <w:p w14:paraId="12B626CB">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110.52995</w:t>
                  </w:r>
                </w:p>
              </w:tc>
              <w:tc>
                <w:tcPr>
                  <w:tcW w:w="630" w:type="dxa"/>
                  <w:tcBorders>
                    <w:tl2br w:val="nil"/>
                    <w:tr2bl w:val="nil"/>
                  </w:tcBorders>
                  <w:shd w:val="clear" w:color="auto" w:fill="auto"/>
                  <w:noWrap w:val="0"/>
                  <w:vAlign w:val="center"/>
                </w:tcPr>
                <w:p w14:paraId="17B83C29">
                  <w:pPr>
                    <w:spacing w:line="240" w:lineRule="atLeast"/>
                    <w:jc w:val="center"/>
                    <w:rPr>
                      <w:rFonts w:hint="default"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27.</w:t>
                  </w:r>
                  <w:r>
                    <w:rPr>
                      <w:rFonts w:hint="eastAsia" w:ascii="Times New Roman" w:hAnsi="Times New Roman" w:eastAsia="宋体" w:cs="Times New Roman"/>
                      <w:color w:val="auto"/>
                      <w:sz w:val="21"/>
                      <w:szCs w:val="24"/>
                      <w:lang w:val="en-US" w:eastAsia="zh-CN"/>
                    </w:rPr>
                    <w:t>41569</w:t>
                  </w:r>
                </w:p>
              </w:tc>
              <w:tc>
                <w:tcPr>
                  <w:tcW w:w="799" w:type="dxa"/>
                  <w:tcBorders>
                    <w:tl2br w:val="nil"/>
                    <w:tr2bl w:val="nil"/>
                  </w:tcBorders>
                  <w:shd w:val="clear" w:color="auto" w:fill="auto"/>
                  <w:noWrap w:val="0"/>
                  <w:vAlign w:val="center"/>
                </w:tcPr>
                <w:p w14:paraId="6F69F9DE">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西北</w:t>
                  </w:r>
                </w:p>
              </w:tc>
              <w:tc>
                <w:tcPr>
                  <w:tcW w:w="854" w:type="dxa"/>
                  <w:tcBorders>
                    <w:tl2br w:val="nil"/>
                    <w:tr2bl w:val="nil"/>
                  </w:tcBorders>
                  <w:shd w:val="clear" w:color="auto" w:fill="auto"/>
                  <w:noWrap w:val="0"/>
                  <w:vAlign w:val="center"/>
                </w:tcPr>
                <w:p w14:paraId="1637DD19">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210~330</w:t>
                  </w:r>
                </w:p>
              </w:tc>
              <w:tc>
                <w:tcPr>
                  <w:tcW w:w="774" w:type="dxa"/>
                  <w:tcBorders>
                    <w:tl2br w:val="nil"/>
                    <w:tr2bl w:val="nil"/>
                  </w:tcBorders>
                  <w:shd w:val="clear" w:color="auto" w:fill="auto"/>
                  <w:noWrap w:val="0"/>
                  <w:vAlign w:val="center"/>
                </w:tcPr>
                <w:p w14:paraId="08528923">
                  <w:pPr>
                    <w:spacing w:line="240" w:lineRule="atLeast"/>
                    <w:jc w:val="center"/>
                    <w:rPr>
                      <w:rFonts w:hint="eastAsia"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居民</w:t>
                  </w:r>
                </w:p>
              </w:tc>
              <w:tc>
                <w:tcPr>
                  <w:tcW w:w="857" w:type="dxa"/>
                  <w:tcBorders>
                    <w:tl2br w:val="nil"/>
                    <w:tr2bl w:val="nil"/>
                  </w:tcBorders>
                  <w:shd w:val="clear" w:color="auto" w:fill="auto"/>
                  <w:noWrap w:val="0"/>
                  <w:vAlign w:val="center"/>
                </w:tcPr>
                <w:p w14:paraId="62F2C289">
                  <w:pPr>
                    <w:spacing w:line="240" w:lineRule="atLeast"/>
                    <w:jc w:val="center"/>
                    <w:rPr>
                      <w:rFonts w:hint="eastAsia"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约</w:t>
                  </w:r>
                  <w:r>
                    <w:rPr>
                      <w:rFonts w:hint="eastAsia" w:ascii="Times New Roman" w:hAnsi="Times New Roman" w:eastAsia="宋体" w:cs="Times New Roman"/>
                      <w:color w:val="auto"/>
                      <w:sz w:val="21"/>
                      <w:szCs w:val="24"/>
                      <w:lang w:val="en-US" w:eastAsia="zh-CN"/>
                    </w:rPr>
                    <w:t>2</w:t>
                  </w:r>
                  <w:r>
                    <w:rPr>
                      <w:rFonts w:hint="default" w:ascii="Times New Roman" w:hAnsi="Times New Roman" w:eastAsia="宋体" w:cs="Times New Roman"/>
                      <w:color w:val="auto"/>
                      <w:sz w:val="21"/>
                      <w:szCs w:val="24"/>
                      <w:lang w:val="en-US" w:eastAsia="zh-CN"/>
                    </w:rPr>
                    <w:t>00</w:t>
                  </w:r>
                  <w:r>
                    <w:rPr>
                      <w:rFonts w:hint="default" w:ascii="Times New Roman" w:hAnsi="Times New Roman" w:eastAsia="宋体" w:cs="Times New Roman"/>
                      <w:color w:val="auto"/>
                      <w:sz w:val="21"/>
                      <w:szCs w:val="24"/>
                      <w:lang w:eastAsia="zh-CN"/>
                    </w:rPr>
                    <w:t>人</w:t>
                  </w:r>
                </w:p>
              </w:tc>
              <w:tc>
                <w:tcPr>
                  <w:tcW w:w="1547" w:type="dxa"/>
                  <w:vMerge w:val="continue"/>
                  <w:tcBorders>
                    <w:tl2br w:val="nil"/>
                    <w:tr2bl w:val="nil"/>
                  </w:tcBorders>
                  <w:noWrap w:val="0"/>
                  <w:vAlign w:val="center"/>
                </w:tcPr>
                <w:p w14:paraId="2FA7F450">
                  <w:pPr>
                    <w:pStyle w:val="129"/>
                    <w:spacing w:line="240" w:lineRule="auto"/>
                    <w:rPr>
                      <w:color w:val="auto"/>
                      <w:szCs w:val="21"/>
                    </w:rPr>
                  </w:pPr>
                </w:p>
              </w:tc>
            </w:tr>
            <w:tr w14:paraId="41B9D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60" w:hRule="atLeast"/>
                <w:jc w:val="center"/>
              </w:trPr>
              <w:tc>
                <w:tcPr>
                  <w:tcW w:w="596" w:type="dxa"/>
                  <w:vMerge w:val="continue"/>
                  <w:tcBorders>
                    <w:tl2br w:val="nil"/>
                    <w:tr2bl w:val="nil"/>
                  </w:tcBorders>
                  <w:noWrap w:val="0"/>
                  <w:vAlign w:val="center"/>
                </w:tcPr>
                <w:p w14:paraId="7F6D0AA6">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p>
              </w:tc>
              <w:tc>
                <w:tcPr>
                  <w:tcW w:w="999" w:type="dxa"/>
                  <w:tcBorders>
                    <w:tl2br w:val="nil"/>
                    <w:tr2bl w:val="nil"/>
                  </w:tcBorders>
                  <w:shd w:val="clear" w:color="auto" w:fill="auto"/>
                  <w:noWrap w:val="0"/>
                  <w:vAlign w:val="center"/>
                </w:tcPr>
                <w:p w14:paraId="1F76DDED">
                  <w:pPr>
                    <w:spacing w:line="240" w:lineRule="atLeast"/>
                    <w:jc w:val="center"/>
                    <w:rPr>
                      <w:rFonts w:hint="eastAsia"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龙潭</w:t>
                  </w:r>
                  <w:r>
                    <w:rPr>
                      <w:rFonts w:hint="eastAsia" w:ascii="Times New Roman" w:hAnsi="Times New Roman" w:eastAsia="宋体" w:cs="Times New Roman"/>
                      <w:color w:val="auto"/>
                      <w:sz w:val="21"/>
                      <w:szCs w:val="24"/>
                      <w:lang w:eastAsia="zh-CN"/>
                    </w:rPr>
                    <w:t>派出所</w:t>
                  </w:r>
                </w:p>
              </w:tc>
              <w:tc>
                <w:tcPr>
                  <w:tcW w:w="600" w:type="dxa"/>
                  <w:tcBorders>
                    <w:tl2br w:val="nil"/>
                    <w:tr2bl w:val="nil"/>
                  </w:tcBorders>
                  <w:shd w:val="clear" w:color="auto" w:fill="auto"/>
                  <w:noWrap w:val="0"/>
                  <w:vAlign w:val="center"/>
                </w:tcPr>
                <w:p w14:paraId="577CFB18">
                  <w:pPr>
                    <w:spacing w:line="240" w:lineRule="atLeast"/>
                    <w:jc w:val="center"/>
                    <w:rPr>
                      <w:rFonts w:hint="default"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110.5</w:t>
                  </w:r>
                  <w:r>
                    <w:rPr>
                      <w:rFonts w:hint="eastAsia" w:ascii="Times New Roman" w:hAnsi="Times New Roman" w:eastAsia="宋体" w:cs="Times New Roman"/>
                      <w:color w:val="auto"/>
                      <w:sz w:val="21"/>
                      <w:szCs w:val="24"/>
                      <w:lang w:val="en-US" w:eastAsia="zh-CN"/>
                    </w:rPr>
                    <w:t>2839</w:t>
                  </w:r>
                </w:p>
              </w:tc>
              <w:tc>
                <w:tcPr>
                  <w:tcW w:w="630" w:type="dxa"/>
                  <w:tcBorders>
                    <w:tl2br w:val="nil"/>
                    <w:tr2bl w:val="nil"/>
                  </w:tcBorders>
                  <w:shd w:val="clear" w:color="auto" w:fill="auto"/>
                  <w:noWrap w:val="0"/>
                  <w:vAlign w:val="center"/>
                </w:tcPr>
                <w:p w14:paraId="14C6FF3C">
                  <w:pPr>
                    <w:spacing w:line="240" w:lineRule="atLeast"/>
                    <w:jc w:val="center"/>
                    <w:rPr>
                      <w:rFonts w:hint="default"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27.4</w:t>
                  </w:r>
                  <w:r>
                    <w:rPr>
                      <w:rFonts w:hint="eastAsia" w:ascii="Times New Roman" w:hAnsi="Times New Roman" w:eastAsia="宋体" w:cs="Times New Roman"/>
                      <w:color w:val="auto"/>
                      <w:sz w:val="21"/>
                      <w:szCs w:val="24"/>
                      <w:lang w:val="en-US" w:eastAsia="zh-CN"/>
                    </w:rPr>
                    <w:t>1528</w:t>
                  </w:r>
                </w:p>
              </w:tc>
              <w:tc>
                <w:tcPr>
                  <w:tcW w:w="799" w:type="dxa"/>
                  <w:tcBorders>
                    <w:tl2br w:val="nil"/>
                    <w:tr2bl w:val="nil"/>
                  </w:tcBorders>
                  <w:shd w:val="clear" w:color="auto" w:fill="auto"/>
                  <w:noWrap w:val="0"/>
                  <w:vAlign w:val="center"/>
                </w:tcPr>
                <w:p w14:paraId="137AFC3B">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西北</w:t>
                  </w:r>
                </w:p>
              </w:tc>
              <w:tc>
                <w:tcPr>
                  <w:tcW w:w="854" w:type="dxa"/>
                  <w:tcBorders>
                    <w:tl2br w:val="nil"/>
                    <w:tr2bl w:val="nil"/>
                  </w:tcBorders>
                  <w:shd w:val="clear" w:color="auto" w:fill="auto"/>
                  <w:noWrap w:val="0"/>
                  <w:vAlign w:val="center"/>
                </w:tcPr>
                <w:p w14:paraId="5822D9F1">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370~420</w:t>
                  </w:r>
                </w:p>
              </w:tc>
              <w:tc>
                <w:tcPr>
                  <w:tcW w:w="774" w:type="dxa"/>
                  <w:tcBorders>
                    <w:tl2br w:val="nil"/>
                    <w:tr2bl w:val="nil"/>
                  </w:tcBorders>
                  <w:shd w:val="clear" w:color="auto" w:fill="auto"/>
                  <w:noWrap w:val="0"/>
                  <w:vAlign w:val="center"/>
                </w:tcPr>
                <w:p w14:paraId="5A90965A">
                  <w:pPr>
                    <w:spacing w:line="240" w:lineRule="atLeast"/>
                    <w:jc w:val="center"/>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eastAsia="zh-CN"/>
                    </w:rPr>
                    <w:t>行政办公</w:t>
                  </w:r>
                </w:p>
              </w:tc>
              <w:tc>
                <w:tcPr>
                  <w:tcW w:w="857" w:type="dxa"/>
                  <w:tcBorders>
                    <w:tl2br w:val="nil"/>
                    <w:tr2bl w:val="nil"/>
                  </w:tcBorders>
                  <w:shd w:val="clear" w:color="auto" w:fill="auto"/>
                  <w:noWrap w:val="0"/>
                  <w:vAlign w:val="center"/>
                </w:tcPr>
                <w:p w14:paraId="05BF6D35">
                  <w:pPr>
                    <w:spacing w:line="240" w:lineRule="atLeast"/>
                    <w:jc w:val="center"/>
                    <w:rPr>
                      <w:rFonts w:hint="eastAsia"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约</w:t>
                  </w:r>
                  <w:r>
                    <w:rPr>
                      <w:rFonts w:hint="eastAsia" w:ascii="Times New Roman" w:hAnsi="Times New Roman" w:eastAsia="宋体" w:cs="Times New Roman"/>
                      <w:color w:val="auto"/>
                      <w:sz w:val="21"/>
                      <w:szCs w:val="24"/>
                      <w:lang w:val="en-US" w:eastAsia="zh-CN"/>
                    </w:rPr>
                    <w:t>10</w:t>
                  </w:r>
                  <w:r>
                    <w:rPr>
                      <w:rFonts w:hint="default" w:ascii="Times New Roman" w:hAnsi="Times New Roman" w:eastAsia="宋体" w:cs="Times New Roman"/>
                      <w:color w:val="auto"/>
                      <w:sz w:val="21"/>
                      <w:szCs w:val="24"/>
                      <w:lang w:eastAsia="zh-CN"/>
                    </w:rPr>
                    <w:t>人</w:t>
                  </w:r>
                </w:p>
              </w:tc>
              <w:tc>
                <w:tcPr>
                  <w:tcW w:w="1547" w:type="dxa"/>
                  <w:vMerge w:val="continue"/>
                  <w:tcBorders>
                    <w:tl2br w:val="nil"/>
                    <w:tr2bl w:val="nil"/>
                  </w:tcBorders>
                  <w:noWrap w:val="0"/>
                  <w:vAlign w:val="center"/>
                </w:tcPr>
                <w:p w14:paraId="076C6825">
                  <w:pPr>
                    <w:pStyle w:val="129"/>
                    <w:spacing w:line="240" w:lineRule="auto"/>
                    <w:rPr>
                      <w:color w:val="auto"/>
                      <w:szCs w:val="21"/>
                    </w:rPr>
                  </w:pPr>
                </w:p>
              </w:tc>
            </w:tr>
            <w:tr w14:paraId="1FD5E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499" w:hRule="atLeast"/>
                <w:jc w:val="center"/>
              </w:trPr>
              <w:tc>
                <w:tcPr>
                  <w:tcW w:w="596" w:type="dxa"/>
                  <w:vMerge w:val="continue"/>
                  <w:tcBorders>
                    <w:tl2br w:val="nil"/>
                    <w:tr2bl w:val="nil"/>
                  </w:tcBorders>
                  <w:noWrap w:val="0"/>
                  <w:vAlign w:val="center"/>
                </w:tcPr>
                <w:p w14:paraId="18A60934">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p>
              </w:tc>
              <w:tc>
                <w:tcPr>
                  <w:tcW w:w="999" w:type="dxa"/>
                  <w:tcBorders>
                    <w:tl2br w:val="nil"/>
                    <w:tr2bl w:val="nil"/>
                  </w:tcBorders>
                  <w:shd w:val="clear" w:color="auto" w:fill="auto"/>
                  <w:noWrap w:val="0"/>
                  <w:vAlign w:val="center"/>
                </w:tcPr>
                <w:p w14:paraId="4F47DDAE">
                  <w:pPr>
                    <w:spacing w:line="240" w:lineRule="atLeast"/>
                    <w:jc w:val="center"/>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eastAsia="zh-CN"/>
                    </w:rPr>
                    <w:t>油麻湾居民</w:t>
                  </w:r>
                </w:p>
              </w:tc>
              <w:tc>
                <w:tcPr>
                  <w:tcW w:w="600" w:type="dxa"/>
                  <w:tcBorders>
                    <w:tl2br w:val="nil"/>
                    <w:tr2bl w:val="nil"/>
                  </w:tcBorders>
                  <w:shd w:val="clear" w:color="auto" w:fill="auto"/>
                  <w:noWrap w:val="0"/>
                  <w:vAlign w:val="center"/>
                </w:tcPr>
                <w:p w14:paraId="41D1ADFC">
                  <w:pPr>
                    <w:spacing w:line="240" w:lineRule="atLeast"/>
                    <w:jc w:val="center"/>
                    <w:rPr>
                      <w:rFonts w:hint="default"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11</w:t>
                  </w:r>
                  <w:r>
                    <w:rPr>
                      <w:rFonts w:hint="eastAsia" w:ascii="Times New Roman" w:hAnsi="Times New Roman" w:eastAsia="宋体" w:cs="Times New Roman"/>
                      <w:color w:val="auto"/>
                      <w:sz w:val="21"/>
                      <w:szCs w:val="24"/>
                      <w:lang w:val="en-US" w:eastAsia="zh-CN"/>
                    </w:rPr>
                    <w:t>0.52699</w:t>
                  </w:r>
                </w:p>
              </w:tc>
              <w:tc>
                <w:tcPr>
                  <w:tcW w:w="630" w:type="dxa"/>
                  <w:tcBorders>
                    <w:tl2br w:val="nil"/>
                    <w:tr2bl w:val="nil"/>
                  </w:tcBorders>
                  <w:shd w:val="clear" w:color="auto" w:fill="auto"/>
                  <w:noWrap w:val="0"/>
                  <w:vAlign w:val="center"/>
                </w:tcPr>
                <w:p w14:paraId="2F1E3ABC">
                  <w:pPr>
                    <w:spacing w:line="240" w:lineRule="atLeast"/>
                    <w:jc w:val="center"/>
                    <w:rPr>
                      <w:rFonts w:hint="default"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27.4</w:t>
                  </w:r>
                  <w:r>
                    <w:rPr>
                      <w:rFonts w:hint="eastAsia" w:ascii="Times New Roman" w:hAnsi="Times New Roman" w:eastAsia="宋体" w:cs="Times New Roman"/>
                      <w:color w:val="auto"/>
                      <w:sz w:val="21"/>
                      <w:szCs w:val="24"/>
                      <w:lang w:val="en-US" w:eastAsia="zh-CN"/>
                    </w:rPr>
                    <w:t>1410</w:t>
                  </w:r>
                </w:p>
              </w:tc>
              <w:tc>
                <w:tcPr>
                  <w:tcW w:w="799" w:type="dxa"/>
                  <w:tcBorders>
                    <w:tl2br w:val="nil"/>
                    <w:tr2bl w:val="nil"/>
                  </w:tcBorders>
                  <w:shd w:val="clear" w:color="auto" w:fill="auto"/>
                  <w:noWrap w:val="0"/>
                  <w:vAlign w:val="center"/>
                </w:tcPr>
                <w:p w14:paraId="30231F25">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西北</w:t>
                  </w:r>
                </w:p>
              </w:tc>
              <w:tc>
                <w:tcPr>
                  <w:tcW w:w="854" w:type="dxa"/>
                  <w:tcBorders>
                    <w:tl2br w:val="nil"/>
                    <w:tr2bl w:val="nil"/>
                  </w:tcBorders>
                  <w:shd w:val="clear" w:color="auto" w:fill="auto"/>
                  <w:noWrap w:val="0"/>
                  <w:vAlign w:val="center"/>
                </w:tcPr>
                <w:p w14:paraId="33ACB904">
                  <w:pPr>
                    <w:spacing w:line="240" w:lineRule="atLeast"/>
                    <w:jc w:val="center"/>
                    <w:rPr>
                      <w:rFonts w:hint="default"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420~490</w:t>
                  </w:r>
                </w:p>
              </w:tc>
              <w:tc>
                <w:tcPr>
                  <w:tcW w:w="774" w:type="dxa"/>
                  <w:tcBorders>
                    <w:tl2br w:val="nil"/>
                    <w:tr2bl w:val="nil"/>
                  </w:tcBorders>
                  <w:shd w:val="clear" w:color="auto" w:fill="auto"/>
                  <w:noWrap w:val="0"/>
                  <w:vAlign w:val="center"/>
                </w:tcPr>
                <w:p w14:paraId="5B88E51F">
                  <w:pPr>
                    <w:spacing w:line="240" w:lineRule="atLeast"/>
                    <w:jc w:val="center"/>
                    <w:rPr>
                      <w:rFonts w:hint="eastAsia"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居民</w:t>
                  </w:r>
                </w:p>
              </w:tc>
              <w:tc>
                <w:tcPr>
                  <w:tcW w:w="857" w:type="dxa"/>
                  <w:tcBorders>
                    <w:tl2br w:val="nil"/>
                    <w:tr2bl w:val="nil"/>
                  </w:tcBorders>
                  <w:shd w:val="clear" w:color="auto" w:fill="auto"/>
                  <w:noWrap w:val="0"/>
                  <w:vAlign w:val="center"/>
                </w:tcPr>
                <w:p w14:paraId="6141D14A">
                  <w:pPr>
                    <w:spacing w:line="240" w:lineRule="atLeast"/>
                    <w:jc w:val="center"/>
                    <w:rPr>
                      <w:rFonts w:hint="eastAsia" w:ascii="Times New Roman" w:hAnsi="Times New Roman" w:eastAsia="宋体" w:cs="Times New Roman"/>
                      <w:color w:val="auto"/>
                      <w:sz w:val="21"/>
                      <w:szCs w:val="24"/>
                      <w:lang w:val="en-US" w:eastAsia="zh-CN"/>
                    </w:rPr>
                  </w:pPr>
                  <w:r>
                    <w:rPr>
                      <w:rFonts w:hint="default" w:ascii="Times New Roman" w:hAnsi="Times New Roman" w:eastAsia="宋体" w:cs="Times New Roman"/>
                      <w:color w:val="auto"/>
                      <w:sz w:val="21"/>
                      <w:szCs w:val="24"/>
                      <w:lang w:eastAsia="zh-CN"/>
                    </w:rPr>
                    <w:t>约</w:t>
                  </w:r>
                  <w:r>
                    <w:rPr>
                      <w:rFonts w:hint="eastAsia" w:ascii="Times New Roman" w:hAnsi="Times New Roman" w:eastAsia="宋体" w:cs="Times New Roman"/>
                      <w:color w:val="auto"/>
                      <w:sz w:val="21"/>
                      <w:szCs w:val="24"/>
                      <w:lang w:val="en-US" w:eastAsia="zh-CN"/>
                    </w:rPr>
                    <w:t>80</w:t>
                  </w:r>
                  <w:r>
                    <w:rPr>
                      <w:rFonts w:hint="default" w:ascii="Times New Roman" w:hAnsi="Times New Roman" w:eastAsia="宋体" w:cs="Times New Roman"/>
                      <w:color w:val="auto"/>
                      <w:sz w:val="21"/>
                      <w:szCs w:val="24"/>
                      <w:lang w:eastAsia="zh-CN"/>
                    </w:rPr>
                    <w:t>人</w:t>
                  </w:r>
                </w:p>
              </w:tc>
              <w:tc>
                <w:tcPr>
                  <w:tcW w:w="1547" w:type="dxa"/>
                  <w:vMerge w:val="continue"/>
                  <w:tcBorders>
                    <w:tl2br w:val="nil"/>
                    <w:tr2bl w:val="nil"/>
                  </w:tcBorders>
                  <w:noWrap w:val="0"/>
                  <w:vAlign w:val="center"/>
                </w:tcPr>
                <w:p w14:paraId="010943D2">
                  <w:pPr>
                    <w:pStyle w:val="129"/>
                    <w:spacing w:line="240" w:lineRule="auto"/>
                    <w:rPr>
                      <w:color w:val="auto"/>
                      <w:szCs w:val="21"/>
                    </w:rPr>
                  </w:pPr>
                </w:p>
              </w:tc>
            </w:tr>
            <w:tr w14:paraId="47C68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88" w:hRule="atLeast"/>
                <w:jc w:val="center"/>
              </w:trPr>
              <w:tc>
                <w:tcPr>
                  <w:tcW w:w="596" w:type="dxa"/>
                  <w:vMerge w:val="restart"/>
                  <w:tcBorders>
                    <w:tl2br w:val="nil"/>
                    <w:tr2bl w:val="nil"/>
                  </w:tcBorders>
                  <w:noWrap w:val="0"/>
                  <w:vAlign w:val="center"/>
                </w:tcPr>
                <w:p w14:paraId="63F255B1">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声环境</w:t>
                  </w:r>
                </w:p>
              </w:tc>
              <w:tc>
                <w:tcPr>
                  <w:tcW w:w="999" w:type="dxa"/>
                  <w:tcBorders>
                    <w:tl2br w:val="nil"/>
                    <w:tr2bl w:val="nil"/>
                  </w:tcBorders>
                  <w:noWrap w:val="0"/>
                  <w:vAlign w:val="center"/>
                </w:tcPr>
                <w:p w14:paraId="4E540053">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岩板村</w:t>
                  </w:r>
                </w:p>
              </w:tc>
              <w:tc>
                <w:tcPr>
                  <w:tcW w:w="600" w:type="dxa"/>
                  <w:tcBorders>
                    <w:tl2br w:val="nil"/>
                    <w:tr2bl w:val="nil"/>
                  </w:tcBorders>
                  <w:noWrap w:val="0"/>
                  <w:vAlign w:val="center"/>
                </w:tcPr>
                <w:p w14:paraId="6044D9F1">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110.53172</w:t>
                  </w:r>
                </w:p>
              </w:tc>
              <w:tc>
                <w:tcPr>
                  <w:tcW w:w="630" w:type="dxa"/>
                  <w:tcBorders>
                    <w:tl2br w:val="nil"/>
                    <w:tr2bl w:val="nil"/>
                  </w:tcBorders>
                  <w:noWrap w:val="0"/>
                  <w:vAlign w:val="center"/>
                </w:tcPr>
                <w:p w14:paraId="3E7132E3">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27.41340</w:t>
                  </w:r>
                </w:p>
              </w:tc>
              <w:tc>
                <w:tcPr>
                  <w:tcW w:w="799" w:type="dxa"/>
                  <w:tcBorders>
                    <w:tl2br w:val="nil"/>
                    <w:tr2bl w:val="nil"/>
                  </w:tcBorders>
                  <w:noWrap w:val="0"/>
                  <w:vAlign w:val="center"/>
                </w:tcPr>
                <w:p w14:paraId="395C9172">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val="en-US" w:eastAsia="zh-CN"/>
                    </w:rPr>
                    <w:t>西北、</w:t>
                  </w:r>
                  <w:r>
                    <w:rPr>
                      <w:rFonts w:hint="eastAsia" w:ascii="Times New Roman" w:hAnsi="Times New Roman" w:eastAsia="宋体" w:cs="Times New Roman"/>
                      <w:color w:val="auto"/>
                      <w:sz w:val="21"/>
                      <w:szCs w:val="24"/>
                      <w:lang w:eastAsia="zh-CN"/>
                    </w:rPr>
                    <w:t>北</w:t>
                  </w:r>
                </w:p>
              </w:tc>
              <w:tc>
                <w:tcPr>
                  <w:tcW w:w="854" w:type="dxa"/>
                  <w:tcBorders>
                    <w:tl2br w:val="nil"/>
                    <w:tr2bl w:val="nil"/>
                  </w:tcBorders>
                  <w:noWrap w:val="0"/>
                  <w:vAlign w:val="center"/>
                </w:tcPr>
                <w:p w14:paraId="6652C3B1">
                  <w:pPr>
                    <w:spacing w:line="240" w:lineRule="atLeast"/>
                    <w:jc w:val="center"/>
                    <w:rPr>
                      <w:rFonts w:hint="eastAsia" w:ascii="Times New Roman" w:hAnsi="Times New Roman" w:eastAsia="宋体" w:cs="Times New Roman"/>
                      <w:color w:val="auto"/>
                      <w:sz w:val="21"/>
                      <w:szCs w:val="24"/>
                      <w:lang w:eastAsia="zh-CN"/>
                    </w:rPr>
                  </w:pPr>
                  <w:r>
                    <w:rPr>
                      <w:rFonts w:hint="eastAsia" w:cs="Times New Roman"/>
                      <w:color w:val="auto"/>
                      <w:sz w:val="21"/>
                      <w:szCs w:val="24"/>
                      <w:lang w:val="en-US" w:eastAsia="zh-CN"/>
                    </w:rPr>
                    <w:t>8</w:t>
                  </w:r>
                  <w:r>
                    <w:rPr>
                      <w:rFonts w:hint="eastAsia" w:ascii="Times New Roman" w:hAnsi="Times New Roman" w:eastAsia="宋体" w:cs="Times New Roman"/>
                      <w:color w:val="auto"/>
                      <w:sz w:val="21"/>
                      <w:szCs w:val="24"/>
                      <w:lang w:eastAsia="zh-CN"/>
                    </w:rPr>
                    <w:t>-</w:t>
                  </w:r>
                  <w:r>
                    <w:rPr>
                      <w:rFonts w:hint="eastAsia" w:ascii="Times New Roman" w:hAnsi="Times New Roman" w:eastAsia="宋体" w:cs="Times New Roman"/>
                      <w:color w:val="auto"/>
                      <w:sz w:val="21"/>
                      <w:szCs w:val="24"/>
                      <w:lang w:val="en-US" w:eastAsia="zh-CN"/>
                    </w:rPr>
                    <w:t>5</w:t>
                  </w:r>
                  <w:r>
                    <w:rPr>
                      <w:rFonts w:hint="eastAsia" w:ascii="Times New Roman" w:hAnsi="Times New Roman" w:eastAsia="宋体" w:cs="Times New Roman"/>
                      <w:color w:val="auto"/>
                      <w:sz w:val="21"/>
                      <w:szCs w:val="24"/>
                      <w:lang w:eastAsia="zh-CN"/>
                    </w:rPr>
                    <w:t>0</w:t>
                  </w:r>
                </w:p>
              </w:tc>
              <w:tc>
                <w:tcPr>
                  <w:tcW w:w="774" w:type="dxa"/>
                  <w:tcBorders>
                    <w:tl2br w:val="nil"/>
                    <w:tr2bl w:val="nil"/>
                  </w:tcBorders>
                  <w:noWrap w:val="0"/>
                  <w:vAlign w:val="center"/>
                </w:tcPr>
                <w:p w14:paraId="66E4D378">
                  <w:pPr>
                    <w:spacing w:line="240" w:lineRule="atLeast"/>
                    <w:jc w:val="center"/>
                    <w:rPr>
                      <w:rFonts w:hint="eastAsia" w:ascii="Times New Roman" w:hAnsi="Times New Roman" w:eastAsia="宋体" w:cs="Times New Roman"/>
                      <w:color w:val="auto"/>
                      <w:sz w:val="21"/>
                      <w:szCs w:val="24"/>
                      <w:lang w:eastAsia="zh-CN"/>
                    </w:rPr>
                  </w:pPr>
                  <w:r>
                    <w:rPr>
                      <w:rFonts w:hint="default" w:ascii="Times New Roman" w:hAnsi="Times New Roman" w:eastAsia="宋体" w:cs="Times New Roman"/>
                      <w:color w:val="auto"/>
                      <w:sz w:val="21"/>
                      <w:szCs w:val="24"/>
                      <w:lang w:eastAsia="zh-CN"/>
                    </w:rPr>
                    <w:t>居民</w:t>
                  </w:r>
                </w:p>
              </w:tc>
              <w:tc>
                <w:tcPr>
                  <w:tcW w:w="857" w:type="dxa"/>
                  <w:tcBorders>
                    <w:tl2br w:val="nil"/>
                    <w:tr2bl w:val="nil"/>
                  </w:tcBorders>
                  <w:noWrap w:val="0"/>
                  <w:vAlign w:val="center"/>
                </w:tcPr>
                <w:p w14:paraId="7E3950D4">
                  <w:pPr>
                    <w:spacing w:line="240" w:lineRule="atLeast"/>
                    <w:jc w:val="center"/>
                    <w:rPr>
                      <w:rFonts w:hint="eastAsia" w:ascii="Times New Roman" w:hAnsi="Times New Roman" w:eastAsia="宋体" w:cs="Times New Roman"/>
                      <w:color w:val="auto"/>
                      <w:sz w:val="21"/>
                      <w:szCs w:val="24"/>
                      <w:lang w:eastAsia="zh-CN"/>
                    </w:rPr>
                  </w:pPr>
                  <w:r>
                    <w:rPr>
                      <w:rFonts w:hint="default" w:ascii="Times New Roman" w:hAnsi="Times New Roman" w:eastAsia="宋体" w:cs="Times New Roman"/>
                      <w:color w:val="auto"/>
                      <w:sz w:val="21"/>
                      <w:szCs w:val="24"/>
                      <w:lang w:eastAsia="zh-CN"/>
                    </w:rPr>
                    <w:t>约</w:t>
                  </w:r>
                  <w:r>
                    <w:rPr>
                      <w:rFonts w:hint="eastAsia" w:ascii="Times New Roman" w:hAnsi="Times New Roman" w:eastAsia="宋体" w:cs="Times New Roman"/>
                      <w:color w:val="auto"/>
                      <w:sz w:val="21"/>
                      <w:szCs w:val="24"/>
                      <w:lang w:val="en-US" w:eastAsia="zh-CN"/>
                    </w:rPr>
                    <w:t>4</w:t>
                  </w:r>
                  <w:r>
                    <w:rPr>
                      <w:rFonts w:hint="default" w:ascii="Times New Roman" w:hAnsi="Times New Roman" w:eastAsia="宋体" w:cs="Times New Roman"/>
                      <w:color w:val="auto"/>
                      <w:sz w:val="21"/>
                      <w:szCs w:val="24"/>
                      <w:lang w:val="en-US" w:eastAsia="zh-CN"/>
                    </w:rPr>
                    <w:t>00</w:t>
                  </w:r>
                  <w:r>
                    <w:rPr>
                      <w:rFonts w:hint="default" w:ascii="Times New Roman" w:hAnsi="Times New Roman" w:eastAsia="宋体" w:cs="Times New Roman"/>
                      <w:color w:val="auto"/>
                      <w:sz w:val="21"/>
                      <w:szCs w:val="24"/>
                      <w:lang w:eastAsia="zh-CN"/>
                    </w:rPr>
                    <w:t>人</w:t>
                  </w:r>
                </w:p>
              </w:tc>
              <w:tc>
                <w:tcPr>
                  <w:tcW w:w="1547" w:type="dxa"/>
                  <w:vMerge w:val="restart"/>
                  <w:tcBorders>
                    <w:tl2br w:val="nil"/>
                    <w:tr2bl w:val="nil"/>
                  </w:tcBorders>
                  <w:noWrap w:val="0"/>
                  <w:vAlign w:val="center"/>
                </w:tcPr>
                <w:p w14:paraId="402156CF">
                  <w:pPr>
                    <w:pStyle w:val="129"/>
                    <w:spacing w:line="240" w:lineRule="auto"/>
                    <w:rPr>
                      <w:color w:val="auto"/>
                      <w:szCs w:val="21"/>
                    </w:rPr>
                  </w:pPr>
                  <w:r>
                    <w:rPr>
                      <w:color w:val="auto"/>
                      <w:szCs w:val="21"/>
                    </w:rPr>
                    <w:t>《声环境质量标准》（GB3096-2008）中</w:t>
                  </w:r>
                  <w:r>
                    <w:rPr>
                      <w:rFonts w:hint="eastAsia"/>
                      <w:color w:val="auto"/>
                      <w:szCs w:val="21"/>
                      <w:lang w:val="en-US" w:eastAsia="zh-CN"/>
                    </w:rPr>
                    <w:t>2</w:t>
                  </w:r>
                  <w:r>
                    <w:rPr>
                      <w:color w:val="auto"/>
                      <w:szCs w:val="21"/>
                    </w:rPr>
                    <w:t>类标准</w:t>
                  </w:r>
                </w:p>
              </w:tc>
            </w:tr>
            <w:tr w14:paraId="4F195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8" w:hRule="atLeast"/>
                <w:jc w:val="center"/>
              </w:trPr>
              <w:tc>
                <w:tcPr>
                  <w:tcW w:w="596" w:type="dxa"/>
                  <w:vMerge w:val="continue"/>
                  <w:tcBorders>
                    <w:tl2br w:val="nil"/>
                    <w:tr2bl w:val="nil"/>
                  </w:tcBorders>
                  <w:noWrap w:val="0"/>
                  <w:vAlign w:val="center"/>
                </w:tcPr>
                <w:p w14:paraId="094AD309">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p>
              </w:tc>
              <w:tc>
                <w:tcPr>
                  <w:tcW w:w="999" w:type="dxa"/>
                  <w:tcBorders>
                    <w:tl2br w:val="nil"/>
                    <w:tr2bl w:val="nil"/>
                  </w:tcBorders>
                  <w:noWrap w:val="0"/>
                  <w:vAlign w:val="center"/>
                </w:tcPr>
                <w:p w14:paraId="7FA04C0B">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val="en-US" w:eastAsia="zh-CN"/>
                    </w:rPr>
                    <w:t>崇实书院</w:t>
                  </w:r>
                </w:p>
              </w:tc>
              <w:tc>
                <w:tcPr>
                  <w:tcW w:w="600" w:type="dxa"/>
                  <w:tcBorders>
                    <w:tl2br w:val="nil"/>
                    <w:tr2bl w:val="nil"/>
                  </w:tcBorders>
                  <w:noWrap w:val="0"/>
                  <w:vAlign w:val="center"/>
                </w:tcPr>
                <w:p w14:paraId="5F15A88B">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110.53265</w:t>
                  </w:r>
                </w:p>
              </w:tc>
              <w:tc>
                <w:tcPr>
                  <w:tcW w:w="630" w:type="dxa"/>
                  <w:tcBorders>
                    <w:tl2br w:val="nil"/>
                    <w:tr2bl w:val="nil"/>
                  </w:tcBorders>
                  <w:noWrap w:val="0"/>
                  <w:vAlign w:val="center"/>
                </w:tcPr>
                <w:p w14:paraId="5AFE6A2F">
                  <w:pPr>
                    <w:spacing w:line="240" w:lineRule="atLeast"/>
                    <w:jc w:val="center"/>
                    <w:rPr>
                      <w:rFonts w:hint="eastAsia" w:ascii="Times New Roman" w:hAnsi="Times New Roman" w:eastAsia="宋体" w:cs="Times New Roman"/>
                      <w:color w:val="auto"/>
                      <w:sz w:val="21"/>
                      <w:szCs w:val="24"/>
                      <w:lang w:eastAsia="zh-CN"/>
                    </w:rPr>
                  </w:pPr>
                  <w:r>
                    <w:rPr>
                      <w:rFonts w:hint="eastAsia" w:ascii="Times New Roman" w:hAnsi="Times New Roman" w:eastAsia="宋体" w:cs="Times New Roman"/>
                      <w:color w:val="auto"/>
                      <w:sz w:val="21"/>
                      <w:szCs w:val="24"/>
                      <w:lang w:eastAsia="zh-CN"/>
                    </w:rPr>
                    <w:t>27.41275</w:t>
                  </w:r>
                </w:p>
              </w:tc>
              <w:tc>
                <w:tcPr>
                  <w:tcW w:w="799" w:type="dxa"/>
                  <w:tcBorders>
                    <w:tl2br w:val="nil"/>
                    <w:tr2bl w:val="nil"/>
                  </w:tcBorders>
                  <w:noWrap w:val="0"/>
                  <w:vAlign w:val="center"/>
                </w:tcPr>
                <w:p w14:paraId="54FC6185">
                  <w:pPr>
                    <w:spacing w:line="240" w:lineRule="atLeast"/>
                    <w:jc w:val="center"/>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东南</w:t>
                  </w:r>
                </w:p>
              </w:tc>
              <w:tc>
                <w:tcPr>
                  <w:tcW w:w="854" w:type="dxa"/>
                  <w:tcBorders>
                    <w:tl2br w:val="nil"/>
                    <w:tr2bl w:val="nil"/>
                  </w:tcBorders>
                  <w:noWrap w:val="0"/>
                  <w:vAlign w:val="center"/>
                </w:tcPr>
                <w:p w14:paraId="17251E0D">
                  <w:pPr>
                    <w:spacing w:line="240" w:lineRule="atLeast"/>
                    <w:jc w:val="center"/>
                    <w:rPr>
                      <w:rFonts w:hint="eastAsia" w:ascii="Times New Roman" w:hAnsi="Times New Roman" w:eastAsia="宋体" w:cs="Times New Roman"/>
                      <w:color w:val="auto"/>
                      <w:sz w:val="21"/>
                      <w:szCs w:val="24"/>
                      <w:lang w:val="en-US" w:eastAsia="zh-CN"/>
                    </w:rPr>
                  </w:pPr>
                  <w:r>
                    <w:rPr>
                      <w:rFonts w:hint="eastAsia" w:ascii="Times New Roman" w:hAnsi="Times New Roman" w:eastAsia="宋体" w:cs="Times New Roman"/>
                      <w:color w:val="auto"/>
                      <w:sz w:val="21"/>
                      <w:szCs w:val="24"/>
                      <w:lang w:val="en-US" w:eastAsia="zh-CN"/>
                    </w:rPr>
                    <w:t>20~90</w:t>
                  </w:r>
                </w:p>
              </w:tc>
              <w:tc>
                <w:tcPr>
                  <w:tcW w:w="774" w:type="dxa"/>
                  <w:tcBorders>
                    <w:tl2br w:val="nil"/>
                    <w:tr2bl w:val="nil"/>
                  </w:tcBorders>
                  <w:noWrap w:val="0"/>
                  <w:vAlign w:val="center"/>
                </w:tcPr>
                <w:p w14:paraId="176CC641">
                  <w:pPr>
                    <w:spacing w:line="240" w:lineRule="atLeast"/>
                    <w:jc w:val="center"/>
                    <w:rPr>
                      <w:rFonts w:hint="default" w:ascii="Times New Roman" w:hAnsi="Times New Roman" w:eastAsia="宋体" w:cs="Times New Roman"/>
                      <w:color w:val="auto"/>
                      <w:sz w:val="21"/>
                      <w:szCs w:val="24"/>
                      <w:lang w:eastAsia="zh-CN"/>
                    </w:rPr>
                  </w:pPr>
                  <w:r>
                    <w:rPr>
                      <w:rFonts w:hint="eastAsia" w:ascii="Helvetica" w:hAnsi="Helvetica" w:eastAsia="宋体" w:cs="Helvetica"/>
                      <w:i w:val="0"/>
                      <w:iCs w:val="0"/>
                      <w:caps w:val="0"/>
                      <w:color w:val="auto"/>
                      <w:spacing w:val="0"/>
                      <w:sz w:val="21"/>
                      <w:szCs w:val="21"/>
                      <w:shd w:val="clear" w:fill="FFFFFF"/>
                      <w:lang w:val="en-US" w:eastAsia="zh-CN"/>
                    </w:rPr>
                    <w:t>清代</w:t>
                  </w:r>
                  <w:r>
                    <w:rPr>
                      <w:rFonts w:ascii="Helvetica" w:hAnsi="Helvetica" w:eastAsia="Helvetica" w:cs="Helvetica"/>
                      <w:i w:val="0"/>
                      <w:iCs w:val="0"/>
                      <w:caps w:val="0"/>
                      <w:color w:val="auto"/>
                      <w:spacing w:val="0"/>
                      <w:sz w:val="21"/>
                      <w:szCs w:val="21"/>
                      <w:shd w:val="clear" w:fill="FFFFFF"/>
                    </w:rPr>
                    <w:t>氏族书院</w:t>
                  </w:r>
                </w:p>
              </w:tc>
              <w:tc>
                <w:tcPr>
                  <w:tcW w:w="857" w:type="dxa"/>
                  <w:tcBorders>
                    <w:tl2br w:val="nil"/>
                    <w:tr2bl w:val="nil"/>
                  </w:tcBorders>
                  <w:shd w:val="clear" w:color="auto" w:fill="auto"/>
                  <w:noWrap w:val="0"/>
                  <w:vAlign w:val="center"/>
                </w:tcPr>
                <w:p w14:paraId="77B9D7ED">
                  <w:pPr>
                    <w:spacing w:line="240" w:lineRule="atLeast"/>
                    <w:jc w:val="center"/>
                    <w:rPr>
                      <w:rFonts w:hint="default" w:ascii="Times New Roman" w:hAnsi="Times New Roman" w:eastAsia="宋体" w:cs="Times New Roman"/>
                      <w:color w:val="auto"/>
                      <w:kern w:val="2"/>
                      <w:sz w:val="21"/>
                      <w:szCs w:val="24"/>
                      <w:lang w:val="en-US" w:eastAsia="zh-CN" w:bidi="ar-SA"/>
                    </w:rPr>
                  </w:pPr>
                  <w:r>
                    <w:rPr>
                      <w:rFonts w:ascii="Helvetica" w:hAnsi="Helvetica" w:eastAsia="Helvetica" w:cs="Helvetica"/>
                      <w:i w:val="0"/>
                      <w:iCs w:val="0"/>
                      <w:caps w:val="0"/>
                      <w:color w:val="auto"/>
                      <w:spacing w:val="0"/>
                      <w:sz w:val="21"/>
                      <w:szCs w:val="21"/>
                      <w:shd w:val="clear" w:fill="FFFFFF"/>
                    </w:rPr>
                    <w:t>溆浦县</w:t>
                  </w:r>
                  <w:r>
                    <w:rPr>
                      <w:rFonts w:hint="default" w:ascii="Helvetica" w:hAnsi="Helvetica" w:eastAsia="Helvetica" w:cs="Helvetica"/>
                      <w:i w:val="0"/>
                      <w:iCs w:val="0"/>
                      <w:caps w:val="0"/>
                      <w:color w:val="auto"/>
                      <w:spacing w:val="0"/>
                      <w:sz w:val="21"/>
                      <w:szCs w:val="21"/>
                      <w:shd w:val="clear" w:fill="FFFFFF"/>
                    </w:rPr>
                    <w:t>文物保护单位</w:t>
                  </w:r>
                </w:p>
              </w:tc>
              <w:tc>
                <w:tcPr>
                  <w:tcW w:w="1547" w:type="dxa"/>
                  <w:vMerge w:val="continue"/>
                  <w:tcBorders>
                    <w:tl2br w:val="nil"/>
                    <w:tr2bl w:val="nil"/>
                  </w:tcBorders>
                  <w:shd w:val="clear" w:color="auto" w:fill="auto"/>
                  <w:noWrap w:val="0"/>
                  <w:vAlign w:val="center"/>
                </w:tcPr>
                <w:p w14:paraId="3586E19B">
                  <w:pPr>
                    <w:spacing w:line="240" w:lineRule="atLeast"/>
                    <w:jc w:val="center"/>
                    <w:rPr>
                      <w:rFonts w:hint="default" w:ascii="Times New Roman" w:hAnsi="Times New Roman" w:eastAsia="宋体" w:cs="Times New Roman"/>
                      <w:color w:val="auto"/>
                      <w:kern w:val="2"/>
                      <w:sz w:val="21"/>
                      <w:szCs w:val="24"/>
                      <w:lang w:val="en-US" w:eastAsia="zh-CN" w:bidi="ar-SA"/>
                    </w:rPr>
                  </w:pPr>
                  <w:r>
                    <w:rPr>
                      <w:rFonts w:ascii="Helvetica" w:hAnsi="Helvetica" w:eastAsia="Helvetica" w:cs="Helvetica"/>
                      <w:i w:val="0"/>
                      <w:iCs w:val="0"/>
                      <w:caps w:val="0"/>
                      <w:color w:val="auto"/>
                      <w:spacing w:val="0"/>
                      <w:sz w:val="21"/>
                      <w:szCs w:val="21"/>
                      <w:shd w:val="clear" w:fill="FFFFFF"/>
                    </w:rPr>
                    <w:t>溆浦县第一批</w:t>
                  </w:r>
                  <w:r>
                    <w:rPr>
                      <w:rFonts w:hint="default" w:ascii="Helvetica" w:hAnsi="Helvetica" w:eastAsia="Helvetica" w:cs="Helvetica"/>
                      <w:i w:val="0"/>
                      <w:iCs w:val="0"/>
                      <w:caps w:val="0"/>
                      <w:color w:val="auto"/>
                      <w:spacing w:val="0"/>
                      <w:sz w:val="21"/>
                      <w:szCs w:val="21"/>
                      <w:shd w:val="clear" w:fill="FFFFFF"/>
                    </w:rPr>
                    <w:t>文物保护单位</w:t>
                  </w:r>
                </w:p>
              </w:tc>
            </w:tr>
            <w:tr w14:paraId="1B649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8" w:hRule="atLeast"/>
                <w:jc w:val="center"/>
              </w:trPr>
              <w:tc>
                <w:tcPr>
                  <w:tcW w:w="596" w:type="dxa"/>
                  <w:tcBorders>
                    <w:tl2br w:val="nil"/>
                    <w:tr2bl w:val="nil"/>
                  </w:tcBorders>
                  <w:noWrap w:val="0"/>
                  <w:vAlign w:val="center"/>
                </w:tcPr>
                <w:p w14:paraId="1370041A">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rightChars="0"/>
                    <w:jc w:val="center"/>
                    <w:textAlignment w:val="baseline"/>
                    <w:rPr>
                      <w:rFonts w:hint="default" w:ascii="Times New Roman" w:hAnsi="Times New Roman" w:eastAsia="宋体" w:cs="Times New Roman"/>
                      <w:color w:val="auto"/>
                      <w:sz w:val="21"/>
                      <w:szCs w:val="21"/>
                      <w:u w:val="single"/>
                    </w:rPr>
                  </w:pPr>
                  <w:r>
                    <w:rPr>
                      <w:rFonts w:hint="default" w:ascii="Times New Roman" w:hAnsi="Times New Roman" w:eastAsia="宋体" w:cs="Times New Roman"/>
                      <w:b w:val="0"/>
                      <w:color w:val="auto"/>
                      <w:sz w:val="21"/>
                      <w:szCs w:val="21"/>
                      <w:u w:val="single"/>
                      <w:lang w:val="en-US" w:eastAsia="zh-CN"/>
                    </w:rPr>
                    <w:t>地表水环境</w:t>
                  </w:r>
                </w:p>
              </w:tc>
              <w:tc>
                <w:tcPr>
                  <w:tcW w:w="999" w:type="dxa"/>
                  <w:tcBorders>
                    <w:tl2br w:val="nil"/>
                    <w:tr2bl w:val="nil"/>
                  </w:tcBorders>
                  <w:noWrap w:val="0"/>
                  <w:vAlign w:val="center"/>
                </w:tcPr>
                <w:p w14:paraId="621A9C34">
                  <w:pPr>
                    <w:spacing w:line="240" w:lineRule="atLeast"/>
                    <w:jc w:val="center"/>
                    <w:rPr>
                      <w:rFonts w:hint="default" w:ascii="Times New Roman" w:hAnsi="Times New Roman" w:eastAsia="宋体" w:cs="Times New Roman"/>
                      <w:color w:val="auto"/>
                      <w:sz w:val="21"/>
                      <w:szCs w:val="24"/>
                      <w:u w:val="single"/>
                      <w:lang w:val="en-US" w:eastAsia="zh-CN"/>
                    </w:rPr>
                  </w:pPr>
                  <w:r>
                    <w:rPr>
                      <w:rFonts w:hint="default" w:ascii="Times New Roman" w:hAnsi="Times New Roman" w:cs="Times New Roman"/>
                      <w:color w:val="auto"/>
                      <w:sz w:val="21"/>
                      <w:szCs w:val="24"/>
                      <w:u w:val="single"/>
                      <w:lang w:val="en-US" w:eastAsia="zh-CN"/>
                    </w:rPr>
                    <w:t>溆水</w:t>
                  </w:r>
                </w:p>
              </w:tc>
              <w:tc>
                <w:tcPr>
                  <w:tcW w:w="600" w:type="dxa"/>
                  <w:tcBorders>
                    <w:tl2br w:val="nil"/>
                    <w:tr2bl w:val="nil"/>
                  </w:tcBorders>
                  <w:noWrap w:val="0"/>
                  <w:vAlign w:val="center"/>
                </w:tcPr>
                <w:p w14:paraId="4C7F9CA0">
                  <w:pPr>
                    <w:spacing w:line="240" w:lineRule="atLeast"/>
                    <w:jc w:val="center"/>
                    <w:rPr>
                      <w:rFonts w:hint="default" w:ascii="Times New Roman" w:hAnsi="Times New Roman" w:eastAsia="宋体" w:cs="Times New Roman"/>
                      <w:color w:val="auto"/>
                      <w:sz w:val="21"/>
                      <w:szCs w:val="24"/>
                      <w:u w:val="single"/>
                      <w:lang w:eastAsia="zh-CN"/>
                    </w:rPr>
                  </w:pPr>
                  <w:r>
                    <w:rPr>
                      <w:rFonts w:hint="default" w:ascii="Times New Roman" w:hAnsi="Times New Roman" w:cs="Times New Roman"/>
                      <w:color w:val="auto"/>
                      <w:sz w:val="21"/>
                      <w:szCs w:val="24"/>
                      <w:u w:val="single"/>
                      <w:lang w:val="en-US" w:eastAsia="zh-CN"/>
                    </w:rPr>
                    <w:t>/</w:t>
                  </w:r>
                </w:p>
              </w:tc>
              <w:tc>
                <w:tcPr>
                  <w:tcW w:w="630" w:type="dxa"/>
                  <w:tcBorders>
                    <w:tl2br w:val="nil"/>
                    <w:tr2bl w:val="nil"/>
                  </w:tcBorders>
                  <w:noWrap w:val="0"/>
                  <w:vAlign w:val="center"/>
                </w:tcPr>
                <w:p w14:paraId="3E004C0B">
                  <w:pPr>
                    <w:spacing w:line="240" w:lineRule="atLeast"/>
                    <w:jc w:val="center"/>
                    <w:rPr>
                      <w:rFonts w:hint="default" w:ascii="Times New Roman" w:hAnsi="Times New Roman" w:eastAsia="宋体" w:cs="Times New Roman"/>
                      <w:color w:val="auto"/>
                      <w:sz w:val="21"/>
                      <w:szCs w:val="24"/>
                      <w:u w:val="single"/>
                      <w:lang w:eastAsia="zh-CN"/>
                    </w:rPr>
                  </w:pPr>
                  <w:r>
                    <w:rPr>
                      <w:rFonts w:hint="default" w:ascii="Times New Roman" w:hAnsi="Times New Roman" w:cs="Times New Roman"/>
                      <w:color w:val="auto"/>
                      <w:sz w:val="21"/>
                      <w:szCs w:val="24"/>
                      <w:u w:val="single"/>
                      <w:lang w:val="en-US" w:eastAsia="zh-CN"/>
                    </w:rPr>
                    <w:t>/</w:t>
                  </w:r>
                </w:p>
              </w:tc>
              <w:tc>
                <w:tcPr>
                  <w:tcW w:w="799" w:type="dxa"/>
                  <w:tcBorders>
                    <w:tl2br w:val="nil"/>
                    <w:tr2bl w:val="nil"/>
                  </w:tcBorders>
                  <w:noWrap w:val="0"/>
                  <w:vAlign w:val="center"/>
                </w:tcPr>
                <w:p w14:paraId="2A6D0E83">
                  <w:pPr>
                    <w:spacing w:line="240" w:lineRule="atLeast"/>
                    <w:jc w:val="center"/>
                    <w:rPr>
                      <w:rFonts w:hint="default" w:ascii="Times New Roman" w:hAnsi="Times New Roman" w:eastAsia="宋体" w:cs="Times New Roman"/>
                      <w:color w:val="auto"/>
                      <w:sz w:val="21"/>
                      <w:szCs w:val="24"/>
                      <w:u w:val="single"/>
                      <w:lang w:val="en-US" w:eastAsia="zh-CN"/>
                    </w:rPr>
                  </w:pPr>
                  <w:r>
                    <w:rPr>
                      <w:rFonts w:hint="default" w:ascii="Times New Roman" w:hAnsi="Times New Roman" w:cs="Times New Roman"/>
                      <w:color w:val="auto"/>
                      <w:sz w:val="21"/>
                      <w:szCs w:val="24"/>
                      <w:u w:val="single"/>
                      <w:lang w:val="en-US" w:eastAsia="zh-CN"/>
                    </w:rPr>
                    <w:t>南</w:t>
                  </w:r>
                </w:p>
              </w:tc>
              <w:tc>
                <w:tcPr>
                  <w:tcW w:w="854" w:type="dxa"/>
                  <w:tcBorders>
                    <w:tl2br w:val="nil"/>
                    <w:tr2bl w:val="nil"/>
                  </w:tcBorders>
                  <w:noWrap w:val="0"/>
                  <w:vAlign w:val="center"/>
                </w:tcPr>
                <w:p w14:paraId="12EB0EAC">
                  <w:pPr>
                    <w:spacing w:line="240" w:lineRule="atLeast"/>
                    <w:jc w:val="center"/>
                    <w:rPr>
                      <w:rFonts w:hint="default" w:ascii="Times New Roman" w:hAnsi="Times New Roman" w:eastAsia="宋体" w:cs="Times New Roman"/>
                      <w:color w:val="auto"/>
                      <w:sz w:val="21"/>
                      <w:szCs w:val="24"/>
                      <w:u w:val="single"/>
                      <w:lang w:val="en-US" w:eastAsia="zh-CN"/>
                    </w:rPr>
                  </w:pPr>
                  <w:r>
                    <w:rPr>
                      <w:rFonts w:hint="default" w:ascii="Times New Roman" w:hAnsi="Times New Roman" w:cs="Times New Roman"/>
                      <w:color w:val="auto"/>
                      <w:sz w:val="21"/>
                      <w:szCs w:val="24"/>
                      <w:u w:val="single"/>
                      <w:lang w:val="en-US" w:eastAsia="zh-CN"/>
                    </w:rPr>
                    <w:t>550</w:t>
                  </w:r>
                </w:p>
              </w:tc>
              <w:tc>
                <w:tcPr>
                  <w:tcW w:w="774" w:type="dxa"/>
                  <w:tcBorders>
                    <w:tl2br w:val="nil"/>
                    <w:tr2bl w:val="nil"/>
                  </w:tcBorders>
                  <w:noWrap w:val="0"/>
                  <w:vAlign w:val="center"/>
                </w:tcPr>
                <w:p w14:paraId="43B939A0">
                  <w:pPr>
                    <w:spacing w:line="240" w:lineRule="atLeast"/>
                    <w:jc w:val="center"/>
                    <w:rPr>
                      <w:rFonts w:hint="default" w:ascii="Times New Roman" w:hAnsi="Times New Roman" w:eastAsia="宋体" w:cs="Times New Roman"/>
                      <w:i w:val="0"/>
                      <w:iCs w:val="0"/>
                      <w:caps w:val="0"/>
                      <w:color w:val="auto"/>
                      <w:spacing w:val="0"/>
                      <w:sz w:val="21"/>
                      <w:szCs w:val="21"/>
                      <w:u w:val="single"/>
                      <w:shd w:val="clear" w:fill="FFFFFF"/>
                      <w:lang w:val="en-US" w:eastAsia="zh-CN"/>
                    </w:rPr>
                  </w:pPr>
                  <w:r>
                    <w:rPr>
                      <w:rFonts w:hint="default" w:ascii="Times New Roman" w:hAnsi="Times New Roman" w:cs="Times New Roman"/>
                      <w:color w:val="auto"/>
                      <w:u w:val="single"/>
                      <w:lang w:val="en-US" w:eastAsia="zh-CN"/>
                    </w:rPr>
                    <w:t>地表水</w:t>
                  </w:r>
                </w:p>
              </w:tc>
              <w:tc>
                <w:tcPr>
                  <w:tcW w:w="857" w:type="dxa"/>
                  <w:tcBorders>
                    <w:tl2br w:val="nil"/>
                    <w:tr2bl w:val="nil"/>
                  </w:tcBorders>
                  <w:shd w:val="clear" w:color="auto" w:fill="auto"/>
                  <w:noWrap w:val="0"/>
                  <w:vAlign w:val="center"/>
                </w:tcPr>
                <w:p w14:paraId="417D5B33">
                  <w:pPr>
                    <w:spacing w:line="240" w:lineRule="atLeast"/>
                    <w:jc w:val="center"/>
                    <w:rPr>
                      <w:rFonts w:hint="default" w:ascii="Times New Roman" w:hAnsi="Times New Roman" w:eastAsia="Helvetica" w:cs="Times New Roman"/>
                      <w:i w:val="0"/>
                      <w:iCs w:val="0"/>
                      <w:caps w:val="0"/>
                      <w:color w:val="auto"/>
                      <w:spacing w:val="0"/>
                      <w:sz w:val="21"/>
                      <w:szCs w:val="21"/>
                      <w:u w:val="single"/>
                      <w:shd w:val="clear" w:fill="FFFFFF"/>
                    </w:rPr>
                  </w:pPr>
                  <w:r>
                    <w:rPr>
                      <w:rFonts w:hint="default" w:ascii="Times New Roman" w:hAnsi="Times New Roman" w:cs="Times New Roman"/>
                      <w:color w:val="auto"/>
                      <w:kern w:val="2"/>
                      <w:sz w:val="21"/>
                      <w:szCs w:val="24"/>
                      <w:u w:val="single"/>
                      <w:lang w:val="en-US" w:eastAsia="zh-CN" w:bidi="ar-SA"/>
                    </w:rPr>
                    <w:t>中河</w:t>
                  </w:r>
                </w:p>
              </w:tc>
              <w:tc>
                <w:tcPr>
                  <w:tcW w:w="1547" w:type="dxa"/>
                  <w:tcBorders>
                    <w:tl2br w:val="nil"/>
                    <w:tr2bl w:val="nil"/>
                  </w:tcBorders>
                  <w:shd w:val="clear" w:color="auto" w:fill="auto"/>
                  <w:noWrap w:val="0"/>
                  <w:vAlign w:val="center"/>
                </w:tcPr>
                <w:p w14:paraId="4FA45EEC">
                  <w:pPr>
                    <w:spacing w:line="240" w:lineRule="atLeast"/>
                    <w:jc w:val="center"/>
                    <w:rPr>
                      <w:rFonts w:hint="default" w:ascii="Times New Roman" w:hAnsi="Times New Roman" w:eastAsia="Helvetica" w:cs="Times New Roman"/>
                      <w:i w:val="0"/>
                      <w:iCs w:val="0"/>
                      <w:caps w:val="0"/>
                      <w:color w:val="auto"/>
                      <w:spacing w:val="0"/>
                      <w:sz w:val="21"/>
                      <w:szCs w:val="21"/>
                      <w:u w:val="single"/>
                      <w:shd w:val="clear" w:fill="FFFFFF"/>
                    </w:rPr>
                  </w:pPr>
                  <w:r>
                    <w:rPr>
                      <w:rFonts w:hint="default" w:ascii="Times New Roman" w:hAnsi="Times New Roman" w:eastAsia="宋体" w:cs="Times New Roman"/>
                      <w:b w:val="0"/>
                      <w:color w:val="auto"/>
                      <w:sz w:val="21"/>
                      <w:szCs w:val="21"/>
                      <w:u w:val="single"/>
                      <w:lang w:val="en-US" w:eastAsia="zh-CN"/>
                    </w:rPr>
                    <w:t>《地表水环境质量标准》（GB3838-2002）Ⅲ类</w:t>
                  </w:r>
                </w:p>
              </w:tc>
            </w:tr>
            <w:tr w14:paraId="72E39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0" w:hRule="atLeast"/>
                <w:jc w:val="center"/>
              </w:trPr>
              <w:tc>
                <w:tcPr>
                  <w:tcW w:w="596" w:type="dxa"/>
                  <w:tcBorders>
                    <w:tl2br w:val="nil"/>
                    <w:tr2bl w:val="nil"/>
                  </w:tcBorders>
                  <w:noWrap w:val="0"/>
                  <w:vAlign w:val="center"/>
                </w:tcPr>
                <w:p w14:paraId="0819E57E">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地下水</w:t>
                  </w:r>
                </w:p>
              </w:tc>
              <w:tc>
                <w:tcPr>
                  <w:tcW w:w="7060" w:type="dxa"/>
                  <w:gridSpan w:val="8"/>
                  <w:tcBorders>
                    <w:tl2br w:val="nil"/>
                    <w:tr2bl w:val="nil"/>
                  </w:tcBorders>
                  <w:noWrap w:val="0"/>
                  <w:vAlign w:val="center"/>
                </w:tcPr>
                <w:p w14:paraId="565A9349">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left"/>
                    <w:textAlignment w:val="baseline"/>
                    <w:rPr>
                      <w:color w:val="auto"/>
                      <w:sz w:val="21"/>
                      <w:szCs w:val="21"/>
                    </w:rPr>
                  </w:pPr>
                  <w:r>
                    <w:rPr>
                      <w:color w:val="auto"/>
                      <w:sz w:val="21"/>
                      <w:szCs w:val="21"/>
                    </w:rPr>
                    <w:t>无。项目厂界外500m内无地下水集中式饮用水源和热水、矿泉水、温泉等特殊地下水资源。</w:t>
                  </w:r>
                </w:p>
              </w:tc>
            </w:tr>
            <w:tr w14:paraId="0FDB9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7" w:hRule="atLeast"/>
                <w:jc w:val="center"/>
              </w:trPr>
              <w:tc>
                <w:tcPr>
                  <w:tcW w:w="596" w:type="dxa"/>
                  <w:tcBorders>
                    <w:tl2br w:val="nil"/>
                    <w:tr2bl w:val="nil"/>
                  </w:tcBorders>
                  <w:noWrap w:val="0"/>
                  <w:vAlign w:val="center"/>
                </w:tcPr>
                <w:p w14:paraId="4CAED8B2">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生态环境</w:t>
                  </w:r>
                </w:p>
              </w:tc>
              <w:tc>
                <w:tcPr>
                  <w:tcW w:w="7060" w:type="dxa"/>
                  <w:gridSpan w:val="8"/>
                  <w:tcBorders>
                    <w:tl2br w:val="nil"/>
                    <w:tr2bl w:val="nil"/>
                  </w:tcBorders>
                  <w:noWrap w:val="0"/>
                  <w:vAlign w:val="center"/>
                </w:tcPr>
                <w:p w14:paraId="60936A0B">
                  <w:pPr>
                    <w:pStyle w:val="128"/>
                    <w:keepNext w:val="0"/>
                    <w:keepLines w:val="0"/>
                    <w:pageBreakBefore w:val="0"/>
                    <w:widowControl/>
                    <w:kinsoku/>
                    <w:wordWrap/>
                    <w:overflowPunct w:val="0"/>
                    <w:topLinePunct w:val="0"/>
                    <w:autoSpaceDE w:val="0"/>
                    <w:autoSpaceDN w:val="0"/>
                    <w:bidi w:val="0"/>
                    <w:adjustRightInd/>
                    <w:snapToGrid w:val="0"/>
                    <w:spacing w:before="0" w:after="0" w:line="240" w:lineRule="auto"/>
                    <w:ind w:right="0"/>
                    <w:jc w:val="left"/>
                    <w:textAlignment w:val="baseline"/>
                    <w:rPr>
                      <w:color w:val="auto"/>
                      <w:sz w:val="21"/>
                      <w:szCs w:val="21"/>
                    </w:rPr>
                  </w:pPr>
                  <w:r>
                    <w:rPr>
                      <w:rFonts w:ascii="Times New Roman" w:hAnsi="Times New Roman" w:eastAsia="宋体" w:cs="Times New Roman"/>
                      <w:color w:val="auto"/>
                      <w:sz w:val="21"/>
                      <w:szCs w:val="21"/>
                    </w:rPr>
                    <w:t>无。项目</w:t>
                  </w:r>
                  <w:r>
                    <w:rPr>
                      <w:rFonts w:hint="eastAsia" w:cs="Times New Roman"/>
                      <w:color w:val="auto"/>
                      <w:sz w:val="21"/>
                      <w:szCs w:val="21"/>
                      <w:lang w:val="en-US" w:eastAsia="zh-CN"/>
                    </w:rPr>
                    <w:t>位于城镇建成区</w:t>
                  </w:r>
                  <w:r>
                    <w:rPr>
                      <w:rFonts w:ascii="Times New Roman" w:hAnsi="Times New Roman" w:eastAsia="宋体" w:cs="Times New Roman"/>
                      <w:color w:val="auto"/>
                      <w:sz w:val="21"/>
                      <w:szCs w:val="21"/>
                    </w:rPr>
                    <w:t>范围内且不新增用地，不涉及生态环境保护目标</w:t>
                  </w:r>
                </w:p>
              </w:tc>
            </w:tr>
          </w:tbl>
          <w:p w14:paraId="2547C52D">
            <w:pPr>
              <w:pStyle w:val="84"/>
              <w:keepNext w:val="0"/>
              <w:keepLines w:val="0"/>
              <w:pageBreakBefore w:val="0"/>
              <w:widowControl w:val="0"/>
              <w:kinsoku/>
              <w:wordWrap/>
              <w:overflowPunct/>
              <w:topLinePunct w:val="0"/>
              <w:autoSpaceDE/>
              <w:autoSpaceDN/>
              <w:bidi w:val="0"/>
              <w:adjustRightInd/>
              <w:snapToGrid/>
              <w:spacing w:before="313" w:beforeLines="100" w:after="0" w:afterLines="0"/>
              <w:textAlignment w:val="auto"/>
              <w:rPr>
                <w:rFonts w:hint="default" w:ascii="Times New Roman" w:hAnsi="Times New Roman" w:eastAsia="宋体" w:cs="Times New Roman"/>
                <w:b/>
                <w:bCs/>
                <w:color w:val="auto"/>
                <w:u w:val="none"/>
                <w:lang w:val="en-US" w:eastAsia="zh-CN"/>
              </w:rPr>
            </w:pPr>
            <w:r>
              <w:rPr>
                <w:rFonts w:hint="default" w:ascii="Times New Roman" w:hAnsi="Times New Roman" w:eastAsia="宋体" w:cs="Times New Roman"/>
                <w:b/>
                <w:bCs/>
                <w:color w:val="auto"/>
                <w:u w:val="none"/>
                <w:lang w:val="en-US" w:eastAsia="zh-CN"/>
              </w:rPr>
              <w:t>表3-</w:t>
            </w:r>
            <w:r>
              <w:rPr>
                <w:rFonts w:hint="eastAsia" w:ascii="Times New Roman" w:hAnsi="Times New Roman" w:eastAsia="宋体" w:cs="Times New Roman"/>
                <w:b/>
                <w:bCs/>
                <w:color w:val="auto"/>
                <w:u w:val="none"/>
                <w:lang w:val="en-US" w:eastAsia="zh-CN"/>
              </w:rPr>
              <w:t>7</w:t>
            </w:r>
            <w:r>
              <w:rPr>
                <w:rFonts w:hint="default" w:ascii="Times New Roman" w:hAnsi="Times New Roman" w:eastAsia="宋体" w:cs="Times New Roman"/>
                <w:b/>
                <w:bCs/>
                <w:color w:val="auto"/>
                <w:u w:val="none"/>
                <w:lang w:val="en-US" w:eastAsia="zh-CN"/>
              </w:rPr>
              <w:t xml:space="preserve">  </w:t>
            </w:r>
            <w:r>
              <w:rPr>
                <w:rFonts w:hint="eastAsia" w:cs="Times New Roman"/>
                <w:b/>
                <w:bCs/>
                <w:color w:val="auto"/>
                <w:u w:val="none"/>
                <w:lang w:val="en-US" w:eastAsia="zh-CN"/>
              </w:rPr>
              <w:t xml:space="preserve"> </w:t>
            </w:r>
            <w:r>
              <w:rPr>
                <w:rFonts w:hint="default" w:ascii="Times New Roman" w:hAnsi="Times New Roman" w:eastAsia="宋体" w:cs="Times New Roman"/>
                <w:b/>
                <w:bCs/>
                <w:color w:val="auto"/>
                <w:u w:val="none"/>
                <w:lang w:val="en-US" w:eastAsia="zh-CN"/>
              </w:rPr>
              <w:t>主要</w:t>
            </w:r>
            <w:r>
              <w:rPr>
                <w:rFonts w:hint="eastAsia" w:ascii="Times New Roman" w:hAnsi="Times New Roman" w:eastAsia="宋体" w:cs="Times New Roman"/>
                <w:b/>
                <w:bCs/>
                <w:color w:val="auto"/>
                <w:u w:val="none"/>
                <w:lang w:val="en-US" w:eastAsia="zh-CN"/>
              </w:rPr>
              <w:t>社会</w:t>
            </w:r>
            <w:r>
              <w:rPr>
                <w:rFonts w:hint="default" w:ascii="Times New Roman" w:hAnsi="Times New Roman" w:eastAsia="宋体" w:cs="Times New Roman"/>
                <w:b/>
                <w:bCs/>
                <w:color w:val="auto"/>
                <w:u w:val="none"/>
                <w:lang w:val="en-US" w:eastAsia="zh-CN"/>
              </w:rPr>
              <w:t>环境保护目标</w:t>
            </w:r>
          </w:p>
          <w:tbl>
            <w:tblPr>
              <w:tblStyle w:val="32"/>
              <w:tblW w:w="77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821"/>
              <w:gridCol w:w="903"/>
              <w:gridCol w:w="1088"/>
              <w:gridCol w:w="737"/>
              <w:gridCol w:w="777"/>
              <w:gridCol w:w="792"/>
              <w:gridCol w:w="708"/>
              <w:gridCol w:w="1068"/>
            </w:tblGrid>
            <w:tr w14:paraId="601B8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44" w:type="pct"/>
                  <w:vMerge w:val="restart"/>
                  <w:vAlign w:val="center"/>
                </w:tcPr>
                <w:p w14:paraId="7A4BD942">
                  <w:pPr>
                    <w:spacing w:line="240" w:lineRule="atLeast"/>
                    <w:jc w:val="center"/>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敏感要素</w:t>
                  </w:r>
                </w:p>
              </w:tc>
              <w:tc>
                <w:tcPr>
                  <w:tcW w:w="530" w:type="pct"/>
                  <w:vMerge w:val="restart"/>
                  <w:vAlign w:val="center"/>
                </w:tcPr>
                <w:p w14:paraId="625716FC">
                  <w:pPr>
                    <w:spacing w:line="240" w:lineRule="atLeast"/>
                    <w:jc w:val="center"/>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名称</w:t>
                  </w:r>
                </w:p>
              </w:tc>
              <w:tc>
                <w:tcPr>
                  <w:tcW w:w="1286" w:type="pct"/>
                  <w:gridSpan w:val="2"/>
                  <w:vAlign w:val="center"/>
                </w:tcPr>
                <w:p w14:paraId="33699D67">
                  <w:pPr>
                    <w:spacing w:line="240" w:lineRule="atLeast"/>
                    <w:jc w:val="center"/>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距厂界最近点坐标</w:t>
                  </w:r>
                </w:p>
              </w:tc>
              <w:tc>
                <w:tcPr>
                  <w:tcW w:w="476" w:type="pct"/>
                  <w:vMerge w:val="restart"/>
                  <w:vAlign w:val="center"/>
                </w:tcPr>
                <w:p w14:paraId="006CCBC1">
                  <w:pPr>
                    <w:spacing w:line="240" w:lineRule="atLeast"/>
                    <w:jc w:val="center"/>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保护对象</w:t>
                  </w:r>
                </w:p>
              </w:tc>
              <w:tc>
                <w:tcPr>
                  <w:tcW w:w="502" w:type="pct"/>
                  <w:vMerge w:val="restart"/>
                  <w:vAlign w:val="center"/>
                </w:tcPr>
                <w:p w14:paraId="67B41355">
                  <w:pPr>
                    <w:spacing w:line="240" w:lineRule="atLeast"/>
                    <w:jc w:val="center"/>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保护内容</w:t>
                  </w:r>
                </w:p>
              </w:tc>
              <w:tc>
                <w:tcPr>
                  <w:tcW w:w="511" w:type="pct"/>
                  <w:vMerge w:val="restart"/>
                  <w:vAlign w:val="center"/>
                </w:tcPr>
                <w:p w14:paraId="70E515E2">
                  <w:pPr>
                    <w:spacing w:line="240" w:lineRule="atLeast"/>
                    <w:jc w:val="center"/>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环境功能区</w:t>
                  </w:r>
                </w:p>
              </w:tc>
              <w:tc>
                <w:tcPr>
                  <w:tcW w:w="457" w:type="pct"/>
                  <w:vMerge w:val="restart"/>
                  <w:vAlign w:val="center"/>
                </w:tcPr>
                <w:p w14:paraId="64396545">
                  <w:pPr>
                    <w:spacing w:line="240" w:lineRule="atLeast"/>
                    <w:jc w:val="center"/>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相对厂址方位</w:t>
                  </w:r>
                </w:p>
              </w:tc>
              <w:tc>
                <w:tcPr>
                  <w:tcW w:w="690" w:type="pct"/>
                  <w:vMerge w:val="restart"/>
                  <w:vAlign w:val="center"/>
                </w:tcPr>
                <w:p w14:paraId="19F3A798">
                  <w:pPr>
                    <w:spacing w:line="240" w:lineRule="atLeast"/>
                    <w:jc w:val="center"/>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相对厂界距离范围（m）</w:t>
                  </w:r>
                </w:p>
              </w:tc>
            </w:tr>
            <w:tr w14:paraId="40E63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44" w:type="pct"/>
                  <w:vMerge w:val="continue"/>
                  <w:vAlign w:val="center"/>
                </w:tcPr>
                <w:p w14:paraId="3646E91A">
                  <w:pPr>
                    <w:spacing w:line="240" w:lineRule="atLeast"/>
                    <w:jc w:val="center"/>
                    <w:rPr>
                      <w:rFonts w:hint="default" w:ascii="Times New Roman" w:hAnsi="Times New Roman" w:cs="Times New Roman" w:eastAsiaTheme="minorEastAsia"/>
                      <w:color w:val="auto"/>
                      <w:sz w:val="21"/>
                      <w:szCs w:val="21"/>
                      <w:u w:val="none"/>
                    </w:rPr>
                  </w:pPr>
                </w:p>
              </w:tc>
              <w:tc>
                <w:tcPr>
                  <w:tcW w:w="530" w:type="pct"/>
                  <w:vMerge w:val="continue"/>
                  <w:vAlign w:val="center"/>
                </w:tcPr>
                <w:p w14:paraId="08BD44CE">
                  <w:pPr>
                    <w:spacing w:line="240" w:lineRule="atLeast"/>
                    <w:jc w:val="center"/>
                    <w:rPr>
                      <w:rFonts w:hint="default" w:ascii="Times New Roman" w:hAnsi="Times New Roman" w:cs="Times New Roman" w:eastAsiaTheme="minorEastAsia"/>
                      <w:color w:val="auto"/>
                      <w:sz w:val="21"/>
                      <w:szCs w:val="21"/>
                      <w:u w:val="none"/>
                    </w:rPr>
                  </w:pPr>
                </w:p>
              </w:tc>
              <w:tc>
                <w:tcPr>
                  <w:tcW w:w="583" w:type="pct"/>
                  <w:vAlign w:val="center"/>
                </w:tcPr>
                <w:p w14:paraId="71425819">
                  <w:pPr>
                    <w:spacing w:line="240" w:lineRule="atLeast"/>
                    <w:jc w:val="center"/>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经度E</w:t>
                  </w:r>
                </w:p>
              </w:tc>
              <w:tc>
                <w:tcPr>
                  <w:tcW w:w="703" w:type="pct"/>
                  <w:vAlign w:val="center"/>
                </w:tcPr>
                <w:p w14:paraId="50C3F211">
                  <w:pPr>
                    <w:spacing w:line="240" w:lineRule="atLeast"/>
                    <w:jc w:val="center"/>
                    <w:rPr>
                      <w:rFonts w:hint="default" w:ascii="Times New Roman" w:hAnsi="Times New Roman" w:cs="Times New Roman" w:eastAsiaTheme="minorEastAsia"/>
                      <w:b/>
                      <w:bCs/>
                      <w:color w:val="auto"/>
                      <w:sz w:val="21"/>
                      <w:szCs w:val="21"/>
                      <w:u w:val="none"/>
                    </w:rPr>
                  </w:pPr>
                  <w:r>
                    <w:rPr>
                      <w:rFonts w:hint="default" w:ascii="Times New Roman" w:hAnsi="Times New Roman" w:cs="Times New Roman" w:eastAsiaTheme="minorEastAsia"/>
                      <w:b/>
                      <w:bCs/>
                      <w:color w:val="auto"/>
                      <w:sz w:val="21"/>
                      <w:szCs w:val="21"/>
                      <w:u w:val="none"/>
                    </w:rPr>
                    <w:t>纬度N</w:t>
                  </w:r>
                </w:p>
              </w:tc>
              <w:tc>
                <w:tcPr>
                  <w:tcW w:w="476" w:type="pct"/>
                  <w:vMerge w:val="continue"/>
                  <w:vAlign w:val="center"/>
                </w:tcPr>
                <w:p w14:paraId="29E64B90">
                  <w:pPr>
                    <w:spacing w:line="240" w:lineRule="atLeast"/>
                    <w:jc w:val="center"/>
                    <w:rPr>
                      <w:rFonts w:hint="default" w:ascii="Times New Roman" w:hAnsi="Times New Roman" w:cs="Times New Roman" w:eastAsiaTheme="minorEastAsia"/>
                      <w:color w:val="auto"/>
                      <w:sz w:val="21"/>
                      <w:szCs w:val="21"/>
                      <w:u w:val="none"/>
                    </w:rPr>
                  </w:pPr>
                </w:p>
              </w:tc>
              <w:tc>
                <w:tcPr>
                  <w:tcW w:w="502" w:type="pct"/>
                  <w:vMerge w:val="continue"/>
                  <w:vAlign w:val="center"/>
                </w:tcPr>
                <w:p w14:paraId="7E0ECEAE">
                  <w:pPr>
                    <w:spacing w:line="240" w:lineRule="atLeast"/>
                    <w:jc w:val="center"/>
                    <w:rPr>
                      <w:rFonts w:hint="default" w:ascii="Times New Roman" w:hAnsi="Times New Roman" w:cs="Times New Roman" w:eastAsiaTheme="minorEastAsia"/>
                      <w:color w:val="auto"/>
                      <w:sz w:val="21"/>
                      <w:szCs w:val="21"/>
                      <w:u w:val="none"/>
                    </w:rPr>
                  </w:pPr>
                </w:p>
              </w:tc>
              <w:tc>
                <w:tcPr>
                  <w:tcW w:w="511" w:type="pct"/>
                  <w:vMerge w:val="continue"/>
                  <w:vAlign w:val="center"/>
                </w:tcPr>
                <w:p w14:paraId="05B4D440">
                  <w:pPr>
                    <w:spacing w:line="240" w:lineRule="atLeast"/>
                    <w:jc w:val="center"/>
                    <w:rPr>
                      <w:rFonts w:hint="default" w:ascii="Times New Roman" w:hAnsi="Times New Roman" w:cs="Times New Roman" w:eastAsiaTheme="minorEastAsia"/>
                      <w:color w:val="auto"/>
                      <w:sz w:val="21"/>
                      <w:szCs w:val="21"/>
                      <w:u w:val="none"/>
                    </w:rPr>
                  </w:pPr>
                </w:p>
              </w:tc>
              <w:tc>
                <w:tcPr>
                  <w:tcW w:w="457" w:type="pct"/>
                  <w:vMerge w:val="continue"/>
                  <w:vAlign w:val="center"/>
                </w:tcPr>
                <w:p w14:paraId="73F3389A">
                  <w:pPr>
                    <w:spacing w:line="240" w:lineRule="atLeast"/>
                    <w:jc w:val="center"/>
                    <w:rPr>
                      <w:rFonts w:hint="default" w:ascii="Times New Roman" w:hAnsi="Times New Roman" w:cs="Times New Roman" w:eastAsiaTheme="minorEastAsia"/>
                      <w:color w:val="auto"/>
                      <w:sz w:val="21"/>
                      <w:szCs w:val="21"/>
                      <w:u w:val="none"/>
                    </w:rPr>
                  </w:pPr>
                </w:p>
              </w:tc>
              <w:tc>
                <w:tcPr>
                  <w:tcW w:w="690" w:type="pct"/>
                  <w:vMerge w:val="continue"/>
                  <w:vAlign w:val="center"/>
                </w:tcPr>
                <w:p w14:paraId="6C033A0F">
                  <w:pPr>
                    <w:spacing w:line="240" w:lineRule="atLeast"/>
                    <w:jc w:val="center"/>
                    <w:rPr>
                      <w:rFonts w:hint="default" w:ascii="Times New Roman" w:hAnsi="Times New Roman" w:cs="Times New Roman" w:eastAsiaTheme="minorEastAsia"/>
                      <w:color w:val="auto"/>
                      <w:sz w:val="21"/>
                      <w:szCs w:val="21"/>
                      <w:u w:val="none"/>
                    </w:rPr>
                  </w:pPr>
                </w:p>
              </w:tc>
            </w:tr>
            <w:tr w14:paraId="5B12B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44" w:type="pct"/>
                  <w:vAlign w:val="center"/>
                </w:tcPr>
                <w:p w14:paraId="154B13E3">
                  <w:pPr>
                    <w:spacing w:line="240" w:lineRule="atLeast"/>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lang w:eastAsia="zh-CN"/>
                    </w:rPr>
                    <w:t>社会环境保护目标</w:t>
                  </w:r>
                </w:p>
              </w:tc>
              <w:tc>
                <w:tcPr>
                  <w:tcW w:w="530" w:type="pct"/>
                  <w:vAlign w:val="center"/>
                </w:tcPr>
                <w:p w14:paraId="7AF91D67">
                  <w:pPr>
                    <w:spacing w:line="240" w:lineRule="atLeast"/>
                    <w:jc w:val="center"/>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lang w:eastAsia="zh-CN"/>
                    </w:rPr>
                    <w:t>龙潭镇污水处理厂</w:t>
                  </w:r>
                </w:p>
              </w:tc>
              <w:tc>
                <w:tcPr>
                  <w:tcW w:w="583" w:type="pct"/>
                  <w:vAlign w:val="center"/>
                </w:tcPr>
                <w:p w14:paraId="3CA99FB7">
                  <w:pPr>
                    <w:spacing w:line="240" w:lineRule="atLeast"/>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110.555159</w:t>
                  </w:r>
                </w:p>
              </w:tc>
              <w:tc>
                <w:tcPr>
                  <w:tcW w:w="703" w:type="pct"/>
                  <w:vAlign w:val="center"/>
                </w:tcPr>
                <w:p w14:paraId="3E1F79C7">
                  <w:pPr>
                    <w:spacing w:line="240" w:lineRule="atLeast"/>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rPr>
                    <w:t>27.</w:t>
                  </w:r>
                  <w:r>
                    <w:rPr>
                      <w:rFonts w:hint="default" w:ascii="Times New Roman" w:hAnsi="Times New Roman" w:cs="Times New Roman" w:eastAsiaTheme="minorEastAsia"/>
                      <w:color w:val="auto"/>
                      <w:sz w:val="21"/>
                      <w:szCs w:val="21"/>
                      <w:u w:val="none"/>
                      <w:lang w:val="en-US" w:eastAsia="zh-CN"/>
                    </w:rPr>
                    <w:t>429004</w:t>
                  </w:r>
                </w:p>
              </w:tc>
              <w:tc>
                <w:tcPr>
                  <w:tcW w:w="476" w:type="pct"/>
                  <w:vAlign w:val="center"/>
                </w:tcPr>
                <w:p w14:paraId="6A38A021">
                  <w:pPr>
                    <w:spacing w:line="240" w:lineRule="atLeast"/>
                    <w:jc w:val="center"/>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lang w:val="en-US" w:eastAsia="zh-CN"/>
                    </w:rPr>
                    <w:t>/</w:t>
                  </w:r>
                </w:p>
              </w:tc>
              <w:tc>
                <w:tcPr>
                  <w:tcW w:w="502" w:type="pct"/>
                  <w:vAlign w:val="center"/>
                </w:tcPr>
                <w:p w14:paraId="1340186B">
                  <w:pPr>
                    <w:pStyle w:val="78"/>
                    <w:widowControl w:val="0"/>
                    <w:adjustRightInd/>
                    <w:snapToGrid/>
                    <w:spacing w:before="0" w:line="240" w:lineRule="atLeast"/>
                    <w:ind w:right="0"/>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lang w:val="en-US" w:eastAsia="zh-CN"/>
                    </w:rPr>
                    <w:t>/</w:t>
                  </w:r>
                </w:p>
              </w:tc>
              <w:tc>
                <w:tcPr>
                  <w:tcW w:w="511" w:type="pct"/>
                  <w:vAlign w:val="center"/>
                </w:tcPr>
                <w:p w14:paraId="15061A42">
                  <w:pPr>
                    <w:spacing w:line="240" w:lineRule="atLeast"/>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457" w:type="pct"/>
                  <w:vAlign w:val="center"/>
                </w:tcPr>
                <w:p w14:paraId="5C931870">
                  <w:pPr>
                    <w:spacing w:line="240" w:lineRule="atLeast"/>
                    <w:jc w:val="center"/>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lang w:val="en-US" w:eastAsia="zh-CN"/>
                    </w:rPr>
                    <w:t>NE</w:t>
                  </w:r>
                </w:p>
              </w:tc>
              <w:tc>
                <w:tcPr>
                  <w:tcW w:w="690" w:type="pct"/>
                  <w:vAlign w:val="center"/>
                </w:tcPr>
                <w:p w14:paraId="2DFF31A9">
                  <w:pPr>
                    <w:pStyle w:val="78"/>
                    <w:widowControl w:val="0"/>
                    <w:adjustRightInd/>
                    <w:snapToGrid/>
                    <w:spacing w:line="240" w:lineRule="atLeast"/>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lang w:val="en-US" w:eastAsia="zh-CN"/>
                    </w:rPr>
                    <w:t>2820</w:t>
                  </w:r>
                  <w:r>
                    <w:rPr>
                      <w:rFonts w:hint="default" w:ascii="Times New Roman" w:hAnsi="Times New Roman" w:cs="Times New Roman" w:eastAsiaTheme="minorEastAsia"/>
                      <w:color w:val="auto"/>
                      <w:sz w:val="21"/>
                      <w:szCs w:val="21"/>
                      <w:u w:val="none"/>
                    </w:rPr>
                    <w:t>m</w:t>
                  </w:r>
                </w:p>
              </w:tc>
            </w:tr>
          </w:tbl>
          <w:p w14:paraId="7B0FDF91">
            <w:pPr>
              <w:pStyle w:val="82"/>
              <w:numPr>
                <w:ilvl w:val="0"/>
                <w:numId w:val="0"/>
              </w:numPr>
              <w:rPr>
                <w:rFonts w:hint="eastAsia" w:ascii="Times New Roman" w:hAnsi="Times New Roman" w:eastAsia="宋体" w:cs="Times New Roman"/>
                <w:b/>
                <w:bCs/>
                <w:color w:val="auto"/>
                <w:lang w:val="en-US" w:eastAsia="zh-CN"/>
              </w:rPr>
            </w:pPr>
          </w:p>
        </w:tc>
      </w:tr>
      <w:tr w14:paraId="2560C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9" w:hRule="atLeast"/>
          <w:jc w:val="center"/>
        </w:trPr>
        <w:tc>
          <w:tcPr>
            <w:tcW w:w="844" w:type="dxa"/>
            <w:tcMar>
              <w:left w:w="28" w:type="dxa"/>
              <w:right w:w="28" w:type="dxa"/>
            </w:tcMar>
            <w:vAlign w:val="center"/>
          </w:tcPr>
          <w:p w14:paraId="25888D75">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污染物排放控制标准</w:t>
            </w:r>
          </w:p>
        </w:tc>
        <w:tc>
          <w:tcPr>
            <w:tcW w:w="7804" w:type="dxa"/>
            <w:vAlign w:val="center"/>
          </w:tcPr>
          <w:p w14:paraId="769A6FC2">
            <w:pPr>
              <w:pStyle w:val="47"/>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rPr>
              <w:t>（1）废水</w:t>
            </w:r>
          </w:p>
          <w:p w14:paraId="4182DEF3">
            <w:pPr>
              <w:adjustRightInd w:val="0"/>
              <w:snapToGrid w:val="0"/>
              <w:spacing w:line="360" w:lineRule="auto"/>
              <w:ind w:firstLine="480" w:firstLineChars="200"/>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本项目清洗废水、制软水尾水等经三级沉淀池处理后部分回用于</w:t>
            </w:r>
            <w:r>
              <w:rPr>
                <w:rFonts w:hint="eastAsia"/>
                <w:color w:val="auto"/>
                <w:sz w:val="24"/>
                <w:szCs w:val="24"/>
                <w:u w:val="none"/>
                <w:lang w:val="en-US" w:eastAsia="zh-CN"/>
              </w:rPr>
              <w:t>清洗机循环用水</w:t>
            </w:r>
            <w:r>
              <w:rPr>
                <w:rFonts w:hint="eastAsia" w:cs="Times New Roman"/>
                <w:color w:val="auto"/>
                <w:kern w:val="0"/>
                <w:sz w:val="24"/>
                <w:lang w:val="en-US" w:eastAsia="zh-CN"/>
              </w:rPr>
              <w:t>，部分废水与经隔油池、化粪池处理后的生活</w:t>
            </w:r>
            <w:r>
              <w:rPr>
                <w:rFonts w:hint="eastAsia" w:ascii="Times New Roman" w:hAnsi="Times New Roman" w:cs="Times New Roman"/>
                <w:color w:val="auto"/>
                <w:kern w:val="0"/>
                <w:sz w:val="24"/>
                <w:lang w:eastAsia="zh-CN"/>
              </w:rPr>
              <w:t>污水</w:t>
            </w:r>
            <w:r>
              <w:rPr>
                <w:rFonts w:hint="eastAsia" w:cs="Times New Roman"/>
                <w:color w:val="auto"/>
                <w:kern w:val="0"/>
                <w:sz w:val="24"/>
                <w:lang w:val="en-US" w:eastAsia="zh-CN"/>
              </w:rPr>
              <w:t>一并</w:t>
            </w:r>
            <w:r>
              <w:rPr>
                <w:rFonts w:hint="eastAsia" w:ascii="Times New Roman" w:hAnsi="Times New Roman" w:cs="Times New Roman"/>
                <w:color w:val="auto"/>
                <w:kern w:val="0"/>
                <w:sz w:val="24"/>
                <w:lang w:val="en-US" w:eastAsia="zh-CN"/>
              </w:rPr>
              <w:t>排入市政管网进入</w:t>
            </w:r>
            <w:r>
              <w:rPr>
                <w:rFonts w:hint="default" w:ascii="Times New Roman" w:hAnsi="Times New Roman" w:cs="Times New Roman"/>
                <w:color w:val="auto"/>
                <w:kern w:val="0"/>
                <w:sz w:val="24"/>
                <w:lang w:eastAsia="zh-CN"/>
              </w:rPr>
              <w:t>龙潭镇污水处理厂</w:t>
            </w:r>
            <w:r>
              <w:rPr>
                <w:rFonts w:hint="eastAsia" w:cs="Times New Roman"/>
                <w:color w:val="auto"/>
                <w:kern w:val="0"/>
                <w:sz w:val="24"/>
                <w:lang w:val="en-US" w:eastAsia="zh-CN"/>
              </w:rPr>
              <w:t>综合</w:t>
            </w:r>
            <w:r>
              <w:rPr>
                <w:rFonts w:hint="eastAsia" w:ascii="Times New Roman" w:hAnsi="Times New Roman" w:cs="Times New Roman"/>
                <w:color w:val="auto"/>
                <w:kern w:val="0"/>
                <w:sz w:val="24"/>
                <w:lang w:eastAsia="zh-CN"/>
              </w:rPr>
              <w:t>处理，</w:t>
            </w:r>
            <w:r>
              <w:rPr>
                <w:rFonts w:hint="eastAsia" w:cs="Times New Roman"/>
                <w:color w:val="FF0000"/>
                <w:kern w:val="0"/>
                <w:sz w:val="24"/>
                <w:lang w:val="en-US" w:eastAsia="zh-CN"/>
              </w:rPr>
              <w:t>本项目废水总排口水质执行</w:t>
            </w:r>
            <w:r>
              <w:rPr>
                <w:rFonts w:hint="eastAsia" w:ascii="Times New Roman" w:hAnsi="Times New Roman" w:cs="Times New Roman"/>
                <w:color w:val="FF0000"/>
                <w:kern w:val="0"/>
                <w:sz w:val="24"/>
                <w:lang w:eastAsia="zh-CN"/>
              </w:rPr>
              <w:t>《污水综合排放标准》</w:t>
            </w:r>
            <w:r>
              <w:rPr>
                <w:rFonts w:hint="eastAsia" w:cs="Times New Roman"/>
                <w:color w:val="FF0000"/>
                <w:kern w:val="0"/>
                <w:sz w:val="24"/>
                <w:lang w:eastAsia="zh-CN"/>
              </w:rPr>
              <w:t>（</w:t>
            </w:r>
            <w:r>
              <w:rPr>
                <w:rFonts w:hint="eastAsia" w:ascii="Times New Roman" w:hAnsi="Times New Roman" w:cs="Times New Roman"/>
                <w:color w:val="FF0000"/>
                <w:kern w:val="0"/>
                <w:sz w:val="24"/>
                <w:lang w:val="en-US" w:eastAsia="zh-CN"/>
              </w:rPr>
              <w:t>GB8978-1996</w:t>
            </w:r>
            <w:r>
              <w:rPr>
                <w:rFonts w:hint="eastAsia" w:cs="Times New Roman"/>
                <w:color w:val="FF0000"/>
                <w:kern w:val="0"/>
                <w:sz w:val="24"/>
                <w:lang w:eastAsia="zh-CN"/>
              </w:rPr>
              <w:t>）</w:t>
            </w:r>
            <w:r>
              <w:rPr>
                <w:rFonts w:hint="eastAsia" w:ascii="Times New Roman" w:hAnsi="Times New Roman" w:cs="Times New Roman"/>
                <w:color w:val="FF0000"/>
                <w:kern w:val="0"/>
                <w:sz w:val="24"/>
                <w:lang w:val="en-US" w:eastAsia="zh-CN"/>
              </w:rPr>
              <w:t>表4中三级标准</w:t>
            </w:r>
            <w:r>
              <w:rPr>
                <w:rFonts w:hint="eastAsia" w:cs="Times New Roman"/>
                <w:color w:val="FF0000"/>
                <w:kern w:val="0"/>
                <w:sz w:val="24"/>
                <w:lang w:val="en-US" w:eastAsia="zh-CN"/>
              </w:rPr>
              <w:t>及龙潭镇污水处理厂进水水质标准中较严格的限值</w:t>
            </w:r>
            <w:r>
              <w:rPr>
                <w:rFonts w:hint="eastAsia" w:ascii="Times New Roman" w:hAnsi="Times New Roman" w:cs="Times New Roman"/>
                <w:color w:val="FF0000"/>
                <w:kern w:val="0"/>
                <w:sz w:val="24"/>
                <w:lang w:eastAsia="zh-CN"/>
              </w:rPr>
              <w:t>，</w:t>
            </w:r>
            <w:r>
              <w:rPr>
                <w:rFonts w:hint="default" w:ascii="Times New Roman" w:hAnsi="Times New Roman" w:cs="Times New Roman"/>
                <w:color w:val="auto"/>
                <w:kern w:val="0"/>
                <w:sz w:val="24"/>
                <w:lang w:eastAsia="zh-CN"/>
              </w:rPr>
              <w:t>龙潭镇污水处理厂</w:t>
            </w:r>
            <w:r>
              <w:rPr>
                <w:rFonts w:hint="eastAsia" w:ascii="Times New Roman" w:hAnsi="Times New Roman" w:cs="Times New Roman"/>
                <w:color w:val="auto"/>
                <w:kern w:val="0"/>
                <w:sz w:val="24"/>
                <w:lang w:eastAsia="zh-CN"/>
              </w:rPr>
              <w:t>执行《城镇污水处理厂污染物排放标准》（GB18918-2002）一级A标准，</w:t>
            </w:r>
            <w:r>
              <w:rPr>
                <w:rFonts w:hint="default" w:ascii="Times New Roman" w:hAnsi="Times New Roman" w:cs="Times New Roman"/>
                <w:color w:val="auto"/>
                <w:kern w:val="0"/>
                <w:sz w:val="24"/>
                <w:lang w:eastAsia="zh-CN"/>
              </w:rPr>
              <w:t>见下表；</w:t>
            </w:r>
          </w:p>
          <w:p w14:paraId="7BA1E9CD">
            <w:pPr>
              <w:pStyle w:val="84"/>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right"/>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表3-</w:t>
            </w:r>
            <w:r>
              <w:rPr>
                <w:rFonts w:hint="eastAsia" w:ascii="Times New Roman" w:hAnsi="Times New Roman" w:cs="Times New Roman"/>
                <w:color w:val="auto"/>
                <w:sz w:val="24"/>
                <w:szCs w:val="24"/>
                <w:u w:val="none"/>
                <w:lang w:val="en-US" w:eastAsia="zh-CN"/>
              </w:rPr>
              <w:t>8</w:t>
            </w:r>
            <w:r>
              <w:rPr>
                <w:rFonts w:hint="eastAsia" w:cs="Times New Roman"/>
                <w:color w:val="auto"/>
                <w:sz w:val="24"/>
                <w:szCs w:val="24"/>
                <w:u w:val="none"/>
                <w:lang w:val="en-US" w:eastAsia="zh-CN"/>
              </w:rPr>
              <w:t xml:space="preserve">  </w:t>
            </w:r>
            <w:r>
              <w:rPr>
                <w:rFonts w:hint="default" w:ascii="Times New Roman" w:hAnsi="Times New Roman" w:cs="Times New Roman"/>
                <w:color w:val="auto"/>
                <w:sz w:val="24"/>
                <w:szCs w:val="24"/>
                <w:u w:val="none"/>
                <w:lang w:val="en-US" w:eastAsia="zh-CN"/>
              </w:rPr>
              <w:t xml:space="preserve"> 废水排放执行标准 </w:t>
            </w:r>
            <w:r>
              <w:rPr>
                <w:rFonts w:hint="eastAsia" w:cs="Times New Roman"/>
                <w:color w:val="auto"/>
                <w:sz w:val="24"/>
                <w:szCs w:val="24"/>
                <w:u w:val="none"/>
                <w:lang w:val="en-US" w:eastAsia="zh-CN"/>
              </w:rPr>
              <w:t xml:space="preserve">           </w:t>
            </w:r>
            <w:r>
              <w:rPr>
                <w:rFonts w:hint="default" w:ascii="Times New Roman" w:hAnsi="Times New Roman" w:cs="Times New Roman"/>
                <w:color w:val="auto"/>
                <w:sz w:val="24"/>
                <w:szCs w:val="24"/>
                <w:u w:val="none"/>
                <w:lang w:val="en-US" w:eastAsia="zh-CN"/>
              </w:rPr>
              <w:t>单位：mg/L</w:t>
            </w:r>
          </w:p>
          <w:tbl>
            <w:tblPr>
              <w:tblStyle w:val="32"/>
              <w:tblW w:w="76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82"/>
              <w:gridCol w:w="563"/>
              <w:gridCol w:w="700"/>
              <w:gridCol w:w="550"/>
              <w:gridCol w:w="800"/>
              <w:gridCol w:w="487"/>
              <w:gridCol w:w="513"/>
              <w:gridCol w:w="837"/>
              <w:gridCol w:w="1067"/>
            </w:tblGrid>
            <w:tr w14:paraId="40A68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7" w:type="pct"/>
                  <w:vAlign w:val="center"/>
                </w:tcPr>
                <w:p w14:paraId="3FD25FD9">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u w:val="none"/>
                      <w:lang w:val="en-US" w:eastAsia="zh-CN"/>
                    </w:rPr>
                    <w:t>排放标准</w:t>
                  </w:r>
                </w:p>
              </w:tc>
              <w:tc>
                <w:tcPr>
                  <w:tcW w:w="365" w:type="pct"/>
                  <w:vAlign w:val="center"/>
                </w:tcPr>
                <w:p w14:paraId="5FCA45E4">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454" w:type="pct"/>
                  <w:vAlign w:val="center"/>
                </w:tcPr>
                <w:p w14:paraId="5AA40E5E">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357" w:type="pct"/>
                  <w:vAlign w:val="center"/>
                </w:tcPr>
                <w:p w14:paraId="203C199F">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519" w:type="pct"/>
                  <w:tcBorders>
                    <w:right w:val="single" w:color="auto" w:sz="4" w:space="0"/>
                  </w:tcBorders>
                  <w:vAlign w:val="center"/>
                </w:tcPr>
                <w:p w14:paraId="2876F562">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487" w:type="dxa"/>
                  <w:tcBorders>
                    <w:left w:val="single" w:color="auto" w:sz="4" w:space="0"/>
                    <w:right w:val="single" w:color="auto" w:sz="4" w:space="0"/>
                  </w:tcBorders>
                  <w:vAlign w:val="center"/>
                </w:tcPr>
                <w:p w14:paraId="3837DEA2">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FF0000"/>
                      <w:kern w:val="2"/>
                      <w:szCs w:val="24"/>
                      <w:u w:val="none"/>
                      <w:lang w:val="en-US" w:eastAsia="zh-CN"/>
                    </w:rPr>
                    <w:t>TP</w:t>
                  </w:r>
                </w:p>
              </w:tc>
              <w:tc>
                <w:tcPr>
                  <w:tcW w:w="513" w:type="dxa"/>
                  <w:tcBorders>
                    <w:left w:val="single" w:color="auto" w:sz="4" w:space="0"/>
                  </w:tcBorders>
                  <w:vAlign w:val="center"/>
                </w:tcPr>
                <w:p w14:paraId="174EECAA">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kern w:val="2"/>
                      <w:szCs w:val="24"/>
                      <w:u w:val="none"/>
                      <w:lang w:val="en-US" w:eastAsia="zh-CN"/>
                    </w:rPr>
                    <w:t>TN</w:t>
                  </w:r>
                </w:p>
              </w:tc>
              <w:tc>
                <w:tcPr>
                  <w:tcW w:w="543" w:type="pct"/>
                  <w:vAlign w:val="center"/>
                </w:tcPr>
                <w:p w14:paraId="7C6CBAAB">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692" w:type="pct"/>
                  <w:vAlign w:val="center"/>
                </w:tcPr>
                <w:p w14:paraId="55A56E66">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动植物油</w:t>
                  </w:r>
                </w:p>
              </w:tc>
            </w:tr>
            <w:tr w14:paraId="60630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17" w:type="pct"/>
                  <w:vAlign w:val="center"/>
                </w:tcPr>
                <w:p w14:paraId="331978CC">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b w:val="0"/>
                      <w:color w:val="auto"/>
                      <w:sz w:val="21"/>
                      <w:szCs w:val="21"/>
                      <w:u w:val="none"/>
                      <w:lang w:eastAsia="zh-CN"/>
                    </w:rPr>
                    <w:t>《污水综合排放标准》（GB8978-1996）</w:t>
                  </w:r>
                  <w:r>
                    <w:rPr>
                      <w:rFonts w:hint="eastAsia" w:ascii="Times New Roman" w:hAnsi="Times New Roman" w:eastAsia="宋体" w:cs="Times New Roman"/>
                      <w:b w:val="0"/>
                      <w:color w:val="auto"/>
                      <w:sz w:val="21"/>
                      <w:szCs w:val="21"/>
                      <w:u w:val="none"/>
                      <w:lang w:val="en-US" w:eastAsia="zh-CN"/>
                    </w:rPr>
                    <w:t>表4中三级排放标准</w:t>
                  </w:r>
                </w:p>
              </w:tc>
              <w:tc>
                <w:tcPr>
                  <w:tcW w:w="365" w:type="pct"/>
                  <w:vAlign w:val="center"/>
                </w:tcPr>
                <w:p w14:paraId="4BF2A115">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c>
                <w:tcPr>
                  <w:tcW w:w="454" w:type="pct"/>
                  <w:vAlign w:val="center"/>
                </w:tcPr>
                <w:p w14:paraId="6EF21C23">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500</w:t>
                  </w:r>
                </w:p>
              </w:tc>
              <w:tc>
                <w:tcPr>
                  <w:tcW w:w="357" w:type="pct"/>
                  <w:vAlign w:val="center"/>
                </w:tcPr>
                <w:p w14:paraId="445FA625">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400</w:t>
                  </w:r>
                </w:p>
              </w:tc>
              <w:tc>
                <w:tcPr>
                  <w:tcW w:w="519" w:type="pct"/>
                  <w:tcBorders>
                    <w:right w:val="single" w:color="auto" w:sz="4" w:space="0"/>
                  </w:tcBorders>
                  <w:vAlign w:val="center"/>
                </w:tcPr>
                <w:p w14:paraId="756E0D2B">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w:t>
                  </w:r>
                </w:p>
              </w:tc>
              <w:tc>
                <w:tcPr>
                  <w:tcW w:w="487" w:type="dxa"/>
                  <w:tcBorders>
                    <w:left w:val="single" w:color="auto" w:sz="4" w:space="0"/>
                    <w:right w:val="single" w:color="auto" w:sz="4" w:space="0"/>
                  </w:tcBorders>
                  <w:vAlign w:val="center"/>
                </w:tcPr>
                <w:p w14:paraId="3F9A37BD">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13" w:type="dxa"/>
                  <w:tcBorders>
                    <w:left w:val="single" w:color="auto" w:sz="4" w:space="0"/>
                  </w:tcBorders>
                  <w:vAlign w:val="center"/>
                </w:tcPr>
                <w:p w14:paraId="3873865C">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43" w:type="pct"/>
                  <w:vAlign w:val="center"/>
                </w:tcPr>
                <w:p w14:paraId="6059DEA1">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92" w:type="pct"/>
                  <w:vAlign w:val="center"/>
                </w:tcPr>
                <w:p w14:paraId="1A76EEA7">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r>
            <w:tr w14:paraId="09F089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2" w:type="dxa"/>
                  <w:vAlign w:val="center"/>
                </w:tcPr>
                <w:p w14:paraId="634144E8">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cs="Times New Roman"/>
                      <w:b w:val="0"/>
                      <w:color w:val="auto"/>
                      <w:sz w:val="21"/>
                      <w:szCs w:val="21"/>
                      <w:u w:val="none"/>
                      <w:lang w:eastAsia="zh-CN"/>
                    </w:rPr>
                  </w:pPr>
                  <w:r>
                    <w:rPr>
                      <w:rFonts w:hint="eastAsia" w:ascii="Times New Roman" w:hAnsi="Times New Roman" w:eastAsia="宋体" w:cs="Times New Roman"/>
                      <w:b w:val="0"/>
                      <w:color w:val="FF0000"/>
                      <w:sz w:val="21"/>
                      <w:szCs w:val="21"/>
                      <w:u w:val="none"/>
                      <w:lang w:val="en-US" w:eastAsia="zh-CN"/>
                    </w:rPr>
                    <w:t>龙潭镇污水处理厂进水水质标准</w:t>
                  </w:r>
                </w:p>
              </w:tc>
              <w:tc>
                <w:tcPr>
                  <w:tcW w:w="563" w:type="dxa"/>
                  <w:vAlign w:val="center"/>
                </w:tcPr>
                <w:p w14:paraId="6AF6C5C3">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FF0000"/>
                      <w:sz w:val="21"/>
                      <w:szCs w:val="21"/>
                      <w:highlight w:val="none"/>
                      <w:lang w:val="en-US" w:eastAsia="zh-CN"/>
                    </w:rPr>
                    <w:t>-</w:t>
                  </w:r>
                </w:p>
              </w:tc>
              <w:tc>
                <w:tcPr>
                  <w:tcW w:w="700" w:type="dxa"/>
                  <w:vAlign w:val="center"/>
                </w:tcPr>
                <w:p w14:paraId="6CF4B504">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300</w:t>
                  </w:r>
                </w:p>
              </w:tc>
              <w:tc>
                <w:tcPr>
                  <w:tcW w:w="550" w:type="dxa"/>
                  <w:vAlign w:val="center"/>
                </w:tcPr>
                <w:p w14:paraId="1A7D4DE8">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200</w:t>
                  </w:r>
                </w:p>
              </w:tc>
              <w:tc>
                <w:tcPr>
                  <w:tcW w:w="800" w:type="dxa"/>
                  <w:tcBorders>
                    <w:right w:val="single" w:color="auto" w:sz="4" w:space="0"/>
                  </w:tcBorders>
                  <w:vAlign w:val="center"/>
                </w:tcPr>
                <w:p w14:paraId="2D9AA967">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150</w:t>
                  </w:r>
                </w:p>
              </w:tc>
              <w:tc>
                <w:tcPr>
                  <w:tcW w:w="487" w:type="dxa"/>
                  <w:tcBorders>
                    <w:left w:val="single" w:color="auto" w:sz="4" w:space="0"/>
                    <w:right w:val="single" w:color="auto" w:sz="4" w:space="0"/>
                  </w:tcBorders>
                  <w:vAlign w:val="center"/>
                </w:tcPr>
                <w:p w14:paraId="276961C2">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5.0</w:t>
                  </w:r>
                </w:p>
              </w:tc>
              <w:tc>
                <w:tcPr>
                  <w:tcW w:w="513" w:type="dxa"/>
                  <w:tcBorders>
                    <w:left w:val="single" w:color="auto" w:sz="4" w:space="0"/>
                  </w:tcBorders>
                  <w:vAlign w:val="center"/>
                </w:tcPr>
                <w:p w14:paraId="43B311D0">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40</w:t>
                  </w:r>
                </w:p>
              </w:tc>
              <w:tc>
                <w:tcPr>
                  <w:tcW w:w="837" w:type="dxa"/>
                  <w:vAlign w:val="center"/>
                </w:tcPr>
                <w:p w14:paraId="103D2260">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30</w:t>
                  </w:r>
                </w:p>
              </w:tc>
              <w:tc>
                <w:tcPr>
                  <w:tcW w:w="692" w:type="pct"/>
                  <w:vAlign w:val="center"/>
                </w:tcPr>
                <w:p w14:paraId="440BCE48">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36CBE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82" w:type="dxa"/>
                  <w:vAlign w:val="center"/>
                </w:tcPr>
                <w:p w14:paraId="7CBF4FC1">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cs="Times New Roman"/>
                      <w:b w:val="0"/>
                      <w:color w:val="auto"/>
                      <w:sz w:val="21"/>
                      <w:szCs w:val="21"/>
                      <w:u w:val="none"/>
                      <w:lang w:eastAsia="zh-CN"/>
                    </w:rPr>
                  </w:pPr>
                  <w:r>
                    <w:rPr>
                      <w:rFonts w:hint="eastAsia" w:ascii="Times New Roman" w:hAnsi="Times New Roman" w:eastAsia="宋体" w:cs="Times New Roman"/>
                      <w:b w:val="0"/>
                      <w:color w:val="FF0000"/>
                      <w:sz w:val="21"/>
                      <w:szCs w:val="21"/>
                      <w:u w:val="none"/>
                      <w:lang w:val="en-US" w:eastAsia="zh-CN"/>
                    </w:rPr>
                    <w:t>本项目执行标准限值</w:t>
                  </w:r>
                </w:p>
              </w:tc>
              <w:tc>
                <w:tcPr>
                  <w:tcW w:w="563" w:type="dxa"/>
                  <w:vAlign w:val="center"/>
                </w:tcPr>
                <w:p w14:paraId="3F2D02BC">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FF0000"/>
                      <w:sz w:val="21"/>
                      <w:szCs w:val="21"/>
                      <w:highlight w:val="none"/>
                    </w:rPr>
                    <w:t>6-9</w:t>
                  </w:r>
                </w:p>
              </w:tc>
              <w:tc>
                <w:tcPr>
                  <w:tcW w:w="700" w:type="dxa"/>
                  <w:vAlign w:val="center"/>
                </w:tcPr>
                <w:p w14:paraId="5B727C11">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300</w:t>
                  </w:r>
                </w:p>
              </w:tc>
              <w:tc>
                <w:tcPr>
                  <w:tcW w:w="550" w:type="dxa"/>
                  <w:vAlign w:val="center"/>
                </w:tcPr>
                <w:p w14:paraId="323A4E8F">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200</w:t>
                  </w:r>
                </w:p>
              </w:tc>
              <w:tc>
                <w:tcPr>
                  <w:tcW w:w="800" w:type="dxa"/>
                  <w:tcBorders>
                    <w:right w:val="single" w:color="auto" w:sz="4" w:space="0"/>
                  </w:tcBorders>
                  <w:vAlign w:val="center"/>
                </w:tcPr>
                <w:p w14:paraId="73DBE5DA">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150</w:t>
                  </w:r>
                </w:p>
              </w:tc>
              <w:tc>
                <w:tcPr>
                  <w:tcW w:w="487" w:type="dxa"/>
                  <w:tcBorders>
                    <w:left w:val="single" w:color="auto" w:sz="4" w:space="0"/>
                    <w:right w:val="single" w:color="auto" w:sz="4" w:space="0"/>
                  </w:tcBorders>
                  <w:vAlign w:val="center"/>
                </w:tcPr>
                <w:p w14:paraId="58A61420">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5.0</w:t>
                  </w:r>
                </w:p>
              </w:tc>
              <w:tc>
                <w:tcPr>
                  <w:tcW w:w="513" w:type="dxa"/>
                  <w:tcBorders>
                    <w:left w:val="single" w:color="auto" w:sz="4" w:space="0"/>
                  </w:tcBorders>
                  <w:vAlign w:val="center"/>
                </w:tcPr>
                <w:p w14:paraId="39CD33FB">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40</w:t>
                  </w:r>
                </w:p>
              </w:tc>
              <w:tc>
                <w:tcPr>
                  <w:tcW w:w="837" w:type="dxa"/>
                  <w:vAlign w:val="center"/>
                </w:tcPr>
                <w:p w14:paraId="2D6DD577">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FF0000"/>
                      <w:sz w:val="21"/>
                      <w:szCs w:val="21"/>
                      <w:highlight w:val="none"/>
                      <w:lang w:val="en-US" w:eastAsia="zh-CN"/>
                    </w:rPr>
                    <w:t>30</w:t>
                  </w:r>
                </w:p>
              </w:tc>
              <w:tc>
                <w:tcPr>
                  <w:tcW w:w="692" w:type="pct"/>
                  <w:vAlign w:val="center"/>
                </w:tcPr>
                <w:p w14:paraId="408A75F7">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r>
            <w:tr w14:paraId="6C6262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6" w:hRule="atLeast"/>
                <w:jc w:val="center"/>
              </w:trPr>
              <w:tc>
                <w:tcPr>
                  <w:tcW w:w="1417" w:type="pct"/>
                  <w:vAlign w:val="center"/>
                </w:tcPr>
                <w:p w14:paraId="352A168C">
                  <w:pPr>
                    <w:pStyle w:val="9"/>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u w:val="none"/>
                      <w:lang w:eastAsia="zh-CN"/>
                    </w:rPr>
                    <w:t>《城镇污水处理厂污染物排放标准》（GB18918-2002）一级</w:t>
                  </w:r>
                  <w:r>
                    <w:rPr>
                      <w:rFonts w:hint="default" w:ascii="Times New Roman" w:hAnsi="Times New Roman" w:eastAsia="宋体" w:cs="Times New Roman"/>
                      <w:color w:val="auto"/>
                      <w:sz w:val="21"/>
                      <w:szCs w:val="21"/>
                      <w:u w:val="none"/>
                      <w:lang w:val="en-US" w:eastAsia="zh-CN"/>
                    </w:rPr>
                    <w:t>A</w:t>
                  </w:r>
                  <w:r>
                    <w:rPr>
                      <w:rFonts w:hint="default" w:ascii="Times New Roman" w:hAnsi="Times New Roman" w:eastAsia="宋体" w:cs="Times New Roman"/>
                      <w:color w:val="auto"/>
                      <w:sz w:val="21"/>
                      <w:szCs w:val="21"/>
                      <w:u w:val="none"/>
                      <w:lang w:eastAsia="zh-CN"/>
                    </w:rPr>
                    <w:t>标准</w:t>
                  </w:r>
                </w:p>
              </w:tc>
              <w:tc>
                <w:tcPr>
                  <w:tcW w:w="365" w:type="pct"/>
                  <w:vAlign w:val="center"/>
                </w:tcPr>
                <w:p w14:paraId="3A9950F3">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454" w:type="pct"/>
                  <w:vAlign w:val="center"/>
                </w:tcPr>
                <w:p w14:paraId="3E9E7B93">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c>
                <w:tcPr>
                  <w:tcW w:w="357" w:type="pct"/>
                  <w:vAlign w:val="center"/>
                </w:tcPr>
                <w:p w14:paraId="5886F6D2">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519" w:type="pct"/>
                  <w:tcBorders>
                    <w:right w:val="single" w:color="auto" w:sz="4" w:space="0"/>
                  </w:tcBorders>
                  <w:vAlign w:val="center"/>
                </w:tcPr>
                <w:p w14:paraId="5DC18E0A">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316" w:type="pct"/>
                  <w:tcBorders>
                    <w:left w:val="single" w:color="auto" w:sz="4" w:space="0"/>
                    <w:right w:val="single" w:color="auto" w:sz="4" w:space="0"/>
                  </w:tcBorders>
                  <w:vAlign w:val="center"/>
                </w:tcPr>
                <w:p w14:paraId="7D065C0B">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cs="Times New Roman"/>
                      <w:color w:val="auto"/>
                      <w:sz w:val="21"/>
                      <w:szCs w:val="21"/>
                      <w:lang w:val="en-US" w:eastAsia="zh-CN"/>
                    </w:rPr>
                  </w:pPr>
                </w:p>
              </w:tc>
              <w:tc>
                <w:tcPr>
                  <w:tcW w:w="333" w:type="pct"/>
                  <w:tcBorders>
                    <w:left w:val="single" w:color="auto" w:sz="4" w:space="0"/>
                  </w:tcBorders>
                  <w:vAlign w:val="center"/>
                </w:tcPr>
                <w:p w14:paraId="6DF5133F">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cs="Times New Roman"/>
                      <w:color w:val="auto"/>
                      <w:sz w:val="21"/>
                      <w:szCs w:val="21"/>
                      <w:lang w:val="en-US" w:eastAsia="zh-CN"/>
                    </w:rPr>
                  </w:pPr>
                </w:p>
              </w:tc>
              <w:tc>
                <w:tcPr>
                  <w:tcW w:w="543" w:type="pct"/>
                  <w:vAlign w:val="center"/>
                </w:tcPr>
                <w:p w14:paraId="37FD5622">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5（8）</w:t>
                  </w:r>
                </w:p>
              </w:tc>
              <w:tc>
                <w:tcPr>
                  <w:tcW w:w="692" w:type="pct"/>
                  <w:vAlign w:val="center"/>
                </w:tcPr>
                <w:p w14:paraId="2B578AAA">
                  <w:pPr>
                    <w:keepNext w:val="0"/>
                    <w:keepLines w:val="0"/>
                    <w:pageBreakBefore w:val="0"/>
                    <w:widowControl w:val="0"/>
                    <w:kinsoku/>
                    <w:wordWrap/>
                    <w:overflowPunct/>
                    <w:topLinePunct w:val="0"/>
                    <w:autoSpaceDE/>
                    <w:autoSpaceDN/>
                    <w:bidi w:val="0"/>
                    <w:adjustRightInd/>
                    <w:snapToGrid/>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bl>
          <w:p w14:paraId="293DB644">
            <w:pPr>
              <w:pStyle w:val="47"/>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rPr>
              <w:t>（2）大气</w:t>
            </w:r>
          </w:p>
          <w:p w14:paraId="2A52DEF4">
            <w:pPr>
              <w:pStyle w:val="82"/>
              <w:rPr>
                <w:rFonts w:hint="default" w:ascii="Times New Roman" w:hAnsi="Times New Roman" w:eastAsia="宋体" w:cs="Times New Roman"/>
                <w:color w:val="auto"/>
                <w:kern w:val="0"/>
                <w:sz w:val="24"/>
                <w:lang w:eastAsia="zh-CN"/>
              </w:rPr>
            </w:pPr>
            <w:r>
              <w:rPr>
                <w:rFonts w:hint="eastAsia" w:cs="Times New Roman"/>
                <w:color w:val="auto"/>
                <w:kern w:val="0"/>
                <w:sz w:val="24"/>
                <w:lang w:val="en-US" w:eastAsia="zh-CN"/>
              </w:rPr>
              <w:t>项目</w:t>
            </w:r>
            <w:r>
              <w:rPr>
                <w:rFonts w:hint="eastAsia" w:cs="Times New Roman"/>
                <w:color w:val="auto"/>
                <w:kern w:val="0"/>
                <w:sz w:val="24"/>
                <w:lang w:eastAsia="zh-CN"/>
              </w:rPr>
              <w:t>运营期</w:t>
            </w:r>
            <w:r>
              <w:rPr>
                <w:rFonts w:hint="eastAsia" w:cs="Times New Roman"/>
                <w:color w:val="auto"/>
                <w:kern w:val="0"/>
                <w:sz w:val="24"/>
                <w:lang w:val="en-US" w:eastAsia="zh-CN"/>
              </w:rPr>
              <w:t>生物质蒸汽发生器</w:t>
            </w:r>
            <w:r>
              <w:rPr>
                <w:rFonts w:hint="default" w:ascii="Times New Roman" w:hAnsi="Times New Roman" w:eastAsia="宋体" w:cs="Times New Roman"/>
                <w:color w:val="auto"/>
                <w:kern w:val="0"/>
                <w:sz w:val="24"/>
                <w:lang w:eastAsia="zh-CN"/>
              </w:rPr>
              <w:t>废气</w:t>
            </w:r>
            <w:r>
              <w:rPr>
                <w:rFonts w:hint="eastAsia" w:cs="Times New Roman"/>
                <w:color w:val="auto"/>
                <w:kern w:val="0"/>
                <w:sz w:val="24"/>
                <w:lang w:val="en-US" w:eastAsia="zh-CN"/>
              </w:rPr>
              <w:t>参照</w:t>
            </w:r>
            <w:r>
              <w:rPr>
                <w:rFonts w:hint="default" w:ascii="Times New Roman" w:hAnsi="Times New Roman" w:eastAsia="宋体" w:cs="Times New Roman"/>
                <w:color w:val="auto"/>
                <w:kern w:val="0"/>
                <w:sz w:val="24"/>
                <w:lang w:eastAsia="zh-CN"/>
              </w:rPr>
              <w:t>执行《锅炉大气污染物排放标准》（GB13271-2014）表</w:t>
            </w:r>
            <w:r>
              <w:rPr>
                <w:rFonts w:hint="default" w:ascii="Times New Roman" w:hAnsi="Times New Roman" w:eastAsia="宋体" w:cs="Times New Roman"/>
                <w:color w:val="auto"/>
                <w:kern w:val="0"/>
                <w:sz w:val="24"/>
                <w:lang w:val="en-US" w:eastAsia="zh-CN"/>
              </w:rPr>
              <w:t>2新建锅炉大气污染物排放浓度限值中的</w:t>
            </w:r>
            <w:r>
              <w:rPr>
                <w:rFonts w:hint="default" w:ascii="Times New Roman" w:hAnsi="Times New Roman" w:eastAsia="宋体" w:cs="Times New Roman"/>
                <w:color w:val="auto"/>
                <w:kern w:val="0"/>
                <w:sz w:val="24"/>
                <w:lang w:eastAsia="zh-CN"/>
              </w:rPr>
              <w:t>燃煤锅炉标准。</w:t>
            </w:r>
          </w:p>
          <w:p w14:paraId="7376F75F">
            <w:pPr>
              <w:pStyle w:val="82"/>
              <w:rPr>
                <w:rFonts w:hint="default" w:ascii="Times New Roman" w:hAnsi="Times New Roman" w:eastAsia="宋体" w:cs="Times New Roman"/>
                <w:color w:val="FF0000"/>
                <w:kern w:val="0"/>
                <w:sz w:val="24"/>
                <w:lang w:eastAsia="zh-CN"/>
              </w:rPr>
            </w:pPr>
            <w:r>
              <w:rPr>
                <w:rFonts w:hint="default" w:ascii="Times New Roman" w:hAnsi="Times New Roman" w:eastAsia="宋体" w:cs="Times New Roman"/>
                <w:color w:val="FF0000"/>
                <w:sz w:val="24"/>
                <w:szCs w:val="24"/>
                <w:u w:val="single"/>
                <w:lang w:val="en-US" w:eastAsia="zh-CN"/>
              </w:rPr>
              <w:t>根据《湖南省工业炉窑大气污染综合治理实施方案》（湘环发</w:t>
            </w:r>
            <w:r>
              <w:rPr>
                <w:rFonts w:hint="eastAsia" w:ascii="Times New Roman" w:hAnsi="Times New Roman" w:eastAsia="宋体" w:cs="Times New Roman"/>
                <w:color w:val="FF0000"/>
                <w:sz w:val="24"/>
                <w:szCs w:val="24"/>
                <w:u w:val="single"/>
                <w:lang w:val="en-US" w:eastAsia="zh-CN"/>
              </w:rPr>
              <w:t>〔</w:t>
            </w:r>
            <w:r>
              <w:rPr>
                <w:rFonts w:hint="default" w:ascii="Times New Roman" w:hAnsi="Times New Roman" w:eastAsia="宋体" w:cs="Times New Roman"/>
                <w:color w:val="FF0000"/>
                <w:sz w:val="24"/>
                <w:szCs w:val="24"/>
                <w:u w:val="single"/>
                <w:lang w:val="en-US" w:eastAsia="zh-CN"/>
              </w:rPr>
              <w:t>2020</w:t>
            </w:r>
            <w:r>
              <w:rPr>
                <w:rFonts w:hint="eastAsia" w:ascii="Times New Roman" w:hAnsi="Times New Roman" w:eastAsia="宋体" w:cs="Times New Roman"/>
                <w:color w:val="FF0000"/>
                <w:sz w:val="24"/>
                <w:szCs w:val="24"/>
                <w:u w:val="single"/>
                <w:lang w:val="en-US" w:eastAsia="zh-CN"/>
              </w:rPr>
              <w:t>〕</w:t>
            </w:r>
            <w:r>
              <w:rPr>
                <w:rFonts w:hint="default" w:ascii="Times New Roman" w:hAnsi="Times New Roman" w:eastAsia="宋体" w:cs="Times New Roman"/>
                <w:color w:val="FF0000"/>
                <w:sz w:val="24"/>
                <w:szCs w:val="24"/>
                <w:u w:val="single"/>
                <w:lang w:val="en-US" w:eastAsia="zh-CN"/>
              </w:rPr>
              <w:t>6号），</w:t>
            </w:r>
            <w:r>
              <w:rPr>
                <w:rFonts w:hint="eastAsia" w:ascii="Times New Roman" w:hAnsi="Times New Roman" w:eastAsia="宋体" w:cs="Times New Roman"/>
                <w:color w:val="FF0000"/>
                <w:sz w:val="24"/>
                <w:szCs w:val="24"/>
                <w:u w:val="single"/>
                <w:lang w:val="en-US" w:eastAsia="zh-CN"/>
              </w:rPr>
              <w:t>“</w:t>
            </w:r>
            <w:r>
              <w:rPr>
                <w:rFonts w:hint="default" w:ascii="Times New Roman" w:hAnsi="Times New Roman" w:eastAsia="宋体" w:cs="Times New Roman"/>
                <w:color w:val="FF0000"/>
                <w:sz w:val="24"/>
                <w:szCs w:val="24"/>
                <w:u w:val="single"/>
                <w:lang w:val="en-US" w:eastAsia="zh-CN"/>
              </w:rPr>
              <w:t>已有行业排放标准的工业炉窑，严格按行业排放标准执行</w:t>
            </w:r>
            <w:r>
              <w:rPr>
                <w:rFonts w:hint="eastAsia" w:ascii="Times New Roman" w:hAnsi="Times New Roman" w:eastAsia="宋体" w:cs="Times New Roman"/>
                <w:color w:val="FF0000"/>
                <w:sz w:val="24"/>
                <w:szCs w:val="24"/>
                <w:u w:val="single"/>
                <w:lang w:val="en-US" w:eastAsia="zh-CN"/>
              </w:rPr>
              <w:t>”，</w:t>
            </w:r>
            <w:r>
              <w:rPr>
                <w:rFonts w:hint="default" w:ascii="Times New Roman" w:hAnsi="Times New Roman" w:eastAsia="宋体" w:cs="Times New Roman"/>
                <w:color w:val="FF0000"/>
                <w:sz w:val="24"/>
                <w:szCs w:val="24"/>
                <w:u w:val="single"/>
                <w:lang w:val="en-US" w:eastAsia="zh-CN"/>
              </w:rPr>
              <w:t>本项目属于C2730中药饮片加工，暂无行业排放标准，</w:t>
            </w:r>
            <w:r>
              <w:rPr>
                <w:rFonts w:hint="eastAsia" w:ascii="Times New Roman" w:hAnsi="Times New Roman" w:eastAsia="宋体" w:cs="Times New Roman"/>
                <w:color w:val="FF0000"/>
                <w:sz w:val="24"/>
                <w:szCs w:val="24"/>
                <w:u w:val="single"/>
                <w:lang w:val="en-US" w:eastAsia="zh-CN"/>
              </w:rPr>
              <w:t>且不属于</w:t>
            </w:r>
            <w:r>
              <w:rPr>
                <w:rFonts w:hint="default" w:ascii="Times New Roman" w:hAnsi="Times New Roman" w:eastAsia="宋体" w:cs="Times New Roman"/>
                <w:color w:val="FF0000"/>
                <w:sz w:val="24"/>
                <w:szCs w:val="24"/>
                <w:u w:val="single"/>
                <w:lang w:val="en-US" w:eastAsia="zh-CN"/>
              </w:rPr>
              <w:t>（湘环发</w:t>
            </w:r>
            <w:r>
              <w:rPr>
                <w:rFonts w:hint="eastAsia" w:ascii="Times New Roman" w:hAnsi="Times New Roman" w:eastAsia="宋体" w:cs="Times New Roman"/>
                <w:color w:val="FF0000"/>
                <w:sz w:val="24"/>
                <w:szCs w:val="24"/>
                <w:u w:val="single"/>
                <w:lang w:val="en-US" w:eastAsia="zh-CN"/>
              </w:rPr>
              <w:t>〔</w:t>
            </w:r>
            <w:r>
              <w:rPr>
                <w:rFonts w:hint="default" w:ascii="Times New Roman" w:hAnsi="Times New Roman" w:eastAsia="宋体" w:cs="Times New Roman"/>
                <w:color w:val="FF0000"/>
                <w:sz w:val="24"/>
                <w:szCs w:val="24"/>
                <w:u w:val="single"/>
                <w:lang w:val="en-US" w:eastAsia="zh-CN"/>
              </w:rPr>
              <w:t>2020</w:t>
            </w:r>
            <w:r>
              <w:rPr>
                <w:rFonts w:hint="eastAsia" w:ascii="Times New Roman" w:hAnsi="Times New Roman" w:eastAsia="宋体" w:cs="Times New Roman"/>
                <w:color w:val="FF0000"/>
                <w:sz w:val="24"/>
                <w:szCs w:val="24"/>
                <w:u w:val="single"/>
                <w:lang w:val="en-US" w:eastAsia="zh-CN"/>
              </w:rPr>
              <w:t>〕</w:t>
            </w:r>
            <w:r>
              <w:rPr>
                <w:rFonts w:hint="default" w:ascii="Times New Roman" w:hAnsi="Times New Roman" w:eastAsia="宋体" w:cs="Times New Roman"/>
                <w:color w:val="FF0000"/>
                <w:sz w:val="24"/>
                <w:szCs w:val="24"/>
                <w:u w:val="single"/>
                <w:lang w:val="en-US" w:eastAsia="zh-CN"/>
              </w:rPr>
              <w:t>6号）</w:t>
            </w:r>
            <w:r>
              <w:rPr>
                <w:rFonts w:hint="eastAsia" w:ascii="Times New Roman" w:hAnsi="Times New Roman" w:eastAsia="宋体" w:cs="Times New Roman"/>
                <w:color w:val="FF0000"/>
                <w:sz w:val="24"/>
                <w:szCs w:val="24"/>
                <w:u w:val="single"/>
                <w:lang w:val="en-US" w:eastAsia="zh-CN"/>
              </w:rPr>
              <w:t>所列“</w:t>
            </w:r>
            <w:r>
              <w:rPr>
                <w:rFonts w:hint="default" w:ascii="Times New Roman" w:hAnsi="Times New Roman" w:eastAsia="宋体" w:cs="Times New Roman"/>
                <w:color w:val="FF0000"/>
                <w:sz w:val="24"/>
                <w:szCs w:val="24"/>
                <w:u w:val="single"/>
                <w:lang w:val="en-US" w:eastAsia="zh-CN"/>
              </w:rPr>
              <w:t>长沙市、株洲市、湘潭市及常德市、岳阳市、益阳市等传输通道城市</w:t>
            </w:r>
            <w:r>
              <w:rPr>
                <w:rFonts w:hint="eastAsia" w:ascii="Times New Roman" w:hAnsi="Times New Roman" w:eastAsia="宋体" w:cs="Times New Roman"/>
                <w:color w:val="FF0000"/>
                <w:sz w:val="24"/>
                <w:szCs w:val="24"/>
                <w:u w:val="single"/>
                <w:lang w:val="en-US" w:eastAsia="zh-CN"/>
              </w:rPr>
              <w:t>”，但在地方、行业标准出台前，本项目运营期生物质热风炉</w:t>
            </w:r>
            <w:r>
              <w:rPr>
                <w:rFonts w:hint="default" w:ascii="Times New Roman" w:hAnsi="Times New Roman" w:eastAsia="宋体" w:cs="Times New Roman"/>
                <w:color w:val="FF0000"/>
                <w:sz w:val="24"/>
                <w:szCs w:val="24"/>
                <w:u w:val="single"/>
                <w:lang w:val="en-US" w:eastAsia="zh-CN"/>
              </w:rPr>
              <w:t>排气筒排放的颗粒物、二氧化硫、氮氧化物的排放浓度</w:t>
            </w:r>
            <w:r>
              <w:rPr>
                <w:rFonts w:hint="eastAsia" w:ascii="Times New Roman" w:hAnsi="Times New Roman" w:eastAsia="宋体" w:cs="Times New Roman"/>
                <w:color w:val="FF0000"/>
                <w:sz w:val="24"/>
                <w:szCs w:val="24"/>
                <w:u w:val="single"/>
                <w:lang w:val="en-US" w:eastAsia="zh-CN"/>
              </w:rPr>
              <w:t>参照</w:t>
            </w:r>
            <w:r>
              <w:rPr>
                <w:rFonts w:hint="default" w:ascii="Times New Roman" w:hAnsi="Times New Roman" w:eastAsia="宋体" w:cs="Times New Roman"/>
                <w:color w:val="FF0000"/>
                <w:sz w:val="24"/>
                <w:szCs w:val="24"/>
                <w:u w:val="single"/>
                <w:lang w:val="en-US" w:eastAsia="zh-CN"/>
              </w:rPr>
              <w:t>执行《湖南省工业炉窑大气污染综合治理实施方案》（湘环发</w:t>
            </w:r>
            <w:r>
              <w:rPr>
                <w:rFonts w:hint="eastAsia" w:ascii="Times New Roman" w:hAnsi="Times New Roman" w:eastAsia="宋体" w:cs="Times New Roman"/>
                <w:color w:val="FF0000"/>
                <w:sz w:val="24"/>
                <w:szCs w:val="24"/>
                <w:u w:val="single"/>
                <w:lang w:val="en-US" w:eastAsia="zh-CN"/>
              </w:rPr>
              <w:t>〔</w:t>
            </w:r>
            <w:r>
              <w:rPr>
                <w:rFonts w:hint="default" w:ascii="Times New Roman" w:hAnsi="Times New Roman" w:eastAsia="宋体" w:cs="Times New Roman"/>
                <w:color w:val="FF0000"/>
                <w:sz w:val="24"/>
                <w:szCs w:val="24"/>
                <w:u w:val="single"/>
                <w:lang w:val="en-US" w:eastAsia="zh-CN"/>
              </w:rPr>
              <w:t>2020</w:t>
            </w:r>
            <w:r>
              <w:rPr>
                <w:rFonts w:hint="eastAsia" w:ascii="Times New Roman" w:hAnsi="Times New Roman" w:eastAsia="宋体" w:cs="Times New Roman"/>
                <w:color w:val="FF0000"/>
                <w:sz w:val="24"/>
                <w:szCs w:val="24"/>
                <w:u w:val="single"/>
                <w:lang w:val="en-US" w:eastAsia="zh-CN"/>
              </w:rPr>
              <w:t>〕</w:t>
            </w:r>
            <w:r>
              <w:rPr>
                <w:rFonts w:hint="default" w:ascii="Times New Roman" w:hAnsi="Times New Roman" w:eastAsia="宋体" w:cs="Times New Roman"/>
                <w:color w:val="FF0000"/>
                <w:sz w:val="24"/>
                <w:szCs w:val="24"/>
                <w:u w:val="single"/>
                <w:lang w:val="en-US" w:eastAsia="zh-CN"/>
              </w:rPr>
              <w:t>6号）中现阶段长沙市、株洲市、湘潭市以及常德市、岳阳市、益阳市等传输通道城市</w:t>
            </w:r>
            <w:r>
              <w:rPr>
                <w:rFonts w:hint="eastAsia" w:ascii="Times New Roman" w:hAnsi="Times New Roman" w:eastAsia="宋体" w:cs="Times New Roman"/>
                <w:color w:val="FF0000"/>
                <w:sz w:val="24"/>
                <w:szCs w:val="24"/>
                <w:u w:val="single"/>
                <w:lang w:val="en-US" w:eastAsia="zh-CN"/>
              </w:rPr>
              <w:t>“</w:t>
            </w:r>
            <w:r>
              <w:rPr>
                <w:rFonts w:hint="default" w:ascii="Times New Roman" w:hAnsi="Times New Roman" w:eastAsia="宋体" w:cs="Times New Roman"/>
                <w:color w:val="auto"/>
                <w:sz w:val="24"/>
                <w:szCs w:val="24"/>
                <w:u w:val="single"/>
                <w:lang w:val="en-US" w:eastAsia="zh-CN"/>
              </w:rPr>
              <w:t>暂未制订行业排放标准的工业炉窑</w:t>
            </w:r>
            <w:r>
              <w:rPr>
                <w:rFonts w:hint="eastAsia" w:cs="Times New Roman"/>
                <w:color w:val="auto"/>
                <w:sz w:val="24"/>
                <w:szCs w:val="24"/>
                <w:u w:val="single"/>
                <w:lang w:val="en-US" w:eastAsia="zh-CN"/>
              </w:rPr>
              <w:t>”</w:t>
            </w:r>
            <w:r>
              <w:rPr>
                <w:rFonts w:hint="eastAsia" w:ascii="Times New Roman" w:hAnsi="Times New Roman" w:eastAsia="宋体" w:cs="Times New Roman"/>
                <w:color w:val="auto"/>
                <w:sz w:val="24"/>
                <w:szCs w:val="24"/>
                <w:u w:val="single"/>
                <w:lang w:val="en-US" w:eastAsia="zh-CN"/>
              </w:rPr>
              <w:t>的排放</w:t>
            </w:r>
            <w:r>
              <w:rPr>
                <w:rFonts w:hint="default" w:ascii="Times New Roman" w:hAnsi="Times New Roman" w:eastAsia="宋体" w:cs="Times New Roman"/>
                <w:color w:val="auto"/>
                <w:sz w:val="24"/>
                <w:szCs w:val="24"/>
                <w:u w:val="single"/>
                <w:lang w:val="en-US" w:eastAsia="zh-CN"/>
              </w:rPr>
              <w:t>限值</w:t>
            </w:r>
            <w:r>
              <w:rPr>
                <w:rFonts w:hint="default" w:ascii="Times New Roman" w:hAnsi="Times New Roman" w:eastAsia="宋体" w:cs="Times New Roman"/>
                <w:color w:val="auto"/>
                <w:sz w:val="24"/>
                <w:szCs w:val="28"/>
                <w:u w:val="single"/>
                <w:lang w:eastAsia="zh-CN"/>
              </w:rPr>
              <w:t>。</w:t>
            </w:r>
            <w:r>
              <w:rPr>
                <w:rFonts w:ascii="Times New Roman" w:hAnsi="Times New Roman" w:eastAsia="宋体" w:cs="Times New Roman"/>
                <w:color w:val="auto"/>
                <w:sz w:val="24"/>
                <w:szCs w:val="28"/>
                <w:u w:val="single"/>
              </w:rPr>
              <w:t>厂界</w:t>
            </w:r>
            <w:r>
              <w:rPr>
                <w:rFonts w:hint="eastAsia" w:ascii="Times New Roman" w:hAnsi="Times New Roman" w:eastAsia="宋体" w:cs="Times New Roman"/>
                <w:color w:val="auto"/>
                <w:sz w:val="24"/>
                <w:szCs w:val="28"/>
                <w:u w:val="single"/>
                <w:lang w:val="en-US" w:eastAsia="zh-CN"/>
              </w:rPr>
              <w:t>颗粒物执行</w:t>
            </w:r>
            <w:r>
              <w:rPr>
                <w:rFonts w:ascii="Times New Roman" w:hAnsi="Times New Roman" w:eastAsia="宋体" w:cs="Times New Roman"/>
                <w:color w:val="auto"/>
                <w:sz w:val="24"/>
                <w:szCs w:val="28"/>
                <w:u w:val="single"/>
              </w:rPr>
              <w:t>《大气污染物综合排放标准》（GB16297-1996）</w:t>
            </w:r>
            <w:r>
              <w:rPr>
                <w:rFonts w:hint="eastAsia" w:ascii="Times New Roman" w:hAnsi="Times New Roman" w:eastAsia="宋体" w:cs="Times New Roman"/>
                <w:color w:val="auto"/>
                <w:sz w:val="24"/>
                <w:szCs w:val="28"/>
                <w:u w:val="single"/>
                <w:lang w:eastAsia="zh-CN"/>
              </w:rPr>
              <w:t>。</w:t>
            </w:r>
          </w:p>
          <w:p w14:paraId="2621C38E">
            <w:pPr>
              <w:pStyle w:val="82"/>
              <w:rPr>
                <w:rFonts w:hint="default" w:ascii="Times New Roman" w:hAnsi="Times New Roman" w:eastAsia="宋体" w:cs="Times New Roman"/>
                <w:color w:val="auto"/>
                <w:kern w:val="0"/>
                <w:sz w:val="24"/>
                <w:lang w:eastAsia="zh-CN"/>
              </w:rPr>
            </w:pPr>
            <w:r>
              <w:rPr>
                <w:rFonts w:hint="eastAsia" w:cs="Times New Roman"/>
                <w:color w:val="auto"/>
                <w:kern w:val="0"/>
                <w:sz w:val="24"/>
                <w:lang w:val="en-US" w:eastAsia="zh-CN"/>
              </w:rPr>
              <w:t>中药材干燥等过程产生的</w:t>
            </w:r>
            <w:r>
              <w:rPr>
                <w:color w:val="auto"/>
                <w:kern w:val="0"/>
                <w:sz w:val="24"/>
              </w:rPr>
              <w:t>臭气浓度参照执行《恶臭污染物排放标准》</w:t>
            </w:r>
            <w:r>
              <w:rPr>
                <w:rFonts w:hint="eastAsia"/>
                <w:color w:val="auto"/>
                <w:kern w:val="0"/>
                <w:sz w:val="24"/>
              </w:rPr>
              <w:t>（</w:t>
            </w:r>
            <w:r>
              <w:rPr>
                <w:color w:val="auto"/>
                <w:kern w:val="0"/>
                <w:sz w:val="24"/>
              </w:rPr>
              <w:t>GB14554-93</w:t>
            </w:r>
            <w:r>
              <w:rPr>
                <w:rFonts w:hint="eastAsia"/>
                <w:color w:val="auto"/>
                <w:kern w:val="0"/>
                <w:sz w:val="24"/>
              </w:rPr>
              <w:t>）</w:t>
            </w:r>
            <w:r>
              <w:rPr>
                <w:color w:val="auto"/>
                <w:kern w:val="0"/>
                <w:sz w:val="24"/>
              </w:rPr>
              <w:t>相关标准限值</w:t>
            </w:r>
            <w:r>
              <w:rPr>
                <w:rFonts w:hint="default" w:ascii="Times New Roman" w:hAnsi="Times New Roman" w:eastAsia="宋体" w:cs="Times New Roman"/>
                <w:color w:val="auto"/>
                <w:kern w:val="0"/>
                <w:sz w:val="24"/>
                <w:lang w:eastAsia="zh-CN"/>
              </w:rPr>
              <w:t>。</w:t>
            </w:r>
          </w:p>
          <w:p w14:paraId="05747CD8">
            <w:pPr>
              <w:pStyle w:val="82"/>
              <w:rPr>
                <w:rFonts w:hint="eastAsia" w:ascii="Times New Roman" w:hAnsi="Times New Roman" w:eastAsia="宋体" w:cs="Times New Roman"/>
                <w:color w:val="auto"/>
                <w:sz w:val="24"/>
                <w:szCs w:val="28"/>
                <w:u w:val="single"/>
                <w:lang w:eastAsia="zh-CN"/>
              </w:rPr>
            </w:pPr>
            <w:r>
              <w:rPr>
                <w:rFonts w:hint="default" w:ascii="Times New Roman" w:hAnsi="Times New Roman" w:eastAsia="宋体" w:cs="Times New Roman"/>
                <w:color w:val="auto"/>
                <w:kern w:val="0"/>
                <w:sz w:val="24"/>
                <w:lang w:eastAsia="zh-CN"/>
              </w:rPr>
              <w:t>食堂油烟执行《饮食业油烟排放标准（试行）》（GB18483-2001）中2.0mg/m</w:t>
            </w:r>
            <w:r>
              <w:rPr>
                <w:rFonts w:hint="default" w:ascii="Times New Roman" w:hAnsi="Times New Roman" w:eastAsia="宋体" w:cs="Times New Roman"/>
                <w:color w:val="auto"/>
                <w:kern w:val="0"/>
                <w:sz w:val="24"/>
                <w:vertAlign w:val="superscript"/>
                <w:lang w:eastAsia="zh-CN"/>
              </w:rPr>
              <w:t>3</w:t>
            </w:r>
            <w:r>
              <w:rPr>
                <w:rFonts w:hint="default" w:ascii="Times New Roman" w:hAnsi="Times New Roman" w:eastAsia="宋体" w:cs="Times New Roman"/>
                <w:color w:val="auto"/>
                <w:kern w:val="0"/>
                <w:sz w:val="24"/>
                <w:lang w:eastAsia="zh-CN"/>
              </w:rPr>
              <w:t>标准限值要求。</w:t>
            </w:r>
          </w:p>
          <w:p w14:paraId="438805F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表3-</w:t>
            </w:r>
            <w:r>
              <w:rPr>
                <w:rFonts w:hint="eastAsia" w:ascii="Times New Roman" w:hAnsi="Times New Roman" w:cs="Times New Roman"/>
                <w:b/>
                <w:color w:val="auto"/>
                <w:sz w:val="24"/>
                <w:szCs w:val="24"/>
                <w:lang w:val="en-US" w:eastAsia="zh-CN"/>
              </w:rPr>
              <w:t>9</w:t>
            </w:r>
            <w:r>
              <w:rPr>
                <w:rFonts w:hint="default" w:ascii="Times New Roman" w:hAnsi="Times New Roman" w:cs="Times New Roman"/>
                <w:b/>
                <w:color w:val="auto"/>
                <w:sz w:val="24"/>
                <w:szCs w:val="24"/>
              </w:rPr>
              <w:t xml:space="preserve">  </w:t>
            </w:r>
            <w:r>
              <w:rPr>
                <w:rFonts w:hint="eastAsia" w:cs="Times New Roman"/>
                <w:b/>
                <w:color w:val="auto"/>
                <w:sz w:val="24"/>
                <w:szCs w:val="24"/>
                <w:lang w:val="en-US" w:eastAsia="zh-CN"/>
              </w:rPr>
              <w:t xml:space="preserve"> </w:t>
            </w:r>
            <w:r>
              <w:rPr>
                <w:rFonts w:hint="default" w:ascii="Times New Roman" w:hAnsi="Times New Roman" w:cs="Times New Roman"/>
                <w:b/>
                <w:color w:val="auto"/>
                <w:sz w:val="24"/>
                <w:szCs w:val="24"/>
              </w:rPr>
              <w:t>项目大气污染物排放限值</w:t>
            </w:r>
          </w:p>
          <w:tbl>
            <w:tblPr>
              <w:tblStyle w:val="32"/>
              <w:tblW w:w="7613" w:type="dxa"/>
              <w:tblInd w:w="-17"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98"/>
              <w:gridCol w:w="1544"/>
              <w:gridCol w:w="1199"/>
              <w:gridCol w:w="1325"/>
              <w:gridCol w:w="2447"/>
            </w:tblGrid>
            <w:tr w14:paraId="45970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1" w:type="pct"/>
                  <w:tcBorders>
                    <w:tl2br w:val="nil"/>
                    <w:tr2bl w:val="nil"/>
                  </w:tcBorders>
                  <w:noWrap w:val="0"/>
                  <w:vAlign w:val="center"/>
                </w:tcPr>
                <w:p w14:paraId="57339778">
                  <w:pPr>
                    <w:pStyle w:val="135"/>
                    <w:rPr>
                      <w:b/>
                      <w:bCs/>
                      <w:color w:val="auto"/>
                    </w:rPr>
                  </w:pPr>
                  <w:r>
                    <w:rPr>
                      <w:b/>
                      <w:bCs/>
                      <w:color w:val="auto"/>
                    </w:rPr>
                    <w:t>排放源</w:t>
                  </w:r>
                </w:p>
              </w:tc>
              <w:tc>
                <w:tcPr>
                  <w:tcW w:w="1014" w:type="pct"/>
                  <w:tcBorders>
                    <w:tl2br w:val="nil"/>
                    <w:tr2bl w:val="nil"/>
                  </w:tcBorders>
                  <w:noWrap w:val="0"/>
                  <w:vAlign w:val="center"/>
                </w:tcPr>
                <w:p w14:paraId="091821A9">
                  <w:pPr>
                    <w:pStyle w:val="135"/>
                    <w:rPr>
                      <w:b/>
                      <w:bCs/>
                      <w:color w:val="auto"/>
                    </w:rPr>
                  </w:pPr>
                  <w:r>
                    <w:rPr>
                      <w:b/>
                      <w:bCs/>
                      <w:color w:val="auto"/>
                    </w:rPr>
                    <w:t>污染物名称</w:t>
                  </w:r>
                </w:p>
              </w:tc>
              <w:tc>
                <w:tcPr>
                  <w:tcW w:w="787" w:type="pct"/>
                  <w:tcBorders>
                    <w:tl2br w:val="nil"/>
                    <w:tr2bl w:val="nil"/>
                  </w:tcBorders>
                  <w:noWrap w:val="0"/>
                  <w:vAlign w:val="center"/>
                </w:tcPr>
                <w:p w14:paraId="46FDE164">
                  <w:pPr>
                    <w:pStyle w:val="135"/>
                    <w:rPr>
                      <w:b/>
                      <w:bCs/>
                      <w:color w:val="auto"/>
                    </w:rPr>
                  </w:pPr>
                  <w:r>
                    <w:rPr>
                      <w:b/>
                      <w:bCs/>
                      <w:color w:val="auto"/>
                    </w:rPr>
                    <w:t>排气筒高度</w:t>
                  </w:r>
                </w:p>
              </w:tc>
              <w:tc>
                <w:tcPr>
                  <w:tcW w:w="870" w:type="pct"/>
                  <w:tcBorders>
                    <w:tl2br w:val="nil"/>
                    <w:tr2bl w:val="nil"/>
                  </w:tcBorders>
                  <w:noWrap w:val="0"/>
                  <w:vAlign w:val="center"/>
                </w:tcPr>
                <w:p w14:paraId="35199A80">
                  <w:pPr>
                    <w:pStyle w:val="135"/>
                    <w:rPr>
                      <w:b/>
                      <w:bCs/>
                      <w:color w:val="auto"/>
                    </w:rPr>
                  </w:pPr>
                  <w:r>
                    <w:rPr>
                      <w:b/>
                      <w:bCs/>
                      <w:color w:val="auto"/>
                    </w:rPr>
                    <w:t>标准限值</w:t>
                  </w:r>
                </w:p>
              </w:tc>
              <w:tc>
                <w:tcPr>
                  <w:tcW w:w="1607" w:type="pct"/>
                  <w:tcBorders>
                    <w:tl2br w:val="nil"/>
                    <w:tr2bl w:val="nil"/>
                  </w:tcBorders>
                  <w:noWrap w:val="0"/>
                  <w:vAlign w:val="center"/>
                </w:tcPr>
                <w:p w14:paraId="2D7C3E73">
                  <w:pPr>
                    <w:pStyle w:val="135"/>
                    <w:rPr>
                      <w:b/>
                      <w:bCs/>
                      <w:color w:val="auto"/>
                    </w:rPr>
                  </w:pPr>
                  <w:r>
                    <w:rPr>
                      <w:b/>
                      <w:bCs/>
                      <w:color w:val="auto"/>
                    </w:rPr>
                    <w:t>标准来源</w:t>
                  </w:r>
                </w:p>
              </w:tc>
            </w:tr>
            <w:tr w14:paraId="6E1E58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1" w:type="pct"/>
                  <w:vMerge w:val="restart"/>
                  <w:tcBorders>
                    <w:tl2br w:val="nil"/>
                    <w:tr2bl w:val="nil"/>
                  </w:tcBorders>
                  <w:noWrap w:val="0"/>
                  <w:vAlign w:val="center"/>
                </w:tcPr>
                <w:p w14:paraId="437C14BB">
                  <w:pPr>
                    <w:pStyle w:val="135"/>
                    <w:rPr>
                      <w:color w:val="auto"/>
                    </w:rPr>
                  </w:pPr>
                  <w:r>
                    <w:rPr>
                      <w:color w:val="auto"/>
                    </w:rPr>
                    <w:t>DA001</w:t>
                  </w:r>
                </w:p>
              </w:tc>
              <w:tc>
                <w:tcPr>
                  <w:tcW w:w="1014" w:type="pct"/>
                  <w:tcBorders>
                    <w:tl2br w:val="nil"/>
                    <w:tr2bl w:val="nil"/>
                  </w:tcBorders>
                  <w:shd w:val="clear" w:color="auto" w:fill="auto"/>
                  <w:noWrap w:val="0"/>
                  <w:vAlign w:val="center"/>
                </w:tcPr>
                <w:p w14:paraId="681A55A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颗粒物</w:t>
                  </w:r>
                </w:p>
              </w:tc>
              <w:tc>
                <w:tcPr>
                  <w:tcW w:w="787" w:type="pct"/>
                  <w:vMerge w:val="restart"/>
                  <w:tcBorders>
                    <w:tl2br w:val="nil"/>
                    <w:tr2bl w:val="nil"/>
                  </w:tcBorders>
                  <w:noWrap w:val="0"/>
                  <w:vAlign w:val="center"/>
                </w:tcPr>
                <w:p w14:paraId="1AE44D3D">
                  <w:pPr>
                    <w:pStyle w:val="135"/>
                    <w:rPr>
                      <w:rFonts w:hint="default" w:eastAsia="宋体"/>
                      <w:color w:val="auto"/>
                      <w:lang w:val="en-US" w:eastAsia="zh-CN"/>
                    </w:rPr>
                  </w:pPr>
                  <w:r>
                    <w:rPr>
                      <w:rFonts w:hint="eastAsia"/>
                      <w:color w:val="auto"/>
                      <w:lang w:val="en-US" w:eastAsia="zh-CN"/>
                    </w:rPr>
                    <w:t>15m</w:t>
                  </w:r>
                </w:p>
              </w:tc>
              <w:tc>
                <w:tcPr>
                  <w:tcW w:w="870" w:type="pct"/>
                  <w:tcBorders>
                    <w:tl2br w:val="nil"/>
                    <w:tr2bl w:val="nil"/>
                  </w:tcBorders>
                  <w:shd w:val="clear" w:color="auto" w:fill="auto"/>
                  <w:noWrap w:val="0"/>
                  <w:vAlign w:val="center"/>
                </w:tcPr>
                <w:p w14:paraId="0F7B23A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50</w:t>
                  </w:r>
                  <w:r>
                    <w:rPr>
                      <w:color w:val="auto"/>
                    </w:rPr>
                    <w:t>mg/m</w:t>
                  </w:r>
                  <w:r>
                    <w:rPr>
                      <w:color w:val="auto"/>
                      <w:vertAlign w:val="superscript"/>
                    </w:rPr>
                    <w:t>3</w:t>
                  </w:r>
                </w:p>
              </w:tc>
              <w:tc>
                <w:tcPr>
                  <w:tcW w:w="1607" w:type="pct"/>
                  <w:vMerge w:val="restart"/>
                  <w:tcBorders>
                    <w:tl2br w:val="nil"/>
                    <w:tr2bl w:val="nil"/>
                  </w:tcBorders>
                  <w:noWrap w:val="0"/>
                  <w:vAlign w:val="center"/>
                </w:tcPr>
                <w:p w14:paraId="09BB75D6">
                  <w:pPr>
                    <w:pStyle w:val="135"/>
                    <w:rPr>
                      <w:color w:val="auto"/>
                      <w:sz w:val="21"/>
                      <w:szCs w:val="21"/>
                    </w:rPr>
                  </w:pPr>
                  <w:r>
                    <w:rPr>
                      <w:rFonts w:hint="default" w:ascii="Times New Roman" w:hAnsi="Times New Roman" w:eastAsia="宋体" w:cs="Times New Roman"/>
                      <w:color w:val="auto"/>
                      <w:kern w:val="0"/>
                      <w:sz w:val="21"/>
                      <w:szCs w:val="21"/>
                      <w:lang w:eastAsia="zh-CN"/>
                    </w:rPr>
                    <w:t>《锅炉大气污染物排放标准》（GB13271-2014）</w:t>
                  </w:r>
                </w:p>
              </w:tc>
            </w:tr>
            <w:tr w14:paraId="681AC6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1" w:type="pct"/>
                  <w:vMerge w:val="continue"/>
                  <w:tcBorders>
                    <w:tl2br w:val="nil"/>
                    <w:tr2bl w:val="nil"/>
                  </w:tcBorders>
                  <w:noWrap w:val="0"/>
                  <w:vAlign w:val="center"/>
                </w:tcPr>
                <w:p w14:paraId="256743E9">
                  <w:pPr>
                    <w:pStyle w:val="135"/>
                    <w:rPr>
                      <w:color w:val="auto"/>
                    </w:rPr>
                  </w:pPr>
                </w:p>
              </w:tc>
              <w:tc>
                <w:tcPr>
                  <w:tcW w:w="1014" w:type="pct"/>
                  <w:tcBorders>
                    <w:tl2br w:val="nil"/>
                    <w:tr2bl w:val="nil"/>
                  </w:tcBorders>
                  <w:shd w:val="clear" w:color="auto" w:fill="auto"/>
                  <w:noWrap w:val="0"/>
                  <w:vAlign w:val="center"/>
                </w:tcPr>
                <w:p w14:paraId="13BD641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二氧化硫</w:t>
                  </w:r>
                </w:p>
              </w:tc>
              <w:tc>
                <w:tcPr>
                  <w:tcW w:w="787" w:type="pct"/>
                  <w:vMerge w:val="continue"/>
                  <w:tcBorders>
                    <w:tl2br w:val="nil"/>
                    <w:tr2bl w:val="nil"/>
                  </w:tcBorders>
                  <w:noWrap w:val="0"/>
                  <w:vAlign w:val="center"/>
                </w:tcPr>
                <w:p w14:paraId="673B90A6">
                  <w:pPr>
                    <w:pStyle w:val="135"/>
                    <w:rPr>
                      <w:color w:val="auto"/>
                    </w:rPr>
                  </w:pPr>
                </w:p>
              </w:tc>
              <w:tc>
                <w:tcPr>
                  <w:tcW w:w="870" w:type="pct"/>
                  <w:tcBorders>
                    <w:tl2br w:val="nil"/>
                    <w:tr2bl w:val="nil"/>
                  </w:tcBorders>
                  <w:shd w:val="clear" w:color="auto" w:fill="auto"/>
                  <w:noWrap w:val="0"/>
                  <w:vAlign w:val="center"/>
                </w:tcPr>
                <w:p w14:paraId="64951BC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300</w:t>
                  </w:r>
                  <w:r>
                    <w:rPr>
                      <w:color w:val="auto"/>
                    </w:rPr>
                    <w:t>mg/m</w:t>
                  </w:r>
                  <w:r>
                    <w:rPr>
                      <w:color w:val="auto"/>
                      <w:vertAlign w:val="superscript"/>
                    </w:rPr>
                    <w:t>3</w:t>
                  </w:r>
                </w:p>
              </w:tc>
              <w:tc>
                <w:tcPr>
                  <w:tcW w:w="1607" w:type="pct"/>
                  <w:vMerge w:val="continue"/>
                  <w:tcBorders>
                    <w:tl2br w:val="nil"/>
                    <w:tr2bl w:val="nil"/>
                  </w:tcBorders>
                  <w:noWrap w:val="0"/>
                  <w:vAlign w:val="center"/>
                </w:tcPr>
                <w:p w14:paraId="637F025D">
                  <w:pPr>
                    <w:pStyle w:val="135"/>
                    <w:rPr>
                      <w:color w:val="auto"/>
                      <w:sz w:val="21"/>
                      <w:szCs w:val="21"/>
                    </w:rPr>
                  </w:pPr>
                </w:p>
              </w:tc>
            </w:tr>
            <w:tr w14:paraId="391E6E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1" w:type="pct"/>
                  <w:vMerge w:val="continue"/>
                  <w:tcBorders>
                    <w:tl2br w:val="nil"/>
                    <w:tr2bl w:val="nil"/>
                  </w:tcBorders>
                  <w:noWrap w:val="0"/>
                  <w:vAlign w:val="center"/>
                </w:tcPr>
                <w:p w14:paraId="702A0A06">
                  <w:pPr>
                    <w:pStyle w:val="135"/>
                    <w:rPr>
                      <w:color w:val="auto"/>
                    </w:rPr>
                  </w:pPr>
                </w:p>
              </w:tc>
              <w:tc>
                <w:tcPr>
                  <w:tcW w:w="1014" w:type="pct"/>
                  <w:tcBorders>
                    <w:tl2br w:val="nil"/>
                    <w:tr2bl w:val="nil"/>
                  </w:tcBorders>
                  <w:shd w:val="clear" w:color="auto" w:fill="auto"/>
                  <w:noWrap w:val="0"/>
                  <w:vAlign w:val="center"/>
                </w:tcPr>
                <w:p w14:paraId="75D6476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氮氧化物</w:t>
                  </w:r>
                </w:p>
              </w:tc>
              <w:tc>
                <w:tcPr>
                  <w:tcW w:w="787" w:type="pct"/>
                  <w:vMerge w:val="continue"/>
                  <w:tcBorders>
                    <w:tl2br w:val="nil"/>
                    <w:tr2bl w:val="nil"/>
                  </w:tcBorders>
                  <w:noWrap w:val="0"/>
                  <w:vAlign w:val="center"/>
                </w:tcPr>
                <w:p w14:paraId="1EF8923E">
                  <w:pPr>
                    <w:pStyle w:val="135"/>
                    <w:rPr>
                      <w:color w:val="auto"/>
                    </w:rPr>
                  </w:pPr>
                </w:p>
              </w:tc>
              <w:tc>
                <w:tcPr>
                  <w:tcW w:w="870" w:type="pct"/>
                  <w:tcBorders>
                    <w:tl2br w:val="nil"/>
                    <w:tr2bl w:val="nil"/>
                  </w:tcBorders>
                  <w:shd w:val="clear" w:color="auto" w:fill="auto"/>
                  <w:noWrap w:val="0"/>
                  <w:vAlign w:val="center"/>
                </w:tcPr>
                <w:p w14:paraId="1F9B9D1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300</w:t>
                  </w:r>
                  <w:r>
                    <w:rPr>
                      <w:color w:val="auto"/>
                    </w:rPr>
                    <w:t>mg/m</w:t>
                  </w:r>
                  <w:r>
                    <w:rPr>
                      <w:color w:val="auto"/>
                      <w:vertAlign w:val="superscript"/>
                    </w:rPr>
                    <w:t>3</w:t>
                  </w:r>
                </w:p>
              </w:tc>
              <w:tc>
                <w:tcPr>
                  <w:tcW w:w="1607" w:type="pct"/>
                  <w:vMerge w:val="continue"/>
                  <w:tcBorders>
                    <w:tl2br w:val="nil"/>
                    <w:tr2bl w:val="nil"/>
                  </w:tcBorders>
                  <w:noWrap w:val="0"/>
                  <w:vAlign w:val="center"/>
                </w:tcPr>
                <w:p w14:paraId="5423CC12">
                  <w:pPr>
                    <w:pStyle w:val="135"/>
                    <w:rPr>
                      <w:color w:val="auto"/>
                      <w:sz w:val="21"/>
                      <w:szCs w:val="21"/>
                    </w:rPr>
                  </w:pPr>
                </w:p>
              </w:tc>
            </w:tr>
            <w:tr w14:paraId="17E087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1" w:type="pct"/>
                  <w:vMerge w:val="continue"/>
                  <w:tcBorders>
                    <w:tl2br w:val="nil"/>
                    <w:tr2bl w:val="nil"/>
                  </w:tcBorders>
                  <w:noWrap w:val="0"/>
                  <w:vAlign w:val="center"/>
                </w:tcPr>
                <w:p w14:paraId="195EA070">
                  <w:pPr>
                    <w:pStyle w:val="135"/>
                    <w:rPr>
                      <w:color w:val="auto"/>
                    </w:rPr>
                  </w:pPr>
                </w:p>
              </w:tc>
              <w:tc>
                <w:tcPr>
                  <w:tcW w:w="1014" w:type="pct"/>
                  <w:tcBorders>
                    <w:tl2br w:val="nil"/>
                    <w:tr2bl w:val="nil"/>
                  </w:tcBorders>
                  <w:shd w:val="clear" w:color="auto" w:fill="auto"/>
                  <w:noWrap w:val="0"/>
                  <w:vAlign w:val="center"/>
                </w:tcPr>
                <w:p w14:paraId="1317F3E8">
                  <w:pPr>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烟气黑度（林格曼黑度，级）</w:t>
                  </w:r>
                </w:p>
              </w:tc>
              <w:tc>
                <w:tcPr>
                  <w:tcW w:w="787" w:type="pct"/>
                  <w:vMerge w:val="continue"/>
                  <w:tcBorders>
                    <w:tl2br w:val="nil"/>
                    <w:tr2bl w:val="nil"/>
                  </w:tcBorders>
                  <w:noWrap w:val="0"/>
                  <w:vAlign w:val="center"/>
                </w:tcPr>
                <w:p w14:paraId="341733A0">
                  <w:pPr>
                    <w:pStyle w:val="135"/>
                    <w:rPr>
                      <w:color w:val="auto"/>
                    </w:rPr>
                  </w:pPr>
                </w:p>
              </w:tc>
              <w:tc>
                <w:tcPr>
                  <w:tcW w:w="870" w:type="pct"/>
                  <w:tcBorders>
                    <w:tl2br w:val="nil"/>
                    <w:tr2bl w:val="nil"/>
                  </w:tcBorders>
                  <w:noWrap w:val="0"/>
                  <w:vAlign w:val="center"/>
                </w:tcPr>
                <w:p w14:paraId="2BD28821">
                  <w:pPr>
                    <w:pStyle w:val="135"/>
                    <w:rPr>
                      <w:color w:val="auto"/>
                    </w:rPr>
                  </w:pPr>
                  <w:r>
                    <w:rPr>
                      <w:rFonts w:hint="default" w:ascii="Times New Roman" w:hAnsi="Times New Roman" w:cs="Times New Roman"/>
                      <w:color w:val="auto"/>
                      <w:sz w:val="21"/>
                      <w:szCs w:val="21"/>
                      <w:lang w:val="en-US" w:eastAsia="zh-CN"/>
                    </w:rPr>
                    <w:t>≤1</w:t>
                  </w:r>
                </w:p>
              </w:tc>
              <w:tc>
                <w:tcPr>
                  <w:tcW w:w="1607" w:type="pct"/>
                  <w:vMerge w:val="continue"/>
                  <w:tcBorders>
                    <w:tl2br w:val="nil"/>
                    <w:tr2bl w:val="nil"/>
                  </w:tcBorders>
                  <w:noWrap w:val="0"/>
                  <w:vAlign w:val="center"/>
                </w:tcPr>
                <w:p w14:paraId="36FB5493">
                  <w:pPr>
                    <w:pStyle w:val="135"/>
                    <w:rPr>
                      <w:color w:val="auto"/>
                      <w:sz w:val="21"/>
                      <w:szCs w:val="21"/>
                    </w:rPr>
                  </w:pPr>
                </w:p>
              </w:tc>
            </w:tr>
            <w:tr w14:paraId="302FF2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1" w:type="pct"/>
                  <w:vMerge w:val="restart"/>
                  <w:tcBorders>
                    <w:tl2br w:val="nil"/>
                    <w:tr2bl w:val="nil"/>
                  </w:tcBorders>
                  <w:noWrap w:val="0"/>
                  <w:vAlign w:val="center"/>
                </w:tcPr>
                <w:p w14:paraId="58901961">
                  <w:pPr>
                    <w:pStyle w:val="135"/>
                    <w:rPr>
                      <w:color w:val="auto"/>
                      <w:u w:val="single"/>
                    </w:rPr>
                  </w:pPr>
                  <w:r>
                    <w:rPr>
                      <w:color w:val="auto"/>
                      <w:u w:val="single"/>
                    </w:rPr>
                    <w:t>DA002</w:t>
                  </w:r>
                </w:p>
              </w:tc>
              <w:tc>
                <w:tcPr>
                  <w:tcW w:w="1014" w:type="pct"/>
                  <w:tcBorders>
                    <w:tl2br w:val="nil"/>
                    <w:tr2bl w:val="nil"/>
                  </w:tcBorders>
                  <w:noWrap w:val="0"/>
                  <w:vAlign w:val="center"/>
                </w:tcPr>
                <w:p w14:paraId="1EC97647">
                  <w:pPr>
                    <w:pStyle w:val="135"/>
                    <w:rPr>
                      <w:color w:val="auto"/>
                      <w:u w:val="single"/>
                    </w:rPr>
                  </w:pPr>
                  <w:r>
                    <w:rPr>
                      <w:color w:val="auto"/>
                      <w:u w:val="single"/>
                    </w:rPr>
                    <w:t>颗粒物</w:t>
                  </w:r>
                </w:p>
              </w:tc>
              <w:tc>
                <w:tcPr>
                  <w:tcW w:w="787" w:type="pct"/>
                  <w:vMerge w:val="restart"/>
                  <w:tcBorders>
                    <w:tl2br w:val="nil"/>
                    <w:tr2bl w:val="nil"/>
                  </w:tcBorders>
                  <w:noWrap w:val="0"/>
                  <w:vAlign w:val="center"/>
                </w:tcPr>
                <w:p w14:paraId="133EBB16">
                  <w:pPr>
                    <w:pStyle w:val="135"/>
                    <w:rPr>
                      <w:color w:val="auto"/>
                      <w:u w:val="single"/>
                    </w:rPr>
                  </w:pPr>
                  <w:r>
                    <w:rPr>
                      <w:rFonts w:hint="eastAsia"/>
                      <w:color w:val="auto"/>
                      <w:u w:val="single"/>
                      <w:lang w:val="en-US" w:eastAsia="zh-CN"/>
                    </w:rPr>
                    <w:t>1</w:t>
                  </w:r>
                  <w:r>
                    <w:rPr>
                      <w:color w:val="auto"/>
                      <w:u w:val="single"/>
                    </w:rPr>
                    <w:t>5m</w:t>
                  </w:r>
                </w:p>
              </w:tc>
              <w:tc>
                <w:tcPr>
                  <w:tcW w:w="870" w:type="pct"/>
                  <w:tcBorders>
                    <w:tl2br w:val="nil"/>
                    <w:tr2bl w:val="nil"/>
                  </w:tcBorders>
                  <w:noWrap w:val="0"/>
                  <w:vAlign w:val="center"/>
                </w:tcPr>
                <w:p w14:paraId="1503D477">
                  <w:pPr>
                    <w:pStyle w:val="135"/>
                    <w:rPr>
                      <w:color w:val="auto"/>
                      <w:u w:val="single"/>
                    </w:rPr>
                  </w:pPr>
                  <w:r>
                    <w:rPr>
                      <w:color w:val="auto"/>
                      <w:u w:val="single"/>
                    </w:rPr>
                    <w:t>30mg/m</w:t>
                  </w:r>
                  <w:r>
                    <w:rPr>
                      <w:color w:val="auto"/>
                      <w:u w:val="single"/>
                      <w:vertAlign w:val="superscript"/>
                    </w:rPr>
                    <w:t>3</w:t>
                  </w:r>
                </w:p>
              </w:tc>
              <w:tc>
                <w:tcPr>
                  <w:tcW w:w="1607" w:type="pct"/>
                  <w:vMerge w:val="restart"/>
                  <w:tcBorders>
                    <w:tl2br w:val="nil"/>
                    <w:tr2bl w:val="nil"/>
                  </w:tcBorders>
                  <w:noWrap w:val="0"/>
                  <w:vAlign w:val="center"/>
                </w:tcPr>
                <w:p w14:paraId="234270D1">
                  <w:pPr>
                    <w:pStyle w:val="135"/>
                    <w:rPr>
                      <w:color w:val="auto"/>
                      <w:sz w:val="21"/>
                      <w:szCs w:val="21"/>
                      <w:u w:val="single"/>
                    </w:rPr>
                  </w:pPr>
                  <w:bookmarkStart w:id="12" w:name="OLE_LINK7"/>
                  <w:r>
                    <w:rPr>
                      <w:rFonts w:ascii="Times New Roman" w:hAnsi="Times New Roman" w:eastAsia="宋体" w:cs="Times New Roman"/>
                      <w:color w:val="FF0000"/>
                      <w:u w:val="single"/>
                    </w:rPr>
                    <w:t>《湖南省工业炉窑大气污染综合治理实施方案》</w:t>
                  </w:r>
                  <w:bookmarkEnd w:id="12"/>
                  <w:r>
                    <w:rPr>
                      <w:rFonts w:hint="default" w:ascii="Times New Roman" w:hAnsi="Times New Roman" w:eastAsia="宋体" w:cs="Times New Roman"/>
                      <w:color w:val="FF0000"/>
                      <w:u w:val="single"/>
                      <w:lang w:val="en-US" w:eastAsia="zh-CN"/>
                    </w:rPr>
                    <w:t>中现阶段长沙市、株洲市、湘潭市以及常德市、岳阳市、益阳市等传输通道城市</w:t>
                  </w:r>
                  <w:r>
                    <w:rPr>
                      <w:rFonts w:hint="eastAsia" w:ascii="Times New Roman" w:hAnsi="Times New Roman" w:eastAsia="宋体" w:cs="Times New Roman"/>
                      <w:color w:val="FF0000"/>
                      <w:u w:val="single"/>
                      <w:lang w:val="en-US" w:eastAsia="zh-CN"/>
                    </w:rPr>
                    <w:t>“</w:t>
                  </w:r>
                  <w:r>
                    <w:rPr>
                      <w:rFonts w:hint="default" w:ascii="Times New Roman" w:hAnsi="Times New Roman" w:eastAsia="宋体" w:cs="Times New Roman"/>
                      <w:color w:val="FF0000"/>
                      <w:u w:val="single"/>
                      <w:lang w:val="en-US" w:eastAsia="zh-CN"/>
                    </w:rPr>
                    <w:t>暂未制订行业排放标准的工业炉窑</w:t>
                  </w:r>
                  <w:r>
                    <w:rPr>
                      <w:rFonts w:hint="eastAsia" w:ascii="Times New Roman" w:hAnsi="Times New Roman" w:eastAsia="宋体" w:cs="Times New Roman"/>
                      <w:color w:val="FF0000"/>
                      <w:u w:val="single"/>
                      <w:lang w:val="en-US" w:eastAsia="zh-CN"/>
                    </w:rPr>
                    <w:t>”的排放</w:t>
                  </w:r>
                  <w:r>
                    <w:rPr>
                      <w:rFonts w:hint="default" w:ascii="Times New Roman" w:hAnsi="Times New Roman" w:eastAsia="宋体" w:cs="Times New Roman"/>
                      <w:color w:val="FF0000"/>
                      <w:u w:val="single"/>
                      <w:lang w:val="en-US" w:eastAsia="zh-CN"/>
                    </w:rPr>
                    <w:t>限值</w:t>
                  </w:r>
                </w:p>
              </w:tc>
            </w:tr>
            <w:tr w14:paraId="0E298C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1" w:type="pct"/>
                  <w:vMerge w:val="continue"/>
                  <w:tcBorders>
                    <w:tl2br w:val="nil"/>
                    <w:tr2bl w:val="nil"/>
                  </w:tcBorders>
                  <w:noWrap w:val="0"/>
                  <w:vAlign w:val="center"/>
                </w:tcPr>
                <w:p w14:paraId="62EE0931">
                  <w:pPr>
                    <w:pStyle w:val="135"/>
                    <w:rPr>
                      <w:color w:val="auto"/>
                      <w:u w:val="single"/>
                    </w:rPr>
                  </w:pPr>
                </w:p>
              </w:tc>
              <w:tc>
                <w:tcPr>
                  <w:tcW w:w="1014" w:type="pct"/>
                  <w:tcBorders>
                    <w:tl2br w:val="nil"/>
                    <w:tr2bl w:val="nil"/>
                  </w:tcBorders>
                  <w:noWrap w:val="0"/>
                  <w:vAlign w:val="center"/>
                </w:tcPr>
                <w:p w14:paraId="7A05BBFB">
                  <w:pPr>
                    <w:pStyle w:val="135"/>
                    <w:rPr>
                      <w:color w:val="auto"/>
                      <w:u w:val="single"/>
                    </w:rPr>
                  </w:pPr>
                  <w:r>
                    <w:rPr>
                      <w:color w:val="auto"/>
                      <w:u w:val="single"/>
                    </w:rPr>
                    <w:t>二氧化硫</w:t>
                  </w:r>
                </w:p>
              </w:tc>
              <w:tc>
                <w:tcPr>
                  <w:tcW w:w="787" w:type="pct"/>
                  <w:vMerge w:val="continue"/>
                  <w:tcBorders>
                    <w:tl2br w:val="nil"/>
                    <w:tr2bl w:val="nil"/>
                  </w:tcBorders>
                  <w:noWrap w:val="0"/>
                  <w:vAlign w:val="center"/>
                </w:tcPr>
                <w:p w14:paraId="1215E2D8">
                  <w:pPr>
                    <w:pStyle w:val="135"/>
                    <w:rPr>
                      <w:color w:val="auto"/>
                      <w:u w:val="single"/>
                    </w:rPr>
                  </w:pPr>
                </w:p>
              </w:tc>
              <w:tc>
                <w:tcPr>
                  <w:tcW w:w="870" w:type="pct"/>
                  <w:tcBorders>
                    <w:tl2br w:val="nil"/>
                    <w:tr2bl w:val="nil"/>
                  </w:tcBorders>
                  <w:noWrap w:val="0"/>
                  <w:vAlign w:val="center"/>
                </w:tcPr>
                <w:p w14:paraId="432F5AB7">
                  <w:pPr>
                    <w:pStyle w:val="135"/>
                    <w:rPr>
                      <w:color w:val="auto"/>
                      <w:u w:val="single"/>
                    </w:rPr>
                  </w:pPr>
                  <w:r>
                    <w:rPr>
                      <w:color w:val="auto"/>
                      <w:u w:val="single"/>
                    </w:rPr>
                    <w:t>200mg/m</w:t>
                  </w:r>
                  <w:r>
                    <w:rPr>
                      <w:color w:val="auto"/>
                      <w:u w:val="single"/>
                      <w:vertAlign w:val="superscript"/>
                    </w:rPr>
                    <w:t>3</w:t>
                  </w:r>
                </w:p>
              </w:tc>
              <w:tc>
                <w:tcPr>
                  <w:tcW w:w="1607" w:type="pct"/>
                  <w:vMerge w:val="continue"/>
                  <w:tcBorders>
                    <w:tl2br w:val="nil"/>
                    <w:tr2bl w:val="nil"/>
                  </w:tcBorders>
                  <w:noWrap w:val="0"/>
                  <w:vAlign w:val="center"/>
                </w:tcPr>
                <w:p w14:paraId="2021653A">
                  <w:pPr>
                    <w:pStyle w:val="135"/>
                    <w:rPr>
                      <w:color w:val="auto"/>
                      <w:u w:val="single"/>
                    </w:rPr>
                  </w:pPr>
                </w:p>
              </w:tc>
            </w:tr>
            <w:tr w14:paraId="048A1F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1" w:type="pct"/>
                  <w:vMerge w:val="continue"/>
                  <w:tcBorders>
                    <w:tl2br w:val="nil"/>
                    <w:tr2bl w:val="nil"/>
                  </w:tcBorders>
                  <w:noWrap w:val="0"/>
                  <w:vAlign w:val="center"/>
                </w:tcPr>
                <w:p w14:paraId="66E19935">
                  <w:pPr>
                    <w:pStyle w:val="135"/>
                    <w:rPr>
                      <w:color w:val="auto"/>
                      <w:u w:val="single"/>
                    </w:rPr>
                  </w:pPr>
                </w:p>
              </w:tc>
              <w:tc>
                <w:tcPr>
                  <w:tcW w:w="1014" w:type="pct"/>
                  <w:tcBorders>
                    <w:tl2br w:val="nil"/>
                    <w:tr2bl w:val="nil"/>
                  </w:tcBorders>
                  <w:noWrap w:val="0"/>
                  <w:vAlign w:val="center"/>
                </w:tcPr>
                <w:p w14:paraId="13E7C3E6">
                  <w:pPr>
                    <w:pStyle w:val="135"/>
                    <w:rPr>
                      <w:color w:val="auto"/>
                      <w:u w:val="single"/>
                    </w:rPr>
                  </w:pPr>
                  <w:r>
                    <w:rPr>
                      <w:color w:val="auto"/>
                      <w:u w:val="single"/>
                    </w:rPr>
                    <w:t>氮氧化物</w:t>
                  </w:r>
                </w:p>
              </w:tc>
              <w:tc>
                <w:tcPr>
                  <w:tcW w:w="787" w:type="pct"/>
                  <w:vMerge w:val="continue"/>
                  <w:tcBorders>
                    <w:tl2br w:val="nil"/>
                    <w:tr2bl w:val="nil"/>
                  </w:tcBorders>
                  <w:noWrap w:val="0"/>
                  <w:vAlign w:val="center"/>
                </w:tcPr>
                <w:p w14:paraId="52ACE33C">
                  <w:pPr>
                    <w:pStyle w:val="135"/>
                    <w:rPr>
                      <w:color w:val="auto"/>
                      <w:u w:val="single"/>
                    </w:rPr>
                  </w:pPr>
                </w:p>
              </w:tc>
              <w:tc>
                <w:tcPr>
                  <w:tcW w:w="870" w:type="pct"/>
                  <w:tcBorders>
                    <w:tl2br w:val="nil"/>
                    <w:tr2bl w:val="nil"/>
                  </w:tcBorders>
                  <w:noWrap w:val="0"/>
                  <w:vAlign w:val="center"/>
                </w:tcPr>
                <w:p w14:paraId="7FBDC287">
                  <w:pPr>
                    <w:pStyle w:val="135"/>
                    <w:rPr>
                      <w:color w:val="auto"/>
                      <w:u w:val="single"/>
                    </w:rPr>
                  </w:pPr>
                  <w:r>
                    <w:rPr>
                      <w:color w:val="auto"/>
                      <w:u w:val="single"/>
                    </w:rPr>
                    <w:t>300mg/m</w:t>
                  </w:r>
                  <w:r>
                    <w:rPr>
                      <w:color w:val="auto"/>
                      <w:u w:val="single"/>
                      <w:vertAlign w:val="superscript"/>
                    </w:rPr>
                    <w:t>3</w:t>
                  </w:r>
                </w:p>
              </w:tc>
              <w:tc>
                <w:tcPr>
                  <w:tcW w:w="1607" w:type="pct"/>
                  <w:vMerge w:val="continue"/>
                  <w:tcBorders>
                    <w:tl2br w:val="nil"/>
                    <w:tr2bl w:val="nil"/>
                  </w:tcBorders>
                  <w:noWrap w:val="0"/>
                  <w:vAlign w:val="center"/>
                </w:tcPr>
                <w:p w14:paraId="5BC44905">
                  <w:pPr>
                    <w:pStyle w:val="135"/>
                    <w:rPr>
                      <w:color w:val="auto"/>
                      <w:u w:val="single"/>
                    </w:rPr>
                  </w:pPr>
                </w:p>
              </w:tc>
            </w:tr>
            <w:tr w14:paraId="7FAE2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721" w:type="pct"/>
                  <w:vMerge w:val="restart"/>
                  <w:tcBorders>
                    <w:tl2br w:val="nil"/>
                    <w:tr2bl w:val="nil"/>
                  </w:tcBorders>
                  <w:noWrap w:val="0"/>
                  <w:vAlign w:val="center"/>
                </w:tcPr>
                <w:p w14:paraId="57712018">
                  <w:pPr>
                    <w:pStyle w:val="135"/>
                    <w:rPr>
                      <w:color w:val="auto"/>
                      <w:u w:val="single"/>
                    </w:rPr>
                  </w:pPr>
                  <w:r>
                    <w:rPr>
                      <w:color w:val="auto"/>
                      <w:u w:val="single"/>
                    </w:rPr>
                    <w:t>厂界</w:t>
                  </w:r>
                </w:p>
              </w:tc>
              <w:tc>
                <w:tcPr>
                  <w:tcW w:w="1014" w:type="pct"/>
                  <w:tcBorders>
                    <w:bottom w:val="single" w:color="auto" w:sz="4" w:space="0"/>
                    <w:tl2br w:val="nil"/>
                    <w:tr2bl w:val="nil"/>
                  </w:tcBorders>
                  <w:shd w:val="clear" w:color="auto" w:fill="auto"/>
                  <w:noWrap w:val="0"/>
                  <w:vAlign w:val="center"/>
                </w:tcPr>
                <w:p w14:paraId="4142796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u w:val="single"/>
                      <w:lang w:val="en-US" w:eastAsia="zh-CN" w:bidi="ar-SA"/>
                    </w:rPr>
                  </w:pPr>
                  <w:r>
                    <w:rPr>
                      <w:rFonts w:hint="default" w:ascii="Times New Roman" w:hAnsi="Times New Roman" w:cs="Times New Roman"/>
                      <w:b w:val="0"/>
                      <w:bCs w:val="0"/>
                      <w:color w:val="auto"/>
                      <w:kern w:val="0"/>
                      <w:sz w:val="21"/>
                      <w:szCs w:val="21"/>
                      <w:u w:val="single"/>
                    </w:rPr>
                    <w:t>颗粒物</w:t>
                  </w:r>
                </w:p>
              </w:tc>
              <w:tc>
                <w:tcPr>
                  <w:tcW w:w="787" w:type="pct"/>
                  <w:tcBorders>
                    <w:bottom w:val="single" w:color="auto" w:sz="4" w:space="0"/>
                    <w:tl2br w:val="nil"/>
                    <w:tr2bl w:val="nil"/>
                  </w:tcBorders>
                  <w:noWrap w:val="0"/>
                  <w:vAlign w:val="center"/>
                </w:tcPr>
                <w:p w14:paraId="68C3D56B">
                  <w:pPr>
                    <w:pStyle w:val="135"/>
                    <w:rPr>
                      <w:rFonts w:hint="eastAsia" w:eastAsia="宋体"/>
                      <w:color w:val="auto"/>
                      <w:u w:val="single"/>
                      <w:lang w:val="en-US" w:eastAsia="zh-CN"/>
                    </w:rPr>
                  </w:pPr>
                  <w:r>
                    <w:rPr>
                      <w:rFonts w:hint="eastAsia"/>
                      <w:color w:val="auto"/>
                      <w:u w:val="single"/>
                      <w:lang w:val="en-US" w:eastAsia="zh-CN"/>
                    </w:rPr>
                    <w:t>/</w:t>
                  </w:r>
                </w:p>
              </w:tc>
              <w:tc>
                <w:tcPr>
                  <w:tcW w:w="870" w:type="pct"/>
                  <w:tcBorders>
                    <w:bottom w:val="single" w:color="auto" w:sz="4" w:space="0"/>
                    <w:tl2br w:val="nil"/>
                    <w:tr2bl w:val="nil"/>
                  </w:tcBorders>
                  <w:noWrap w:val="0"/>
                  <w:vAlign w:val="center"/>
                </w:tcPr>
                <w:p w14:paraId="645727E4">
                  <w:pPr>
                    <w:pStyle w:val="135"/>
                    <w:rPr>
                      <w:color w:val="auto"/>
                      <w:u w:val="single"/>
                    </w:rPr>
                  </w:pPr>
                  <w:r>
                    <w:rPr>
                      <w:color w:val="auto"/>
                      <w:u w:val="single"/>
                    </w:rPr>
                    <w:t>1.0mg/m</w:t>
                  </w:r>
                  <w:r>
                    <w:rPr>
                      <w:color w:val="auto"/>
                      <w:u w:val="single"/>
                      <w:vertAlign w:val="superscript"/>
                    </w:rPr>
                    <w:t>3</w:t>
                  </w:r>
                </w:p>
              </w:tc>
              <w:tc>
                <w:tcPr>
                  <w:tcW w:w="1607" w:type="pct"/>
                  <w:tcBorders>
                    <w:bottom w:val="single" w:color="auto" w:sz="4" w:space="0"/>
                    <w:tl2br w:val="nil"/>
                    <w:tr2bl w:val="nil"/>
                  </w:tcBorders>
                  <w:noWrap w:val="0"/>
                  <w:vAlign w:val="center"/>
                </w:tcPr>
                <w:p w14:paraId="42D27895">
                  <w:pPr>
                    <w:pStyle w:val="135"/>
                    <w:rPr>
                      <w:color w:val="auto"/>
                      <w:u w:val="single"/>
                    </w:rPr>
                  </w:pPr>
                  <w:r>
                    <w:rPr>
                      <w:color w:val="auto"/>
                      <w:u w:val="single"/>
                    </w:rPr>
                    <w:t>《大气污染物综合排放标准》（GB16297-1996）</w:t>
                  </w:r>
                </w:p>
              </w:tc>
            </w:tr>
            <w:tr w14:paraId="593FD0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2" w:hRule="atLeast"/>
              </w:trPr>
              <w:tc>
                <w:tcPr>
                  <w:tcW w:w="721" w:type="pct"/>
                  <w:vMerge w:val="continue"/>
                  <w:tcBorders>
                    <w:tl2br w:val="nil"/>
                    <w:tr2bl w:val="nil"/>
                  </w:tcBorders>
                  <w:noWrap w:val="0"/>
                  <w:vAlign w:val="center"/>
                </w:tcPr>
                <w:p w14:paraId="26F9A584">
                  <w:pPr>
                    <w:pStyle w:val="135"/>
                    <w:rPr>
                      <w:color w:val="auto"/>
                      <w:u w:val="single"/>
                    </w:rPr>
                  </w:pPr>
                </w:p>
              </w:tc>
              <w:tc>
                <w:tcPr>
                  <w:tcW w:w="1014" w:type="pct"/>
                  <w:tcBorders>
                    <w:top w:val="single" w:color="auto" w:sz="4" w:space="0"/>
                    <w:tl2br w:val="nil"/>
                    <w:tr2bl w:val="nil"/>
                  </w:tcBorders>
                  <w:shd w:val="clear" w:color="auto" w:fill="auto"/>
                  <w:noWrap w:val="0"/>
                  <w:vAlign w:val="center"/>
                </w:tcPr>
                <w:p w14:paraId="497C6701">
                  <w:pPr>
                    <w:pStyle w:val="135"/>
                    <w:rPr>
                      <w:rFonts w:hint="default" w:ascii="Times New Roman" w:hAnsi="Times New Roman" w:eastAsia="宋体" w:cs="Times New Roman"/>
                      <w:color w:val="auto"/>
                      <w:u w:val="single"/>
                    </w:rPr>
                  </w:pPr>
                  <w:r>
                    <w:rPr>
                      <w:rFonts w:ascii="Times New Roman" w:hAnsi="Times New Roman" w:eastAsia="宋体" w:cs="Times New Roman"/>
                      <w:color w:val="auto"/>
                      <w:u w:val="single"/>
                    </w:rPr>
                    <w:t>臭气浓度</w:t>
                  </w:r>
                </w:p>
              </w:tc>
              <w:tc>
                <w:tcPr>
                  <w:tcW w:w="787" w:type="pct"/>
                  <w:tcBorders>
                    <w:top w:val="single" w:color="auto" w:sz="4" w:space="0"/>
                    <w:tl2br w:val="nil"/>
                    <w:tr2bl w:val="nil"/>
                  </w:tcBorders>
                  <w:noWrap w:val="0"/>
                  <w:vAlign w:val="center"/>
                </w:tcPr>
                <w:p w14:paraId="6084C418">
                  <w:pPr>
                    <w:pStyle w:val="135"/>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w:t>
                  </w:r>
                </w:p>
              </w:tc>
              <w:tc>
                <w:tcPr>
                  <w:tcW w:w="870" w:type="pct"/>
                  <w:tcBorders>
                    <w:top w:val="single" w:color="auto" w:sz="4" w:space="0"/>
                    <w:tl2br w:val="nil"/>
                    <w:tr2bl w:val="nil"/>
                  </w:tcBorders>
                  <w:noWrap w:val="0"/>
                  <w:vAlign w:val="center"/>
                </w:tcPr>
                <w:p w14:paraId="59F985F0">
                  <w:pPr>
                    <w:pStyle w:val="135"/>
                    <w:rPr>
                      <w:rFonts w:ascii="Times New Roman" w:hAnsi="Times New Roman" w:eastAsia="宋体" w:cs="Times New Roman"/>
                      <w:color w:val="auto"/>
                      <w:u w:val="single"/>
                    </w:rPr>
                  </w:pPr>
                  <w:r>
                    <w:rPr>
                      <w:rFonts w:hint="default" w:ascii="Times New Roman" w:hAnsi="Times New Roman" w:eastAsia="宋体" w:cs="Times New Roman"/>
                      <w:color w:val="auto"/>
                      <w:u w:val="single"/>
                    </w:rPr>
                    <w:t>20（无量纲）</w:t>
                  </w:r>
                </w:p>
              </w:tc>
              <w:tc>
                <w:tcPr>
                  <w:tcW w:w="1607" w:type="pct"/>
                  <w:tcBorders>
                    <w:top w:val="single" w:color="auto" w:sz="4" w:space="0"/>
                    <w:tl2br w:val="nil"/>
                    <w:tr2bl w:val="nil"/>
                  </w:tcBorders>
                  <w:noWrap w:val="0"/>
                  <w:vAlign w:val="center"/>
                </w:tcPr>
                <w:p w14:paraId="3D4CD764">
                  <w:pPr>
                    <w:pStyle w:val="135"/>
                    <w:rPr>
                      <w:rFonts w:ascii="Times New Roman" w:hAnsi="Times New Roman" w:eastAsia="宋体" w:cs="Times New Roman"/>
                      <w:color w:val="auto"/>
                      <w:u w:val="single"/>
                    </w:rPr>
                  </w:pPr>
                  <w:r>
                    <w:rPr>
                      <w:rFonts w:ascii="Times New Roman" w:hAnsi="Times New Roman" w:eastAsia="宋体" w:cs="Times New Roman"/>
                      <w:color w:val="auto"/>
                      <w:u w:val="single"/>
                    </w:rPr>
                    <w:t>《恶臭污染物排放标准》</w:t>
                  </w:r>
                  <w:r>
                    <w:rPr>
                      <w:rFonts w:hint="eastAsia" w:ascii="Times New Roman" w:hAnsi="Times New Roman" w:eastAsia="宋体" w:cs="Times New Roman"/>
                      <w:color w:val="auto"/>
                      <w:u w:val="single"/>
                    </w:rPr>
                    <w:t>（</w:t>
                  </w:r>
                  <w:r>
                    <w:rPr>
                      <w:rFonts w:ascii="Times New Roman" w:hAnsi="Times New Roman" w:eastAsia="宋体" w:cs="Times New Roman"/>
                      <w:color w:val="auto"/>
                      <w:u w:val="single"/>
                    </w:rPr>
                    <w:t>GB14554-93</w:t>
                  </w:r>
                  <w:r>
                    <w:rPr>
                      <w:rFonts w:hint="eastAsia" w:ascii="Times New Roman" w:hAnsi="Times New Roman" w:eastAsia="宋体" w:cs="Times New Roman"/>
                      <w:color w:val="auto"/>
                      <w:u w:val="single"/>
                    </w:rPr>
                    <w:t>）</w:t>
                  </w:r>
                </w:p>
              </w:tc>
            </w:tr>
          </w:tbl>
          <w:p w14:paraId="254E1B0B">
            <w:pPr>
              <w:keepNext w:val="0"/>
              <w:keepLines w:val="0"/>
              <w:pageBreakBefore w:val="0"/>
              <w:widowControl w:val="0"/>
              <w:kinsoku/>
              <w:wordWrap/>
              <w:overflowPunct/>
              <w:topLinePunct w:val="0"/>
              <w:autoSpaceDE/>
              <w:autoSpaceDN/>
              <w:bidi w:val="0"/>
              <w:adjustRightInd w:val="0"/>
              <w:snapToGrid w:val="0"/>
              <w:spacing w:before="63" w:beforeLines="20" w:line="24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3-</w:t>
            </w:r>
            <w:r>
              <w:rPr>
                <w:rFonts w:hint="eastAsia" w:cs="Times New Roman"/>
                <w:b/>
                <w:color w:val="auto"/>
                <w:sz w:val="24"/>
                <w:szCs w:val="24"/>
                <w:lang w:val="en-US" w:eastAsia="zh-CN"/>
              </w:rPr>
              <w:t>10</w:t>
            </w:r>
            <w:r>
              <w:rPr>
                <w:rFonts w:hint="default" w:ascii="Times New Roman" w:hAnsi="Times New Roman" w:eastAsia="宋体" w:cs="Times New Roman"/>
                <w:b/>
                <w:color w:val="auto"/>
                <w:sz w:val="24"/>
                <w:szCs w:val="24"/>
              </w:rPr>
              <w:t xml:space="preserve"> </w:t>
            </w:r>
            <w:r>
              <w:rPr>
                <w:rFonts w:hint="eastAsia"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餐饮业油烟排放标准</w:t>
            </w:r>
          </w:p>
          <w:tbl>
            <w:tblPr>
              <w:tblStyle w:val="32"/>
              <w:tblW w:w="77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54"/>
              <w:gridCol w:w="3665"/>
            </w:tblGrid>
            <w:tr w14:paraId="14C57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4" w:type="dxa"/>
                  <w:tcBorders>
                    <w:tl2br w:val="nil"/>
                    <w:tr2bl w:val="nil"/>
                  </w:tcBorders>
                  <w:vAlign w:val="center"/>
                </w:tcPr>
                <w:p w14:paraId="30F1597B">
                  <w:pPr>
                    <w:widowControl/>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规模</w:t>
                  </w:r>
                </w:p>
              </w:tc>
              <w:tc>
                <w:tcPr>
                  <w:tcW w:w="3665" w:type="dxa"/>
                  <w:tcBorders>
                    <w:tl2br w:val="nil"/>
                    <w:tr2bl w:val="nil"/>
                  </w:tcBorders>
                  <w:vAlign w:val="center"/>
                </w:tcPr>
                <w:p w14:paraId="07DAA751">
                  <w:pPr>
                    <w:widowControl/>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中型</w:t>
                  </w:r>
                </w:p>
              </w:tc>
            </w:tr>
            <w:tr w14:paraId="751F5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4" w:type="dxa"/>
                  <w:tcBorders>
                    <w:tl2br w:val="nil"/>
                    <w:tr2bl w:val="nil"/>
                  </w:tcBorders>
                  <w:vAlign w:val="center"/>
                </w:tcPr>
                <w:p w14:paraId="527D466F">
                  <w:pPr>
                    <w:widowControl/>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最高允许排放浓度（mg/m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w:t>
                  </w:r>
                </w:p>
              </w:tc>
              <w:tc>
                <w:tcPr>
                  <w:tcW w:w="3665" w:type="dxa"/>
                  <w:tcBorders>
                    <w:tl2br w:val="nil"/>
                    <w:tr2bl w:val="nil"/>
                  </w:tcBorders>
                  <w:vAlign w:val="center"/>
                </w:tcPr>
                <w:p w14:paraId="5EB426D0">
                  <w:pPr>
                    <w:widowControl/>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w:t>
                  </w:r>
                </w:p>
              </w:tc>
            </w:tr>
            <w:tr w14:paraId="43A0F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54" w:type="dxa"/>
                  <w:tcBorders>
                    <w:tl2br w:val="nil"/>
                    <w:tr2bl w:val="nil"/>
                  </w:tcBorders>
                  <w:vAlign w:val="center"/>
                </w:tcPr>
                <w:p w14:paraId="6D776D37">
                  <w:pPr>
                    <w:widowControl/>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油烟净化设施最低去除效率（%）</w:t>
                  </w:r>
                </w:p>
              </w:tc>
              <w:tc>
                <w:tcPr>
                  <w:tcW w:w="3665" w:type="dxa"/>
                  <w:tcBorders>
                    <w:tl2br w:val="nil"/>
                    <w:tr2bl w:val="nil"/>
                  </w:tcBorders>
                  <w:vAlign w:val="center"/>
                </w:tcPr>
                <w:p w14:paraId="4AD38A60">
                  <w:pPr>
                    <w:widowControl/>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75</w:t>
                  </w:r>
                </w:p>
              </w:tc>
            </w:tr>
          </w:tbl>
          <w:p w14:paraId="2D5D4A2E">
            <w:pPr>
              <w:pStyle w:val="47"/>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（3）噪声</w:t>
            </w:r>
          </w:p>
          <w:p w14:paraId="7AC07C6D">
            <w:pPr>
              <w:pStyle w:val="9"/>
              <w:spacing w:line="360" w:lineRule="auto"/>
              <w:ind w:firstLine="480" w:firstLineChars="200"/>
              <w:rPr>
                <w:rFonts w:hint="default" w:ascii="Times New Roman" w:hAnsi="Times New Roman" w:cs="Times New Roman"/>
                <w:color w:val="auto"/>
                <w:kern w:val="2"/>
                <w:sz w:val="24"/>
              </w:rPr>
            </w:pPr>
            <w:r>
              <w:rPr>
                <w:rFonts w:hint="eastAsia" w:cs="Times New Roman"/>
                <w:color w:val="auto"/>
                <w:kern w:val="2"/>
                <w:sz w:val="24"/>
                <w:lang w:val="en-US" w:eastAsia="zh-CN"/>
              </w:rPr>
              <w:t>项目</w:t>
            </w:r>
            <w:r>
              <w:rPr>
                <w:rFonts w:hint="eastAsia" w:cs="Times New Roman"/>
                <w:color w:val="auto"/>
                <w:kern w:val="2"/>
                <w:sz w:val="24"/>
                <w:lang w:eastAsia="zh-CN"/>
              </w:rPr>
              <w:t>运营期</w:t>
            </w:r>
            <w:r>
              <w:rPr>
                <w:rFonts w:hint="eastAsia" w:cs="Times New Roman"/>
                <w:color w:val="auto"/>
                <w:kern w:val="2"/>
                <w:sz w:val="24"/>
                <w:lang w:val="en-US" w:eastAsia="zh-CN"/>
              </w:rPr>
              <w:t>厂界噪声</w:t>
            </w:r>
            <w:r>
              <w:rPr>
                <w:rFonts w:hint="default" w:ascii="Times New Roman" w:hAnsi="Times New Roman" w:cs="Times New Roman"/>
                <w:color w:val="auto"/>
                <w:kern w:val="2"/>
                <w:sz w:val="24"/>
              </w:rPr>
              <w:t>执行《工业企业厂界环境噪声排放标准》（GB12348-2008）中的2类标准。</w:t>
            </w:r>
          </w:p>
          <w:p w14:paraId="764752C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表3-1</w:t>
            </w:r>
            <w:r>
              <w:rPr>
                <w:rFonts w:hint="eastAsia" w:cs="Times New Roman"/>
                <w:b/>
                <w:color w:val="auto"/>
                <w:sz w:val="24"/>
                <w:szCs w:val="24"/>
                <w:lang w:val="en-US" w:eastAsia="zh-CN"/>
              </w:rPr>
              <w:t>3</w:t>
            </w:r>
            <w:r>
              <w:rPr>
                <w:rFonts w:hint="eastAsia" w:ascii="Times New Roman" w:hAnsi="Times New Roman" w:eastAsia="宋体" w:cs="Times New Roman"/>
                <w:b/>
                <w:color w:val="auto"/>
                <w:sz w:val="24"/>
                <w:szCs w:val="24"/>
                <w:lang w:val="en-US" w:eastAsia="zh-CN"/>
              </w:rPr>
              <w:t xml:space="preserve">   噪声执行标准</w:t>
            </w:r>
            <w:r>
              <w:rPr>
                <w:rFonts w:hint="default" w:ascii="Times New Roman" w:hAnsi="Times New Roman" w:eastAsia="宋体" w:cs="Times New Roman"/>
                <w:b/>
                <w:color w:val="auto"/>
                <w:sz w:val="24"/>
                <w:szCs w:val="24"/>
                <w:lang w:val="en-US" w:eastAsia="zh-CN"/>
              </w:rPr>
              <w:t>（</w:t>
            </w:r>
            <w:r>
              <w:rPr>
                <w:rFonts w:hint="eastAsia" w:ascii="Times New Roman" w:hAnsi="Times New Roman" w:eastAsia="宋体" w:cs="Times New Roman"/>
                <w:b/>
                <w:color w:val="auto"/>
                <w:sz w:val="24"/>
                <w:szCs w:val="24"/>
                <w:lang w:val="en-US" w:eastAsia="zh-CN"/>
              </w:rPr>
              <w:t>单位：</w:t>
            </w:r>
            <w:r>
              <w:rPr>
                <w:rFonts w:hint="default" w:ascii="Times New Roman" w:hAnsi="Times New Roman" w:eastAsia="宋体" w:cs="Times New Roman"/>
                <w:b/>
                <w:color w:val="auto"/>
                <w:sz w:val="24"/>
                <w:szCs w:val="24"/>
                <w:lang w:val="en-US" w:eastAsia="zh-CN"/>
              </w:rPr>
              <w:t>dB（A））</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33"/>
              <w:gridCol w:w="3170"/>
              <w:gridCol w:w="1008"/>
              <w:gridCol w:w="1095"/>
              <w:gridCol w:w="1250"/>
            </w:tblGrid>
            <w:tr w14:paraId="73F08A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83" w:type="pct"/>
                  <w:vAlign w:val="center"/>
                </w:tcPr>
                <w:p w14:paraId="4B3F7864">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时期</w:t>
                  </w:r>
                </w:p>
              </w:tc>
              <w:tc>
                <w:tcPr>
                  <w:tcW w:w="2097" w:type="pct"/>
                  <w:vAlign w:val="center"/>
                </w:tcPr>
                <w:p w14:paraId="199AB811">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标准</w:t>
                  </w:r>
                </w:p>
              </w:tc>
              <w:tc>
                <w:tcPr>
                  <w:tcW w:w="667" w:type="pct"/>
                  <w:vAlign w:val="center"/>
                </w:tcPr>
                <w:p w14:paraId="50DCDE5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类别</w:t>
                  </w:r>
                </w:p>
              </w:tc>
              <w:tc>
                <w:tcPr>
                  <w:tcW w:w="724" w:type="pct"/>
                  <w:vAlign w:val="center"/>
                </w:tcPr>
                <w:p w14:paraId="031B4E6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昼间</w:t>
                  </w:r>
                </w:p>
              </w:tc>
              <w:tc>
                <w:tcPr>
                  <w:tcW w:w="827" w:type="pct"/>
                  <w:vAlign w:val="center"/>
                </w:tcPr>
                <w:p w14:paraId="692FA97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夜间</w:t>
                  </w:r>
                </w:p>
              </w:tc>
            </w:tr>
            <w:tr w14:paraId="5215F1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683" w:type="pct"/>
                  <w:vAlign w:val="center"/>
                </w:tcPr>
                <w:p w14:paraId="1F946CFC">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运营期</w:t>
                  </w:r>
                </w:p>
              </w:tc>
              <w:tc>
                <w:tcPr>
                  <w:tcW w:w="2097" w:type="pct"/>
                  <w:vAlign w:val="center"/>
                </w:tcPr>
                <w:p w14:paraId="4991480A">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w:t>
                  </w:r>
                  <w:r>
                    <w:rPr>
                      <w:rFonts w:hint="default" w:ascii="Times New Roman" w:hAnsi="Times New Roman" w:cs="Times New Roman"/>
                      <w:color w:val="auto"/>
                      <w:kern w:val="2"/>
                      <w:sz w:val="24"/>
                    </w:rPr>
                    <w:t>）</w:t>
                  </w:r>
                </w:p>
              </w:tc>
              <w:tc>
                <w:tcPr>
                  <w:tcW w:w="667" w:type="pct"/>
                  <w:vAlign w:val="center"/>
                </w:tcPr>
                <w:p w14:paraId="7DB1F33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2类</w:t>
                  </w:r>
                </w:p>
              </w:tc>
              <w:tc>
                <w:tcPr>
                  <w:tcW w:w="724" w:type="pct"/>
                  <w:vAlign w:val="center"/>
                </w:tcPr>
                <w:p w14:paraId="2DF72418">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60</w:t>
                  </w:r>
                </w:p>
              </w:tc>
              <w:tc>
                <w:tcPr>
                  <w:tcW w:w="827" w:type="pct"/>
                  <w:vAlign w:val="center"/>
                </w:tcPr>
                <w:p w14:paraId="079BE5B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50</w:t>
                  </w:r>
                </w:p>
              </w:tc>
            </w:tr>
          </w:tbl>
          <w:p w14:paraId="3690E87E">
            <w:pPr>
              <w:pStyle w:val="47"/>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（4）固废</w:t>
            </w:r>
          </w:p>
          <w:p w14:paraId="31AC0C08">
            <w:pPr>
              <w:spacing w:line="360" w:lineRule="auto"/>
              <w:ind w:firstLine="480" w:firstLineChars="200"/>
              <w:rPr>
                <w:rFonts w:hint="default" w:cs="Times New Roman"/>
                <w:color w:val="auto"/>
                <w:kern w:val="24"/>
                <w:sz w:val="24"/>
                <w:highlight w:val="none"/>
                <w:lang w:eastAsia="zh-CN"/>
              </w:rPr>
            </w:pPr>
            <w:r>
              <w:rPr>
                <w:rFonts w:hint="default" w:ascii="Times New Roman" w:hAnsi="Times New Roman" w:cs="Times New Roman"/>
                <w:color w:val="auto"/>
                <w:sz w:val="24"/>
                <w:lang w:eastAsia="zh-CN"/>
              </w:rPr>
              <w:t>一般固体执行</w:t>
            </w:r>
            <w:r>
              <w:rPr>
                <w:rFonts w:hint="default" w:ascii="Times New Roman" w:hAnsi="Times New Roman" w:eastAsia="宋体" w:cs="Times New Roman"/>
                <w:color w:val="auto"/>
                <w:kern w:val="24"/>
                <w:sz w:val="24"/>
                <w:highlight w:val="none"/>
                <w:lang w:eastAsia="zh-CN"/>
              </w:rPr>
              <w:t>《一般工业固体废物贮存和填埋污染控制标准》（GB18566-2020）</w:t>
            </w:r>
            <w:r>
              <w:rPr>
                <w:rFonts w:hint="eastAsia" w:cs="Times New Roman"/>
                <w:color w:val="auto"/>
                <w:kern w:val="24"/>
                <w:sz w:val="24"/>
                <w:highlight w:val="none"/>
                <w:lang w:eastAsia="zh-CN"/>
              </w:rPr>
              <w:t>；</w:t>
            </w:r>
            <w:r>
              <w:rPr>
                <w:color w:val="auto"/>
                <w:sz w:val="24"/>
                <w:u w:val="single"/>
              </w:rPr>
              <w:t>危险废物贮存执行《危险废物贮存污染控制标准》（GB18597-2023）；危险废物的收集、转运须满足《危险废物收集贮存运输技术规范》（HJ2025-2012）的要求</w:t>
            </w:r>
            <w:r>
              <w:rPr>
                <w:rFonts w:hint="eastAsia" w:cs="Times New Roman"/>
                <w:color w:val="auto"/>
                <w:kern w:val="24"/>
                <w:sz w:val="24"/>
                <w:highlight w:val="none"/>
                <w:lang w:eastAsia="zh-CN"/>
              </w:rPr>
              <w:t>。</w:t>
            </w:r>
          </w:p>
        </w:tc>
      </w:tr>
      <w:tr w14:paraId="5891F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tcMar>
              <w:left w:w="28" w:type="dxa"/>
              <w:right w:w="28" w:type="dxa"/>
            </w:tcMar>
            <w:vAlign w:val="top"/>
          </w:tcPr>
          <w:p w14:paraId="2BD5B271">
            <w:pPr>
              <w:keepNext w:val="0"/>
              <w:keepLines w:val="0"/>
              <w:pageBreakBefore w:val="0"/>
              <w:widowControl w:val="0"/>
              <w:kinsoku/>
              <w:wordWrap/>
              <w:overflowPunct/>
              <w:topLinePunct w:val="0"/>
              <w:autoSpaceDE/>
              <w:autoSpaceDN/>
              <w:bidi w:val="0"/>
              <w:adjustRightInd w:val="0"/>
              <w:snapToGrid w:val="0"/>
              <w:spacing w:before="625" w:beforeLines="200"/>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总量控制指标</w:t>
            </w:r>
          </w:p>
        </w:tc>
        <w:tc>
          <w:tcPr>
            <w:tcW w:w="7804" w:type="dxa"/>
            <w:vAlign w:val="center"/>
          </w:tcPr>
          <w:p w14:paraId="34684DA7">
            <w:pPr>
              <w:pStyle w:val="47"/>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jc w:val="left"/>
              <w:textAlignment w:val="auto"/>
              <w:rPr>
                <w:rFonts w:hint="default" w:ascii="Times New Roman" w:hAnsi="Times New Roman" w:eastAsia="宋体" w:cs="Times New Roman"/>
                <w:color w:val="auto"/>
                <w:kern w:val="0"/>
                <w:szCs w:val="21"/>
                <w:u w:val="none"/>
                <w:lang w:val="en-US" w:eastAsia="zh-CN"/>
              </w:rPr>
            </w:pPr>
            <w:r>
              <w:rPr>
                <w:rFonts w:hint="default" w:ascii="Times New Roman" w:hAnsi="Times New Roman" w:eastAsia="宋体" w:cs="Times New Roman"/>
                <w:color w:val="auto"/>
                <w:kern w:val="0"/>
                <w:szCs w:val="21"/>
                <w:u w:val="none"/>
                <w:lang w:val="en-US" w:eastAsia="zh-CN"/>
              </w:rPr>
              <w:t>根据《湖南省</w:t>
            </w:r>
            <w:r>
              <w:rPr>
                <w:rFonts w:hint="eastAsia" w:ascii="Times New Roman" w:hAnsi="Times New Roman" w:cs="Times New Roman"/>
                <w:color w:val="auto"/>
                <w:kern w:val="0"/>
                <w:szCs w:val="21"/>
                <w:u w:val="none"/>
                <w:lang w:val="en-US" w:eastAsia="zh-CN"/>
              </w:rPr>
              <w:t>“</w:t>
            </w:r>
            <w:r>
              <w:rPr>
                <w:rFonts w:hint="default" w:ascii="Times New Roman" w:hAnsi="Times New Roman" w:eastAsia="宋体" w:cs="Times New Roman"/>
                <w:color w:val="auto"/>
                <w:kern w:val="0"/>
                <w:szCs w:val="21"/>
                <w:u w:val="none"/>
                <w:lang w:val="en-US" w:eastAsia="zh-CN"/>
              </w:rPr>
              <w:t>十四五</w:t>
            </w:r>
            <w:r>
              <w:rPr>
                <w:rFonts w:hint="eastAsia" w:ascii="Times New Roman" w:hAnsi="Times New Roman" w:cs="Times New Roman"/>
                <w:color w:val="auto"/>
                <w:kern w:val="0"/>
                <w:szCs w:val="21"/>
                <w:u w:val="none"/>
                <w:lang w:val="en-US" w:eastAsia="zh-CN"/>
              </w:rPr>
              <w:t>”</w:t>
            </w:r>
            <w:r>
              <w:rPr>
                <w:rFonts w:hint="default" w:ascii="Times New Roman" w:hAnsi="Times New Roman" w:eastAsia="宋体" w:cs="Times New Roman"/>
                <w:color w:val="auto"/>
                <w:kern w:val="0"/>
                <w:szCs w:val="21"/>
                <w:u w:val="none"/>
                <w:lang w:val="en-US" w:eastAsia="zh-CN"/>
              </w:rPr>
              <w:t>生态环境保护规划》，主要污染物减排指标涉及NOx、COD、NH</w:t>
            </w:r>
            <w:r>
              <w:rPr>
                <w:rFonts w:hint="default" w:ascii="Times New Roman" w:hAnsi="Times New Roman" w:eastAsia="宋体" w:cs="Times New Roman"/>
                <w:color w:val="auto"/>
                <w:kern w:val="0"/>
                <w:szCs w:val="21"/>
                <w:u w:val="none"/>
                <w:vertAlign w:val="subscript"/>
                <w:lang w:val="en-US" w:eastAsia="zh-CN"/>
              </w:rPr>
              <w:t>3</w:t>
            </w:r>
            <w:r>
              <w:rPr>
                <w:rFonts w:hint="default" w:ascii="Times New Roman" w:hAnsi="Times New Roman" w:eastAsia="宋体" w:cs="Times New Roman"/>
                <w:color w:val="auto"/>
                <w:kern w:val="0"/>
                <w:szCs w:val="21"/>
                <w:u w:val="none"/>
                <w:lang w:val="en-US" w:eastAsia="zh-CN"/>
              </w:rPr>
              <w:t>-N、挥发性有机物，但SO</w:t>
            </w:r>
            <w:r>
              <w:rPr>
                <w:rFonts w:hint="default" w:ascii="Times New Roman" w:hAnsi="Times New Roman" w:eastAsia="宋体" w:cs="Times New Roman"/>
                <w:color w:val="auto"/>
                <w:kern w:val="0"/>
                <w:szCs w:val="21"/>
                <w:u w:val="none"/>
                <w:vertAlign w:val="subscript"/>
                <w:lang w:val="en-US" w:eastAsia="zh-CN"/>
              </w:rPr>
              <w:t>2</w:t>
            </w:r>
            <w:r>
              <w:rPr>
                <w:rFonts w:hint="default" w:ascii="Times New Roman" w:hAnsi="Times New Roman" w:eastAsia="宋体" w:cs="Times New Roman"/>
                <w:color w:val="auto"/>
                <w:kern w:val="0"/>
                <w:szCs w:val="21"/>
                <w:u w:val="none"/>
                <w:lang w:val="en-US" w:eastAsia="zh-CN"/>
              </w:rPr>
              <w:t>依然需进行总量交易。</w:t>
            </w:r>
          </w:p>
          <w:p w14:paraId="45A10976">
            <w:pPr>
              <w:pStyle w:val="47"/>
              <w:adjustRightInd/>
              <w:spacing w:line="360" w:lineRule="auto"/>
              <w:ind w:firstLine="480" w:firstLineChars="200"/>
              <w:jc w:val="left"/>
              <w:rPr>
                <w:rFonts w:hint="default" w:ascii="Times New Roman" w:hAnsi="Times New Roman" w:cs="Times New Roman"/>
                <w:color w:val="auto"/>
                <w:highlight w:val="none"/>
                <w:u w:val="single"/>
              </w:rPr>
            </w:pPr>
            <w:r>
              <w:rPr>
                <w:rFonts w:hint="eastAsia" w:ascii="Times New Roman" w:hAnsi="Times New Roman" w:cs="Times New Roman"/>
                <w:color w:val="auto"/>
                <w:szCs w:val="22"/>
                <w:highlight w:val="none"/>
                <w:u w:val="single"/>
                <w:lang w:val="en-US" w:eastAsia="zh-CN"/>
              </w:rPr>
              <w:t>本项目外排废水主要为食堂废水及职工生活污水，总排放量约为1955.37</w:t>
            </w:r>
            <w:r>
              <w:rPr>
                <w:rFonts w:hint="default" w:ascii="Times New Roman" w:hAnsi="Times New Roman" w:cs="Times New Roman"/>
                <w:color w:val="auto"/>
                <w:szCs w:val="22"/>
                <w:highlight w:val="none"/>
                <w:u w:val="single"/>
                <w:lang w:eastAsia="zh-CN"/>
              </w:rPr>
              <w:t>m</w:t>
            </w:r>
            <w:r>
              <w:rPr>
                <w:rFonts w:hint="default" w:ascii="Times New Roman" w:hAnsi="Times New Roman" w:cs="Times New Roman"/>
                <w:color w:val="auto"/>
                <w:szCs w:val="22"/>
                <w:highlight w:val="none"/>
                <w:u w:val="single"/>
                <w:vertAlign w:val="superscript"/>
                <w:lang w:eastAsia="zh-CN"/>
              </w:rPr>
              <w:t>3</w:t>
            </w:r>
            <w:r>
              <w:rPr>
                <w:rFonts w:hint="default" w:ascii="Times New Roman" w:hAnsi="Times New Roman" w:cs="Times New Roman"/>
                <w:color w:val="auto"/>
                <w:szCs w:val="22"/>
                <w:highlight w:val="none"/>
                <w:u w:val="single"/>
                <w:lang w:eastAsia="zh-CN"/>
              </w:rPr>
              <w:t>/a，</w:t>
            </w:r>
            <w:r>
              <w:rPr>
                <w:rFonts w:hint="default" w:ascii="Times New Roman" w:hAnsi="Times New Roman" w:eastAsia="宋体" w:cs="Times New Roman"/>
                <w:color w:val="auto"/>
                <w:szCs w:val="22"/>
                <w:highlight w:val="none"/>
                <w:u w:val="single"/>
                <w:lang w:eastAsia="zh-CN"/>
              </w:rPr>
              <w:t>通过市政污水管网排入龙潭镇污水处理厂深度处理，</w:t>
            </w:r>
            <w:r>
              <w:rPr>
                <w:rFonts w:hint="eastAsia" w:ascii="Times New Roman" w:hAnsi="Times New Roman" w:eastAsia="宋体" w:cs="Times New Roman"/>
                <w:color w:val="auto"/>
                <w:szCs w:val="22"/>
                <w:highlight w:val="none"/>
                <w:u w:val="single"/>
                <w:lang w:eastAsia="zh-CN"/>
              </w:rPr>
              <w:t>其中</w:t>
            </w:r>
            <w:r>
              <w:rPr>
                <w:rFonts w:hint="eastAsia" w:ascii="Times New Roman" w:hAnsi="Times New Roman" w:eastAsia="宋体" w:cs="Times New Roman"/>
                <w:color w:val="auto"/>
                <w:szCs w:val="22"/>
                <w:highlight w:val="none"/>
                <w:u w:val="single"/>
                <w:lang w:val="en-US" w:eastAsia="zh-CN"/>
              </w:rPr>
              <w:t>COD排放浓度为50</w:t>
            </w:r>
            <w:r>
              <w:rPr>
                <w:rFonts w:hint="default" w:ascii="Times New Roman" w:hAnsi="Times New Roman" w:eastAsia="宋体" w:cs="Times New Roman"/>
                <w:color w:val="auto"/>
                <w:szCs w:val="22"/>
                <w:highlight w:val="none"/>
                <w:u w:val="single"/>
                <w:lang w:eastAsia="zh-CN"/>
              </w:rPr>
              <w:t>mg/L</w:t>
            </w:r>
            <w:r>
              <w:rPr>
                <w:rFonts w:hint="eastAsia" w:ascii="Times New Roman" w:hAnsi="Times New Roman" w:eastAsia="宋体" w:cs="Times New Roman"/>
                <w:color w:val="auto"/>
                <w:szCs w:val="22"/>
                <w:highlight w:val="none"/>
                <w:u w:val="single"/>
                <w:lang w:eastAsia="zh-CN"/>
              </w:rPr>
              <w:t>、</w:t>
            </w:r>
            <w:r>
              <w:rPr>
                <w:rFonts w:hint="default" w:ascii="Times New Roman" w:hAnsi="Times New Roman" w:cs="Times New Roman"/>
                <w:color w:val="auto"/>
                <w:szCs w:val="21"/>
                <w:u w:val="single"/>
              </w:rPr>
              <w:t>NH</w:t>
            </w:r>
            <w:r>
              <w:rPr>
                <w:rFonts w:hint="default" w:ascii="Times New Roman" w:hAnsi="Times New Roman" w:cs="Times New Roman"/>
                <w:color w:val="auto"/>
                <w:szCs w:val="21"/>
                <w:u w:val="single"/>
                <w:vertAlign w:val="subscript"/>
              </w:rPr>
              <w:t>3</w:t>
            </w:r>
            <w:r>
              <w:rPr>
                <w:rFonts w:hint="default" w:ascii="Times New Roman" w:hAnsi="Times New Roman" w:cs="Times New Roman"/>
                <w:color w:val="auto"/>
                <w:szCs w:val="21"/>
                <w:u w:val="single"/>
              </w:rPr>
              <w:t>-N</w:t>
            </w:r>
            <w:r>
              <w:rPr>
                <w:rFonts w:hint="eastAsia" w:ascii="Times New Roman" w:hAnsi="Times New Roman" w:eastAsia="宋体" w:cs="Times New Roman"/>
                <w:color w:val="auto"/>
                <w:szCs w:val="22"/>
                <w:highlight w:val="none"/>
                <w:u w:val="single"/>
                <w:lang w:val="en-US" w:eastAsia="zh-CN"/>
              </w:rPr>
              <w:t>排放浓度为5</w:t>
            </w:r>
            <w:r>
              <w:rPr>
                <w:rFonts w:hint="default" w:ascii="Times New Roman" w:hAnsi="Times New Roman" w:eastAsia="宋体" w:cs="Times New Roman"/>
                <w:color w:val="auto"/>
                <w:szCs w:val="22"/>
                <w:highlight w:val="none"/>
                <w:u w:val="single"/>
                <w:lang w:eastAsia="zh-CN"/>
              </w:rPr>
              <w:t>mg/L</w:t>
            </w:r>
            <w:r>
              <w:rPr>
                <w:rFonts w:hint="eastAsia" w:ascii="Times New Roman" w:hAnsi="Times New Roman" w:eastAsia="宋体" w:cs="Times New Roman"/>
                <w:color w:val="auto"/>
                <w:szCs w:val="22"/>
                <w:highlight w:val="none"/>
                <w:u w:val="single"/>
                <w:lang w:eastAsia="zh-CN"/>
              </w:rPr>
              <w:t>，</w:t>
            </w:r>
            <w:r>
              <w:rPr>
                <w:rFonts w:hint="default" w:ascii="Times New Roman" w:hAnsi="Times New Roman" w:eastAsia="宋体" w:cs="Times New Roman"/>
                <w:color w:val="auto"/>
                <w:szCs w:val="22"/>
                <w:highlight w:val="none"/>
                <w:u w:val="single"/>
                <w:lang w:eastAsia="zh-CN"/>
              </w:rPr>
              <w:t>项目</w:t>
            </w:r>
            <w:r>
              <w:rPr>
                <w:rFonts w:hint="default" w:ascii="Times New Roman" w:hAnsi="Times New Roman" w:cs="Times New Roman"/>
                <w:color w:val="auto"/>
                <w:szCs w:val="22"/>
                <w:highlight w:val="none"/>
                <w:u w:val="single"/>
              </w:rPr>
              <w:t>废水污染物排放量为COD</w:t>
            </w:r>
            <w:r>
              <w:rPr>
                <w:rFonts w:hint="default" w:ascii="Times New Roman" w:hAnsi="Times New Roman" w:cs="Times New Roman"/>
                <w:color w:val="auto"/>
                <w:szCs w:val="22"/>
                <w:highlight w:val="none"/>
                <w:u w:val="single"/>
                <w:lang w:eastAsia="zh-CN"/>
              </w:rPr>
              <w:t>：</w:t>
            </w:r>
            <w:r>
              <w:rPr>
                <w:rFonts w:hint="eastAsia" w:ascii="Times New Roman" w:hAnsi="Times New Roman" w:cs="Times New Roman"/>
                <w:color w:val="auto"/>
                <w:szCs w:val="22"/>
                <w:highlight w:val="none"/>
                <w:u w:val="single"/>
                <w:lang w:val="en-US" w:eastAsia="zh-CN"/>
              </w:rPr>
              <w:t>0.0978</w:t>
            </w:r>
            <w:r>
              <w:rPr>
                <w:rFonts w:hint="default" w:ascii="Times New Roman" w:hAnsi="Times New Roman" w:cs="Times New Roman"/>
                <w:color w:val="auto"/>
                <w:szCs w:val="22"/>
                <w:highlight w:val="none"/>
                <w:u w:val="single"/>
              </w:rPr>
              <w:t>t/a、NH</w:t>
            </w:r>
            <w:r>
              <w:rPr>
                <w:rFonts w:hint="default" w:ascii="Times New Roman" w:hAnsi="Times New Roman" w:cs="Times New Roman"/>
                <w:color w:val="auto"/>
                <w:szCs w:val="22"/>
                <w:highlight w:val="none"/>
                <w:u w:val="single"/>
                <w:vertAlign w:val="subscript"/>
              </w:rPr>
              <w:t>3</w:t>
            </w:r>
            <w:r>
              <w:rPr>
                <w:rFonts w:hint="default" w:ascii="Times New Roman" w:hAnsi="Times New Roman" w:cs="Times New Roman"/>
                <w:color w:val="auto"/>
                <w:szCs w:val="22"/>
                <w:highlight w:val="none"/>
                <w:u w:val="single"/>
              </w:rPr>
              <w:t>-N</w:t>
            </w:r>
            <w:r>
              <w:rPr>
                <w:rFonts w:hint="default" w:ascii="Times New Roman" w:hAnsi="Times New Roman" w:cs="Times New Roman"/>
                <w:color w:val="auto"/>
                <w:szCs w:val="22"/>
                <w:highlight w:val="none"/>
                <w:u w:val="single"/>
                <w:lang w:eastAsia="zh-CN"/>
              </w:rPr>
              <w:t>：</w:t>
            </w:r>
            <w:r>
              <w:rPr>
                <w:rFonts w:hint="eastAsia" w:ascii="Times New Roman" w:hAnsi="Times New Roman" w:cs="Times New Roman"/>
                <w:color w:val="auto"/>
                <w:szCs w:val="22"/>
                <w:highlight w:val="none"/>
                <w:u w:val="single"/>
                <w:lang w:val="en-US" w:eastAsia="zh-CN"/>
              </w:rPr>
              <w:t>0.00978</w:t>
            </w:r>
            <w:r>
              <w:rPr>
                <w:rFonts w:hint="default" w:ascii="Times New Roman" w:hAnsi="Times New Roman" w:cs="Times New Roman"/>
                <w:color w:val="auto"/>
                <w:szCs w:val="22"/>
                <w:highlight w:val="none"/>
                <w:u w:val="single"/>
              </w:rPr>
              <w:t>t/a。</w:t>
            </w:r>
          </w:p>
          <w:p w14:paraId="5CF284FD">
            <w:pPr>
              <w:pStyle w:val="47"/>
              <w:adjustRightInd/>
              <w:spacing w:line="360" w:lineRule="auto"/>
              <w:ind w:firstLine="480" w:firstLineChars="200"/>
              <w:jc w:val="left"/>
              <w:rPr>
                <w:rFonts w:hint="default" w:ascii="Times New Roman" w:hAnsi="Times New Roman" w:cs="Times New Roman"/>
                <w:strike w:val="0"/>
                <w:dstrike w:val="0"/>
                <w:color w:val="auto"/>
                <w:u w:val="single"/>
              </w:rPr>
            </w:pPr>
            <w:r>
              <w:rPr>
                <w:rFonts w:hint="eastAsia" w:ascii="Times New Roman" w:hAnsi="Times New Roman" w:eastAsia="宋体" w:cs="Times New Roman"/>
                <w:strike w:val="0"/>
                <w:dstrike w:val="0"/>
                <w:color w:val="auto"/>
                <w:u w:val="single"/>
                <w:lang w:val="en-US" w:eastAsia="zh-CN"/>
              </w:rPr>
              <w:t>根据《</w:t>
            </w:r>
            <w:r>
              <w:rPr>
                <w:rFonts w:ascii="Times New Roman" w:hAnsi="Times New Roman" w:eastAsia="宋体" w:cs="Times New Roman"/>
                <w:strike w:val="0"/>
                <w:dstrike w:val="0"/>
                <w:color w:val="auto"/>
                <w:u w:val="single"/>
                <w:lang w:val="en-US" w:eastAsia="zh-CN"/>
              </w:rPr>
              <w:t>生态环境部门进一步促进民营经济发展的</w:t>
            </w:r>
            <w:r>
              <w:rPr>
                <w:rFonts w:hint="eastAsia" w:ascii="Times New Roman" w:hAnsi="Times New Roman" w:eastAsia="宋体" w:cs="Times New Roman"/>
                <w:strike w:val="0"/>
                <w:dstrike w:val="0"/>
                <w:color w:val="auto"/>
                <w:u w:val="single"/>
                <w:lang w:val="en-US" w:eastAsia="zh-CN"/>
              </w:rPr>
              <w:t>若干措施》中</w:t>
            </w:r>
            <w:r>
              <w:rPr>
                <w:rFonts w:hint="eastAsia" w:ascii="Times New Roman" w:hAnsi="Times New Roman" w:cs="Times New Roman"/>
                <w:strike w:val="0"/>
                <w:dstrike w:val="0"/>
                <w:color w:val="auto"/>
                <w:u w:val="single"/>
                <w:lang w:eastAsia="zh-CN"/>
              </w:rPr>
              <w:t>“</w:t>
            </w:r>
            <w:r>
              <w:rPr>
                <w:rFonts w:ascii="Times New Roman" w:hAnsi="Times New Roman" w:eastAsia="宋体" w:cs="Times New Roman"/>
                <w:b/>
                <w:bCs/>
                <w:strike w:val="0"/>
                <w:dstrike w:val="0"/>
                <w:color w:val="auto"/>
                <w:u w:val="single"/>
                <w:lang w:val="en-US" w:eastAsia="zh-CN"/>
              </w:rPr>
              <w:t>二、优化环境准入</w:t>
            </w:r>
            <w:r>
              <w:rPr>
                <w:rFonts w:hint="eastAsia" w:ascii="Times New Roman" w:hAnsi="Times New Roman" w:eastAsia="宋体" w:cs="Times New Roman"/>
                <w:b/>
                <w:bCs/>
                <w:strike w:val="0"/>
                <w:dstrike w:val="0"/>
                <w:color w:val="auto"/>
                <w:u w:val="single"/>
                <w:lang w:val="en-US" w:eastAsia="zh-CN"/>
              </w:rPr>
              <w:t xml:space="preserve"> </w:t>
            </w:r>
            <w:r>
              <w:rPr>
                <w:rFonts w:ascii="Times New Roman" w:hAnsi="Times New Roman" w:eastAsia="宋体" w:cs="Times New Roman"/>
                <w:b/>
                <w:bCs/>
                <w:strike w:val="0"/>
                <w:dstrike w:val="0"/>
                <w:color w:val="auto"/>
                <w:u w:val="single"/>
                <w:lang w:val="en-US" w:eastAsia="zh-CN"/>
              </w:rPr>
              <w:t>8.优化总量指标管理。</w:t>
            </w:r>
            <w:r>
              <w:rPr>
                <w:rFonts w:hint="eastAsia" w:ascii="Times New Roman" w:hAnsi="Times New Roman" w:eastAsia="宋体" w:cs="Times New Roman"/>
                <w:strike w:val="0"/>
                <w:dstrike w:val="0"/>
                <w:color w:val="auto"/>
                <w:u w:val="single"/>
                <w:lang w:val="en-US" w:eastAsia="zh-CN"/>
              </w:rPr>
              <w:t>健全总量指标配置机制，优化新改扩建建设项目总量指标监督管理。在严格实施各项污染防治措施基础上，对氮氧化物、化学需氧量、挥发性有机污染物的单项新增年排放量小于0.1吨，氨氮小于0.01吨的建设项目，免予提交总量指标来源说明，由地方生态环境部门统筹总量指标替代来源，并纳入台账管理。</w:t>
            </w:r>
            <w:r>
              <w:rPr>
                <w:rFonts w:hint="eastAsia" w:ascii="Times New Roman" w:hAnsi="Times New Roman" w:cs="Times New Roman"/>
                <w:strike w:val="0"/>
                <w:dstrike w:val="0"/>
                <w:color w:val="auto"/>
                <w:u w:val="single"/>
                <w:lang w:val="en-US" w:eastAsia="zh-CN"/>
              </w:rPr>
              <w:t>”</w:t>
            </w:r>
            <w:r>
              <w:rPr>
                <w:rFonts w:hint="eastAsia" w:ascii="Times New Roman" w:hAnsi="Times New Roman" w:eastAsia="宋体" w:cs="Times New Roman"/>
                <w:strike w:val="0"/>
                <w:dstrike w:val="0"/>
                <w:color w:val="auto"/>
                <w:u w:val="single"/>
                <w:lang w:val="en-US" w:eastAsia="zh-CN"/>
              </w:rPr>
              <w:t>的规定，本项目污染物总量指标均小于《措施》中规定值，故本项目无需单独购买总量，项目运营期</w:t>
            </w:r>
            <w:r>
              <w:rPr>
                <w:rFonts w:hint="eastAsia" w:ascii="Times New Roman" w:hAnsi="Times New Roman" w:cs="Times New Roman"/>
                <w:strike w:val="0"/>
                <w:dstrike w:val="0"/>
                <w:color w:val="auto"/>
                <w:u w:val="single"/>
                <w:lang w:val="en-US" w:eastAsia="zh-CN"/>
              </w:rPr>
              <w:t>废水</w:t>
            </w:r>
            <w:r>
              <w:rPr>
                <w:rFonts w:hint="eastAsia" w:ascii="Times New Roman" w:hAnsi="Times New Roman" w:eastAsia="宋体" w:cs="Times New Roman"/>
                <w:strike w:val="0"/>
                <w:dstrike w:val="0"/>
                <w:color w:val="auto"/>
                <w:u w:val="single"/>
                <w:lang w:val="en-US" w:eastAsia="zh-CN"/>
              </w:rPr>
              <w:t>总量控制指标由地方生态环境部门统筹总量指标替代来源，并纳入台账管理。</w:t>
            </w:r>
          </w:p>
          <w:p w14:paraId="14AFDEE2">
            <w:pPr>
              <w:pStyle w:val="47"/>
              <w:adjustRightInd/>
              <w:spacing w:line="360" w:lineRule="auto"/>
              <w:ind w:firstLine="480" w:firstLineChars="200"/>
              <w:jc w:val="left"/>
              <w:rPr>
                <w:rFonts w:hint="default" w:ascii="Times New Roman" w:hAnsi="Times New Roman" w:eastAsia="宋体" w:cs="Times New Roman"/>
                <w:strike w:val="0"/>
                <w:dstrike w:val="0"/>
                <w:color w:val="auto"/>
                <w:highlight w:val="none"/>
                <w:u w:val="single"/>
                <w:lang w:val="en-US" w:eastAsia="zh-CN"/>
              </w:rPr>
            </w:pPr>
            <w:r>
              <w:rPr>
                <w:rFonts w:hint="eastAsia" w:ascii="Times New Roman" w:hAnsi="Times New Roman" w:cs="Times New Roman"/>
                <w:strike w:val="0"/>
                <w:dstrike w:val="0"/>
                <w:color w:val="auto"/>
                <w:highlight w:val="none"/>
                <w:u w:val="single"/>
                <w:lang w:eastAsia="zh-CN"/>
              </w:rPr>
              <w:t>（</w:t>
            </w:r>
            <w:r>
              <w:rPr>
                <w:rFonts w:hint="eastAsia" w:ascii="Times New Roman" w:hAnsi="Times New Roman" w:cs="Times New Roman"/>
                <w:strike w:val="0"/>
                <w:dstrike w:val="0"/>
                <w:color w:val="auto"/>
                <w:highlight w:val="none"/>
                <w:u w:val="single"/>
                <w:lang w:val="en-US" w:eastAsia="zh-CN"/>
              </w:rPr>
              <w:t>2</w:t>
            </w:r>
            <w:r>
              <w:rPr>
                <w:rFonts w:hint="eastAsia" w:ascii="Times New Roman" w:hAnsi="Times New Roman" w:cs="Times New Roman"/>
                <w:strike w:val="0"/>
                <w:dstrike w:val="0"/>
                <w:color w:val="auto"/>
                <w:highlight w:val="none"/>
                <w:u w:val="single"/>
                <w:lang w:eastAsia="zh-CN"/>
              </w:rPr>
              <w:t>）</w:t>
            </w:r>
            <w:r>
              <w:rPr>
                <w:rFonts w:hint="eastAsia" w:ascii="Times New Roman" w:hAnsi="Times New Roman" w:cs="Times New Roman"/>
                <w:strike w:val="0"/>
                <w:dstrike w:val="0"/>
                <w:color w:val="auto"/>
                <w:highlight w:val="none"/>
                <w:u w:val="single"/>
                <w:lang w:val="en-US" w:eastAsia="zh-CN"/>
              </w:rPr>
              <w:t>废气</w:t>
            </w:r>
          </w:p>
          <w:p w14:paraId="0AB66ED7">
            <w:pPr>
              <w:pStyle w:val="47"/>
              <w:adjustRightInd/>
              <w:spacing w:line="360" w:lineRule="auto"/>
              <w:ind w:firstLine="480" w:firstLineChars="200"/>
              <w:jc w:val="left"/>
              <w:rPr>
                <w:rFonts w:hint="default" w:ascii="Times New Roman" w:hAnsi="Times New Roman" w:cs="Times New Roman"/>
                <w:color w:val="auto"/>
                <w:u w:val="none"/>
                <w:lang w:eastAsia="zh-CN"/>
              </w:rPr>
            </w:pPr>
            <w:r>
              <w:rPr>
                <w:rFonts w:hint="default" w:ascii="Times New Roman" w:hAnsi="Times New Roman" w:cs="Times New Roman"/>
                <w:strike w:val="0"/>
                <w:dstrike w:val="0"/>
                <w:color w:val="auto"/>
                <w:highlight w:val="none"/>
                <w:u w:val="single"/>
              </w:rPr>
              <w:t>本项目产生的大气污染物主要为生物质</w:t>
            </w:r>
            <w:r>
              <w:rPr>
                <w:rFonts w:hint="eastAsia" w:ascii="Times New Roman" w:hAnsi="Times New Roman" w:cs="Times New Roman"/>
                <w:strike w:val="0"/>
                <w:dstrike w:val="0"/>
                <w:color w:val="auto"/>
                <w:highlight w:val="none"/>
                <w:u w:val="single"/>
                <w:lang w:val="en-US" w:eastAsia="zh-CN"/>
              </w:rPr>
              <w:t>燃烧</w:t>
            </w:r>
            <w:r>
              <w:rPr>
                <w:rFonts w:hint="default" w:ascii="Times New Roman" w:hAnsi="Times New Roman" w:cs="Times New Roman"/>
                <w:strike w:val="0"/>
                <w:dstrike w:val="0"/>
                <w:color w:val="auto"/>
                <w:highlight w:val="none"/>
                <w:u w:val="single"/>
              </w:rPr>
              <w:t>产生的</w:t>
            </w:r>
            <w:r>
              <w:rPr>
                <w:rFonts w:hint="default" w:ascii="Times New Roman" w:hAnsi="Times New Roman" w:eastAsia="宋体" w:cs="Times New Roman"/>
                <w:strike w:val="0"/>
                <w:dstrike w:val="0"/>
                <w:color w:val="auto"/>
                <w:sz w:val="24"/>
                <w:szCs w:val="24"/>
                <w:highlight w:val="none"/>
                <w:u w:val="single"/>
              </w:rPr>
              <w:t>NOx、SO</w:t>
            </w:r>
            <w:r>
              <w:rPr>
                <w:rFonts w:hint="default" w:ascii="Times New Roman" w:hAnsi="Times New Roman" w:eastAsia="宋体" w:cs="Times New Roman"/>
                <w:strike w:val="0"/>
                <w:dstrike w:val="0"/>
                <w:color w:val="auto"/>
                <w:sz w:val="24"/>
                <w:szCs w:val="24"/>
                <w:highlight w:val="none"/>
                <w:u w:val="single"/>
                <w:vertAlign w:val="subscript"/>
              </w:rPr>
              <w:t>2</w:t>
            </w:r>
            <w:r>
              <w:rPr>
                <w:rFonts w:hint="default" w:ascii="Times New Roman" w:hAnsi="Times New Roman" w:cs="Times New Roman"/>
                <w:strike w:val="0"/>
                <w:dstrike w:val="0"/>
                <w:color w:val="auto"/>
                <w:highlight w:val="none"/>
                <w:u w:val="single"/>
              </w:rPr>
              <w:t>，其中</w:t>
            </w:r>
            <w:r>
              <w:rPr>
                <w:rFonts w:hint="default" w:ascii="Times New Roman" w:hAnsi="Times New Roman" w:cs="Times New Roman"/>
                <w:strike w:val="0"/>
                <w:dstrike w:val="0"/>
                <w:color w:val="auto"/>
                <w:sz w:val="24"/>
                <w:szCs w:val="24"/>
                <w:highlight w:val="none"/>
                <w:u w:val="single"/>
              </w:rPr>
              <w:t>SO</w:t>
            </w:r>
            <w:r>
              <w:rPr>
                <w:rFonts w:hint="default" w:ascii="Times New Roman" w:hAnsi="Times New Roman" w:cs="Times New Roman"/>
                <w:strike w:val="0"/>
                <w:dstrike w:val="0"/>
                <w:color w:val="auto"/>
                <w:sz w:val="24"/>
                <w:szCs w:val="24"/>
                <w:highlight w:val="none"/>
                <w:u w:val="single"/>
                <w:vertAlign w:val="subscript"/>
              </w:rPr>
              <w:t>2</w:t>
            </w:r>
            <w:r>
              <w:rPr>
                <w:rFonts w:hint="default" w:ascii="Times New Roman" w:hAnsi="Times New Roman" w:cs="Times New Roman"/>
                <w:strike w:val="0"/>
                <w:dstrike w:val="0"/>
                <w:color w:val="auto"/>
                <w:highlight w:val="none"/>
                <w:u w:val="single"/>
              </w:rPr>
              <w:t>总量为</w:t>
            </w:r>
            <w:r>
              <w:rPr>
                <w:rFonts w:hint="eastAsia" w:ascii="Times New Roman" w:hAnsi="Times New Roman" w:eastAsia="宋体" w:cs="Times New Roman"/>
                <w:strike w:val="0"/>
                <w:dstrike w:val="0"/>
                <w:color w:val="auto"/>
                <w:highlight w:val="none"/>
                <w:u w:val="single"/>
                <w:lang w:val="en-US" w:eastAsia="zh-CN"/>
              </w:rPr>
              <w:t>0.559</w:t>
            </w:r>
            <w:r>
              <w:rPr>
                <w:rFonts w:hint="default" w:ascii="Times New Roman" w:hAnsi="Times New Roman" w:eastAsia="宋体" w:cs="Times New Roman"/>
                <w:strike w:val="0"/>
                <w:dstrike w:val="0"/>
                <w:color w:val="auto"/>
                <w:highlight w:val="none"/>
                <w:u w:val="single"/>
                <w:lang w:val="en-US" w:eastAsia="zh-CN"/>
              </w:rPr>
              <w:t>t</w:t>
            </w:r>
            <w:r>
              <w:rPr>
                <w:rFonts w:hint="default" w:ascii="Times New Roman" w:hAnsi="Times New Roman" w:cs="Times New Roman"/>
                <w:strike w:val="0"/>
                <w:dstrike w:val="0"/>
                <w:color w:val="auto"/>
                <w:highlight w:val="none"/>
                <w:u w:val="single"/>
              </w:rPr>
              <w:t>/a，NOx总量为</w:t>
            </w:r>
            <w:r>
              <w:rPr>
                <w:rFonts w:hint="eastAsia" w:ascii="Times New Roman" w:hAnsi="Times New Roman" w:cs="Times New Roman"/>
                <w:strike w:val="0"/>
                <w:dstrike w:val="0"/>
                <w:color w:val="auto"/>
                <w:highlight w:val="none"/>
                <w:u w:val="single"/>
                <w:lang w:val="en-US" w:eastAsia="zh-CN"/>
              </w:rPr>
              <w:t>0.526</w:t>
            </w:r>
            <w:r>
              <w:rPr>
                <w:rFonts w:hint="default" w:ascii="Times New Roman" w:hAnsi="Times New Roman" w:cs="Times New Roman"/>
                <w:strike w:val="0"/>
                <w:dstrike w:val="0"/>
                <w:color w:val="auto"/>
                <w:highlight w:val="none"/>
                <w:u w:val="single"/>
              </w:rPr>
              <w:t>/a。</w:t>
            </w:r>
            <w:r>
              <w:rPr>
                <w:rFonts w:hint="default" w:ascii="Times New Roman" w:hAnsi="Times New Roman" w:eastAsia="宋体" w:cs="Times New Roman"/>
                <w:strike w:val="0"/>
                <w:dstrike w:val="0"/>
                <w:color w:val="auto"/>
                <w:highlight w:val="none"/>
                <w:u w:val="single"/>
                <w:lang w:eastAsia="zh-CN"/>
              </w:rPr>
              <w:t>具体总量指标先经生态环境主管部门审批确认</w:t>
            </w:r>
            <w:r>
              <w:rPr>
                <w:rFonts w:hint="eastAsia" w:ascii="Times New Roman" w:hAnsi="Times New Roman" w:eastAsia="宋体" w:cs="Times New Roman"/>
                <w:strike w:val="0"/>
                <w:dstrike w:val="0"/>
                <w:color w:val="auto"/>
                <w:highlight w:val="none"/>
                <w:u w:val="single"/>
                <w:lang w:eastAsia="zh-CN"/>
              </w:rPr>
              <w:t>，</w:t>
            </w:r>
            <w:r>
              <w:rPr>
                <w:rFonts w:hint="default" w:ascii="Times New Roman" w:hAnsi="Times New Roman" w:eastAsia="宋体" w:cs="Times New Roman"/>
                <w:strike w:val="0"/>
                <w:dstrike w:val="0"/>
                <w:color w:val="auto"/>
                <w:highlight w:val="none"/>
                <w:u w:val="single"/>
                <w:lang w:eastAsia="zh-CN"/>
              </w:rPr>
              <w:t>后由企业向当地排污权交易中心办理相关手续。</w:t>
            </w:r>
          </w:p>
          <w:p w14:paraId="24F89586">
            <w:pPr>
              <w:pStyle w:val="47"/>
              <w:adjustRightInd/>
              <w:spacing w:line="360" w:lineRule="auto"/>
              <w:ind w:firstLine="480" w:firstLineChars="200"/>
              <w:jc w:val="left"/>
              <w:rPr>
                <w:rFonts w:hint="default" w:ascii="Times New Roman" w:hAnsi="Times New Roman" w:cs="Times New Roman"/>
                <w:color w:val="auto"/>
                <w:u w:val="none"/>
                <w:lang w:eastAsia="zh-CN"/>
              </w:rPr>
            </w:pPr>
          </w:p>
        </w:tc>
      </w:tr>
    </w:tbl>
    <w:p w14:paraId="0EBCD7C2">
      <w:pPr>
        <w:pStyle w:val="2"/>
        <w:bidi w:val="0"/>
        <w:jc w:val="center"/>
        <w:rPr>
          <w:rFonts w:hint="default" w:asciiTheme="majorEastAsia" w:hAnsiTheme="majorEastAsia" w:eastAsiaTheme="majorEastAsia" w:cstheme="majorEastAsia"/>
          <w:b/>
          <w:bCs/>
          <w:color w:val="auto"/>
        </w:rPr>
      </w:pPr>
      <w:r>
        <w:rPr>
          <w:rFonts w:hint="default" w:ascii="Times New Roman" w:hAnsi="Times New Roman" w:eastAsia="黑体" w:cs="Times New Roman"/>
          <w:snapToGrid w:val="0"/>
          <w:color w:val="auto"/>
          <w:sz w:val="36"/>
          <w:szCs w:val="36"/>
        </w:rPr>
        <w:br w:type="page"/>
      </w:r>
      <w:bookmarkStart w:id="13" w:name="_Toc2007"/>
      <w:bookmarkStart w:id="14" w:name="_Toc14581"/>
      <w:bookmarkStart w:id="15" w:name="_Toc13066"/>
      <w:r>
        <w:rPr>
          <w:rFonts w:hint="eastAsia" w:asciiTheme="majorEastAsia" w:hAnsiTheme="majorEastAsia" w:eastAsiaTheme="majorEastAsia" w:cstheme="majorEastAsia"/>
          <w:b/>
          <w:bCs/>
          <w:color w:val="auto"/>
          <w:lang w:val="en-US" w:eastAsia="zh-CN"/>
        </w:rPr>
        <w:t>四、</w:t>
      </w:r>
      <w:r>
        <w:rPr>
          <w:rFonts w:hint="default" w:asciiTheme="majorEastAsia" w:hAnsiTheme="majorEastAsia" w:eastAsiaTheme="majorEastAsia" w:cstheme="majorEastAsia"/>
          <w:b/>
          <w:bCs/>
          <w:color w:val="auto"/>
        </w:rPr>
        <w:t>主要环境影响和保护措施</w:t>
      </w:r>
      <w:bookmarkEnd w:id="13"/>
      <w:bookmarkEnd w:id="14"/>
      <w:bookmarkEnd w:id="15"/>
    </w:p>
    <w:tbl>
      <w:tblPr>
        <w:tblStyle w:val="32"/>
        <w:tblW w:w="50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2"/>
        <w:gridCol w:w="7958"/>
      </w:tblGrid>
      <w:tr w14:paraId="5BC8C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808" w:hRule="atLeast"/>
          <w:jc w:val="center"/>
        </w:trPr>
        <w:tc>
          <w:tcPr>
            <w:tcW w:w="362" w:type="pct"/>
            <w:tcMar>
              <w:left w:w="28" w:type="dxa"/>
              <w:right w:w="28" w:type="dxa"/>
            </w:tcMar>
            <w:vAlign w:val="top"/>
          </w:tcPr>
          <w:p w14:paraId="1C71004B">
            <w:pPr>
              <w:pStyle w:val="29"/>
              <w:keepNext w:val="0"/>
              <w:keepLines w:val="0"/>
              <w:pageBreakBefore w:val="0"/>
              <w:widowControl/>
              <w:kinsoku/>
              <w:wordWrap/>
              <w:overflowPunct/>
              <w:topLinePunct w:val="0"/>
              <w:autoSpaceDE/>
              <w:autoSpaceDN/>
              <w:bidi w:val="0"/>
              <w:adjustRightInd w:val="0"/>
              <w:snapToGrid w:val="0"/>
              <w:spacing w:before="313" w:beforeLines="100" w:beforeAutospacing="0" w:after="0" w:afterAutospacing="0"/>
              <w:jc w:val="center"/>
              <w:textAlignment w:val="auto"/>
              <w:rPr>
                <w:rFonts w:hint="default" w:ascii="Times New Roman" w:hAnsi="Times New Roman" w:cs="Times New Roman"/>
                <w:b/>
                <w:bCs/>
                <w:color w:val="auto"/>
                <w:kern w:val="2"/>
                <w:szCs w:val="24"/>
                <w:lang w:val="en-US" w:eastAsia="zh-CN"/>
              </w:rPr>
            </w:pPr>
            <w:r>
              <w:rPr>
                <w:rFonts w:hint="default" w:ascii="Times New Roman" w:hAnsi="Times New Roman" w:cs="Times New Roman"/>
                <w:b/>
                <w:bCs/>
                <w:color w:val="auto"/>
                <w:kern w:val="2"/>
                <w:szCs w:val="24"/>
                <w:lang w:val="en-US" w:eastAsia="zh-CN"/>
              </w:rPr>
              <w:t>施工期环境保护措施</w:t>
            </w:r>
          </w:p>
        </w:tc>
        <w:tc>
          <w:tcPr>
            <w:tcW w:w="4637" w:type="pct"/>
          </w:tcPr>
          <w:p w14:paraId="12E2A724">
            <w:pPr>
              <w:pStyle w:val="82"/>
              <w:keepNext w:val="0"/>
              <w:keepLines w:val="0"/>
              <w:pageBreakBefore w:val="0"/>
              <w:widowControl w:val="0"/>
              <w:numPr>
                <w:ilvl w:val="0"/>
                <w:numId w:val="0"/>
              </w:numPr>
              <w:kinsoku/>
              <w:wordWrap/>
              <w:overflowPunct/>
              <w:topLinePunct w:val="0"/>
              <w:autoSpaceDE/>
              <w:autoSpaceDN/>
              <w:bidi w:val="0"/>
              <w:adjustRightInd/>
              <w:snapToGrid/>
              <w:spacing w:before="313" w:beforeLines="100"/>
              <w:ind w:firstLine="480" w:firstLineChars="200"/>
              <w:textAlignment w:val="auto"/>
              <w:rPr>
                <w:rFonts w:hint="default" w:ascii="Times New Roman" w:hAnsi="Times New Roman" w:eastAsia="宋体" w:cs="Times New Roman"/>
                <w:b w:val="0"/>
                <w:bCs/>
                <w:color w:val="auto"/>
                <w:szCs w:val="24"/>
                <w:lang w:val="en-US" w:eastAsia="zh-CN"/>
              </w:rPr>
            </w:pPr>
            <w:r>
              <w:rPr>
                <w:color w:val="auto"/>
                <w:sz w:val="24"/>
              </w:rPr>
              <w:t>项目施工期</w:t>
            </w:r>
            <w:r>
              <w:rPr>
                <w:rFonts w:hint="eastAsia"/>
                <w:color w:val="auto"/>
                <w:sz w:val="24"/>
              </w:rPr>
              <w:t>仅在</w:t>
            </w:r>
            <w:r>
              <w:rPr>
                <w:color w:val="auto"/>
                <w:sz w:val="24"/>
              </w:rPr>
              <w:t>已建</w:t>
            </w:r>
            <w:r>
              <w:rPr>
                <w:rFonts w:hint="eastAsia"/>
                <w:color w:val="auto"/>
                <w:sz w:val="24"/>
                <w:lang w:val="en-US" w:eastAsia="zh-CN"/>
              </w:rPr>
              <w:t>厂房</w:t>
            </w:r>
            <w:r>
              <w:rPr>
                <w:color w:val="auto"/>
                <w:sz w:val="24"/>
              </w:rPr>
              <w:t>内</w:t>
            </w:r>
            <w:r>
              <w:rPr>
                <w:rFonts w:hint="eastAsia"/>
                <w:color w:val="auto"/>
                <w:sz w:val="24"/>
                <w:lang w:val="en-US" w:eastAsia="zh-CN"/>
              </w:rPr>
              <w:t>进行</w:t>
            </w:r>
            <w:r>
              <w:rPr>
                <w:color w:val="auto"/>
                <w:sz w:val="24"/>
              </w:rPr>
              <w:t>设备</w:t>
            </w:r>
            <w:r>
              <w:rPr>
                <w:rFonts w:hint="eastAsia"/>
                <w:color w:val="auto"/>
                <w:sz w:val="24"/>
                <w:lang w:val="en-US" w:eastAsia="zh-CN"/>
              </w:rPr>
              <w:t>设施</w:t>
            </w:r>
            <w:r>
              <w:rPr>
                <w:color w:val="auto"/>
                <w:sz w:val="24"/>
              </w:rPr>
              <w:t>安装，不进行土建作业。施工期主要污染为噪声及生产设备安装后产生的包装垃圾和施工人员生活垃圾，生活垃圾</w:t>
            </w:r>
            <w:r>
              <w:rPr>
                <w:rFonts w:hint="eastAsia"/>
                <w:color w:val="auto"/>
                <w:sz w:val="24"/>
              </w:rPr>
              <w:t>分类收集后交环卫部门清运，</w:t>
            </w:r>
            <w:r>
              <w:rPr>
                <w:color w:val="auto"/>
                <w:sz w:val="24"/>
              </w:rPr>
              <w:t>包装垃圾</w:t>
            </w:r>
            <w:r>
              <w:rPr>
                <w:rFonts w:hint="eastAsia"/>
                <w:color w:val="auto"/>
                <w:sz w:val="24"/>
              </w:rPr>
              <w:t>外售物资回收单位，</w:t>
            </w:r>
            <w:r>
              <w:rPr>
                <w:color w:val="auto"/>
                <w:sz w:val="24"/>
              </w:rPr>
              <w:t>对环境影响很小，故本评价不对施工期环境保护措施进行展开分析。</w:t>
            </w:r>
          </w:p>
        </w:tc>
      </w:tr>
      <w:tr w14:paraId="0429E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2" w:type="pct"/>
            <w:tcMar>
              <w:left w:w="28" w:type="dxa"/>
              <w:right w:w="28" w:type="dxa"/>
            </w:tcMar>
            <w:vAlign w:val="center"/>
          </w:tcPr>
          <w:p w14:paraId="3AC38E26">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br w:type="page"/>
            </w:r>
            <w:r>
              <w:rPr>
                <w:rFonts w:hint="default" w:ascii="Times New Roman" w:hAnsi="Times New Roman" w:cs="Times New Roman"/>
                <w:b/>
                <w:bCs/>
                <w:color w:val="auto"/>
                <w:sz w:val="24"/>
              </w:rPr>
              <w:br w:type="page"/>
            </w:r>
            <w:r>
              <w:rPr>
                <w:rFonts w:hint="default" w:ascii="Times New Roman" w:hAnsi="Times New Roman" w:cs="Times New Roman"/>
                <w:b/>
                <w:bCs/>
                <w:color w:val="auto"/>
                <w:sz w:val="24"/>
              </w:rPr>
              <w:t>运营期环境影响和保护</w:t>
            </w:r>
            <w:r>
              <w:rPr>
                <w:rFonts w:hint="default" w:ascii="Times New Roman" w:hAnsi="Times New Roman" w:cs="Times New Roman"/>
                <w:b/>
                <w:bCs/>
                <w:color w:val="auto"/>
                <w:szCs w:val="24"/>
                <w:lang w:val="en-US" w:eastAsia="zh-CN"/>
              </w:rPr>
              <w:t>措施</w:t>
            </w:r>
          </w:p>
        </w:tc>
        <w:tc>
          <w:tcPr>
            <w:tcW w:w="4637" w:type="pct"/>
            <w:vAlign w:val="center"/>
          </w:tcPr>
          <w:p w14:paraId="12191C8B">
            <w:pPr>
              <w:pStyle w:val="82"/>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cs="Times New Roman"/>
                <w:b/>
                <w:color w:val="auto"/>
                <w:szCs w:val="24"/>
              </w:rPr>
            </w:pPr>
            <w:r>
              <w:rPr>
                <w:rFonts w:hint="eastAsia" w:cs="Times New Roman"/>
                <w:b/>
                <w:color w:val="auto"/>
                <w:szCs w:val="24"/>
                <w:lang w:val="en-US" w:eastAsia="zh-CN"/>
              </w:rPr>
              <w:t>1、</w:t>
            </w:r>
            <w:r>
              <w:rPr>
                <w:rFonts w:hint="default" w:ascii="Times New Roman" w:hAnsi="Times New Roman" w:cs="Times New Roman"/>
                <w:b/>
                <w:color w:val="auto"/>
                <w:szCs w:val="24"/>
              </w:rPr>
              <w:t>废水环境影响和保护措施</w:t>
            </w:r>
          </w:p>
          <w:p w14:paraId="69B59883">
            <w:pPr>
              <w:pStyle w:val="82"/>
              <w:ind w:firstLine="482"/>
              <w:rPr>
                <w:rFonts w:hint="default" w:ascii="Times New Roman" w:hAnsi="Times New Roman" w:cs="Times New Roman"/>
                <w:b/>
                <w:color w:val="auto"/>
                <w:szCs w:val="24"/>
              </w:rPr>
            </w:pPr>
            <w:r>
              <w:rPr>
                <w:rFonts w:hint="eastAsia" w:cs="Times New Roman"/>
                <w:b/>
                <w:color w:val="auto"/>
                <w:szCs w:val="24"/>
                <w:lang w:eastAsia="zh-CN"/>
              </w:rPr>
              <w:t>（</w:t>
            </w:r>
            <w:r>
              <w:rPr>
                <w:rFonts w:hint="eastAsia" w:cs="Times New Roman"/>
                <w:b/>
                <w:color w:val="auto"/>
                <w:szCs w:val="24"/>
                <w:lang w:val="en-US" w:eastAsia="zh-CN"/>
              </w:rPr>
              <w:t>1</w:t>
            </w:r>
            <w:r>
              <w:rPr>
                <w:rFonts w:hint="eastAsia" w:cs="Times New Roman"/>
                <w:b/>
                <w:color w:val="auto"/>
                <w:szCs w:val="24"/>
                <w:lang w:eastAsia="zh-CN"/>
              </w:rPr>
              <w:t>）</w:t>
            </w:r>
            <w:r>
              <w:rPr>
                <w:rFonts w:hint="default" w:ascii="Times New Roman" w:hAnsi="Times New Roman" w:cs="Times New Roman"/>
                <w:b/>
                <w:color w:val="auto"/>
                <w:szCs w:val="24"/>
              </w:rPr>
              <w:t>产生情况</w:t>
            </w:r>
          </w:p>
          <w:p w14:paraId="780D0B2B">
            <w:pPr>
              <w:pStyle w:val="82"/>
              <w:rPr>
                <w:rFonts w:hint="default" w:ascii="Times New Roman" w:hAnsi="Times New Roman" w:eastAsia="宋体" w:cs="Times New Roman"/>
                <w:color w:val="auto"/>
                <w:szCs w:val="24"/>
                <w:u w:val="none"/>
                <w:lang w:eastAsia="zh-CN"/>
              </w:rPr>
            </w:pPr>
            <w:r>
              <w:rPr>
                <w:rFonts w:hint="default" w:ascii="Times New Roman" w:hAnsi="Times New Roman" w:cs="Times New Roman"/>
                <w:color w:val="auto"/>
                <w:szCs w:val="24"/>
                <w:u w:val="none"/>
              </w:rPr>
              <w:t>本项目营运期</w:t>
            </w:r>
            <w:r>
              <w:rPr>
                <w:rFonts w:hint="eastAsia" w:cs="Times New Roman"/>
                <w:color w:val="auto"/>
                <w:szCs w:val="24"/>
                <w:u w:val="none"/>
                <w:lang w:val="en-US" w:eastAsia="zh-CN"/>
              </w:rPr>
              <w:t>外排</w:t>
            </w:r>
            <w:r>
              <w:rPr>
                <w:rFonts w:hint="default" w:ascii="Times New Roman" w:hAnsi="Times New Roman" w:cs="Times New Roman"/>
                <w:color w:val="auto"/>
                <w:szCs w:val="24"/>
                <w:u w:val="none"/>
              </w:rPr>
              <w:t>废水主要是</w:t>
            </w:r>
            <w:r>
              <w:rPr>
                <w:rFonts w:hint="eastAsia" w:ascii="Times New Roman" w:hAnsi="Times New Roman" w:cs="Times New Roman"/>
                <w:color w:val="auto"/>
                <w:szCs w:val="24"/>
                <w:u w:val="none"/>
                <w:lang w:eastAsia="zh-CN"/>
              </w:rPr>
              <w:t>生活污水</w:t>
            </w:r>
            <w:r>
              <w:rPr>
                <w:rFonts w:hint="eastAsia" w:cs="Times New Roman"/>
                <w:color w:val="auto"/>
                <w:szCs w:val="24"/>
                <w:u w:val="none"/>
                <w:lang w:eastAsia="zh-CN"/>
              </w:rPr>
              <w:t>（</w:t>
            </w:r>
            <w:r>
              <w:rPr>
                <w:rFonts w:hint="eastAsia" w:cs="Times New Roman"/>
                <w:color w:val="auto"/>
                <w:szCs w:val="24"/>
                <w:u w:val="none"/>
                <w:lang w:val="en-US" w:eastAsia="zh-CN"/>
              </w:rPr>
              <w:t>含食堂废水</w:t>
            </w:r>
            <w:r>
              <w:rPr>
                <w:rFonts w:hint="eastAsia" w:cs="Times New Roman"/>
                <w:color w:val="auto"/>
                <w:szCs w:val="24"/>
                <w:u w:val="none"/>
                <w:lang w:eastAsia="zh-CN"/>
              </w:rPr>
              <w:t>），</w:t>
            </w:r>
            <w:r>
              <w:rPr>
                <w:rFonts w:hint="eastAsia" w:cs="Times New Roman"/>
                <w:color w:val="auto"/>
                <w:szCs w:val="24"/>
                <w:u w:val="none"/>
                <w:lang w:val="en-US" w:eastAsia="zh-CN"/>
              </w:rPr>
              <w:t>制软水尾水、</w:t>
            </w:r>
            <w:r>
              <w:rPr>
                <w:rFonts w:hint="eastAsia" w:ascii="Times New Roman" w:hAnsi="Times New Roman" w:cs="Times New Roman"/>
                <w:color w:val="auto"/>
                <w:szCs w:val="24"/>
                <w:u w:val="none"/>
                <w:lang w:eastAsia="zh-CN"/>
              </w:rPr>
              <w:t>清洗废水</w:t>
            </w:r>
            <w:r>
              <w:rPr>
                <w:rFonts w:hint="eastAsia" w:cs="Times New Roman"/>
                <w:color w:val="auto"/>
                <w:szCs w:val="24"/>
                <w:u w:val="none"/>
                <w:lang w:eastAsia="zh-CN"/>
              </w:rPr>
              <w:t>、</w:t>
            </w:r>
            <w:r>
              <w:rPr>
                <w:rFonts w:hint="eastAsia" w:cs="Times New Roman"/>
                <w:color w:val="auto"/>
                <w:szCs w:val="24"/>
                <w:u w:val="none"/>
                <w:lang w:val="en-US" w:eastAsia="zh-CN"/>
              </w:rPr>
              <w:t>设备清洗废水等</w:t>
            </w:r>
            <w:r>
              <w:rPr>
                <w:rFonts w:hint="eastAsia" w:ascii="Times New Roman" w:hAnsi="Times New Roman" w:cs="Times New Roman"/>
                <w:color w:val="auto"/>
                <w:szCs w:val="24"/>
                <w:u w:val="none"/>
                <w:lang w:eastAsia="zh-CN"/>
              </w:rPr>
              <w:t>。</w:t>
            </w:r>
          </w:p>
          <w:p w14:paraId="321396C2">
            <w:pPr>
              <w:pStyle w:val="82"/>
              <w:rPr>
                <w:rFonts w:hint="default"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eastAsia="zh-CN"/>
              </w:rPr>
              <w:t>项目</w:t>
            </w:r>
            <w:r>
              <w:rPr>
                <w:rFonts w:hint="eastAsia" w:cs="Times New Roman"/>
                <w:color w:val="auto"/>
                <w:sz w:val="24"/>
                <w:szCs w:val="24"/>
                <w:highlight w:val="none"/>
                <w:u w:val="none"/>
                <w:lang w:val="en-US" w:eastAsia="zh-CN"/>
              </w:rPr>
              <w:t>生活污水</w:t>
            </w:r>
            <w:r>
              <w:rPr>
                <w:rFonts w:hint="default" w:ascii="Times New Roman" w:hAnsi="Times New Roman" w:eastAsia="宋体" w:cs="Times New Roman"/>
                <w:color w:val="auto"/>
                <w:sz w:val="24"/>
                <w:szCs w:val="24"/>
                <w:highlight w:val="none"/>
                <w:u w:val="none"/>
                <w:lang w:eastAsia="zh-CN"/>
              </w:rPr>
              <w:t>产生总量为</w:t>
            </w:r>
            <w:r>
              <w:rPr>
                <w:rFonts w:hint="eastAsia" w:cs="Times New Roman"/>
                <w:color w:val="auto"/>
                <w:sz w:val="24"/>
                <w:szCs w:val="24"/>
                <w:highlight w:val="none"/>
                <w:u w:val="none"/>
                <w:lang w:val="en-US" w:eastAsia="zh-CN"/>
              </w:rPr>
              <w:t>680</w:t>
            </w:r>
            <w:r>
              <w:rPr>
                <w:rFonts w:hint="default" w:ascii="Times New Roman" w:hAnsi="Times New Roman" w:eastAsia="宋体" w:cs="Times New Roman"/>
                <w:color w:val="auto"/>
                <w:sz w:val="24"/>
                <w:szCs w:val="24"/>
                <w:highlight w:val="none"/>
                <w:u w:val="none"/>
                <w:lang w:eastAsia="zh-CN"/>
              </w:rPr>
              <w:t>m</w:t>
            </w:r>
            <w:r>
              <w:rPr>
                <w:rFonts w:hint="default" w:ascii="Times New Roman" w:hAnsi="Times New Roman" w:eastAsia="宋体" w:cs="Times New Roman"/>
                <w:color w:val="auto"/>
                <w:sz w:val="24"/>
                <w:szCs w:val="24"/>
                <w:highlight w:val="none"/>
                <w:u w:val="none"/>
                <w:vertAlign w:val="superscript"/>
                <w:lang w:eastAsia="zh-CN"/>
              </w:rPr>
              <w:t>3</w:t>
            </w:r>
            <w:r>
              <w:rPr>
                <w:rFonts w:hint="default" w:ascii="Times New Roman" w:hAnsi="Times New Roman" w:eastAsia="宋体" w:cs="Times New Roman"/>
                <w:color w:val="auto"/>
                <w:sz w:val="24"/>
                <w:szCs w:val="24"/>
                <w:highlight w:val="none"/>
                <w:u w:val="none"/>
                <w:lang w:eastAsia="zh-CN"/>
              </w:rPr>
              <w:t>/a（</w:t>
            </w:r>
            <w:r>
              <w:rPr>
                <w:rFonts w:hint="eastAsia" w:cs="Times New Roman"/>
                <w:color w:val="auto"/>
                <w:sz w:val="24"/>
                <w:szCs w:val="24"/>
                <w:highlight w:val="none"/>
                <w:u w:val="none"/>
                <w:lang w:val="en-US" w:eastAsia="zh-CN"/>
              </w:rPr>
              <w:t>2.27</w:t>
            </w:r>
            <w:r>
              <w:rPr>
                <w:rFonts w:hint="default" w:ascii="Times New Roman" w:hAnsi="Times New Roman" w:eastAsia="宋体" w:cs="Times New Roman"/>
                <w:color w:val="auto"/>
                <w:sz w:val="24"/>
                <w:szCs w:val="24"/>
                <w:highlight w:val="none"/>
                <w:u w:val="none"/>
                <w:lang w:eastAsia="zh-CN"/>
              </w:rPr>
              <w:t>m</w:t>
            </w:r>
            <w:r>
              <w:rPr>
                <w:rFonts w:hint="default" w:ascii="Times New Roman" w:hAnsi="Times New Roman" w:eastAsia="宋体" w:cs="Times New Roman"/>
                <w:color w:val="auto"/>
                <w:sz w:val="24"/>
                <w:szCs w:val="24"/>
                <w:highlight w:val="none"/>
                <w:u w:val="none"/>
                <w:vertAlign w:val="superscript"/>
                <w:lang w:eastAsia="zh-CN"/>
              </w:rPr>
              <w:t>3</w:t>
            </w:r>
            <w:r>
              <w:rPr>
                <w:rFonts w:hint="default" w:ascii="Times New Roman" w:hAnsi="Times New Roman" w:eastAsia="宋体" w:cs="Times New Roman"/>
                <w:color w:val="auto"/>
                <w:sz w:val="24"/>
                <w:szCs w:val="24"/>
                <w:highlight w:val="none"/>
                <w:u w:val="none"/>
                <w:lang w:eastAsia="zh-CN"/>
              </w:rPr>
              <w:t>/d），</w:t>
            </w:r>
            <w:r>
              <w:rPr>
                <w:rFonts w:hint="eastAsia" w:ascii="Times New Roman" w:hAnsi="Times New Roman" w:eastAsia="宋体" w:cs="Times New Roman"/>
                <w:color w:val="auto"/>
                <w:sz w:val="24"/>
                <w:szCs w:val="24"/>
                <w:u w:val="none"/>
                <w:lang w:eastAsia="zh-CN"/>
              </w:rPr>
              <w:t>生活污水</w:t>
            </w:r>
            <w:r>
              <w:rPr>
                <w:rFonts w:hint="default" w:ascii="Times New Roman" w:hAnsi="Times New Roman" w:eastAsia="宋体" w:cs="Times New Roman"/>
                <w:color w:val="auto"/>
                <w:sz w:val="24"/>
                <w:szCs w:val="24"/>
                <w:u w:val="none"/>
              </w:rPr>
              <w:t>一般COD浓度150~</w:t>
            </w:r>
            <w:r>
              <w:rPr>
                <w:rFonts w:hint="eastAsia" w:ascii="Times New Roman" w:hAnsi="Times New Roman" w:eastAsia="宋体" w:cs="Times New Roman"/>
                <w:color w:val="auto"/>
                <w:sz w:val="24"/>
                <w:szCs w:val="24"/>
                <w:u w:val="none"/>
                <w:lang w:val="en-US" w:eastAsia="zh-CN"/>
              </w:rPr>
              <w:t>250</w:t>
            </w:r>
            <w:r>
              <w:rPr>
                <w:rFonts w:hint="default" w:ascii="Times New Roman" w:hAnsi="Times New Roman" w:eastAsia="宋体" w:cs="Times New Roman"/>
                <w:color w:val="auto"/>
                <w:sz w:val="24"/>
                <w:szCs w:val="24"/>
                <w:u w:val="none"/>
              </w:rPr>
              <w:t>mg/L，BOD</w:t>
            </w:r>
            <w:r>
              <w:rPr>
                <w:rFonts w:hint="default" w:ascii="Times New Roman" w:hAnsi="Times New Roman" w:eastAsia="宋体" w:cs="Times New Roman"/>
                <w:color w:val="auto"/>
                <w:sz w:val="24"/>
                <w:szCs w:val="24"/>
                <w:u w:val="none"/>
                <w:vertAlign w:val="subscript"/>
              </w:rPr>
              <w:t>5</w:t>
            </w:r>
            <w:r>
              <w:rPr>
                <w:rFonts w:hint="default" w:ascii="Times New Roman" w:hAnsi="Times New Roman" w:eastAsia="宋体" w:cs="Times New Roman"/>
                <w:color w:val="auto"/>
                <w:sz w:val="24"/>
                <w:szCs w:val="24"/>
                <w:u w:val="none"/>
              </w:rPr>
              <w:t>浓度为80~</w:t>
            </w:r>
            <w:r>
              <w:rPr>
                <w:rFonts w:hint="eastAsia" w:ascii="Times New Roman" w:hAnsi="Times New Roman" w:eastAsia="宋体" w:cs="Times New Roman"/>
                <w:color w:val="auto"/>
                <w:sz w:val="24"/>
                <w:szCs w:val="24"/>
                <w:u w:val="none"/>
                <w:lang w:val="en-US" w:eastAsia="zh-CN"/>
              </w:rPr>
              <w:t>200</w:t>
            </w:r>
            <w:r>
              <w:rPr>
                <w:rFonts w:hint="default" w:ascii="Times New Roman" w:hAnsi="Times New Roman" w:eastAsia="宋体" w:cs="Times New Roman"/>
                <w:color w:val="auto"/>
                <w:sz w:val="24"/>
                <w:szCs w:val="24"/>
                <w:u w:val="none"/>
              </w:rPr>
              <w:t>mg/L，</w:t>
            </w:r>
            <w:r>
              <w:rPr>
                <w:rFonts w:hint="eastAsia" w:cs="Times New Roman"/>
                <w:color w:val="auto"/>
                <w:sz w:val="24"/>
                <w:szCs w:val="24"/>
                <w:u w:val="none"/>
                <w:lang w:val="en-US" w:eastAsia="zh-CN"/>
              </w:rPr>
              <w:t>TN浓度为20~40，TP浓度为3~5，</w:t>
            </w:r>
            <w:r>
              <w:rPr>
                <w:rFonts w:hint="default" w:ascii="Times New Roman" w:hAnsi="Times New Roman" w:eastAsia="宋体" w:cs="Times New Roman"/>
                <w:color w:val="auto"/>
                <w:sz w:val="24"/>
                <w:szCs w:val="24"/>
                <w:u w:val="none"/>
              </w:rPr>
              <w:t>NH</w:t>
            </w:r>
            <w:r>
              <w:rPr>
                <w:rFonts w:hint="default" w:ascii="Times New Roman" w:hAnsi="Times New Roman" w:eastAsia="宋体" w:cs="Times New Roman"/>
                <w:color w:val="auto"/>
                <w:sz w:val="24"/>
                <w:szCs w:val="24"/>
                <w:u w:val="none"/>
                <w:vertAlign w:val="subscript"/>
              </w:rPr>
              <w:t>3</w:t>
            </w:r>
            <w:r>
              <w:rPr>
                <w:rFonts w:hint="default" w:ascii="Times New Roman" w:hAnsi="Times New Roman" w:eastAsia="宋体" w:cs="Times New Roman"/>
                <w:color w:val="auto"/>
                <w:sz w:val="24"/>
                <w:szCs w:val="24"/>
                <w:u w:val="none"/>
              </w:rPr>
              <w:t>-N浓度为10~</w:t>
            </w:r>
            <w:r>
              <w:rPr>
                <w:rFonts w:hint="eastAsia" w:ascii="Times New Roman" w:hAnsi="Times New Roman" w:eastAsia="宋体" w:cs="Times New Roman"/>
                <w:color w:val="auto"/>
                <w:sz w:val="24"/>
                <w:szCs w:val="24"/>
                <w:u w:val="none"/>
                <w:lang w:val="en-US" w:eastAsia="zh-CN"/>
              </w:rPr>
              <w:t>3</w:t>
            </w:r>
            <w:r>
              <w:rPr>
                <w:rFonts w:hint="default" w:ascii="Times New Roman" w:hAnsi="Times New Roman" w:eastAsia="宋体" w:cs="Times New Roman"/>
                <w:color w:val="auto"/>
                <w:sz w:val="24"/>
                <w:szCs w:val="24"/>
                <w:u w:val="none"/>
              </w:rPr>
              <w:t>0mg/L，SS浓度为40~120mg/L，</w:t>
            </w:r>
            <w:r>
              <w:rPr>
                <w:rFonts w:hint="eastAsia" w:ascii="Times New Roman" w:hAnsi="Times New Roman" w:eastAsia="宋体" w:cs="Times New Roman"/>
                <w:color w:val="auto"/>
                <w:sz w:val="24"/>
                <w:szCs w:val="24"/>
                <w:u w:val="none"/>
                <w:lang w:eastAsia="zh-CN"/>
              </w:rPr>
              <w:t>动植物油</w:t>
            </w:r>
            <w:r>
              <w:rPr>
                <w:rFonts w:hint="default" w:ascii="Times New Roman" w:hAnsi="Times New Roman" w:eastAsia="宋体" w:cs="Times New Roman"/>
                <w:color w:val="auto"/>
                <w:sz w:val="24"/>
                <w:szCs w:val="24"/>
                <w:u w:val="none"/>
              </w:rPr>
              <w:t>浓度为</w:t>
            </w: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rPr>
              <w:t>0~</w:t>
            </w:r>
            <w:r>
              <w:rPr>
                <w:rFonts w:hint="eastAsia" w:ascii="Times New Roman" w:hAnsi="Times New Roman" w:eastAsia="宋体" w:cs="Times New Roman"/>
                <w:color w:val="auto"/>
                <w:sz w:val="24"/>
                <w:szCs w:val="24"/>
                <w:u w:val="none"/>
                <w:lang w:val="en-US" w:eastAsia="zh-CN"/>
              </w:rPr>
              <w:t>20</w:t>
            </w:r>
            <w:r>
              <w:rPr>
                <w:rFonts w:hint="default" w:ascii="Times New Roman" w:hAnsi="Times New Roman" w:eastAsia="宋体" w:cs="Times New Roman"/>
                <w:color w:val="auto"/>
                <w:sz w:val="24"/>
                <w:szCs w:val="24"/>
                <w:u w:val="none"/>
              </w:rPr>
              <w:t>mg/L</w:t>
            </w:r>
            <w:r>
              <w:rPr>
                <w:rFonts w:hint="eastAsia" w:eastAsia="宋体" w:cs="Times New Roman"/>
                <w:color w:val="auto"/>
                <w:sz w:val="24"/>
                <w:szCs w:val="24"/>
                <w:u w:val="none"/>
                <w:lang w:eastAsia="zh-CN"/>
              </w:rPr>
              <w:t>。</w:t>
            </w:r>
            <w:r>
              <w:rPr>
                <w:rFonts w:hint="eastAsia" w:eastAsia="宋体" w:cs="Times New Roman"/>
                <w:color w:val="auto"/>
                <w:sz w:val="24"/>
                <w:szCs w:val="24"/>
                <w:u w:val="none"/>
                <w:lang w:val="en-US" w:eastAsia="zh-CN"/>
              </w:rPr>
              <w:t>食堂废水经油水分离器处理后与其他生活污水一并进厂区化粪池处理。</w:t>
            </w:r>
          </w:p>
          <w:p w14:paraId="1EB5F535">
            <w:pPr>
              <w:pStyle w:val="82"/>
              <w:rPr>
                <w:rFonts w:hint="default" w:ascii="Times New Roman" w:hAnsi="Times New Roman" w:eastAsia="宋体" w:cs="Times New Roman"/>
                <w:color w:val="auto"/>
                <w:sz w:val="24"/>
                <w:szCs w:val="24"/>
                <w:highlight w:val="none"/>
                <w:u w:val="single"/>
                <w:lang w:val="en-US" w:eastAsia="zh-CN"/>
              </w:rPr>
            </w:pPr>
            <w:r>
              <w:rPr>
                <w:rFonts w:hint="eastAsia" w:eastAsia="宋体" w:cs="Times New Roman"/>
                <w:b w:val="0"/>
                <w:bCs w:val="0"/>
                <w:color w:val="auto"/>
                <w:sz w:val="24"/>
                <w:highlight w:val="none"/>
                <w:u w:val="single"/>
                <w:vertAlign w:val="baseline"/>
                <w:lang w:val="en-US" w:eastAsia="zh-CN"/>
              </w:rPr>
              <w:t>项目设备清洗废水产生量约为1.7</w:t>
            </w:r>
            <w:r>
              <w:rPr>
                <w:rFonts w:hint="eastAsia" w:ascii="Times New Roman" w:hAnsi="Times New Roman" w:eastAsia="宋体" w:cs="Times New Roman"/>
                <w:color w:val="auto"/>
                <w:sz w:val="24"/>
                <w:szCs w:val="24"/>
                <w:highlight w:val="none"/>
                <w:u w:val="single"/>
                <w:lang w:val="en-US" w:eastAsia="zh-CN"/>
              </w:rPr>
              <w:t>m</w:t>
            </w:r>
            <w:r>
              <w:rPr>
                <w:rFonts w:hint="eastAsia" w:ascii="Times New Roman" w:hAnsi="Times New Roman" w:eastAsia="宋体" w:cs="Times New Roman"/>
                <w:color w:val="auto"/>
                <w:sz w:val="24"/>
                <w:szCs w:val="24"/>
                <w:highlight w:val="none"/>
                <w:u w:val="single"/>
                <w:vertAlign w:val="superscript"/>
                <w:lang w:val="en-US" w:eastAsia="zh-CN"/>
              </w:rPr>
              <w:t>3</w:t>
            </w:r>
            <w:r>
              <w:rPr>
                <w:rFonts w:hint="eastAsia" w:ascii="Times New Roman" w:hAnsi="Times New Roman" w:eastAsia="宋体" w:cs="Times New Roman"/>
                <w:color w:val="auto"/>
                <w:sz w:val="24"/>
                <w:szCs w:val="24"/>
                <w:highlight w:val="none"/>
                <w:u w:val="single"/>
                <w:lang w:val="en-US" w:eastAsia="zh-CN"/>
              </w:rPr>
              <w:t>/a</w:t>
            </w:r>
            <w:r>
              <w:rPr>
                <w:rFonts w:hint="eastAsia" w:eastAsia="宋体" w:cs="Times New Roman"/>
                <w:color w:val="auto"/>
                <w:sz w:val="24"/>
                <w:szCs w:val="24"/>
                <w:highlight w:val="none"/>
                <w:u w:val="single"/>
                <w:lang w:val="en-US" w:eastAsia="zh-CN"/>
              </w:rPr>
              <w:t>，</w:t>
            </w:r>
            <w:r>
              <w:rPr>
                <w:rFonts w:hint="eastAsia" w:ascii="Times New Roman" w:hAnsi="Times New Roman" w:eastAsia="宋体" w:cs="Times New Roman"/>
                <w:b w:val="0"/>
                <w:bCs w:val="0"/>
                <w:color w:val="auto"/>
                <w:sz w:val="24"/>
                <w:highlight w:val="none"/>
                <w:u w:val="single"/>
                <w:vertAlign w:val="baseline"/>
                <w:lang w:val="en-US" w:eastAsia="zh-CN"/>
              </w:rPr>
              <w:t>主要污染物为COD、BOD</w:t>
            </w:r>
            <w:r>
              <w:rPr>
                <w:rFonts w:hint="eastAsia" w:ascii="Times New Roman" w:hAnsi="Times New Roman" w:eastAsia="宋体" w:cs="Times New Roman"/>
                <w:b w:val="0"/>
                <w:bCs w:val="0"/>
                <w:color w:val="auto"/>
                <w:sz w:val="24"/>
                <w:highlight w:val="none"/>
                <w:u w:val="single"/>
                <w:vertAlign w:val="subscript"/>
                <w:lang w:val="en-US" w:eastAsia="zh-CN"/>
              </w:rPr>
              <w:t>5</w:t>
            </w:r>
            <w:r>
              <w:rPr>
                <w:rFonts w:hint="eastAsia" w:ascii="Times New Roman" w:hAnsi="Times New Roman" w:eastAsia="宋体" w:cs="Times New Roman"/>
                <w:b w:val="0"/>
                <w:bCs w:val="0"/>
                <w:color w:val="auto"/>
                <w:sz w:val="24"/>
                <w:highlight w:val="none"/>
                <w:u w:val="single"/>
                <w:vertAlign w:val="baseline"/>
                <w:lang w:val="en-US" w:eastAsia="zh-CN"/>
              </w:rPr>
              <w:t>、SS。参照《青阳县杨田黄精科技产业园项目（一期）环境影响报告表》中熬制设备清洁废水产生浓度，其中COD产生浓度为400</w:t>
            </w:r>
            <w:r>
              <w:rPr>
                <w:rFonts w:hint="eastAsia" w:ascii="Times New Roman" w:hAnsi="Times New Roman" w:cs="Times New Roman"/>
                <w:color w:val="auto"/>
                <w:sz w:val="24"/>
                <w:highlight w:val="none"/>
                <w:u w:val="single"/>
                <w:lang w:val="en-US" w:eastAsia="zh-CN"/>
              </w:rPr>
              <w:t>mg/L</w:t>
            </w:r>
            <w:r>
              <w:rPr>
                <w:rFonts w:hint="eastAsia" w:ascii="Times New Roman" w:hAnsi="Times New Roman" w:eastAsia="宋体" w:cs="Times New Roman"/>
                <w:b w:val="0"/>
                <w:bCs w:val="0"/>
                <w:color w:val="auto"/>
                <w:sz w:val="24"/>
                <w:highlight w:val="none"/>
                <w:u w:val="single"/>
                <w:vertAlign w:val="baseline"/>
                <w:lang w:val="en-US" w:eastAsia="zh-CN"/>
              </w:rPr>
              <w:t>，BOD产生浓度为250</w:t>
            </w:r>
            <w:r>
              <w:rPr>
                <w:rFonts w:hint="eastAsia" w:ascii="Times New Roman" w:hAnsi="Times New Roman" w:cs="Times New Roman"/>
                <w:color w:val="auto"/>
                <w:sz w:val="24"/>
                <w:highlight w:val="none"/>
                <w:u w:val="single"/>
                <w:lang w:val="en-US" w:eastAsia="zh-CN"/>
              </w:rPr>
              <w:t>mg/L</w:t>
            </w:r>
            <w:r>
              <w:rPr>
                <w:rFonts w:hint="eastAsia" w:ascii="Times New Roman" w:hAnsi="Times New Roman" w:eastAsia="宋体" w:cs="Times New Roman"/>
                <w:b w:val="0"/>
                <w:bCs w:val="0"/>
                <w:color w:val="auto"/>
                <w:sz w:val="24"/>
                <w:highlight w:val="none"/>
                <w:u w:val="single"/>
                <w:vertAlign w:val="baseline"/>
                <w:lang w:val="en-US" w:eastAsia="zh-CN"/>
              </w:rPr>
              <w:t>，SS产生浓度为300</w:t>
            </w:r>
            <w:r>
              <w:rPr>
                <w:rFonts w:hint="eastAsia" w:ascii="Times New Roman" w:hAnsi="Times New Roman" w:cs="Times New Roman"/>
                <w:color w:val="auto"/>
                <w:sz w:val="24"/>
                <w:highlight w:val="none"/>
                <w:u w:val="single"/>
                <w:lang w:val="en-US" w:eastAsia="zh-CN"/>
              </w:rPr>
              <w:t>mg/L。</w:t>
            </w:r>
            <w:r>
              <w:rPr>
                <w:rFonts w:hint="eastAsia" w:cs="Times New Roman"/>
                <w:color w:val="auto"/>
                <w:sz w:val="24"/>
                <w:highlight w:val="none"/>
                <w:u w:val="single"/>
                <w:lang w:val="en-US" w:eastAsia="zh-CN"/>
              </w:rPr>
              <w:t>其产生量少，且水质与生活污水类似，</w:t>
            </w:r>
            <w:r>
              <w:rPr>
                <w:rFonts w:hint="eastAsia" w:eastAsia="宋体" w:cs="Times New Roman"/>
                <w:b w:val="0"/>
                <w:bCs w:val="0"/>
                <w:color w:val="auto"/>
                <w:sz w:val="24"/>
                <w:highlight w:val="none"/>
                <w:u w:val="single"/>
                <w:vertAlign w:val="baseline"/>
                <w:lang w:val="en-US" w:eastAsia="zh-CN"/>
              </w:rPr>
              <w:t>设备清洗废水与生活污水一并进化粪池处理。</w:t>
            </w:r>
          </w:p>
          <w:p w14:paraId="206D2A25">
            <w:pPr>
              <w:pStyle w:val="82"/>
              <w:rPr>
                <w:rFonts w:hint="default" w:ascii="Times New Roman" w:hAnsi="Times New Roman" w:eastAsia="宋体" w:cs="Times New Roman"/>
                <w:bCs/>
                <w:color w:val="auto"/>
                <w:sz w:val="24"/>
                <w:u w:val="single"/>
                <w:lang w:val="en-US" w:eastAsia="zh-CN"/>
              </w:rPr>
            </w:pPr>
            <w:r>
              <w:rPr>
                <w:rFonts w:hint="eastAsia" w:ascii="Times New Roman" w:hAnsi="Times New Roman" w:eastAsia="宋体" w:cs="Times New Roman"/>
                <w:color w:val="auto"/>
                <w:sz w:val="24"/>
                <w:szCs w:val="24"/>
                <w:highlight w:val="none"/>
                <w:u w:val="single"/>
                <w:lang w:val="en-US" w:eastAsia="zh-CN"/>
              </w:rPr>
              <w:t>项目</w:t>
            </w:r>
            <w:r>
              <w:rPr>
                <w:rFonts w:hint="eastAsia" w:ascii="Times New Roman" w:hAnsi="Times New Roman" w:eastAsia="宋体" w:cs="Times New Roman"/>
                <w:bCs/>
                <w:color w:val="auto"/>
                <w:sz w:val="24"/>
                <w:u w:val="single"/>
                <w:lang w:val="en-US" w:eastAsia="zh-CN"/>
              </w:rPr>
              <w:t>制</w:t>
            </w:r>
            <w:r>
              <w:rPr>
                <w:rFonts w:hint="eastAsia"/>
                <w:color w:val="auto"/>
                <w:sz w:val="24"/>
                <w:szCs w:val="24"/>
                <w:u w:val="single"/>
                <w:lang w:eastAsia="zh-CN"/>
              </w:rPr>
              <w:t>软化水</w:t>
            </w:r>
            <w:r>
              <w:rPr>
                <w:rFonts w:hint="eastAsia" w:ascii="Times New Roman" w:hAnsi="Times New Roman" w:eastAsia="宋体" w:cs="Times New Roman"/>
                <w:bCs/>
                <w:color w:val="auto"/>
                <w:sz w:val="24"/>
                <w:u w:val="single"/>
                <w:lang w:val="en-US" w:eastAsia="zh-CN"/>
              </w:rPr>
              <w:t>尾水排放量为</w:t>
            </w:r>
            <w:r>
              <w:rPr>
                <w:rFonts w:hint="eastAsia" w:eastAsia="宋体" w:cs="Times New Roman"/>
                <w:bCs/>
                <w:color w:val="auto"/>
                <w:sz w:val="24"/>
                <w:u w:val="single"/>
                <w:lang w:val="en-US" w:eastAsia="zh-CN"/>
              </w:rPr>
              <w:t>1224</w:t>
            </w:r>
            <w:r>
              <w:rPr>
                <w:rFonts w:hint="eastAsia" w:ascii="Times New Roman" w:hAnsi="Times New Roman" w:eastAsia="宋体" w:cs="Times New Roman"/>
                <w:bCs/>
                <w:color w:val="auto"/>
                <w:sz w:val="24"/>
                <w:u w:val="single"/>
                <w:lang w:val="en-US" w:eastAsia="zh-CN"/>
              </w:rPr>
              <w:t>m</w:t>
            </w:r>
            <w:r>
              <w:rPr>
                <w:rFonts w:hint="eastAsia" w:ascii="Times New Roman" w:hAnsi="Times New Roman" w:eastAsia="宋体" w:cs="Times New Roman"/>
                <w:bCs/>
                <w:color w:val="auto"/>
                <w:sz w:val="24"/>
                <w:u w:val="single"/>
                <w:vertAlign w:val="superscript"/>
                <w:lang w:val="en-US" w:eastAsia="zh-CN"/>
              </w:rPr>
              <w:t>3</w:t>
            </w:r>
            <w:r>
              <w:rPr>
                <w:rFonts w:hint="eastAsia" w:ascii="Times New Roman" w:hAnsi="Times New Roman" w:eastAsia="宋体" w:cs="Times New Roman"/>
                <w:bCs/>
                <w:color w:val="auto"/>
                <w:sz w:val="24"/>
                <w:u w:val="single"/>
                <w:lang w:val="en-US" w:eastAsia="zh-CN"/>
              </w:rPr>
              <w:t>/a，</w:t>
            </w:r>
            <w:r>
              <w:rPr>
                <w:color w:val="auto"/>
                <w:spacing w:val="-2"/>
                <w:u w:val="single"/>
              </w:rPr>
              <w:t>废</w:t>
            </w:r>
            <w:r>
              <w:rPr>
                <w:rFonts w:hint="eastAsia" w:ascii="Times New Roman" w:hAnsi="Times New Roman" w:eastAsia="宋体" w:cs="Times New Roman"/>
                <w:bCs/>
                <w:color w:val="auto"/>
                <w:sz w:val="24"/>
                <w:u w:val="single"/>
                <w:lang w:val="en-US" w:eastAsia="zh-CN"/>
              </w:rPr>
              <w:t>水中以钙</w:t>
            </w:r>
            <w:r>
              <w:rPr>
                <w:rFonts w:hint="eastAsia" w:cs="Times New Roman"/>
                <w:bCs/>
                <w:color w:val="auto"/>
                <w:u w:val="single"/>
                <w:lang w:val="en-US" w:eastAsia="zh-CN"/>
              </w:rPr>
              <w:t>、</w:t>
            </w:r>
            <w:r>
              <w:rPr>
                <w:rFonts w:hint="eastAsia" w:ascii="Times New Roman" w:hAnsi="Times New Roman" w:eastAsia="宋体" w:cs="Times New Roman"/>
                <w:bCs/>
                <w:color w:val="auto"/>
                <w:sz w:val="24"/>
                <w:u w:val="single"/>
                <w:lang w:val="en-US" w:eastAsia="zh-CN"/>
              </w:rPr>
              <w:t>镁离子为主，并伴有少量悬浮物</w:t>
            </w:r>
            <w:r>
              <w:rPr>
                <w:rFonts w:hint="eastAsia" w:cs="Times New Roman"/>
                <w:color w:val="auto"/>
                <w:sz w:val="24"/>
                <w:u w:val="single"/>
                <w:lang w:val="en-US" w:eastAsia="zh-CN"/>
              </w:rPr>
              <w:t>，</w:t>
            </w:r>
            <w:r>
              <w:rPr>
                <w:rFonts w:hint="eastAsia" w:ascii="Times New Roman" w:hAnsi="Times New Roman" w:eastAsia="宋体" w:cs="Times New Roman"/>
                <w:bCs/>
                <w:color w:val="auto"/>
                <w:sz w:val="24"/>
                <w:u w:val="single"/>
                <w:lang w:val="en-US" w:eastAsia="zh-CN"/>
              </w:rPr>
              <w:t>SS浓度约为300mg/L</w:t>
            </w:r>
            <w:r>
              <w:rPr>
                <w:rFonts w:hint="eastAsia" w:eastAsia="宋体" w:cs="Times New Roman"/>
                <w:bCs/>
                <w:color w:val="auto"/>
                <w:sz w:val="24"/>
                <w:u w:val="single"/>
                <w:lang w:val="en-US" w:eastAsia="zh-CN"/>
              </w:rPr>
              <w:t>；</w:t>
            </w:r>
            <w:r>
              <w:rPr>
                <w:rFonts w:hint="eastAsia" w:cs="Times New Roman"/>
                <w:color w:val="auto"/>
                <w:sz w:val="24"/>
                <w:szCs w:val="24"/>
                <w:highlight w:val="none"/>
                <w:u w:val="single"/>
                <w:lang w:val="en-US" w:eastAsia="zh-CN"/>
              </w:rPr>
              <w:t>原材料</w:t>
            </w:r>
            <w:r>
              <w:rPr>
                <w:rFonts w:hint="eastAsia" w:cs="Times New Roman"/>
                <w:color w:val="auto"/>
                <w:u w:val="single"/>
                <w:lang w:val="en-US" w:eastAsia="zh-CN"/>
              </w:rPr>
              <w:t>清洗废水产生量约为588</w:t>
            </w:r>
            <w:r>
              <w:rPr>
                <w:rFonts w:hint="eastAsia" w:ascii="Times New Roman" w:hAnsi="Times New Roman" w:eastAsia="宋体" w:cs="Times New Roman"/>
                <w:bCs/>
                <w:color w:val="auto"/>
                <w:sz w:val="24"/>
                <w:u w:val="single"/>
                <w:lang w:val="en-US" w:eastAsia="zh-CN"/>
              </w:rPr>
              <w:t>m</w:t>
            </w:r>
            <w:r>
              <w:rPr>
                <w:rFonts w:hint="eastAsia" w:ascii="Times New Roman" w:hAnsi="Times New Roman" w:eastAsia="宋体" w:cs="Times New Roman"/>
                <w:bCs/>
                <w:color w:val="auto"/>
                <w:sz w:val="24"/>
                <w:u w:val="single"/>
                <w:vertAlign w:val="superscript"/>
                <w:lang w:val="en-US" w:eastAsia="zh-CN"/>
              </w:rPr>
              <w:t>3</w:t>
            </w:r>
            <w:r>
              <w:rPr>
                <w:rFonts w:hint="eastAsia" w:ascii="Times New Roman" w:hAnsi="Times New Roman" w:eastAsia="宋体" w:cs="Times New Roman"/>
                <w:bCs/>
                <w:color w:val="auto"/>
                <w:sz w:val="24"/>
                <w:u w:val="single"/>
                <w:lang w:val="en-US" w:eastAsia="zh-CN"/>
              </w:rPr>
              <w:t>/a</w:t>
            </w:r>
            <w:r>
              <w:rPr>
                <w:rFonts w:hint="eastAsia" w:cs="Times New Roman"/>
                <w:color w:val="auto"/>
                <w:u w:val="single"/>
                <w:lang w:val="en-US" w:eastAsia="zh-CN"/>
              </w:rPr>
              <w:t>，</w:t>
            </w:r>
            <w:r>
              <w:rPr>
                <w:rFonts w:hint="eastAsia"/>
                <w:color w:val="auto"/>
                <w:sz w:val="24"/>
                <w:szCs w:val="24"/>
                <w:u w:val="single"/>
                <w:lang w:val="en-US" w:eastAsia="zh-CN"/>
              </w:rPr>
              <w:t>清洗过程不添加清洗剂，废水主要污染物为SS，</w:t>
            </w:r>
            <w:r>
              <w:rPr>
                <w:rFonts w:hint="eastAsia" w:ascii="Times New Roman" w:hAnsi="Times New Roman" w:eastAsia="宋体" w:cs="Times New Roman"/>
                <w:color w:val="auto"/>
                <w:sz w:val="24"/>
                <w:u w:val="single"/>
                <w:lang w:val="en-US" w:eastAsia="zh-CN"/>
              </w:rPr>
              <w:t>产生浓度约为300mg/L</w:t>
            </w:r>
            <w:r>
              <w:rPr>
                <w:rFonts w:hint="eastAsia" w:cs="Times New Roman"/>
                <w:color w:val="auto"/>
                <w:sz w:val="24"/>
                <w:u w:val="single"/>
                <w:lang w:val="en-US" w:eastAsia="zh-CN"/>
              </w:rPr>
              <w:t>。</w:t>
            </w:r>
            <w:r>
              <w:rPr>
                <w:rFonts w:hint="eastAsia" w:ascii="Times New Roman" w:hAnsi="Times New Roman" w:eastAsia="宋体" w:cs="Times New Roman"/>
                <w:color w:val="auto"/>
                <w:sz w:val="24"/>
                <w:szCs w:val="24"/>
                <w:highlight w:val="none"/>
                <w:u w:val="single"/>
                <w:lang w:val="en-US" w:eastAsia="zh-CN"/>
              </w:rPr>
              <w:t>项目</w:t>
            </w:r>
            <w:r>
              <w:rPr>
                <w:rFonts w:hint="eastAsia" w:ascii="Times New Roman" w:hAnsi="Times New Roman" w:eastAsia="宋体" w:cs="Times New Roman"/>
                <w:bCs/>
                <w:color w:val="auto"/>
                <w:sz w:val="24"/>
                <w:u w:val="single"/>
                <w:lang w:val="en-US" w:eastAsia="zh-CN"/>
              </w:rPr>
              <w:t>制</w:t>
            </w:r>
            <w:r>
              <w:rPr>
                <w:rFonts w:hint="eastAsia"/>
                <w:color w:val="auto"/>
                <w:sz w:val="24"/>
                <w:szCs w:val="24"/>
                <w:u w:val="single"/>
                <w:lang w:eastAsia="zh-CN"/>
              </w:rPr>
              <w:t>软化水</w:t>
            </w:r>
            <w:r>
              <w:rPr>
                <w:rFonts w:hint="eastAsia" w:ascii="Times New Roman" w:hAnsi="Times New Roman" w:eastAsia="宋体" w:cs="Times New Roman"/>
                <w:bCs/>
                <w:color w:val="auto"/>
                <w:sz w:val="24"/>
                <w:u w:val="single"/>
                <w:lang w:val="en-US" w:eastAsia="zh-CN"/>
              </w:rPr>
              <w:t>尾水</w:t>
            </w:r>
            <w:r>
              <w:rPr>
                <w:rFonts w:hint="eastAsia" w:eastAsia="宋体" w:cs="Times New Roman"/>
                <w:bCs/>
                <w:color w:val="auto"/>
                <w:sz w:val="24"/>
                <w:u w:val="single"/>
                <w:lang w:val="en-US" w:eastAsia="zh-CN"/>
              </w:rPr>
              <w:t>、原材料清洗废水经三级沉淀池处理，其中480</w:t>
            </w:r>
            <w:r>
              <w:rPr>
                <w:rFonts w:hint="eastAsia" w:ascii="Times New Roman" w:hAnsi="Times New Roman" w:eastAsia="宋体" w:cs="Times New Roman"/>
                <w:bCs/>
                <w:color w:val="auto"/>
                <w:sz w:val="24"/>
                <w:u w:val="single"/>
                <w:lang w:val="en-US" w:eastAsia="zh-CN"/>
              </w:rPr>
              <w:t>m</w:t>
            </w:r>
            <w:r>
              <w:rPr>
                <w:rFonts w:hint="eastAsia" w:ascii="Times New Roman" w:hAnsi="Times New Roman" w:eastAsia="宋体" w:cs="Times New Roman"/>
                <w:bCs/>
                <w:color w:val="auto"/>
                <w:sz w:val="24"/>
                <w:u w:val="single"/>
                <w:vertAlign w:val="superscript"/>
                <w:lang w:val="en-US" w:eastAsia="zh-CN"/>
              </w:rPr>
              <w:t>3</w:t>
            </w:r>
            <w:r>
              <w:rPr>
                <w:rFonts w:hint="eastAsia" w:eastAsia="宋体" w:cs="Times New Roman"/>
                <w:bCs/>
                <w:color w:val="auto"/>
                <w:sz w:val="24"/>
                <w:u w:val="single"/>
                <w:lang w:val="en-US" w:eastAsia="zh-CN"/>
              </w:rPr>
              <w:t>回用于清洗循环用水、1273.67</w:t>
            </w:r>
            <w:r>
              <w:rPr>
                <w:rFonts w:hint="eastAsia" w:ascii="Times New Roman" w:hAnsi="Times New Roman" w:eastAsia="宋体" w:cs="Times New Roman"/>
                <w:bCs/>
                <w:color w:val="auto"/>
                <w:sz w:val="24"/>
                <w:u w:val="single"/>
                <w:lang w:val="en-US" w:eastAsia="zh-CN"/>
              </w:rPr>
              <w:t>m</w:t>
            </w:r>
            <w:r>
              <w:rPr>
                <w:rFonts w:hint="eastAsia" w:ascii="Times New Roman" w:hAnsi="Times New Roman" w:eastAsia="宋体" w:cs="Times New Roman"/>
                <w:bCs/>
                <w:color w:val="auto"/>
                <w:sz w:val="24"/>
                <w:u w:val="single"/>
                <w:vertAlign w:val="superscript"/>
                <w:lang w:val="en-US" w:eastAsia="zh-CN"/>
              </w:rPr>
              <w:t>3</w:t>
            </w:r>
            <w:r>
              <w:rPr>
                <w:rFonts w:hint="eastAsia" w:ascii="Times New Roman" w:hAnsi="宋体" w:eastAsia="宋体" w:cs="Times New Roman"/>
                <w:color w:val="auto"/>
                <w:szCs w:val="21"/>
                <w:u w:val="single"/>
                <w:lang w:val="en-US" w:eastAsia="zh-CN"/>
              </w:rPr>
              <w:t>经市政管网排放至龙潭镇污水处理厂</w:t>
            </w:r>
            <w:r>
              <w:rPr>
                <w:rFonts w:hint="eastAsia" w:hAnsi="宋体" w:eastAsia="宋体" w:cs="Times New Roman"/>
                <w:color w:val="auto"/>
                <w:szCs w:val="21"/>
                <w:u w:val="single"/>
                <w:lang w:val="en-US" w:eastAsia="zh-CN"/>
              </w:rPr>
              <w:t>。</w:t>
            </w:r>
          </w:p>
          <w:p w14:paraId="76CB3C1F">
            <w:pPr>
              <w:pStyle w:val="82"/>
              <w:rPr>
                <w:rFonts w:hint="eastAsia" w:ascii="Times New Roman" w:hAnsi="Times New Roman" w:eastAsia="宋体" w:cs="Times New Roman"/>
                <w:color w:val="auto"/>
                <w:szCs w:val="24"/>
                <w:u w:val="none"/>
                <w:lang w:eastAsia="zh-CN"/>
              </w:rPr>
            </w:pPr>
            <w:r>
              <w:rPr>
                <w:rFonts w:hint="eastAsia" w:ascii="Times New Roman" w:hAnsi="Times New Roman" w:eastAsia="宋体" w:cs="Times New Roman"/>
                <w:color w:val="auto"/>
                <w:szCs w:val="24"/>
                <w:u w:val="none"/>
                <w:lang w:val="en-US" w:eastAsia="zh-CN"/>
              </w:rPr>
              <w:t>项目</w:t>
            </w:r>
            <w:r>
              <w:rPr>
                <w:rFonts w:hint="default" w:ascii="Times New Roman" w:hAnsi="Times New Roman" w:eastAsia="宋体" w:cs="Times New Roman"/>
                <w:color w:val="auto"/>
                <w:szCs w:val="24"/>
                <w:u w:val="none"/>
              </w:rPr>
              <w:t>废水产生情况见下表</w:t>
            </w:r>
            <w:r>
              <w:rPr>
                <w:rFonts w:hint="eastAsia" w:ascii="Times New Roman" w:hAnsi="Times New Roman" w:eastAsia="宋体" w:cs="Times New Roman"/>
                <w:color w:val="auto"/>
                <w:szCs w:val="24"/>
                <w:u w:val="none"/>
                <w:lang w:eastAsia="zh-CN"/>
              </w:rPr>
              <w:t>。</w:t>
            </w:r>
          </w:p>
          <w:p w14:paraId="7CD2A8C8">
            <w:pPr>
              <w:pStyle w:val="9"/>
              <w:keepNext w:val="0"/>
              <w:keepLines w:val="0"/>
              <w:pageBreakBefore w:val="0"/>
              <w:widowControl w:val="0"/>
              <w:kinsoku/>
              <w:wordWrap/>
              <w:overflowPunct/>
              <w:topLinePunct w:val="0"/>
              <w:autoSpaceDE/>
              <w:autoSpaceDN/>
              <w:bidi w:val="0"/>
              <w:adjustRightInd/>
              <w:snapToGrid/>
              <w:spacing w:before="0" w:after="0" w:line="240" w:lineRule="auto"/>
              <w:ind w:right="0" w:firstLine="211"/>
              <w:jc w:val="center"/>
              <w:textAlignment w:val="auto"/>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highlight w:val="none"/>
                <w:u w:val="none"/>
              </w:rPr>
              <w:t>表4-1</w:t>
            </w:r>
            <w:r>
              <w:rPr>
                <w:rFonts w:hint="eastAsia" w:ascii="Times New Roman" w:hAnsi="Times New Roman" w:cs="Times New Roman"/>
                <w:b/>
                <w:bCs/>
                <w:color w:val="auto"/>
                <w:sz w:val="24"/>
                <w:szCs w:val="24"/>
                <w:highlight w:val="none"/>
                <w:u w:val="none"/>
                <w:lang w:val="en-US" w:eastAsia="zh-CN"/>
              </w:rPr>
              <w:t xml:space="preserve"> </w:t>
            </w:r>
            <w:r>
              <w:rPr>
                <w:rFonts w:hint="eastAsia" w:cs="Times New Roman"/>
                <w:b/>
                <w:bCs/>
                <w:color w:val="auto"/>
                <w:sz w:val="24"/>
                <w:szCs w:val="24"/>
                <w:highlight w:val="none"/>
                <w:u w:val="none"/>
                <w:lang w:val="en-US" w:eastAsia="zh-CN"/>
              </w:rPr>
              <w:t xml:space="preserve"> </w:t>
            </w:r>
            <w:r>
              <w:rPr>
                <w:rFonts w:hint="eastAsia" w:ascii="Times New Roman" w:hAnsi="Times New Roman" w:cs="Times New Roman"/>
                <w:b/>
                <w:bCs/>
                <w:color w:val="auto"/>
                <w:sz w:val="24"/>
                <w:szCs w:val="24"/>
                <w:highlight w:val="none"/>
                <w:u w:val="none"/>
                <w:lang w:val="en-US" w:eastAsia="zh-CN"/>
              </w:rPr>
              <w:t xml:space="preserve"> </w:t>
            </w:r>
            <w:r>
              <w:rPr>
                <w:rFonts w:hint="default" w:ascii="Times New Roman" w:hAnsi="Times New Roman" w:cs="Times New Roman"/>
                <w:b/>
                <w:bCs/>
                <w:color w:val="auto"/>
                <w:sz w:val="24"/>
                <w:szCs w:val="24"/>
                <w:highlight w:val="none"/>
                <w:u w:val="none"/>
              </w:rPr>
              <w:t>污水产</w:t>
            </w:r>
            <w:r>
              <w:rPr>
                <w:rFonts w:hint="eastAsia" w:ascii="Times New Roman" w:hAnsi="Times New Roman" w:cs="Times New Roman"/>
                <w:b/>
                <w:bCs/>
                <w:color w:val="auto"/>
                <w:sz w:val="24"/>
                <w:szCs w:val="24"/>
                <w:highlight w:val="none"/>
                <w:u w:val="none"/>
                <w:lang w:eastAsia="zh-CN"/>
              </w:rPr>
              <w:t>排污</w:t>
            </w:r>
            <w:r>
              <w:rPr>
                <w:rFonts w:hint="default" w:ascii="Times New Roman" w:hAnsi="Times New Roman" w:cs="Times New Roman"/>
                <w:b/>
                <w:bCs/>
                <w:color w:val="auto"/>
                <w:sz w:val="24"/>
                <w:szCs w:val="24"/>
                <w:highlight w:val="none"/>
                <w:u w:val="none"/>
              </w:rPr>
              <w:t>情况一</w:t>
            </w:r>
            <w:r>
              <w:rPr>
                <w:rFonts w:hint="default" w:ascii="Times New Roman" w:hAnsi="Times New Roman" w:cs="Times New Roman"/>
                <w:b/>
                <w:bCs/>
                <w:color w:val="auto"/>
                <w:sz w:val="24"/>
                <w:szCs w:val="24"/>
                <w:u w:val="none"/>
              </w:rPr>
              <w:t>览表</w:t>
            </w:r>
          </w:p>
          <w:tbl>
            <w:tblPr>
              <w:tblStyle w:val="32"/>
              <w:tblW w:w="7837" w:type="dxa"/>
              <w:tblInd w:w="-6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043"/>
              <w:gridCol w:w="938"/>
              <w:gridCol w:w="812"/>
              <w:gridCol w:w="838"/>
              <w:gridCol w:w="912"/>
              <w:gridCol w:w="688"/>
              <w:gridCol w:w="1525"/>
              <w:gridCol w:w="1081"/>
            </w:tblGrid>
            <w:tr w14:paraId="3C353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rPr>
              <w:tc>
                <w:tcPr>
                  <w:tcW w:w="665" w:type="pct"/>
                  <w:vMerge w:val="restart"/>
                  <w:tcBorders>
                    <w:tl2br w:val="nil"/>
                    <w:tr2bl w:val="nil"/>
                  </w:tcBorders>
                  <w:vAlign w:val="center"/>
                </w:tcPr>
                <w:p w14:paraId="239A59A5">
                  <w:pPr>
                    <w:widowControl/>
                    <w:jc w:val="center"/>
                    <w:rPr>
                      <w:rFonts w:hint="default" w:ascii="Times New Roman" w:hAnsi="Times New Roman" w:cs="Times New Roman" w:eastAsiaTheme="minorEastAsia"/>
                      <w:color w:val="auto"/>
                      <w:kern w:val="0"/>
                      <w:sz w:val="21"/>
                      <w:szCs w:val="21"/>
                      <w:u w:val="none"/>
                    </w:rPr>
                  </w:pPr>
                  <w:r>
                    <w:rPr>
                      <w:rFonts w:hint="default" w:ascii="Times New Roman" w:hAnsi="Times New Roman" w:cs="Times New Roman" w:eastAsiaTheme="minorEastAsia"/>
                      <w:color w:val="auto"/>
                      <w:kern w:val="0"/>
                      <w:sz w:val="21"/>
                      <w:szCs w:val="21"/>
                      <w:u w:val="none"/>
                    </w:rPr>
                    <w:t>废水种类</w:t>
                  </w:r>
                </w:p>
              </w:tc>
              <w:tc>
                <w:tcPr>
                  <w:tcW w:w="598" w:type="pct"/>
                  <w:vMerge w:val="restart"/>
                  <w:tcBorders>
                    <w:tl2br w:val="nil"/>
                    <w:tr2bl w:val="nil"/>
                  </w:tcBorders>
                  <w:vAlign w:val="center"/>
                </w:tcPr>
                <w:p w14:paraId="253585DC">
                  <w:pPr>
                    <w:jc w:val="center"/>
                    <w:rPr>
                      <w:rFonts w:hint="default" w:ascii="Times New Roman" w:hAnsi="Times New Roman" w:cs="Times New Roman" w:eastAsiaTheme="minorEastAsia"/>
                      <w:color w:val="auto"/>
                      <w:kern w:val="0"/>
                      <w:sz w:val="21"/>
                      <w:szCs w:val="21"/>
                      <w:u w:val="none"/>
                    </w:rPr>
                  </w:pPr>
                  <w:r>
                    <w:rPr>
                      <w:rFonts w:hint="default" w:ascii="Times New Roman" w:hAnsi="Times New Roman" w:cs="Times New Roman" w:eastAsiaTheme="minorEastAsia"/>
                      <w:color w:val="auto"/>
                      <w:kern w:val="0"/>
                      <w:sz w:val="21"/>
                      <w:szCs w:val="21"/>
                      <w:u w:val="none"/>
                    </w:rPr>
                    <w:t>污染因子</w:t>
                  </w:r>
                </w:p>
              </w:tc>
              <w:tc>
                <w:tcPr>
                  <w:tcW w:w="518" w:type="pct"/>
                  <w:vMerge w:val="restart"/>
                  <w:tcBorders>
                    <w:tl2br w:val="nil"/>
                    <w:tr2bl w:val="nil"/>
                  </w:tcBorders>
                  <w:vAlign w:val="center"/>
                </w:tcPr>
                <w:p w14:paraId="4B84A82A">
                  <w:pPr>
                    <w:jc w:val="center"/>
                    <w:rPr>
                      <w:rFonts w:hint="default" w:ascii="Times New Roman" w:hAnsi="Times New Roman" w:cs="Times New Roman" w:eastAsiaTheme="minorEastAsia"/>
                      <w:color w:val="auto"/>
                      <w:kern w:val="0"/>
                      <w:sz w:val="21"/>
                      <w:szCs w:val="21"/>
                      <w:u w:val="none"/>
                    </w:rPr>
                  </w:pPr>
                  <w:r>
                    <w:rPr>
                      <w:rFonts w:hint="default" w:ascii="Times New Roman" w:hAnsi="Times New Roman" w:cs="Times New Roman" w:eastAsiaTheme="minorEastAsia"/>
                      <w:color w:val="auto"/>
                      <w:kern w:val="0"/>
                      <w:sz w:val="21"/>
                      <w:szCs w:val="21"/>
                      <w:u w:val="none"/>
                    </w:rPr>
                    <w:t>产生浓度mg/L</w:t>
                  </w:r>
                </w:p>
              </w:tc>
              <w:tc>
                <w:tcPr>
                  <w:tcW w:w="534" w:type="pct"/>
                  <w:vMerge w:val="restart"/>
                  <w:tcBorders>
                    <w:tl2br w:val="nil"/>
                    <w:tr2bl w:val="nil"/>
                  </w:tcBorders>
                  <w:vAlign w:val="center"/>
                </w:tcPr>
                <w:p w14:paraId="36621FBB">
                  <w:pPr>
                    <w:widowControl/>
                    <w:jc w:val="center"/>
                    <w:rPr>
                      <w:rFonts w:hint="default" w:ascii="Times New Roman" w:hAnsi="Times New Roman" w:cs="Times New Roman" w:eastAsiaTheme="minorEastAsia"/>
                      <w:color w:val="auto"/>
                      <w:kern w:val="0"/>
                      <w:sz w:val="21"/>
                      <w:szCs w:val="21"/>
                      <w:u w:val="none"/>
                    </w:rPr>
                  </w:pPr>
                  <w:r>
                    <w:rPr>
                      <w:rFonts w:hint="default" w:ascii="Times New Roman" w:hAnsi="Times New Roman" w:cs="Times New Roman" w:eastAsiaTheme="minorEastAsia"/>
                      <w:color w:val="auto"/>
                      <w:kern w:val="0"/>
                      <w:sz w:val="21"/>
                      <w:szCs w:val="21"/>
                      <w:u w:val="none"/>
                    </w:rPr>
                    <w:t>产生量t/a</w:t>
                  </w:r>
                </w:p>
              </w:tc>
              <w:tc>
                <w:tcPr>
                  <w:tcW w:w="581" w:type="pct"/>
                  <w:vMerge w:val="restart"/>
                  <w:tcBorders>
                    <w:tl2br w:val="nil"/>
                    <w:tr2bl w:val="nil"/>
                  </w:tcBorders>
                  <w:vAlign w:val="center"/>
                </w:tcPr>
                <w:p w14:paraId="0B204211">
                  <w:pPr>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治理措施</w:t>
                  </w:r>
                </w:p>
              </w:tc>
              <w:tc>
                <w:tcPr>
                  <w:tcW w:w="438" w:type="pct"/>
                  <w:vMerge w:val="restart"/>
                  <w:tcBorders>
                    <w:tl2br w:val="nil"/>
                    <w:tr2bl w:val="nil"/>
                  </w:tcBorders>
                  <w:vAlign w:val="center"/>
                </w:tcPr>
                <w:p w14:paraId="13E11AF3">
                  <w:pPr>
                    <w:widowControl/>
                    <w:jc w:val="center"/>
                    <w:rPr>
                      <w:rFonts w:hint="default" w:ascii="Times New Roman" w:hAnsi="Times New Roman" w:cs="Times New Roman" w:eastAsiaTheme="minorEastAsia"/>
                      <w:color w:val="auto"/>
                      <w:kern w:val="0"/>
                      <w:sz w:val="21"/>
                      <w:szCs w:val="21"/>
                      <w:u w:val="none"/>
                    </w:rPr>
                  </w:pPr>
                  <w:r>
                    <w:rPr>
                      <w:rFonts w:hint="default" w:ascii="Times New Roman" w:hAnsi="Times New Roman" w:cs="Times New Roman" w:eastAsiaTheme="minorEastAsia"/>
                      <w:color w:val="auto"/>
                      <w:kern w:val="0"/>
                      <w:sz w:val="21"/>
                      <w:szCs w:val="21"/>
                      <w:u w:val="none"/>
                    </w:rPr>
                    <w:t>排放去向</w:t>
                  </w:r>
                </w:p>
              </w:tc>
              <w:tc>
                <w:tcPr>
                  <w:tcW w:w="1662" w:type="pct"/>
                  <w:gridSpan w:val="2"/>
                  <w:tcBorders>
                    <w:tl2br w:val="nil"/>
                    <w:tr2bl w:val="nil"/>
                  </w:tcBorders>
                  <w:vAlign w:val="center"/>
                </w:tcPr>
                <w:p w14:paraId="72423C23">
                  <w:pPr>
                    <w:widowControl/>
                    <w:jc w:val="center"/>
                    <w:rPr>
                      <w:rFonts w:hint="default" w:ascii="Times New Roman" w:hAnsi="Times New Roman" w:cs="Times New Roman" w:eastAsiaTheme="minorEastAsia"/>
                      <w:color w:val="auto"/>
                      <w:kern w:val="0"/>
                      <w:sz w:val="21"/>
                      <w:szCs w:val="21"/>
                      <w:u w:val="none"/>
                    </w:rPr>
                  </w:pPr>
                  <w:r>
                    <w:rPr>
                      <w:rFonts w:hint="default" w:ascii="Times New Roman" w:hAnsi="Times New Roman" w:cs="Times New Roman" w:eastAsiaTheme="minorEastAsia"/>
                      <w:color w:val="auto"/>
                      <w:kern w:val="0"/>
                      <w:sz w:val="21"/>
                      <w:szCs w:val="21"/>
                      <w:u w:val="none"/>
                      <w:lang w:eastAsia="zh-CN"/>
                    </w:rPr>
                    <w:t>龙潭镇污水处理厂排放情况</w:t>
                  </w:r>
                </w:p>
              </w:tc>
            </w:tr>
            <w:tr w14:paraId="2DE615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rPr>
              <w:tc>
                <w:tcPr>
                  <w:tcW w:w="665" w:type="pct"/>
                  <w:vMerge w:val="continue"/>
                  <w:tcBorders>
                    <w:tl2br w:val="nil"/>
                    <w:tr2bl w:val="nil"/>
                  </w:tcBorders>
                  <w:vAlign w:val="center"/>
                </w:tcPr>
                <w:p w14:paraId="44940B5B">
                  <w:pPr>
                    <w:widowControl/>
                    <w:jc w:val="center"/>
                    <w:rPr>
                      <w:rFonts w:hint="default" w:ascii="Times New Roman" w:hAnsi="Times New Roman" w:cs="Times New Roman" w:eastAsiaTheme="minorEastAsia"/>
                      <w:color w:val="auto"/>
                      <w:sz w:val="21"/>
                      <w:szCs w:val="21"/>
                      <w:u w:val="none"/>
                    </w:rPr>
                  </w:pPr>
                </w:p>
              </w:tc>
              <w:tc>
                <w:tcPr>
                  <w:tcW w:w="598" w:type="pct"/>
                  <w:vMerge w:val="continue"/>
                  <w:tcBorders>
                    <w:tl2br w:val="nil"/>
                    <w:tr2bl w:val="nil"/>
                  </w:tcBorders>
                  <w:vAlign w:val="center"/>
                </w:tcPr>
                <w:p w14:paraId="619692BB">
                  <w:pPr>
                    <w:widowControl/>
                    <w:jc w:val="center"/>
                    <w:rPr>
                      <w:rFonts w:hint="default" w:ascii="Times New Roman" w:hAnsi="Times New Roman" w:cs="Times New Roman" w:eastAsiaTheme="minorEastAsia"/>
                      <w:color w:val="auto"/>
                      <w:sz w:val="21"/>
                      <w:szCs w:val="21"/>
                      <w:u w:val="none"/>
                    </w:rPr>
                  </w:pPr>
                </w:p>
              </w:tc>
              <w:tc>
                <w:tcPr>
                  <w:tcW w:w="518" w:type="pct"/>
                  <w:vMerge w:val="continue"/>
                  <w:tcBorders>
                    <w:tl2br w:val="nil"/>
                    <w:tr2bl w:val="nil"/>
                  </w:tcBorders>
                  <w:vAlign w:val="center"/>
                </w:tcPr>
                <w:p w14:paraId="727A59D7">
                  <w:pPr>
                    <w:widowControl/>
                    <w:jc w:val="center"/>
                    <w:rPr>
                      <w:rFonts w:hint="default" w:ascii="Times New Roman" w:hAnsi="Times New Roman" w:cs="Times New Roman" w:eastAsiaTheme="minorEastAsia"/>
                      <w:color w:val="auto"/>
                      <w:sz w:val="21"/>
                      <w:szCs w:val="21"/>
                      <w:u w:val="none"/>
                    </w:rPr>
                  </w:pPr>
                </w:p>
              </w:tc>
              <w:tc>
                <w:tcPr>
                  <w:tcW w:w="534" w:type="pct"/>
                  <w:vMerge w:val="continue"/>
                  <w:tcBorders>
                    <w:tl2br w:val="nil"/>
                    <w:tr2bl w:val="nil"/>
                  </w:tcBorders>
                  <w:vAlign w:val="center"/>
                </w:tcPr>
                <w:p w14:paraId="6861DB22">
                  <w:pPr>
                    <w:widowControl/>
                    <w:jc w:val="center"/>
                    <w:rPr>
                      <w:rFonts w:hint="default" w:ascii="Times New Roman" w:hAnsi="Times New Roman" w:cs="Times New Roman" w:eastAsiaTheme="minorEastAsia"/>
                      <w:color w:val="auto"/>
                      <w:sz w:val="21"/>
                      <w:szCs w:val="21"/>
                      <w:u w:val="none"/>
                    </w:rPr>
                  </w:pPr>
                </w:p>
              </w:tc>
              <w:tc>
                <w:tcPr>
                  <w:tcW w:w="581" w:type="pct"/>
                  <w:vMerge w:val="continue"/>
                  <w:tcBorders>
                    <w:tl2br w:val="nil"/>
                    <w:tr2bl w:val="nil"/>
                  </w:tcBorders>
                  <w:vAlign w:val="center"/>
                </w:tcPr>
                <w:p w14:paraId="463D616F">
                  <w:pPr>
                    <w:widowControl/>
                    <w:jc w:val="center"/>
                    <w:rPr>
                      <w:rFonts w:hint="default" w:ascii="Times New Roman" w:hAnsi="Times New Roman" w:cs="Times New Roman" w:eastAsiaTheme="minorEastAsia"/>
                      <w:color w:val="auto"/>
                      <w:sz w:val="21"/>
                      <w:szCs w:val="21"/>
                      <w:u w:val="none"/>
                    </w:rPr>
                  </w:pPr>
                </w:p>
              </w:tc>
              <w:tc>
                <w:tcPr>
                  <w:tcW w:w="438" w:type="pct"/>
                  <w:vMerge w:val="continue"/>
                  <w:tcBorders>
                    <w:tl2br w:val="nil"/>
                    <w:tr2bl w:val="nil"/>
                  </w:tcBorders>
                  <w:vAlign w:val="center"/>
                </w:tcPr>
                <w:p w14:paraId="049EFEA0">
                  <w:pPr>
                    <w:widowControl/>
                    <w:jc w:val="center"/>
                    <w:rPr>
                      <w:rFonts w:hint="default" w:ascii="Times New Roman" w:hAnsi="Times New Roman" w:cs="Times New Roman" w:eastAsiaTheme="minorEastAsia"/>
                      <w:color w:val="auto"/>
                      <w:kern w:val="0"/>
                      <w:sz w:val="21"/>
                      <w:szCs w:val="21"/>
                      <w:u w:val="none"/>
                    </w:rPr>
                  </w:pPr>
                </w:p>
              </w:tc>
              <w:tc>
                <w:tcPr>
                  <w:tcW w:w="972" w:type="pct"/>
                  <w:tcBorders>
                    <w:tl2br w:val="nil"/>
                    <w:tr2bl w:val="nil"/>
                  </w:tcBorders>
                  <w:vAlign w:val="center"/>
                </w:tcPr>
                <w:p w14:paraId="09F1CABF">
                  <w:pPr>
                    <w:jc w:val="center"/>
                    <w:rPr>
                      <w:rFonts w:hint="default" w:ascii="Times New Roman" w:hAnsi="Times New Roman" w:cs="Times New Roman" w:eastAsiaTheme="minorEastAsia"/>
                      <w:color w:val="auto"/>
                      <w:kern w:val="0"/>
                      <w:sz w:val="21"/>
                      <w:szCs w:val="21"/>
                      <w:u w:val="none"/>
                      <w:lang w:val="en-US" w:eastAsia="zh-CN" w:bidi="ar-SA"/>
                    </w:rPr>
                  </w:pPr>
                  <w:r>
                    <w:rPr>
                      <w:rFonts w:hint="default" w:ascii="Times New Roman" w:hAnsi="Times New Roman" w:cs="Times New Roman" w:eastAsiaTheme="minorEastAsia"/>
                      <w:color w:val="auto"/>
                      <w:kern w:val="0"/>
                      <w:sz w:val="21"/>
                      <w:szCs w:val="21"/>
                      <w:u w:val="none"/>
                    </w:rPr>
                    <w:t>排放浓度mg/L</w:t>
                  </w:r>
                </w:p>
              </w:tc>
              <w:tc>
                <w:tcPr>
                  <w:tcW w:w="689" w:type="pct"/>
                  <w:tcBorders>
                    <w:tl2br w:val="nil"/>
                    <w:tr2bl w:val="nil"/>
                  </w:tcBorders>
                  <w:vAlign w:val="center"/>
                </w:tcPr>
                <w:p w14:paraId="1FF4DB2C">
                  <w:pPr>
                    <w:widowControl/>
                    <w:jc w:val="center"/>
                    <w:rPr>
                      <w:rFonts w:hint="default" w:ascii="Times New Roman" w:hAnsi="Times New Roman" w:cs="Times New Roman" w:eastAsiaTheme="minorEastAsia"/>
                      <w:color w:val="auto"/>
                      <w:kern w:val="0"/>
                      <w:sz w:val="21"/>
                      <w:szCs w:val="21"/>
                      <w:u w:val="none"/>
                      <w:lang w:val="en-US" w:eastAsia="zh-CN" w:bidi="ar-SA"/>
                    </w:rPr>
                  </w:pPr>
                  <w:r>
                    <w:rPr>
                      <w:rFonts w:hint="default" w:ascii="Times New Roman" w:hAnsi="Times New Roman" w:cs="Times New Roman" w:eastAsiaTheme="minorEastAsia"/>
                      <w:color w:val="auto"/>
                      <w:kern w:val="0"/>
                      <w:sz w:val="21"/>
                      <w:szCs w:val="21"/>
                      <w:u w:val="none"/>
                    </w:rPr>
                    <w:t>排放量t/a</w:t>
                  </w:r>
                </w:p>
              </w:tc>
            </w:tr>
            <w:tr w14:paraId="06D85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rPr>
              <w:tc>
                <w:tcPr>
                  <w:tcW w:w="665" w:type="pct"/>
                  <w:vMerge w:val="restart"/>
                  <w:tcBorders>
                    <w:tl2br w:val="nil"/>
                    <w:tr2bl w:val="nil"/>
                  </w:tcBorders>
                  <w:vAlign w:val="center"/>
                </w:tcPr>
                <w:p w14:paraId="13627607">
                  <w:pPr>
                    <w:widowControl/>
                    <w:jc w:val="center"/>
                    <w:rPr>
                      <w:rFonts w:hint="eastAsia" w:cs="Times New Roman" w:eastAsiaTheme="minorEastAsia"/>
                      <w:color w:val="auto"/>
                      <w:kern w:val="0"/>
                      <w:sz w:val="21"/>
                      <w:szCs w:val="21"/>
                      <w:u w:val="none"/>
                      <w:lang w:val="en-US" w:eastAsia="zh-CN"/>
                    </w:rPr>
                  </w:pPr>
                  <w:r>
                    <w:rPr>
                      <w:rFonts w:hint="eastAsia" w:cs="Times New Roman" w:eastAsiaTheme="minorEastAsia"/>
                      <w:color w:val="auto"/>
                      <w:kern w:val="0"/>
                      <w:sz w:val="21"/>
                      <w:szCs w:val="21"/>
                      <w:u w:val="none"/>
                      <w:lang w:val="en-US" w:eastAsia="zh-CN"/>
                    </w:rPr>
                    <w:t>综合废水1955.37</w:t>
                  </w:r>
                </w:p>
                <w:p w14:paraId="11119EAF">
                  <w:pPr>
                    <w:widowControl/>
                    <w:jc w:val="center"/>
                    <w:rPr>
                      <w:rFonts w:hint="default" w:ascii="Times New Roman" w:hAnsi="Times New Roman" w:cs="Times New Roman" w:eastAsiaTheme="minorEastAsia"/>
                      <w:color w:val="auto"/>
                      <w:kern w:val="0"/>
                      <w:sz w:val="21"/>
                      <w:szCs w:val="21"/>
                      <w:u w:val="none"/>
                    </w:rPr>
                  </w:pPr>
                  <w:r>
                    <w:rPr>
                      <w:rFonts w:hint="default" w:ascii="Times New Roman" w:hAnsi="Times New Roman" w:cs="Times New Roman" w:eastAsiaTheme="minorEastAsia"/>
                      <w:color w:val="auto"/>
                      <w:kern w:val="0"/>
                      <w:sz w:val="21"/>
                      <w:szCs w:val="21"/>
                      <w:u w:val="none"/>
                    </w:rPr>
                    <w:t>m</w:t>
                  </w:r>
                  <w:r>
                    <w:rPr>
                      <w:rFonts w:hint="default" w:ascii="Times New Roman" w:hAnsi="Times New Roman" w:cs="Times New Roman" w:eastAsiaTheme="minorEastAsia"/>
                      <w:color w:val="auto"/>
                      <w:kern w:val="0"/>
                      <w:sz w:val="21"/>
                      <w:szCs w:val="21"/>
                      <w:u w:val="none"/>
                      <w:vertAlign w:val="superscript"/>
                    </w:rPr>
                    <w:t>3</w:t>
                  </w:r>
                  <w:r>
                    <w:rPr>
                      <w:rFonts w:hint="default" w:ascii="Times New Roman" w:hAnsi="Times New Roman" w:cs="Times New Roman" w:eastAsiaTheme="minorEastAsia"/>
                      <w:color w:val="auto"/>
                      <w:kern w:val="0"/>
                      <w:sz w:val="21"/>
                      <w:szCs w:val="21"/>
                      <w:u w:val="none"/>
                    </w:rPr>
                    <w:t>/a</w:t>
                  </w:r>
                </w:p>
              </w:tc>
              <w:tc>
                <w:tcPr>
                  <w:tcW w:w="598" w:type="pct"/>
                  <w:tcBorders>
                    <w:tl2br w:val="nil"/>
                    <w:tr2bl w:val="nil"/>
                  </w:tcBorders>
                  <w:vAlign w:val="center"/>
                </w:tcPr>
                <w:p w14:paraId="5B201D92">
                  <w:pPr>
                    <w:widowControl/>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COD</w:t>
                  </w:r>
                </w:p>
              </w:tc>
              <w:tc>
                <w:tcPr>
                  <w:tcW w:w="518" w:type="pct"/>
                  <w:tcBorders>
                    <w:tl2br w:val="nil"/>
                    <w:tr2bl w:val="nil"/>
                  </w:tcBorders>
                  <w:vAlign w:val="center"/>
                </w:tcPr>
                <w:p w14:paraId="7C0A961C">
                  <w:pPr>
                    <w:autoSpaceDN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250</w:t>
                  </w:r>
                </w:p>
              </w:tc>
              <w:tc>
                <w:tcPr>
                  <w:tcW w:w="534" w:type="pct"/>
                  <w:tcBorders>
                    <w:tl2br w:val="nil"/>
                    <w:tr2bl w:val="nil"/>
                  </w:tcBorders>
                  <w:vAlign w:val="center"/>
                </w:tcPr>
                <w:p w14:paraId="7C8C7C52">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0.488</w:t>
                  </w:r>
                </w:p>
              </w:tc>
              <w:tc>
                <w:tcPr>
                  <w:tcW w:w="581" w:type="pct"/>
                  <w:vMerge w:val="restart"/>
                  <w:tcBorders>
                    <w:tl2br w:val="nil"/>
                    <w:tr2bl w:val="nil"/>
                  </w:tcBorders>
                  <w:vAlign w:val="center"/>
                </w:tcPr>
                <w:p w14:paraId="73BD7AED">
                  <w:pPr>
                    <w:widowControl/>
                    <w:jc w:val="center"/>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lang w:eastAsia="zh-CN"/>
                    </w:rPr>
                    <w:t>生活污水经</w:t>
                  </w:r>
                  <w:r>
                    <w:rPr>
                      <w:rFonts w:hint="eastAsia" w:ascii="Times New Roman" w:hAnsi="Times New Roman" w:cs="Times New Roman" w:eastAsiaTheme="minorEastAsia"/>
                      <w:color w:val="auto"/>
                      <w:sz w:val="21"/>
                      <w:szCs w:val="21"/>
                      <w:u w:val="none"/>
                      <w:lang w:val="en-US" w:eastAsia="zh-CN"/>
                    </w:rPr>
                    <w:t>油水分离器+</w:t>
                  </w:r>
                  <w:r>
                    <w:rPr>
                      <w:rFonts w:hint="default" w:ascii="Times New Roman" w:hAnsi="Times New Roman" w:cs="Times New Roman" w:eastAsiaTheme="minorEastAsia"/>
                      <w:color w:val="auto"/>
                      <w:sz w:val="21"/>
                      <w:szCs w:val="21"/>
                      <w:u w:val="none"/>
                      <w:lang w:eastAsia="zh-CN"/>
                    </w:rPr>
                    <w:t>化粪池处理</w:t>
                  </w:r>
                </w:p>
              </w:tc>
              <w:tc>
                <w:tcPr>
                  <w:tcW w:w="438" w:type="pct"/>
                  <w:vMerge w:val="restart"/>
                  <w:tcBorders>
                    <w:tl2br w:val="nil"/>
                    <w:tr2bl w:val="nil"/>
                  </w:tcBorders>
                  <w:vAlign w:val="center"/>
                </w:tcPr>
                <w:p w14:paraId="2D6DC97E">
                  <w:pPr>
                    <w:widowControl/>
                    <w:jc w:val="center"/>
                    <w:rPr>
                      <w:rFonts w:hint="default" w:ascii="Times New Roman" w:hAnsi="Times New Roman" w:cs="Times New Roman" w:eastAsiaTheme="minorEastAsia"/>
                      <w:color w:val="auto"/>
                      <w:kern w:val="0"/>
                      <w:sz w:val="21"/>
                      <w:szCs w:val="21"/>
                      <w:u w:val="none"/>
                    </w:rPr>
                  </w:pPr>
                  <w:r>
                    <w:rPr>
                      <w:rFonts w:hint="default" w:ascii="Times New Roman" w:hAnsi="Times New Roman" w:cs="Times New Roman" w:eastAsiaTheme="minorEastAsia"/>
                      <w:color w:val="auto"/>
                      <w:sz w:val="21"/>
                      <w:szCs w:val="21"/>
                      <w:u w:val="none"/>
                    </w:rPr>
                    <w:t>进</w:t>
                  </w:r>
                  <w:r>
                    <w:rPr>
                      <w:rFonts w:hint="default" w:ascii="Times New Roman" w:hAnsi="Times New Roman" w:cs="Times New Roman" w:eastAsiaTheme="minorEastAsia"/>
                      <w:color w:val="auto"/>
                      <w:sz w:val="21"/>
                      <w:szCs w:val="21"/>
                      <w:u w:val="none"/>
                      <w:lang w:eastAsia="zh-CN"/>
                    </w:rPr>
                    <w:t>龙潭镇</w:t>
                  </w:r>
                  <w:r>
                    <w:rPr>
                      <w:rFonts w:hint="default" w:ascii="Times New Roman" w:hAnsi="Times New Roman" w:cs="Times New Roman" w:eastAsiaTheme="minorEastAsia"/>
                      <w:color w:val="auto"/>
                      <w:sz w:val="21"/>
                      <w:szCs w:val="21"/>
                      <w:u w:val="none"/>
                    </w:rPr>
                    <w:t>污水处理厂处理</w:t>
                  </w:r>
                </w:p>
              </w:tc>
              <w:tc>
                <w:tcPr>
                  <w:tcW w:w="972" w:type="pct"/>
                  <w:tcBorders>
                    <w:tl2br w:val="nil"/>
                    <w:tr2bl w:val="nil"/>
                  </w:tcBorders>
                  <w:vAlign w:val="center"/>
                </w:tcPr>
                <w:p w14:paraId="5D32D651">
                  <w:pPr>
                    <w:widowControl/>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50</w:t>
                  </w:r>
                </w:p>
              </w:tc>
              <w:tc>
                <w:tcPr>
                  <w:tcW w:w="689" w:type="pct"/>
                  <w:tcBorders>
                    <w:tl2br w:val="nil"/>
                    <w:tr2bl w:val="nil"/>
                  </w:tcBorders>
                  <w:vAlign w:val="center"/>
                </w:tcPr>
                <w:p w14:paraId="03E6B7D2">
                  <w:pPr>
                    <w:keepNext w:val="0"/>
                    <w:keepLines w:val="0"/>
                    <w:widowControl/>
                    <w:suppressLineNumbers w:val="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0.097</w:t>
                  </w:r>
                  <w:r>
                    <w:rPr>
                      <w:rFonts w:hint="eastAsia" w:cs="Times New Roman"/>
                      <w:i w:val="0"/>
                      <w:iCs w:val="0"/>
                      <w:color w:val="auto"/>
                      <w:kern w:val="0"/>
                      <w:sz w:val="21"/>
                      <w:szCs w:val="21"/>
                      <w:u w:val="none"/>
                      <w:lang w:val="en-US" w:eastAsia="zh-CN" w:bidi="ar"/>
                    </w:rPr>
                    <w:t>8</w:t>
                  </w:r>
                </w:p>
              </w:tc>
            </w:tr>
            <w:tr w14:paraId="70E9F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rPr>
              <w:tc>
                <w:tcPr>
                  <w:tcW w:w="665" w:type="pct"/>
                  <w:vMerge w:val="continue"/>
                  <w:tcBorders>
                    <w:tl2br w:val="nil"/>
                    <w:tr2bl w:val="nil"/>
                  </w:tcBorders>
                  <w:vAlign w:val="center"/>
                </w:tcPr>
                <w:p w14:paraId="5AB0C455">
                  <w:pPr>
                    <w:widowControl/>
                    <w:jc w:val="center"/>
                    <w:rPr>
                      <w:rFonts w:hint="default" w:ascii="Times New Roman" w:hAnsi="Times New Roman" w:cs="Times New Roman" w:eastAsiaTheme="minorEastAsia"/>
                      <w:color w:val="auto"/>
                      <w:kern w:val="0"/>
                      <w:sz w:val="21"/>
                      <w:szCs w:val="21"/>
                      <w:u w:val="none"/>
                    </w:rPr>
                  </w:pPr>
                </w:p>
              </w:tc>
              <w:tc>
                <w:tcPr>
                  <w:tcW w:w="598" w:type="pct"/>
                  <w:tcBorders>
                    <w:tl2br w:val="nil"/>
                    <w:tr2bl w:val="nil"/>
                  </w:tcBorders>
                  <w:vAlign w:val="center"/>
                </w:tcPr>
                <w:p w14:paraId="00BA9D0E">
                  <w:pPr>
                    <w:widowControl/>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BOD</w:t>
                  </w:r>
                  <w:r>
                    <w:rPr>
                      <w:rFonts w:hint="default" w:ascii="Times New Roman" w:hAnsi="Times New Roman" w:cs="Times New Roman" w:eastAsiaTheme="minorEastAsia"/>
                      <w:color w:val="auto"/>
                      <w:sz w:val="21"/>
                      <w:szCs w:val="21"/>
                      <w:u w:val="none"/>
                      <w:vertAlign w:val="subscript"/>
                    </w:rPr>
                    <w:t>5</w:t>
                  </w:r>
                </w:p>
              </w:tc>
              <w:tc>
                <w:tcPr>
                  <w:tcW w:w="518" w:type="pct"/>
                  <w:tcBorders>
                    <w:tl2br w:val="nil"/>
                    <w:tr2bl w:val="nil"/>
                  </w:tcBorders>
                  <w:vAlign w:val="center"/>
                </w:tcPr>
                <w:p w14:paraId="358075CE">
                  <w:pPr>
                    <w:autoSpaceDN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200</w:t>
                  </w:r>
                </w:p>
              </w:tc>
              <w:tc>
                <w:tcPr>
                  <w:tcW w:w="534" w:type="pct"/>
                  <w:tcBorders>
                    <w:tl2br w:val="nil"/>
                    <w:tr2bl w:val="nil"/>
                  </w:tcBorders>
                  <w:vAlign w:val="center"/>
                </w:tcPr>
                <w:p w14:paraId="6B414E2D">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0.39</w:t>
                  </w:r>
                  <w:r>
                    <w:rPr>
                      <w:rFonts w:hint="eastAsia" w:cs="Times New Roman"/>
                      <w:i w:val="0"/>
                      <w:iCs w:val="0"/>
                      <w:color w:val="auto"/>
                      <w:kern w:val="0"/>
                      <w:sz w:val="21"/>
                      <w:szCs w:val="21"/>
                      <w:u w:val="none"/>
                      <w:lang w:val="en-US" w:eastAsia="zh-CN" w:bidi="ar"/>
                    </w:rPr>
                    <w:t>1</w:t>
                  </w:r>
                </w:p>
              </w:tc>
              <w:tc>
                <w:tcPr>
                  <w:tcW w:w="581" w:type="pct"/>
                  <w:vMerge w:val="continue"/>
                  <w:tcBorders>
                    <w:tl2br w:val="nil"/>
                    <w:tr2bl w:val="nil"/>
                  </w:tcBorders>
                  <w:vAlign w:val="center"/>
                </w:tcPr>
                <w:p w14:paraId="43A0B204">
                  <w:pPr>
                    <w:widowControl/>
                    <w:jc w:val="center"/>
                    <w:rPr>
                      <w:rFonts w:hint="default" w:ascii="Times New Roman" w:hAnsi="Times New Roman" w:cs="Times New Roman" w:eastAsiaTheme="minorEastAsia"/>
                      <w:color w:val="auto"/>
                      <w:sz w:val="21"/>
                      <w:szCs w:val="21"/>
                      <w:u w:val="none"/>
                    </w:rPr>
                  </w:pPr>
                </w:p>
              </w:tc>
              <w:tc>
                <w:tcPr>
                  <w:tcW w:w="438" w:type="pct"/>
                  <w:vMerge w:val="continue"/>
                  <w:tcBorders>
                    <w:tl2br w:val="nil"/>
                    <w:tr2bl w:val="nil"/>
                  </w:tcBorders>
                  <w:vAlign w:val="center"/>
                </w:tcPr>
                <w:p w14:paraId="1B970525">
                  <w:pPr>
                    <w:widowControl/>
                    <w:jc w:val="center"/>
                    <w:rPr>
                      <w:rFonts w:hint="default" w:ascii="Times New Roman" w:hAnsi="Times New Roman" w:cs="Times New Roman" w:eastAsiaTheme="minorEastAsia"/>
                      <w:color w:val="auto"/>
                      <w:kern w:val="0"/>
                      <w:sz w:val="21"/>
                      <w:szCs w:val="21"/>
                      <w:u w:val="none"/>
                    </w:rPr>
                  </w:pPr>
                </w:p>
              </w:tc>
              <w:tc>
                <w:tcPr>
                  <w:tcW w:w="972" w:type="pct"/>
                  <w:tcBorders>
                    <w:tl2br w:val="nil"/>
                    <w:tr2bl w:val="nil"/>
                  </w:tcBorders>
                  <w:vAlign w:val="center"/>
                </w:tcPr>
                <w:p w14:paraId="42F15C8A">
                  <w:pPr>
                    <w:widowControl/>
                    <w:jc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kern w:val="0"/>
                      <w:sz w:val="21"/>
                      <w:szCs w:val="21"/>
                      <w:u w:val="none"/>
                      <w:lang w:val="en-US" w:eastAsia="zh-CN"/>
                    </w:rPr>
                    <w:t>10</w:t>
                  </w:r>
                </w:p>
              </w:tc>
              <w:tc>
                <w:tcPr>
                  <w:tcW w:w="689" w:type="pct"/>
                  <w:tcBorders>
                    <w:tl2br w:val="nil"/>
                    <w:tr2bl w:val="nil"/>
                  </w:tcBorders>
                  <w:vAlign w:val="center"/>
                </w:tcPr>
                <w:p w14:paraId="2B57C7DC">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0.0195</w:t>
                  </w:r>
                </w:p>
              </w:tc>
            </w:tr>
            <w:tr w14:paraId="34285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rPr>
              <w:tc>
                <w:tcPr>
                  <w:tcW w:w="665" w:type="pct"/>
                  <w:vMerge w:val="continue"/>
                  <w:tcBorders>
                    <w:tl2br w:val="nil"/>
                    <w:tr2bl w:val="nil"/>
                  </w:tcBorders>
                  <w:vAlign w:val="center"/>
                </w:tcPr>
                <w:p w14:paraId="2F7B1807">
                  <w:pPr>
                    <w:widowControl/>
                    <w:jc w:val="center"/>
                    <w:rPr>
                      <w:rFonts w:hint="default" w:ascii="Times New Roman" w:hAnsi="Times New Roman" w:cs="Times New Roman" w:eastAsiaTheme="minorEastAsia"/>
                      <w:color w:val="auto"/>
                      <w:kern w:val="0"/>
                      <w:sz w:val="21"/>
                      <w:szCs w:val="21"/>
                      <w:u w:val="none"/>
                    </w:rPr>
                  </w:pPr>
                </w:p>
              </w:tc>
              <w:tc>
                <w:tcPr>
                  <w:tcW w:w="598" w:type="pct"/>
                  <w:tcBorders>
                    <w:tl2br w:val="nil"/>
                    <w:tr2bl w:val="nil"/>
                  </w:tcBorders>
                  <w:vAlign w:val="center"/>
                </w:tcPr>
                <w:p w14:paraId="09568A3F">
                  <w:pPr>
                    <w:widowControl/>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SS</w:t>
                  </w:r>
                </w:p>
              </w:tc>
              <w:tc>
                <w:tcPr>
                  <w:tcW w:w="518" w:type="pct"/>
                  <w:tcBorders>
                    <w:tl2br w:val="nil"/>
                    <w:tr2bl w:val="nil"/>
                  </w:tcBorders>
                  <w:vAlign w:val="center"/>
                </w:tcPr>
                <w:p w14:paraId="24C5A407">
                  <w:pPr>
                    <w:autoSpaceDN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120</w:t>
                  </w:r>
                </w:p>
              </w:tc>
              <w:tc>
                <w:tcPr>
                  <w:tcW w:w="534" w:type="pct"/>
                  <w:tcBorders>
                    <w:tl2br w:val="nil"/>
                    <w:tr2bl w:val="nil"/>
                  </w:tcBorders>
                  <w:vAlign w:val="center"/>
                </w:tcPr>
                <w:p w14:paraId="3D109D5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0.234</w:t>
                  </w:r>
                </w:p>
              </w:tc>
              <w:tc>
                <w:tcPr>
                  <w:tcW w:w="581" w:type="pct"/>
                  <w:vMerge w:val="continue"/>
                  <w:tcBorders>
                    <w:tl2br w:val="nil"/>
                    <w:tr2bl w:val="nil"/>
                  </w:tcBorders>
                  <w:vAlign w:val="center"/>
                </w:tcPr>
                <w:p w14:paraId="13BA7554">
                  <w:pPr>
                    <w:widowControl/>
                    <w:jc w:val="center"/>
                    <w:rPr>
                      <w:rFonts w:hint="default" w:ascii="Times New Roman" w:hAnsi="Times New Roman" w:cs="Times New Roman" w:eastAsiaTheme="minorEastAsia"/>
                      <w:color w:val="auto"/>
                      <w:sz w:val="21"/>
                      <w:szCs w:val="21"/>
                      <w:u w:val="none"/>
                    </w:rPr>
                  </w:pPr>
                </w:p>
              </w:tc>
              <w:tc>
                <w:tcPr>
                  <w:tcW w:w="438" w:type="pct"/>
                  <w:vMerge w:val="continue"/>
                  <w:tcBorders>
                    <w:tl2br w:val="nil"/>
                    <w:tr2bl w:val="nil"/>
                  </w:tcBorders>
                  <w:vAlign w:val="center"/>
                </w:tcPr>
                <w:p w14:paraId="4B58CD06">
                  <w:pPr>
                    <w:widowControl/>
                    <w:jc w:val="center"/>
                    <w:rPr>
                      <w:rFonts w:hint="default" w:ascii="Times New Roman" w:hAnsi="Times New Roman" w:cs="Times New Roman" w:eastAsiaTheme="minorEastAsia"/>
                      <w:color w:val="auto"/>
                      <w:kern w:val="0"/>
                      <w:sz w:val="21"/>
                      <w:szCs w:val="21"/>
                      <w:u w:val="none"/>
                    </w:rPr>
                  </w:pPr>
                </w:p>
              </w:tc>
              <w:tc>
                <w:tcPr>
                  <w:tcW w:w="972" w:type="pct"/>
                  <w:tcBorders>
                    <w:tl2br w:val="nil"/>
                    <w:tr2bl w:val="nil"/>
                  </w:tcBorders>
                  <w:vAlign w:val="center"/>
                </w:tcPr>
                <w:p w14:paraId="724D1954">
                  <w:pPr>
                    <w:widowControl/>
                    <w:jc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kern w:val="0"/>
                      <w:sz w:val="21"/>
                      <w:szCs w:val="21"/>
                      <w:u w:val="none"/>
                      <w:lang w:val="en-US" w:eastAsia="zh-CN"/>
                    </w:rPr>
                    <w:t>10</w:t>
                  </w:r>
                </w:p>
              </w:tc>
              <w:tc>
                <w:tcPr>
                  <w:tcW w:w="689" w:type="pct"/>
                  <w:tcBorders>
                    <w:tl2br w:val="nil"/>
                    <w:tr2bl w:val="nil"/>
                  </w:tcBorders>
                  <w:vAlign w:val="center"/>
                </w:tcPr>
                <w:p w14:paraId="02E4D85C">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0.0195</w:t>
                  </w:r>
                </w:p>
              </w:tc>
            </w:tr>
            <w:tr w14:paraId="7B28C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rPr>
              <w:tc>
                <w:tcPr>
                  <w:tcW w:w="665" w:type="pct"/>
                  <w:vMerge w:val="continue"/>
                  <w:tcBorders>
                    <w:tl2br w:val="nil"/>
                    <w:tr2bl w:val="nil"/>
                  </w:tcBorders>
                  <w:vAlign w:val="center"/>
                </w:tcPr>
                <w:p w14:paraId="5470100A">
                  <w:pPr>
                    <w:widowControl/>
                    <w:jc w:val="center"/>
                    <w:rPr>
                      <w:rFonts w:hint="default" w:ascii="Times New Roman" w:hAnsi="Times New Roman" w:cs="Times New Roman" w:eastAsiaTheme="minorEastAsia"/>
                      <w:color w:val="auto"/>
                      <w:kern w:val="0"/>
                      <w:sz w:val="21"/>
                      <w:szCs w:val="21"/>
                      <w:u w:val="none"/>
                    </w:rPr>
                  </w:pPr>
                </w:p>
              </w:tc>
              <w:tc>
                <w:tcPr>
                  <w:tcW w:w="598" w:type="pct"/>
                  <w:tcBorders>
                    <w:tl2br w:val="nil"/>
                    <w:tr2bl w:val="nil"/>
                  </w:tcBorders>
                  <w:vAlign w:val="center"/>
                </w:tcPr>
                <w:p w14:paraId="6E103360">
                  <w:pPr>
                    <w:widowControl/>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lang w:val="en-US" w:eastAsia="zh-CN"/>
                    </w:rPr>
                    <w:t>TN</w:t>
                  </w:r>
                </w:p>
              </w:tc>
              <w:tc>
                <w:tcPr>
                  <w:tcW w:w="518" w:type="pct"/>
                  <w:tcBorders>
                    <w:tl2br w:val="nil"/>
                    <w:tr2bl w:val="nil"/>
                  </w:tcBorders>
                  <w:vAlign w:val="center"/>
                </w:tcPr>
                <w:p w14:paraId="7307811D">
                  <w:pPr>
                    <w:autoSpaceDN w:val="0"/>
                    <w:jc w:val="center"/>
                    <w:textAlignment w:val="center"/>
                    <w:rPr>
                      <w:rFonts w:hint="default" w:ascii="Times New Roman" w:hAnsi="Times New Roman" w:cs="Times New Roman" w:eastAsiaTheme="minorEastAsia"/>
                      <w:color w:val="auto"/>
                      <w:sz w:val="21"/>
                      <w:szCs w:val="21"/>
                      <w:u w:val="none"/>
                      <w:lang w:val="en-US" w:eastAsia="zh-CN"/>
                    </w:rPr>
                  </w:pPr>
                  <w:r>
                    <w:rPr>
                      <w:rFonts w:hint="eastAsia" w:cs="Times New Roman" w:eastAsiaTheme="minorEastAsia"/>
                      <w:color w:val="auto"/>
                      <w:sz w:val="21"/>
                      <w:szCs w:val="21"/>
                      <w:u w:val="none"/>
                      <w:lang w:val="en-US" w:eastAsia="zh-CN"/>
                    </w:rPr>
                    <w:t>40</w:t>
                  </w:r>
                </w:p>
              </w:tc>
              <w:tc>
                <w:tcPr>
                  <w:tcW w:w="534" w:type="pct"/>
                  <w:tcBorders>
                    <w:tl2br w:val="nil"/>
                    <w:tr2bl w:val="nil"/>
                  </w:tcBorders>
                  <w:vAlign w:val="center"/>
                </w:tcPr>
                <w:p w14:paraId="5ACEC6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0.156</w:t>
                  </w:r>
                </w:p>
              </w:tc>
              <w:tc>
                <w:tcPr>
                  <w:tcW w:w="581" w:type="pct"/>
                  <w:vMerge w:val="continue"/>
                  <w:tcBorders>
                    <w:tl2br w:val="nil"/>
                    <w:tr2bl w:val="nil"/>
                  </w:tcBorders>
                  <w:vAlign w:val="center"/>
                </w:tcPr>
                <w:p w14:paraId="60EF3380">
                  <w:pPr>
                    <w:widowControl/>
                    <w:jc w:val="center"/>
                    <w:rPr>
                      <w:rFonts w:hint="default" w:ascii="Times New Roman" w:hAnsi="Times New Roman" w:cs="Times New Roman" w:eastAsiaTheme="minorEastAsia"/>
                      <w:color w:val="auto"/>
                      <w:sz w:val="21"/>
                      <w:szCs w:val="21"/>
                      <w:u w:val="none"/>
                    </w:rPr>
                  </w:pPr>
                </w:p>
              </w:tc>
              <w:tc>
                <w:tcPr>
                  <w:tcW w:w="438" w:type="pct"/>
                  <w:vMerge w:val="continue"/>
                  <w:tcBorders>
                    <w:tl2br w:val="nil"/>
                    <w:tr2bl w:val="nil"/>
                  </w:tcBorders>
                  <w:vAlign w:val="center"/>
                </w:tcPr>
                <w:p w14:paraId="553C96F2">
                  <w:pPr>
                    <w:widowControl/>
                    <w:jc w:val="center"/>
                    <w:rPr>
                      <w:rFonts w:hint="default" w:ascii="Times New Roman" w:hAnsi="Times New Roman" w:cs="Times New Roman" w:eastAsiaTheme="minorEastAsia"/>
                      <w:color w:val="auto"/>
                      <w:kern w:val="0"/>
                      <w:sz w:val="21"/>
                      <w:szCs w:val="21"/>
                      <w:u w:val="none"/>
                    </w:rPr>
                  </w:pPr>
                </w:p>
              </w:tc>
              <w:tc>
                <w:tcPr>
                  <w:tcW w:w="972" w:type="pct"/>
                  <w:tcBorders>
                    <w:tl2br w:val="nil"/>
                    <w:tr2bl w:val="nil"/>
                  </w:tcBorders>
                  <w:vAlign w:val="center"/>
                </w:tcPr>
                <w:p w14:paraId="663A590A">
                  <w:pPr>
                    <w:widowControl/>
                    <w:jc w:val="center"/>
                    <w:rPr>
                      <w:rFonts w:hint="default" w:ascii="Times New Roman" w:hAnsi="Times New Roman" w:cs="Times New Roman" w:eastAsiaTheme="minorEastAsia"/>
                      <w:color w:val="auto"/>
                      <w:kern w:val="0"/>
                      <w:sz w:val="21"/>
                      <w:szCs w:val="21"/>
                      <w:u w:val="none"/>
                      <w:lang w:val="en-US" w:eastAsia="zh-CN"/>
                    </w:rPr>
                  </w:pPr>
                  <w:r>
                    <w:rPr>
                      <w:rFonts w:hint="eastAsia" w:cs="Times New Roman" w:eastAsiaTheme="minorEastAsia"/>
                      <w:color w:val="auto"/>
                      <w:kern w:val="0"/>
                      <w:sz w:val="21"/>
                      <w:szCs w:val="21"/>
                      <w:u w:val="none"/>
                      <w:lang w:val="en-US" w:eastAsia="zh-CN"/>
                    </w:rPr>
                    <w:t>15</w:t>
                  </w:r>
                </w:p>
              </w:tc>
              <w:tc>
                <w:tcPr>
                  <w:tcW w:w="689" w:type="pct"/>
                  <w:tcBorders>
                    <w:tl2br w:val="nil"/>
                    <w:tr2bl w:val="nil"/>
                  </w:tcBorders>
                  <w:vAlign w:val="center"/>
                </w:tcPr>
                <w:p w14:paraId="5C2242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0.0293</w:t>
                  </w:r>
                </w:p>
              </w:tc>
            </w:tr>
            <w:tr w14:paraId="08425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rPr>
              <w:tc>
                <w:tcPr>
                  <w:tcW w:w="665" w:type="pct"/>
                  <w:vMerge w:val="continue"/>
                  <w:tcBorders>
                    <w:tl2br w:val="nil"/>
                    <w:tr2bl w:val="nil"/>
                  </w:tcBorders>
                  <w:vAlign w:val="center"/>
                </w:tcPr>
                <w:p w14:paraId="3D891741">
                  <w:pPr>
                    <w:widowControl/>
                    <w:jc w:val="center"/>
                    <w:rPr>
                      <w:rFonts w:hint="default" w:ascii="Times New Roman" w:hAnsi="Times New Roman" w:cs="Times New Roman" w:eastAsiaTheme="minorEastAsia"/>
                      <w:color w:val="auto"/>
                      <w:kern w:val="0"/>
                      <w:sz w:val="21"/>
                      <w:szCs w:val="21"/>
                      <w:u w:val="none"/>
                    </w:rPr>
                  </w:pPr>
                </w:p>
              </w:tc>
              <w:tc>
                <w:tcPr>
                  <w:tcW w:w="598" w:type="pct"/>
                  <w:tcBorders>
                    <w:tl2br w:val="nil"/>
                    <w:tr2bl w:val="nil"/>
                  </w:tcBorders>
                  <w:vAlign w:val="center"/>
                </w:tcPr>
                <w:p w14:paraId="44652E8A">
                  <w:pPr>
                    <w:widowControl/>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lang w:val="en-US" w:eastAsia="zh-CN"/>
                    </w:rPr>
                    <w:t>TP</w:t>
                  </w:r>
                </w:p>
              </w:tc>
              <w:tc>
                <w:tcPr>
                  <w:tcW w:w="518" w:type="pct"/>
                  <w:tcBorders>
                    <w:tl2br w:val="nil"/>
                    <w:tr2bl w:val="nil"/>
                  </w:tcBorders>
                  <w:vAlign w:val="center"/>
                </w:tcPr>
                <w:p w14:paraId="62BF1536">
                  <w:pPr>
                    <w:autoSpaceDN w:val="0"/>
                    <w:jc w:val="center"/>
                    <w:textAlignment w:val="center"/>
                    <w:rPr>
                      <w:rFonts w:hint="default" w:ascii="Times New Roman" w:hAnsi="Times New Roman" w:cs="Times New Roman" w:eastAsiaTheme="minorEastAsia"/>
                      <w:color w:val="auto"/>
                      <w:sz w:val="21"/>
                      <w:szCs w:val="21"/>
                      <w:u w:val="none"/>
                      <w:lang w:val="en-US" w:eastAsia="zh-CN"/>
                    </w:rPr>
                  </w:pPr>
                  <w:r>
                    <w:rPr>
                      <w:rFonts w:hint="eastAsia" w:cs="Times New Roman" w:eastAsiaTheme="minorEastAsia"/>
                      <w:color w:val="auto"/>
                      <w:sz w:val="21"/>
                      <w:szCs w:val="21"/>
                      <w:u w:val="none"/>
                      <w:lang w:val="en-US" w:eastAsia="zh-CN"/>
                    </w:rPr>
                    <w:t>5</w:t>
                  </w:r>
                </w:p>
              </w:tc>
              <w:tc>
                <w:tcPr>
                  <w:tcW w:w="534" w:type="pct"/>
                  <w:tcBorders>
                    <w:tl2br w:val="nil"/>
                    <w:tr2bl w:val="nil"/>
                  </w:tcBorders>
                  <w:vAlign w:val="center"/>
                </w:tcPr>
                <w:p w14:paraId="4ABD26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0.0156</w:t>
                  </w:r>
                </w:p>
              </w:tc>
              <w:tc>
                <w:tcPr>
                  <w:tcW w:w="581" w:type="pct"/>
                  <w:vMerge w:val="continue"/>
                  <w:tcBorders>
                    <w:tl2br w:val="nil"/>
                    <w:tr2bl w:val="nil"/>
                  </w:tcBorders>
                  <w:vAlign w:val="center"/>
                </w:tcPr>
                <w:p w14:paraId="6C6DB008">
                  <w:pPr>
                    <w:widowControl/>
                    <w:jc w:val="center"/>
                    <w:rPr>
                      <w:rFonts w:hint="default" w:ascii="Times New Roman" w:hAnsi="Times New Roman" w:cs="Times New Roman" w:eastAsiaTheme="minorEastAsia"/>
                      <w:color w:val="auto"/>
                      <w:sz w:val="21"/>
                      <w:szCs w:val="21"/>
                      <w:u w:val="none"/>
                    </w:rPr>
                  </w:pPr>
                </w:p>
              </w:tc>
              <w:tc>
                <w:tcPr>
                  <w:tcW w:w="438" w:type="pct"/>
                  <w:vMerge w:val="continue"/>
                  <w:tcBorders>
                    <w:tl2br w:val="nil"/>
                    <w:tr2bl w:val="nil"/>
                  </w:tcBorders>
                  <w:vAlign w:val="center"/>
                </w:tcPr>
                <w:p w14:paraId="1EC3B31D">
                  <w:pPr>
                    <w:widowControl/>
                    <w:jc w:val="center"/>
                    <w:rPr>
                      <w:rFonts w:hint="default" w:ascii="Times New Roman" w:hAnsi="Times New Roman" w:cs="Times New Roman" w:eastAsiaTheme="minorEastAsia"/>
                      <w:color w:val="auto"/>
                      <w:kern w:val="0"/>
                      <w:sz w:val="21"/>
                      <w:szCs w:val="21"/>
                      <w:u w:val="none"/>
                    </w:rPr>
                  </w:pPr>
                </w:p>
              </w:tc>
              <w:tc>
                <w:tcPr>
                  <w:tcW w:w="972" w:type="pct"/>
                  <w:tcBorders>
                    <w:tl2br w:val="nil"/>
                    <w:tr2bl w:val="nil"/>
                  </w:tcBorders>
                  <w:vAlign w:val="center"/>
                </w:tcPr>
                <w:p w14:paraId="33484902">
                  <w:pPr>
                    <w:widowControl/>
                    <w:jc w:val="center"/>
                    <w:rPr>
                      <w:rFonts w:hint="default" w:ascii="Times New Roman" w:hAnsi="Times New Roman" w:cs="Times New Roman" w:eastAsiaTheme="minorEastAsia"/>
                      <w:color w:val="auto"/>
                      <w:kern w:val="0"/>
                      <w:sz w:val="21"/>
                      <w:szCs w:val="21"/>
                      <w:u w:val="none"/>
                      <w:lang w:val="en-US" w:eastAsia="zh-CN"/>
                    </w:rPr>
                  </w:pPr>
                  <w:r>
                    <w:rPr>
                      <w:rFonts w:hint="eastAsia" w:cs="Times New Roman" w:eastAsiaTheme="minorEastAsia"/>
                      <w:color w:val="auto"/>
                      <w:kern w:val="0"/>
                      <w:sz w:val="21"/>
                      <w:szCs w:val="21"/>
                      <w:u w:val="none"/>
                      <w:lang w:val="en-US" w:eastAsia="zh-CN"/>
                    </w:rPr>
                    <w:t>0.5</w:t>
                  </w:r>
                </w:p>
              </w:tc>
              <w:tc>
                <w:tcPr>
                  <w:tcW w:w="689" w:type="pct"/>
                  <w:tcBorders>
                    <w:tl2br w:val="nil"/>
                    <w:tr2bl w:val="nil"/>
                  </w:tcBorders>
                  <w:vAlign w:val="center"/>
                </w:tcPr>
                <w:p w14:paraId="57274D8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0.00097</w:t>
                  </w:r>
                  <w:r>
                    <w:rPr>
                      <w:rFonts w:hint="eastAsia" w:ascii="Times New Roman" w:hAnsi="Times New Roman" w:eastAsia="宋体" w:cs="Times New Roman"/>
                      <w:i w:val="0"/>
                      <w:iCs w:val="0"/>
                      <w:color w:val="auto"/>
                      <w:kern w:val="0"/>
                      <w:sz w:val="21"/>
                      <w:szCs w:val="21"/>
                      <w:u w:val="none"/>
                      <w:lang w:val="en-US" w:eastAsia="zh-CN" w:bidi="ar"/>
                    </w:rPr>
                    <w:t>8</w:t>
                  </w:r>
                </w:p>
              </w:tc>
            </w:tr>
            <w:tr w14:paraId="27C2B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rPr>
              <w:tc>
                <w:tcPr>
                  <w:tcW w:w="665" w:type="pct"/>
                  <w:vMerge w:val="continue"/>
                  <w:tcBorders>
                    <w:tl2br w:val="nil"/>
                    <w:tr2bl w:val="nil"/>
                  </w:tcBorders>
                  <w:vAlign w:val="center"/>
                </w:tcPr>
                <w:p w14:paraId="468E1722">
                  <w:pPr>
                    <w:widowControl/>
                    <w:jc w:val="center"/>
                    <w:rPr>
                      <w:rFonts w:hint="default" w:ascii="Times New Roman" w:hAnsi="Times New Roman" w:cs="Times New Roman" w:eastAsiaTheme="minorEastAsia"/>
                      <w:color w:val="auto"/>
                      <w:kern w:val="0"/>
                      <w:sz w:val="21"/>
                      <w:szCs w:val="21"/>
                      <w:u w:val="none"/>
                    </w:rPr>
                  </w:pPr>
                </w:p>
              </w:tc>
              <w:tc>
                <w:tcPr>
                  <w:tcW w:w="598" w:type="pct"/>
                  <w:tcBorders>
                    <w:tl2br w:val="nil"/>
                    <w:tr2bl w:val="nil"/>
                  </w:tcBorders>
                  <w:vAlign w:val="center"/>
                </w:tcPr>
                <w:p w14:paraId="448DDEE6">
                  <w:pPr>
                    <w:widowControl/>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NH</w:t>
                  </w:r>
                  <w:r>
                    <w:rPr>
                      <w:rFonts w:hint="default" w:ascii="Times New Roman" w:hAnsi="Times New Roman" w:cs="Times New Roman" w:eastAsiaTheme="minorEastAsia"/>
                      <w:color w:val="auto"/>
                      <w:sz w:val="21"/>
                      <w:szCs w:val="21"/>
                      <w:u w:val="none"/>
                      <w:vertAlign w:val="subscript"/>
                    </w:rPr>
                    <w:t>3</w:t>
                  </w:r>
                  <w:r>
                    <w:rPr>
                      <w:rFonts w:hint="default" w:ascii="Times New Roman" w:hAnsi="Times New Roman" w:cs="Times New Roman" w:eastAsiaTheme="minorEastAsia"/>
                      <w:color w:val="auto"/>
                      <w:sz w:val="21"/>
                      <w:szCs w:val="21"/>
                      <w:u w:val="none"/>
                    </w:rPr>
                    <w:t>-N</w:t>
                  </w:r>
                </w:p>
              </w:tc>
              <w:tc>
                <w:tcPr>
                  <w:tcW w:w="518" w:type="pct"/>
                  <w:tcBorders>
                    <w:tl2br w:val="nil"/>
                    <w:tr2bl w:val="nil"/>
                  </w:tcBorders>
                  <w:vAlign w:val="center"/>
                </w:tcPr>
                <w:p w14:paraId="27AE3459">
                  <w:pPr>
                    <w:autoSpaceDN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30</w:t>
                  </w:r>
                </w:p>
              </w:tc>
              <w:tc>
                <w:tcPr>
                  <w:tcW w:w="534" w:type="pct"/>
                  <w:tcBorders>
                    <w:tl2br w:val="nil"/>
                    <w:tr2bl w:val="nil"/>
                  </w:tcBorders>
                  <w:vAlign w:val="center"/>
                </w:tcPr>
                <w:p w14:paraId="4E472F5F">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0.0586</w:t>
                  </w:r>
                </w:p>
              </w:tc>
              <w:tc>
                <w:tcPr>
                  <w:tcW w:w="581" w:type="pct"/>
                  <w:vMerge w:val="continue"/>
                  <w:tcBorders>
                    <w:tl2br w:val="nil"/>
                    <w:tr2bl w:val="nil"/>
                  </w:tcBorders>
                  <w:vAlign w:val="center"/>
                </w:tcPr>
                <w:p w14:paraId="3BDB3D18">
                  <w:pPr>
                    <w:widowControl/>
                    <w:jc w:val="center"/>
                    <w:rPr>
                      <w:rFonts w:hint="default" w:ascii="Times New Roman" w:hAnsi="Times New Roman" w:cs="Times New Roman" w:eastAsiaTheme="minorEastAsia"/>
                      <w:color w:val="auto"/>
                      <w:sz w:val="21"/>
                      <w:szCs w:val="21"/>
                      <w:u w:val="none"/>
                    </w:rPr>
                  </w:pPr>
                </w:p>
              </w:tc>
              <w:tc>
                <w:tcPr>
                  <w:tcW w:w="438" w:type="pct"/>
                  <w:vMerge w:val="continue"/>
                  <w:tcBorders>
                    <w:tl2br w:val="nil"/>
                    <w:tr2bl w:val="nil"/>
                  </w:tcBorders>
                  <w:vAlign w:val="center"/>
                </w:tcPr>
                <w:p w14:paraId="6E4E027E">
                  <w:pPr>
                    <w:widowControl/>
                    <w:jc w:val="center"/>
                    <w:rPr>
                      <w:rFonts w:hint="default" w:ascii="Times New Roman" w:hAnsi="Times New Roman" w:cs="Times New Roman" w:eastAsiaTheme="minorEastAsia"/>
                      <w:color w:val="auto"/>
                      <w:kern w:val="0"/>
                      <w:sz w:val="21"/>
                      <w:szCs w:val="21"/>
                      <w:u w:val="none"/>
                    </w:rPr>
                  </w:pPr>
                </w:p>
              </w:tc>
              <w:tc>
                <w:tcPr>
                  <w:tcW w:w="972" w:type="pct"/>
                  <w:tcBorders>
                    <w:tl2br w:val="nil"/>
                    <w:tr2bl w:val="nil"/>
                  </w:tcBorders>
                  <w:vAlign w:val="center"/>
                </w:tcPr>
                <w:p w14:paraId="55FE29B3">
                  <w:pPr>
                    <w:widowControl/>
                    <w:jc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kern w:val="0"/>
                      <w:sz w:val="21"/>
                      <w:szCs w:val="21"/>
                      <w:u w:val="none"/>
                      <w:lang w:val="en-US" w:eastAsia="zh-CN"/>
                    </w:rPr>
                    <w:t>5</w:t>
                  </w:r>
                </w:p>
              </w:tc>
              <w:tc>
                <w:tcPr>
                  <w:tcW w:w="689" w:type="pct"/>
                  <w:tcBorders>
                    <w:tl2br w:val="nil"/>
                    <w:tr2bl w:val="nil"/>
                  </w:tcBorders>
                  <w:vAlign w:val="center"/>
                </w:tcPr>
                <w:p w14:paraId="179746F3">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0.0097</w:t>
                  </w:r>
                  <w:r>
                    <w:rPr>
                      <w:rFonts w:hint="eastAsia" w:cs="Times New Roman"/>
                      <w:i w:val="0"/>
                      <w:iCs w:val="0"/>
                      <w:color w:val="auto"/>
                      <w:kern w:val="0"/>
                      <w:sz w:val="21"/>
                      <w:szCs w:val="21"/>
                      <w:u w:val="none"/>
                      <w:lang w:val="en-US" w:eastAsia="zh-CN" w:bidi="ar"/>
                    </w:rPr>
                    <w:t>8</w:t>
                  </w:r>
                </w:p>
              </w:tc>
            </w:tr>
            <w:tr w14:paraId="4234CE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80" w:hRule="atLeast"/>
              </w:trPr>
              <w:tc>
                <w:tcPr>
                  <w:tcW w:w="665" w:type="pct"/>
                  <w:vMerge w:val="continue"/>
                  <w:tcBorders>
                    <w:tl2br w:val="nil"/>
                    <w:tr2bl w:val="nil"/>
                  </w:tcBorders>
                  <w:vAlign w:val="center"/>
                </w:tcPr>
                <w:p w14:paraId="49EDA2C0">
                  <w:pPr>
                    <w:widowControl/>
                    <w:jc w:val="center"/>
                    <w:rPr>
                      <w:rFonts w:hint="default" w:ascii="Times New Roman" w:hAnsi="Times New Roman" w:cs="Times New Roman" w:eastAsiaTheme="minorEastAsia"/>
                      <w:color w:val="auto"/>
                      <w:kern w:val="0"/>
                      <w:sz w:val="21"/>
                      <w:szCs w:val="21"/>
                      <w:u w:val="none"/>
                    </w:rPr>
                  </w:pPr>
                </w:p>
              </w:tc>
              <w:tc>
                <w:tcPr>
                  <w:tcW w:w="598" w:type="pct"/>
                  <w:tcBorders>
                    <w:tl2br w:val="nil"/>
                    <w:tr2bl w:val="nil"/>
                  </w:tcBorders>
                  <w:vAlign w:val="center"/>
                </w:tcPr>
                <w:p w14:paraId="100A5E6D">
                  <w:pPr>
                    <w:widowControl/>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动植物油</w:t>
                  </w:r>
                </w:p>
              </w:tc>
              <w:tc>
                <w:tcPr>
                  <w:tcW w:w="518" w:type="pct"/>
                  <w:tcBorders>
                    <w:tl2br w:val="nil"/>
                    <w:tr2bl w:val="nil"/>
                  </w:tcBorders>
                  <w:vAlign w:val="center"/>
                </w:tcPr>
                <w:p w14:paraId="4F5E4C27">
                  <w:pPr>
                    <w:autoSpaceDN w:val="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20</w:t>
                  </w:r>
                </w:p>
              </w:tc>
              <w:tc>
                <w:tcPr>
                  <w:tcW w:w="534" w:type="pct"/>
                  <w:tcBorders>
                    <w:tl2br w:val="nil"/>
                    <w:tr2bl w:val="nil"/>
                  </w:tcBorders>
                  <w:vAlign w:val="center"/>
                </w:tcPr>
                <w:p w14:paraId="7F267312">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0.039</w:t>
                  </w:r>
                  <w:r>
                    <w:rPr>
                      <w:rFonts w:hint="eastAsia" w:cs="Times New Roman"/>
                      <w:i w:val="0"/>
                      <w:iCs w:val="0"/>
                      <w:color w:val="auto"/>
                      <w:kern w:val="0"/>
                      <w:sz w:val="21"/>
                      <w:szCs w:val="21"/>
                      <w:u w:val="none"/>
                      <w:lang w:val="en-US" w:eastAsia="zh-CN" w:bidi="ar"/>
                    </w:rPr>
                    <w:t>1</w:t>
                  </w:r>
                </w:p>
              </w:tc>
              <w:tc>
                <w:tcPr>
                  <w:tcW w:w="581" w:type="pct"/>
                  <w:vMerge w:val="continue"/>
                  <w:tcBorders>
                    <w:tl2br w:val="nil"/>
                    <w:tr2bl w:val="nil"/>
                  </w:tcBorders>
                  <w:vAlign w:val="center"/>
                </w:tcPr>
                <w:p w14:paraId="6C9CC099">
                  <w:pPr>
                    <w:widowControl/>
                    <w:jc w:val="center"/>
                    <w:rPr>
                      <w:rFonts w:hint="default" w:ascii="Times New Roman" w:hAnsi="Times New Roman" w:cs="Times New Roman" w:eastAsiaTheme="minorEastAsia"/>
                      <w:color w:val="auto"/>
                      <w:sz w:val="21"/>
                      <w:szCs w:val="21"/>
                      <w:u w:val="none"/>
                    </w:rPr>
                  </w:pPr>
                </w:p>
              </w:tc>
              <w:tc>
                <w:tcPr>
                  <w:tcW w:w="438" w:type="pct"/>
                  <w:vMerge w:val="continue"/>
                  <w:tcBorders>
                    <w:tl2br w:val="nil"/>
                    <w:tr2bl w:val="nil"/>
                  </w:tcBorders>
                  <w:vAlign w:val="center"/>
                </w:tcPr>
                <w:p w14:paraId="5CE10DDD">
                  <w:pPr>
                    <w:widowControl/>
                    <w:jc w:val="center"/>
                    <w:rPr>
                      <w:rFonts w:hint="default" w:ascii="Times New Roman" w:hAnsi="Times New Roman" w:cs="Times New Roman" w:eastAsiaTheme="minorEastAsia"/>
                      <w:color w:val="auto"/>
                      <w:kern w:val="0"/>
                      <w:sz w:val="21"/>
                      <w:szCs w:val="21"/>
                      <w:u w:val="none"/>
                    </w:rPr>
                  </w:pPr>
                </w:p>
              </w:tc>
              <w:tc>
                <w:tcPr>
                  <w:tcW w:w="972" w:type="pct"/>
                  <w:tcBorders>
                    <w:tl2br w:val="nil"/>
                    <w:tr2bl w:val="nil"/>
                  </w:tcBorders>
                  <w:vAlign w:val="center"/>
                </w:tcPr>
                <w:p w14:paraId="7D3E791C">
                  <w:pPr>
                    <w:widowControl/>
                    <w:jc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kern w:val="0"/>
                      <w:sz w:val="21"/>
                      <w:szCs w:val="21"/>
                      <w:u w:val="none"/>
                      <w:lang w:val="en-US" w:eastAsia="zh-CN"/>
                    </w:rPr>
                    <w:t>0.5</w:t>
                  </w:r>
                </w:p>
              </w:tc>
              <w:tc>
                <w:tcPr>
                  <w:tcW w:w="689" w:type="pct"/>
                  <w:tcBorders>
                    <w:tl2br w:val="nil"/>
                    <w:tr2bl w:val="nil"/>
                  </w:tcBorders>
                  <w:vAlign w:val="center"/>
                </w:tcPr>
                <w:p w14:paraId="7B3AB699">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0.00097</w:t>
                  </w:r>
                  <w:r>
                    <w:rPr>
                      <w:rFonts w:hint="eastAsia" w:cs="Times New Roman"/>
                      <w:i w:val="0"/>
                      <w:iCs w:val="0"/>
                      <w:color w:val="auto"/>
                      <w:kern w:val="0"/>
                      <w:sz w:val="21"/>
                      <w:szCs w:val="21"/>
                      <w:u w:val="none"/>
                      <w:lang w:val="en-US" w:eastAsia="zh-CN" w:bidi="ar"/>
                    </w:rPr>
                    <w:t>8</w:t>
                  </w:r>
                </w:p>
              </w:tc>
            </w:tr>
          </w:tbl>
          <w:p w14:paraId="131F9F25">
            <w:pPr>
              <w:pStyle w:val="82"/>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cs="Times New Roman"/>
                <w:b/>
                <w:color w:val="auto"/>
                <w:szCs w:val="24"/>
              </w:rPr>
            </w:pPr>
            <w:r>
              <w:rPr>
                <w:rFonts w:hint="eastAsia" w:cs="Times New Roman"/>
                <w:b/>
                <w:color w:val="auto"/>
                <w:szCs w:val="24"/>
                <w:lang w:eastAsia="zh-CN"/>
              </w:rPr>
              <w:t>（</w:t>
            </w:r>
            <w:r>
              <w:rPr>
                <w:rFonts w:hint="eastAsia" w:cs="Times New Roman"/>
                <w:b/>
                <w:color w:val="auto"/>
                <w:szCs w:val="24"/>
                <w:lang w:val="en-US" w:eastAsia="zh-CN"/>
              </w:rPr>
              <w:t>2</w:t>
            </w:r>
            <w:r>
              <w:rPr>
                <w:rFonts w:hint="eastAsia" w:cs="Times New Roman"/>
                <w:b/>
                <w:color w:val="auto"/>
                <w:szCs w:val="24"/>
                <w:lang w:eastAsia="zh-CN"/>
              </w:rPr>
              <w:t>）</w:t>
            </w:r>
            <w:r>
              <w:rPr>
                <w:b/>
                <w:bCs/>
                <w:color w:val="auto"/>
                <w:spacing w:val="-4"/>
                <w:sz w:val="24"/>
                <w:szCs w:val="24"/>
              </w:rPr>
              <w:t>废水措施可行性及影响分析</w:t>
            </w:r>
          </w:p>
          <w:p w14:paraId="7E2D6F53">
            <w:pPr>
              <w:pStyle w:val="8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Cs w:val="24"/>
                <w:u w:val="none"/>
                <w:lang w:val="en-US" w:eastAsia="zh-CN"/>
              </w:rPr>
            </w:pPr>
            <w:r>
              <w:rPr>
                <w:rFonts w:hint="eastAsia" w:cs="Times New Roman"/>
                <w:color w:val="auto"/>
                <w:szCs w:val="24"/>
                <w:u w:val="none"/>
                <w:lang w:val="en-US" w:eastAsia="zh-CN"/>
              </w:rPr>
              <w:t>1）食堂废水、其他生活污水</w:t>
            </w:r>
          </w:p>
          <w:p w14:paraId="6EED8737">
            <w:pPr>
              <w:pStyle w:val="82"/>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Cs w:val="24"/>
                <w:u w:val="none"/>
                <w:lang w:eastAsia="zh-CN"/>
              </w:rPr>
            </w:pPr>
            <w:r>
              <w:rPr>
                <w:rFonts w:hint="eastAsia" w:ascii="Times New Roman" w:hAnsi="Times New Roman" w:eastAsia="宋体" w:cs="Times New Roman"/>
                <w:color w:val="auto"/>
                <w:szCs w:val="24"/>
                <w:u w:val="none"/>
                <w:lang w:val="en-US" w:eastAsia="zh-CN"/>
              </w:rPr>
              <w:t>根据</w:t>
            </w:r>
            <w:r>
              <w:rPr>
                <w:rFonts w:hint="eastAsia" w:cs="Times New Roman"/>
                <w:color w:val="auto"/>
                <w:szCs w:val="24"/>
                <w:u w:val="none"/>
                <w:lang w:val="en-US" w:eastAsia="zh-CN"/>
              </w:rPr>
              <w:t>“</w:t>
            </w:r>
            <w:r>
              <w:rPr>
                <w:rFonts w:hint="eastAsia" w:ascii="Times New Roman" w:hAnsi="Times New Roman" w:eastAsia="宋体" w:cs="Times New Roman"/>
                <w:color w:val="auto"/>
                <w:szCs w:val="24"/>
                <w:u w:val="none"/>
                <w:lang w:val="en-US" w:eastAsia="zh-CN"/>
              </w:rPr>
              <w:t>《排污许可证申请与核发技术规范 总则》（</w:t>
            </w:r>
            <w:r>
              <w:rPr>
                <w:rFonts w:hint="default" w:ascii="Times New Roman" w:hAnsi="Times New Roman" w:eastAsia="宋体" w:cs="Times New Roman"/>
                <w:color w:val="auto"/>
                <w:szCs w:val="24"/>
                <w:u w:val="none"/>
                <w:lang w:val="en-US" w:eastAsia="zh-CN"/>
              </w:rPr>
              <w:t>HJ942-2018</w:t>
            </w:r>
            <w:r>
              <w:rPr>
                <w:rFonts w:hint="eastAsia" w:ascii="Times New Roman" w:hAnsi="Times New Roman" w:eastAsia="宋体" w:cs="Times New Roman"/>
                <w:color w:val="auto"/>
                <w:szCs w:val="24"/>
                <w:u w:val="none"/>
                <w:lang w:val="en-US" w:eastAsia="zh-CN"/>
              </w:rPr>
              <w:t>）中</w:t>
            </w:r>
            <w:r>
              <w:rPr>
                <w:rFonts w:hint="default" w:ascii="Times New Roman" w:hAnsi="Times New Roman" w:eastAsia="宋体" w:cs="Times New Roman"/>
                <w:color w:val="auto"/>
                <w:szCs w:val="24"/>
                <w:u w:val="none"/>
                <w:lang w:val="en-US" w:eastAsia="zh-CN"/>
              </w:rPr>
              <w:t>4.5.3.1</w:t>
            </w:r>
            <w:r>
              <w:rPr>
                <w:rFonts w:hint="eastAsia" w:cs="Times New Roman"/>
                <w:color w:val="auto"/>
                <w:szCs w:val="24"/>
                <w:u w:val="none"/>
                <w:lang w:val="en-US" w:eastAsia="zh-CN"/>
              </w:rPr>
              <w:t>”</w:t>
            </w:r>
            <w:r>
              <w:rPr>
                <w:rFonts w:hint="eastAsia" w:ascii="Times New Roman" w:hAnsi="Times New Roman" w:eastAsia="宋体" w:cs="Times New Roman"/>
                <w:color w:val="auto"/>
                <w:szCs w:val="24"/>
                <w:u w:val="none"/>
                <w:lang w:val="en-US" w:eastAsia="zh-CN"/>
              </w:rPr>
              <w:t>，生活污水防治工艺为</w:t>
            </w:r>
            <w:r>
              <w:rPr>
                <w:rFonts w:hint="eastAsia" w:cs="Times New Roman"/>
                <w:color w:val="auto"/>
                <w:szCs w:val="24"/>
                <w:u w:val="none"/>
                <w:lang w:val="en-US" w:eastAsia="zh-CN"/>
              </w:rPr>
              <w:t>“</w:t>
            </w:r>
            <w:r>
              <w:rPr>
                <w:rFonts w:hint="eastAsia" w:ascii="Times New Roman" w:hAnsi="Times New Roman" w:eastAsia="宋体" w:cs="Times New Roman"/>
                <w:color w:val="auto"/>
                <w:szCs w:val="24"/>
                <w:u w:val="none"/>
                <w:lang w:val="en-US" w:eastAsia="zh-CN"/>
              </w:rPr>
              <w:t>过滤、沉淀</w:t>
            </w:r>
            <w:r>
              <w:rPr>
                <w:rFonts w:hint="default" w:ascii="Times New Roman" w:hAnsi="Times New Roman" w:eastAsia="宋体" w:cs="Times New Roman"/>
                <w:color w:val="auto"/>
                <w:szCs w:val="24"/>
                <w:u w:val="none"/>
                <w:lang w:val="en-US" w:eastAsia="zh-CN"/>
              </w:rPr>
              <w:t>-</w:t>
            </w:r>
            <w:r>
              <w:rPr>
                <w:rFonts w:hint="eastAsia" w:ascii="Times New Roman" w:hAnsi="Times New Roman" w:eastAsia="宋体" w:cs="Times New Roman"/>
                <w:color w:val="auto"/>
                <w:szCs w:val="24"/>
                <w:u w:val="none"/>
                <w:lang w:val="en-US" w:eastAsia="zh-CN"/>
              </w:rPr>
              <w:t>活性污泥法、生物接触氧化、其他</w:t>
            </w:r>
            <w:r>
              <w:rPr>
                <w:rFonts w:hint="eastAsia" w:cs="Times New Roman"/>
                <w:color w:val="auto"/>
                <w:szCs w:val="24"/>
                <w:u w:val="none"/>
                <w:lang w:val="en-US" w:eastAsia="zh-CN"/>
              </w:rPr>
              <w:t>”</w:t>
            </w:r>
            <w:r>
              <w:rPr>
                <w:rFonts w:hint="eastAsia" w:ascii="Times New Roman" w:hAnsi="Times New Roman" w:eastAsia="宋体" w:cs="Times New Roman"/>
                <w:color w:val="auto"/>
                <w:szCs w:val="24"/>
                <w:u w:val="none"/>
                <w:lang w:val="en-US" w:eastAsia="zh-CN"/>
              </w:rPr>
              <w:t>等处理技术或其他。</w:t>
            </w:r>
          </w:p>
          <w:p w14:paraId="2BB09320">
            <w:pPr>
              <w:pStyle w:val="8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4"/>
                <w:u w:val="none"/>
              </w:rPr>
            </w:pPr>
            <w:r>
              <w:rPr>
                <w:rFonts w:hint="eastAsia" w:ascii="Times New Roman" w:hAnsi="Times New Roman" w:eastAsia="宋体" w:cs="Times New Roman"/>
                <w:color w:val="auto"/>
                <w:szCs w:val="24"/>
                <w:u w:val="none"/>
                <w:lang w:val="en-US" w:eastAsia="zh-CN"/>
              </w:rPr>
              <w:t>本项目生活污水拟经隔油隔渣池、化粪池预处理后再排入污水处理厂集中处理。经查阅相关资料，隔油隔渣池主要起沉淀、隔油的作用，对油类、悬浮物去除效率大约为</w:t>
            </w:r>
            <w:r>
              <w:rPr>
                <w:rFonts w:hint="default" w:ascii="Times New Roman" w:hAnsi="Times New Roman" w:eastAsia="宋体" w:cs="Times New Roman"/>
                <w:color w:val="auto"/>
                <w:szCs w:val="24"/>
                <w:u w:val="none"/>
                <w:lang w:val="en-US" w:eastAsia="zh-CN"/>
              </w:rPr>
              <w:t>40%</w:t>
            </w:r>
            <w:r>
              <w:rPr>
                <w:rFonts w:hint="eastAsia" w:ascii="Times New Roman" w:hAnsi="Times New Roman" w:eastAsia="宋体" w:cs="Times New Roman"/>
                <w:color w:val="auto"/>
                <w:szCs w:val="24"/>
                <w:u w:val="none"/>
                <w:lang w:val="en-US" w:eastAsia="zh-CN"/>
              </w:rPr>
              <w:t>；化粪池是一种利用沉淀和厌氧发酵的原理，去除生活污水中悬浮性有机物的处理设施，属于初级的过渡性生活处理构筑物。污水进入化粪池经过</w:t>
            </w:r>
            <w:r>
              <w:rPr>
                <w:rFonts w:hint="default" w:ascii="Times New Roman" w:hAnsi="Times New Roman" w:eastAsia="宋体" w:cs="Times New Roman"/>
                <w:color w:val="auto"/>
                <w:szCs w:val="24"/>
                <w:u w:val="none"/>
                <w:lang w:val="en-US" w:eastAsia="zh-CN"/>
              </w:rPr>
              <w:t>12</w:t>
            </w:r>
            <w:r>
              <w:rPr>
                <w:rFonts w:hint="eastAsia" w:ascii="Times New Roman" w:hAnsi="Times New Roman" w:eastAsia="宋体" w:cs="Times New Roman"/>
                <w:color w:val="auto"/>
                <w:szCs w:val="24"/>
                <w:u w:val="none"/>
                <w:lang w:val="en-US" w:eastAsia="zh-CN"/>
              </w:rPr>
              <w:t>～</w:t>
            </w:r>
            <w:r>
              <w:rPr>
                <w:rFonts w:hint="default" w:ascii="Times New Roman" w:hAnsi="Times New Roman" w:eastAsia="宋体" w:cs="Times New Roman"/>
                <w:color w:val="auto"/>
                <w:szCs w:val="24"/>
                <w:u w:val="none"/>
                <w:lang w:val="en-US" w:eastAsia="zh-CN"/>
              </w:rPr>
              <w:t>24h</w:t>
            </w:r>
            <w:r>
              <w:rPr>
                <w:rFonts w:hint="eastAsia" w:ascii="Times New Roman" w:hAnsi="Times New Roman" w:eastAsia="宋体" w:cs="Times New Roman"/>
                <w:color w:val="auto"/>
                <w:szCs w:val="24"/>
                <w:u w:val="none"/>
                <w:lang w:val="en-US" w:eastAsia="zh-CN"/>
              </w:rPr>
              <w:t>的沉淀，可去除</w:t>
            </w:r>
            <w:r>
              <w:rPr>
                <w:rFonts w:hint="default" w:ascii="Times New Roman" w:hAnsi="Times New Roman" w:eastAsia="宋体" w:cs="Times New Roman"/>
                <w:color w:val="auto"/>
                <w:szCs w:val="24"/>
                <w:u w:val="none"/>
                <w:lang w:val="en-US" w:eastAsia="zh-CN"/>
              </w:rPr>
              <w:t>50%</w:t>
            </w:r>
            <w:r>
              <w:rPr>
                <w:rFonts w:hint="eastAsia" w:ascii="Times New Roman" w:hAnsi="Times New Roman" w:eastAsia="宋体" w:cs="Times New Roman"/>
                <w:color w:val="auto"/>
                <w:szCs w:val="24"/>
                <w:u w:val="none"/>
                <w:lang w:val="en-US" w:eastAsia="zh-CN"/>
              </w:rPr>
              <w:t>～</w:t>
            </w:r>
            <w:r>
              <w:rPr>
                <w:rFonts w:hint="default" w:ascii="Times New Roman" w:hAnsi="Times New Roman" w:eastAsia="宋体" w:cs="Times New Roman"/>
                <w:color w:val="auto"/>
                <w:szCs w:val="24"/>
                <w:u w:val="none"/>
                <w:lang w:val="en-US" w:eastAsia="zh-CN"/>
              </w:rPr>
              <w:t>60%</w:t>
            </w:r>
            <w:r>
              <w:rPr>
                <w:rFonts w:hint="eastAsia" w:ascii="Times New Roman" w:hAnsi="Times New Roman" w:eastAsia="宋体" w:cs="Times New Roman"/>
                <w:color w:val="auto"/>
                <w:szCs w:val="24"/>
                <w:u w:val="none"/>
                <w:lang w:val="en-US" w:eastAsia="zh-CN"/>
              </w:rPr>
              <w:t>的悬浮物，</w:t>
            </w:r>
            <w:r>
              <w:rPr>
                <w:rFonts w:hint="default" w:ascii="Times New Roman" w:hAnsi="Times New Roman" w:eastAsia="宋体" w:cs="Times New Roman"/>
                <w:color w:val="auto"/>
                <w:szCs w:val="24"/>
                <w:u w:val="none"/>
                <w:lang w:val="en-US" w:eastAsia="zh-CN"/>
              </w:rPr>
              <w:t>10%</w:t>
            </w:r>
            <w:r>
              <w:rPr>
                <w:rFonts w:hint="eastAsia" w:ascii="Times New Roman" w:hAnsi="Times New Roman" w:eastAsia="宋体" w:cs="Times New Roman"/>
                <w:color w:val="auto"/>
                <w:szCs w:val="24"/>
                <w:u w:val="none"/>
                <w:lang w:val="en-US" w:eastAsia="zh-CN"/>
              </w:rPr>
              <w:t>～</w:t>
            </w:r>
            <w:r>
              <w:rPr>
                <w:rFonts w:hint="default" w:ascii="Times New Roman" w:hAnsi="Times New Roman" w:eastAsia="宋体" w:cs="Times New Roman"/>
                <w:color w:val="auto"/>
                <w:szCs w:val="24"/>
                <w:u w:val="none"/>
                <w:lang w:val="en-US" w:eastAsia="zh-CN"/>
              </w:rPr>
              <w:t>20%</w:t>
            </w:r>
            <w:r>
              <w:rPr>
                <w:rFonts w:hint="eastAsia" w:ascii="Times New Roman" w:hAnsi="Times New Roman" w:eastAsia="宋体" w:cs="Times New Roman"/>
                <w:color w:val="auto"/>
                <w:szCs w:val="24"/>
                <w:u w:val="none"/>
                <w:lang w:val="en-US" w:eastAsia="zh-CN"/>
              </w:rPr>
              <w:t>的</w:t>
            </w:r>
            <w:r>
              <w:rPr>
                <w:rFonts w:hint="default" w:ascii="Times New Roman" w:hAnsi="Times New Roman" w:eastAsia="宋体" w:cs="Times New Roman"/>
                <w:color w:val="auto"/>
                <w:szCs w:val="24"/>
                <w:u w:val="none"/>
                <w:lang w:val="en-US" w:eastAsia="zh-CN"/>
              </w:rPr>
              <w:t>COD</w:t>
            </w:r>
            <w:r>
              <w:rPr>
                <w:rFonts w:hint="default" w:ascii="Times New Roman" w:hAnsi="Times New Roman" w:eastAsia="宋体" w:cs="Times New Roman"/>
                <w:color w:val="auto"/>
                <w:szCs w:val="24"/>
                <w:u w:val="none"/>
                <w:vertAlign w:val="subscript"/>
                <w:lang w:val="en-US" w:eastAsia="zh-CN"/>
              </w:rPr>
              <w:t>Cr</w:t>
            </w:r>
            <w:r>
              <w:rPr>
                <w:rFonts w:hint="eastAsia" w:ascii="Times New Roman" w:hAnsi="Times New Roman" w:eastAsia="宋体" w:cs="Times New Roman"/>
                <w:color w:val="auto"/>
                <w:szCs w:val="24"/>
                <w:u w:val="none"/>
                <w:lang w:val="en-US" w:eastAsia="zh-CN"/>
              </w:rPr>
              <w:t>。由于本项目生活污水浓度本身不高，经过隔油隔渣池、化粪池处理后完全可达到《污水综合排放标准》（</w:t>
            </w:r>
            <w:r>
              <w:rPr>
                <w:rFonts w:hint="default" w:ascii="Times New Roman" w:hAnsi="Times New Roman" w:eastAsia="宋体" w:cs="Times New Roman"/>
                <w:color w:val="auto"/>
                <w:szCs w:val="24"/>
                <w:u w:val="none"/>
                <w:lang w:val="en-US" w:eastAsia="zh-CN"/>
              </w:rPr>
              <w:t>GB8978-1996</w:t>
            </w:r>
            <w:r>
              <w:rPr>
                <w:rFonts w:hint="eastAsia" w:ascii="Times New Roman" w:hAnsi="Times New Roman" w:eastAsia="宋体" w:cs="Times New Roman"/>
                <w:color w:val="auto"/>
                <w:szCs w:val="24"/>
                <w:u w:val="none"/>
                <w:lang w:val="en-US" w:eastAsia="zh-CN"/>
              </w:rPr>
              <w:t>）表4三级标准</w:t>
            </w:r>
            <w:r>
              <w:rPr>
                <w:rFonts w:hint="eastAsia" w:cs="Times New Roman"/>
                <w:color w:val="FF0000"/>
                <w:kern w:val="0"/>
                <w:sz w:val="24"/>
                <w:lang w:val="en-US" w:eastAsia="zh-CN"/>
              </w:rPr>
              <w:t>及龙潭镇污水处理厂进水水质标准中较严格的限值</w:t>
            </w:r>
            <w:r>
              <w:rPr>
                <w:rFonts w:hint="eastAsia" w:ascii="Times New Roman" w:hAnsi="Times New Roman" w:eastAsia="宋体" w:cs="Times New Roman"/>
                <w:color w:val="auto"/>
                <w:szCs w:val="24"/>
                <w:u w:val="none"/>
                <w:lang w:val="en-US" w:eastAsia="zh-CN"/>
              </w:rPr>
              <w:t>。纳入</w:t>
            </w:r>
            <w:r>
              <w:rPr>
                <w:rFonts w:hint="eastAsia" w:cs="Times New Roman"/>
                <w:color w:val="auto"/>
                <w:szCs w:val="24"/>
                <w:u w:val="none"/>
                <w:lang w:val="en-US" w:eastAsia="zh-CN"/>
              </w:rPr>
              <w:t>龙</w:t>
            </w:r>
            <w:r>
              <w:rPr>
                <w:rFonts w:hint="eastAsia" w:ascii="Times New Roman" w:hAnsi="Times New Roman" w:cs="Times New Roman"/>
                <w:color w:val="auto"/>
                <w:szCs w:val="24"/>
                <w:u w:val="none"/>
                <w:lang w:val="en-US" w:eastAsia="zh-CN"/>
              </w:rPr>
              <w:t>潭镇</w:t>
            </w:r>
            <w:r>
              <w:rPr>
                <w:rFonts w:hint="eastAsia" w:cs="Times New Roman"/>
                <w:color w:val="auto"/>
                <w:szCs w:val="24"/>
                <w:u w:val="none"/>
                <w:lang w:val="en-US" w:eastAsia="zh-CN"/>
              </w:rPr>
              <w:t>污水处理厂</w:t>
            </w:r>
            <w:r>
              <w:rPr>
                <w:rFonts w:hint="eastAsia" w:ascii="Times New Roman" w:hAnsi="Times New Roman" w:cs="Times New Roman"/>
                <w:color w:val="auto"/>
                <w:szCs w:val="24"/>
                <w:u w:val="none"/>
                <w:lang w:val="en-US" w:eastAsia="zh-CN"/>
              </w:rPr>
              <w:t>综合处理对其冲击不大。</w:t>
            </w:r>
          </w:p>
          <w:p w14:paraId="01E3DA47">
            <w:pPr>
              <w:pStyle w:val="82"/>
              <w:rPr>
                <w:rFonts w:hint="eastAsia" w:cs="Times New Roman"/>
                <w:color w:val="auto"/>
                <w:szCs w:val="24"/>
                <w:u w:val="single"/>
                <w:lang w:val="en-US" w:eastAsia="zh-CN"/>
              </w:rPr>
            </w:pPr>
            <w:r>
              <w:rPr>
                <w:rFonts w:hint="eastAsia" w:cs="Times New Roman"/>
                <w:color w:val="auto"/>
                <w:szCs w:val="24"/>
                <w:u w:val="single"/>
                <w:lang w:val="en-US" w:eastAsia="zh-CN"/>
              </w:rPr>
              <w:t>2）设备清洗废水</w:t>
            </w:r>
          </w:p>
          <w:p w14:paraId="32F52073">
            <w:pPr>
              <w:pStyle w:val="82"/>
              <w:rPr>
                <w:rFonts w:hint="default" w:cs="Times New Roman"/>
                <w:color w:val="auto"/>
                <w:szCs w:val="24"/>
                <w:u w:val="single"/>
                <w:lang w:val="en-US" w:eastAsia="zh-CN"/>
              </w:rPr>
            </w:pPr>
            <w:r>
              <w:rPr>
                <w:rFonts w:hint="eastAsia" w:cs="Times New Roman"/>
                <w:color w:val="auto"/>
                <w:szCs w:val="24"/>
                <w:u w:val="single"/>
                <w:lang w:val="en-US" w:eastAsia="zh-CN"/>
              </w:rPr>
              <w:t>本项目</w:t>
            </w:r>
            <w:r>
              <w:rPr>
                <w:rFonts w:hint="eastAsia" w:eastAsia="宋体" w:cs="Times New Roman"/>
                <w:b w:val="0"/>
                <w:bCs w:val="0"/>
                <w:color w:val="auto"/>
                <w:sz w:val="24"/>
                <w:highlight w:val="none"/>
                <w:u w:val="single"/>
                <w:vertAlign w:val="baseline"/>
                <w:lang w:val="en-US" w:eastAsia="zh-CN"/>
              </w:rPr>
              <w:t>设备清洗废水</w:t>
            </w:r>
            <w:r>
              <w:rPr>
                <w:rFonts w:hint="eastAsia" w:ascii="Times New Roman" w:hAnsi="Times New Roman" w:eastAsia="宋体" w:cs="Times New Roman"/>
                <w:b w:val="0"/>
                <w:bCs w:val="0"/>
                <w:color w:val="auto"/>
                <w:sz w:val="24"/>
                <w:highlight w:val="none"/>
                <w:u w:val="single"/>
                <w:vertAlign w:val="baseline"/>
                <w:lang w:val="en-US" w:eastAsia="zh-CN"/>
              </w:rPr>
              <w:t>主要污染物为COD、BOD</w:t>
            </w:r>
            <w:r>
              <w:rPr>
                <w:rFonts w:hint="eastAsia" w:ascii="Times New Roman" w:hAnsi="Times New Roman" w:eastAsia="宋体" w:cs="Times New Roman"/>
                <w:b w:val="0"/>
                <w:bCs w:val="0"/>
                <w:color w:val="auto"/>
                <w:sz w:val="24"/>
                <w:highlight w:val="none"/>
                <w:u w:val="single"/>
                <w:vertAlign w:val="subscript"/>
                <w:lang w:val="en-US" w:eastAsia="zh-CN"/>
              </w:rPr>
              <w:t>5</w:t>
            </w:r>
            <w:r>
              <w:rPr>
                <w:rFonts w:hint="eastAsia" w:ascii="Times New Roman" w:hAnsi="Times New Roman" w:eastAsia="宋体" w:cs="Times New Roman"/>
                <w:b w:val="0"/>
                <w:bCs w:val="0"/>
                <w:color w:val="auto"/>
                <w:sz w:val="24"/>
                <w:highlight w:val="none"/>
                <w:u w:val="single"/>
                <w:vertAlign w:val="baseline"/>
                <w:lang w:val="en-US" w:eastAsia="zh-CN"/>
              </w:rPr>
              <w:t>、SS</w:t>
            </w:r>
            <w:r>
              <w:rPr>
                <w:rFonts w:hint="eastAsia" w:eastAsia="宋体" w:cs="Times New Roman"/>
                <w:b w:val="0"/>
                <w:bCs w:val="0"/>
                <w:color w:val="auto"/>
                <w:sz w:val="24"/>
                <w:highlight w:val="none"/>
                <w:u w:val="single"/>
                <w:vertAlign w:val="baseline"/>
                <w:lang w:val="en-US" w:eastAsia="zh-CN"/>
              </w:rPr>
              <w:t>，废水浓度不高、水质与生活污水类似，且产生量少，与生活污水一并进化粪池处理不会影响化粪池处理效率。</w:t>
            </w:r>
          </w:p>
          <w:p w14:paraId="12067B5F">
            <w:pPr>
              <w:pStyle w:val="82"/>
              <w:rPr>
                <w:rFonts w:hint="eastAsia" w:cs="Times New Roman"/>
                <w:color w:val="auto"/>
                <w:szCs w:val="24"/>
                <w:u w:val="single"/>
                <w:lang w:val="en-US" w:eastAsia="zh-CN"/>
              </w:rPr>
            </w:pPr>
            <w:r>
              <w:rPr>
                <w:rFonts w:hint="eastAsia" w:cs="Times New Roman"/>
                <w:color w:val="auto"/>
                <w:szCs w:val="24"/>
                <w:u w:val="single"/>
                <w:lang w:val="en-US" w:eastAsia="zh-CN"/>
              </w:rPr>
              <w:t>3）原料清洗废水</w:t>
            </w:r>
          </w:p>
          <w:p w14:paraId="44F07DB9">
            <w:pPr>
              <w:pStyle w:val="82"/>
              <w:rPr>
                <w:rFonts w:hint="eastAsia" w:ascii="Times New Roman" w:hAnsi="Times New Roman" w:eastAsia="宋体" w:cs="Times New Roman"/>
                <w:color w:val="FF0000"/>
                <w:sz w:val="24"/>
                <w:highlight w:val="none"/>
                <w:u w:val="single"/>
                <w:lang w:val="en-US" w:eastAsia="zh-CN"/>
              </w:rPr>
            </w:pPr>
            <w:r>
              <w:rPr>
                <w:rFonts w:hint="eastAsia" w:ascii="Times New Roman" w:hAnsi="Times New Roman" w:eastAsia="宋体" w:cs="Times New Roman"/>
                <w:color w:val="auto"/>
                <w:sz w:val="24"/>
                <w:u w:val="single"/>
                <w:lang w:val="en-US" w:eastAsia="zh-CN"/>
              </w:rPr>
              <w:t>本项目使用原料鲜品经种植基地和合作农户清洗后送到本项目原料车间，车间清洗时，因鲜品不含其他污染物，</w:t>
            </w:r>
            <w:r>
              <w:rPr>
                <w:rFonts w:hint="eastAsia" w:ascii="Times New Roman" w:hAnsi="Times New Roman" w:eastAsia="宋体" w:cs="Times New Roman"/>
                <w:color w:val="auto"/>
                <w:sz w:val="24"/>
                <w:highlight w:val="none"/>
                <w:u w:val="single"/>
                <w:lang w:val="en-US" w:eastAsia="zh-CN"/>
              </w:rPr>
              <w:t>清洗废水仅含SS</w:t>
            </w:r>
            <w:r>
              <w:rPr>
                <w:rFonts w:hint="eastAsia" w:cs="Times New Roman"/>
                <w:color w:val="auto"/>
                <w:sz w:val="24"/>
                <w:highlight w:val="none"/>
                <w:u w:val="single"/>
                <w:lang w:val="en-US" w:eastAsia="zh-CN"/>
              </w:rPr>
              <w:t>；制软水</w:t>
            </w:r>
            <w:r>
              <w:rPr>
                <w:color w:val="auto"/>
                <w:spacing w:val="-2"/>
                <w:highlight w:val="none"/>
                <w:u w:val="single"/>
              </w:rPr>
              <w:t>废</w:t>
            </w:r>
            <w:r>
              <w:rPr>
                <w:rFonts w:hint="eastAsia" w:ascii="Times New Roman" w:hAnsi="Times New Roman" w:eastAsia="宋体" w:cs="Times New Roman"/>
                <w:bCs/>
                <w:color w:val="auto"/>
                <w:sz w:val="24"/>
                <w:highlight w:val="none"/>
                <w:u w:val="single"/>
                <w:lang w:val="en-US" w:eastAsia="zh-CN"/>
              </w:rPr>
              <w:t>水中以钙</w:t>
            </w:r>
            <w:r>
              <w:rPr>
                <w:rFonts w:hint="eastAsia" w:cs="Times New Roman"/>
                <w:bCs/>
                <w:color w:val="auto"/>
                <w:highlight w:val="none"/>
                <w:u w:val="single"/>
                <w:lang w:val="en-US" w:eastAsia="zh-CN"/>
              </w:rPr>
              <w:t>、</w:t>
            </w:r>
            <w:r>
              <w:rPr>
                <w:rFonts w:hint="eastAsia" w:ascii="Times New Roman" w:hAnsi="Times New Roman" w:eastAsia="宋体" w:cs="Times New Roman"/>
                <w:bCs/>
                <w:color w:val="auto"/>
                <w:sz w:val="24"/>
                <w:highlight w:val="none"/>
                <w:u w:val="single"/>
                <w:lang w:val="en-US" w:eastAsia="zh-CN"/>
              </w:rPr>
              <w:t>镁离子为主，并伴有少量悬浮物</w:t>
            </w:r>
            <w:r>
              <w:rPr>
                <w:rFonts w:hint="eastAsia" w:cs="Times New Roman"/>
                <w:color w:val="auto"/>
                <w:sz w:val="24"/>
                <w:highlight w:val="none"/>
                <w:u w:val="single"/>
                <w:lang w:val="en-US" w:eastAsia="zh-CN"/>
              </w:rPr>
              <w:t>，</w:t>
            </w:r>
            <w:r>
              <w:rPr>
                <w:rFonts w:hint="eastAsia" w:ascii="Times New Roman" w:hAnsi="Times New Roman" w:eastAsia="宋体" w:cs="Times New Roman"/>
                <w:color w:val="auto"/>
                <w:sz w:val="24"/>
                <w:u w:val="single"/>
                <w:lang w:val="en-US" w:eastAsia="zh-CN"/>
              </w:rPr>
              <w:t>仅含SS，产生浓度约为300mg/L，经不少于24小时的沉淀后，SS浓度小于20mg/L，可达到清洗用水回用要求</w:t>
            </w:r>
            <w:r>
              <w:rPr>
                <w:rFonts w:hint="eastAsia" w:eastAsia="宋体" w:cs="Times New Roman"/>
                <w:color w:val="auto"/>
                <w:sz w:val="24"/>
                <w:u w:val="single"/>
                <w:lang w:val="en-US" w:eastAsia="zh-CN"/>
              </w:rPr>
              <w:t>，其余外排废水</w:t>
            </w:r>
            <w:r>
              <w:rPr>
                <w:rFonts w:hint="eastAsia" w:ascii="Times New Roman" w:hAnsi="Times New Roman" w:eastAsia="宋体" w:cs="Times New Roman"/>
                <w:color w:val="auto"/>
                <w:szCs w:val="24"/>
                <w:highlight w:val="none"/>
                <w:u w:val="single"/>
                <w:lang w:val="en-US" w:eastAsia="zh-CN"/>
              </w:rPr>
              <w:t>可达到《污水综合排放标准》（</w:t>
            </w:r>
            <w:r>
              <w:rPr>
                <w:rFonts w:hint="default" w:ascii="Times New Roman" w:hAnsi="Times New Roman" w:eastAsia="宋体" w:cs="Times New Roman"/>
                <w:color w:val="auto"/>
                <w:szCs w:val="24"/>
                <w:highlight w:val="none"/>
                <w:u w:val="single"/>
                <w:lang w:val="en-US" w:eastAsia="zh-CN"/>
              </w:rPr>
              <w:t>GB8978-1996</w:t>
            </w:r>
            <w:r>
              <w:rPr>
                <w:rFonts w:hint="eastAsia" w:ascii="Times New Roman" w:hAnsi="Times New Roman" w:eastAsia="宋体" w:cs="Times New Roman"/>
                <w:color w:val="auto"/>
                <w:szCs w:val="24"/>
                <w:highlight w:val="none"/>
                <w:u w:val="single"/>
                <w:lang w:val="en-US" w:eastAsia="zh-CN"/>
              </w:rPr>
              <w:t>）表4三级标准</w:t>
            </w:r>
            <w:r>
              <w:rPr>
                <w:rFonts w:hint="eastAsia" w:cs="Times New Roman"/>
                <w:color w:val="FF0000"/>
                <w:kern w:val="0"/>
                <w:sz w:val="24"/>
                <w:u w:val="single"/>
                <w:lang w:val="en-US" w:eastAsia="zh-CN"/>
              </w:rPr>
              <w:t>及龙潭镇污水处理厂进水水质标准中较严格的限值</w:t>
            </w:r>
            <w:r>
              <w:rPr>
                <w:rFonts w:hint="eastAsia" w:ascii="Times New Roman" w:hAnsi="Times New Roman" w:eastAsia="宋体" w:cs="Times New Roman"/>
                <w:color w:val="FF0000"/>
                <w:szCs w:val="24"/>
                <w:highlight w:val="none"/>
                <w:u w:val="single"/>
                <w:lang w:val="en-US" w:eastAsia="zh-CN"/>
              </w:rPr>
              <w:t>。</w:t>
            </w:r>
          </w:p>
          <w:p w14:paraId="25E03B17">
            <w:pPr>
              <w:pStyle w:val="82"/>
              <w:rPr>
                <w:rFonts w:hint="default" w:ascii="Times New Roman" w:hAnsi="Times New Roman" w:eastAsia="宋体" w:cs="Times New Roman"/>
                <w:color w:val="auto"/>
                <w:szCs w:val="24"/>
                <w:u w:val="none"/>
                <w:lang w:eastAsia="zh-CN"/>
              </w:rPr>
            </w:pPr>
            <w:r>
              <w:rPr>
                <w:rFonts w:hint="eastAsia" w:cs="Times New Roman"/>
                <w:color w:val="auto"/>
                <w:szCs w:val="24"/>
                <w:u w:val="none"/>
                <w:lang w:val="en-US" w:eastAsia="zh-CN"/>
              </w:rPr>
              <w:t>综上，</w:t>
            </w:r>
            <w:r>
              <w:rPr>
                <w:rFonts w:hint="eastAsia" w:ascii="Times New Roman" w:hAnsi="Times New Roman" w:eastAsia="宋体" w:cs="Times New Roman"/>
                <w:color w:val="auto"/>
                <w:szCs w:val="24"/>
                <w:u w:val="none"/>
                <w:lang w:eastAsia="zh-CN"/>
              </w:rPr>
              <w:t>本项目</w:t>
            </w:r>
            <w:r>
              <w:rPr>
                <w:rFonts w:hint="eastAsia" w:ascii="Times New Roman" w:hAnsi="Times New Roman" w:eastAsia="宋体" w:cs="Times New Roman"/>
                <w:color w:val="auto"/>
                <w:szCs w:val="24"/>
                <w:u w:val="none"/>
                <w:lang w:val="en-US" w:eastAsia="zh-CN"/>
              </w:rPr>
              <w:t>废水处理技术</w:t>
            </w:r>
            <w:r>
              <w:rPr>
                <w:rFonts w:hint="eastAsia" w:ascii="Times New Roman" w:hAnsi="Times New Roman" w:eastAsia="宋体" w:cs="Times New Roman"/>
                <w:color w:val="auto"/>
                <w:szCs w:val="24"/>
                <w:u w:val="none"/>
                <w:lang w:eastAsia="zh-CN"/>
              </w:rPr>
              <w:t>为可行技术。</w:t>
            </w:r>
          </w:p>
          <w:p w14:paraId="4CD4B417">
            <w:pPr>
              <w:pStyle w:val="82"/>
              <w:ind w:firstLine="482"/>
              <w:rPr>
                <w:rFonts w:hint="default" w:ascii="Times New Roman" w:hAnsi="Times New Roman" w:cs="Times New Roman"/>
                <w:b/>
                <w:color w:val="auto"/>
                <w:szCs w:val="24"/>
              </w:rPr>
            </w:pPr>
            <w:r>
              <w:rPr>
                <w:rFonts w:hint="eastAsia" w:cs="Times New Roman"/>
                <w:b/>
                <w:color w:val="auto"/>
                <w:szCs w:val="24"/>
                <w:lang w:eastAsia="zh-CN"/>
              </w:rPr>
              <w:t>（</w:t>
            </w:r>
            <w:r>
              <w:rPr>
                <w:rFonts w:hint="eastAsia" w:cs="Times New Roman"/>
                <w:b/>
                <w:color w:val="auto"/>
                <w:szCs w:val="24"/>
                <w:lang w:val="en-US" w:eastAsia="zh-CN"/>
              </w:rPr>
              <w:t>3</w:t>
            </w:r>
            <w:r>
              <w:rPr>
                <w:rFonts w:hint="eastAsia" w:cs="Times New Roman"/>
                <w:b/>
                <w:color w:val="auto"/>
                <w:szCs w:val="24"/>
                <w:lang w:eastAsia="zh-CN"/>
              </w:rPr>
              <w:t>）</w:t>
            </w:r>
            <w:r>
              <w:rPr>
                <w:rFonts w:hint="default" w:ascii="Times New Roman" w:hAnsi="Times New Roman" w:eastAsia="宋体" w:cs="Times New Roman"/>
                <w:b/>
                <w:bCs/>
                <w:color w:val="auto"/>
                <w:sz w:val="24"/>
                <w:szCs w:val="32"/>
                <w:lang w:val="en-US" w:eastAsia="zh-CN"/>
              </w:rPr>
              <w:t>废水进入龙潭镇污水处理厂的可行性分析</w:t>
            </w:r>
          </w:p>
          <w:p w14:paraId="57E1E44B">
            <w:pPr>
              <w:pStyle w:val="82"/>
              <w:rPr>
                <w:rFonts w:hint="default" w:ascii="Times New Roman" w:hAnsi="Times New Roman" w:cs="Times New Roman"/>
                <w:bCs/>
                <w:color w:val="auto"/>
                <w:szCs w:val="24"/>
                <w:u w:val="none"/>
              </w:rPr>
            </w:pPr>
            <w:r>
              <w:rPr>
                <w:rFonts w:hint="default" w:ascii="Times New Roman" w:hAnsi="Times New Roman" w:cs="Times New Roman"/>
                <w:bCs/>
                <w:color w:val="auto"/>
                <w:szCs w:val="24"/>
                <w:u w:val="none"/>
              </w:rPr>
              <w:t>本项目污水进入</w:t>
            </w:r>
            <w:r>
              <w:rPr>
                <w:rFonts w:hint="default" w:ascii="Times New Roman" w:hAnsi="Times New Roman" w:cs="Times New Roman"/>
                <w:bCs/>
                <w:color w:val="auto"/>
                <w:szCs w:val="24"/>
                <w:u w:val="none"/>
                <w:lang w:eastAsia="zh-CN"/>
              </w:rPr>
              <w:t>龙潭镇</w:t>
            </w:r>
            <w:r>
              <w:rPr>
                <w:rFonts w:hint="default" w:ascii="Times New Roman" w:hAnsi="Times New Roman" w:cs="Times New Roman"/>
                <w:bCs/>
                <w:color w:val="auto"/>
                <w:szCs w:val="24"/>
                <w:u w:val="none"/>
              </w:rPr>
              <w:t>污水处理厂进行处理，经处理达到《城镇污水处理厂污染物排放标准》</w:t>
            </w:r>
            <w:r>
              <w:rPr>
                <w:rFonts w:hint="default" w:ascii="Times New Roman" w:hAnsi="Times New Roman" w:cs="Times New Roman"/>
                <w:bCs/>
                <w:color w:val="auto"/>
                <w:szCs w:val="24"/>
                <w:u w:val="none"/>
                <w:lang w:eastAsia="zh-CN"/>
              </w:rPr>
              <w:t>（</w:t>
            </w:r>
            <w:r>
              <w:rPr>
                <w:rFonts w:hint="default" w:ascii="Times New Roman" w:hAnsi="Times New Roman" w:cs="Times New Roman"/>
                <w:bCs/>
                <w:color w:val="auto"/>
                <w:szCs w:val="24"/>
                <w:u w:val="none"/>
                <w:lang w:val="en-US" w:eastAsia="zh-CN"/>
              </w:rPr>
              <w:t>GB18918-2002</w:t>
            </w:r>
            <w:r>
              <w:rPr>
                <w:rFonts w:hint="default" w:ascii="Times New Roman" w:hAnsi="Times New Roman" w:cs="Times New Roman"/>
                <w:bCs/>
                <w:color w:val="auto"/>
                <w:szCs w:val="24"/>
                <w:u w:val="none"/>
                <w:lang w:eastAsia="zh-CN"/>
              </w:rPr>
              <w:t>）</w:t>
            </w:r>
            <w:r>
              <w:rPr>
                <w:rFonts w:hint="default" w:ascii="Times New Roman" w:hAnsi="Times New Roman" w:cs="Times New Roman"/>
                <w:bCs/>
                <w:color w:val="auto"/>
                <w:szCs w:val="24"/>
                <w:u w:val="none"/>
              </w:rPr>
              <w:t>一级A标准后，排入</w:t>
            </w:r>
            <w:r>
              <w:rPr>
                <w:rFonts w:hint="default" w:ascii="Times New Roman" w:hAnsi="Times New Roman" w:cs="Times New Roman"/>
                <w:bCs/>
                <w:color w:val="auto"/>
                <w:szCs w:val="24"/>
                <w:u w:val="none"/>
                <w:lang w:eastAsia="zh-CN"/>
              </w:rPr>
              <w:t>二都河</w:t>
            </w:r>
            <w:r>
              <w:rPr>
                <w:rFonts w:hint="default" w:ascii="Times New Roman" w:hAnsi="Times New Roman" w:cs="Times New Roman"/>
                <w:bCs/>
                <w:color w:val="auto"/>
                <w:szCs w:val="24"/>
                <w:u w:val="none"/>
              </w:rPr>
              <w:t>。</w:t>
            </w:r>
          </w:p>
          <w:p w14:paraId="6DAB0F69">
            <w:pPr>
              <w:pStyle w:val="29"/>
              <w:spacing w:before="0" w:beforeAutospacing="0" w:after="0" w:afterAutospacing="0" w:line="360" w:lineRule="auto"/>
              <w:ind w:firstLine="480" w:firstLineChars="200"/>
              <w:jc w:val="both"/>
              <w:rPr>
                <w:rFonts w:hint="default" w:ascii="Times New Roman" w:hAnsi="Times New Roman" w:cs="Times New Roman"/>
                <w:bCs/>
                <w:color w:val="auto"/>
                <w:kern w:val="2"/>
                <w:szCs w:val="24"/>
                <w:u w:val="none"/>
                <w:lang w:val="en-US" w:eastAsia="zh-CN"/>
              </w:rPr>
            </w:pPr>
            <w:r>
              <w:rPr>
                <w:rFonts w:hint="default" w:ascii="Times New Roman" w:hAnsi="Times New Roman" w:cs="Times New Roman"/>
                <w:bCs/>
                <w:color w:val="auto"/>
                <w:kern w:val="2"/>
                <w:szCs w:val="24"/>
                <w:u w:val="none"/>
                <w:lang w:val="en-US" w:eastAsia="zh-CN"/>
              </w:rPr>
              <w:t>龙潭镇污水处理厂位于龙潭镇莲荷村，占地6155.84m</w:t>
            </w:r>
            <w:r>
              <w:rPr>
                <w:rFonts w:hint="default" w:ascii="Times New Roman" w:hAnsi="Times New Roman" w:cs="Times New Roman"/>
                <w:bCs/>
                <w:color w:val="auto"/>
                <w:kern w:val="2"/>
                <w:szCs w:val="24"/>
                <w:u w:val="none"/>
                <w:vertAlign w:val="superscript"/>
                <w:lang w:val="en-US" w:eastAsia="zh-CN"/>
              </w:rPr>
              <w:t>2</w:t>
            </w:r>
            <w:r>
              <w:rPr>
                <w:rFonts w:hint="default" w:ascii="Times New Roman" w:hAnsi="Times New Roman" w:cs="Times New Roman"/>
                <w:bCs/>
                <w:color w:val="auto"/>
                <w:kern w:val="2"/>
                <w:szCs w:val="24"/>
                <w:u w:val="none"/>
                <w:lang w:val="en-US" w:eastAsia="zh-CN"/>
              </w:rPr>
              <w:t>，总投资1707.39万元，设计日处理城市生活污水</w:t>
            </w:r>
            <w:r>
              <w:rPr>
                <w:rFonts w:hint="eastAsia" w:ascii="Times New Roman" w:hAnsi="Times New Roman" w:cs="Times New Roman"/>
                <w:bCs/>
                <w:color w:val="auto"/>
                <w:kern w:val="2"/>
                <w:szCs w:val="24"/>
                <w:u w:val="none"/>
                <w:lang w:val="en-US" w:eastAsia="zh-CN"/>
              </w:rPr>
              <w:t>2500</w:t>
            </w:r>
            <w:r>
              <w:rPr>
                <w:rFonts w:hint="default" w:ascii="Times New Roman" w:hAnsi="Times New Roman" w:cs="Times New Roman"/>
                <w:bCs/>
                <w:color w:val="auto"/>
                <w:kern w:val="2"/>
                <w:szCs w:val="24"/>
                <w:u w:val="none"/>
                <w:lang w:val="en-US" w:eastAsia="zh-CN"/>
              </w:rPr>
              <w:t>m</w:t>
            </w:r>
            <w:r>
              <w:rPr>
                <w:rFonts w:hint="default" w:ascii="Times New Roman" w:hAnsi="Times New Roman" w:cs="Times New Roman"/>
                <w:bCs/>
                <w:color w:val="auto"/>
                <w:kern w:val="2"/>
                <w:szCs w:val="24"/>
                <w:u w:val="none"/>
                <w:vertAlign w:val="superscript"/>
                <w:lang w:val="en-US" w:eastAsia="zh-CN"/>
              </w:rPr>
              <w:t>3</w:t>
            </w:r>
            <w:r>
              <w:rPr>
                <w:rFonts w:hint="default" w:ascii="Times New Roman" w:hAnsi="Times New Roman" w:cs="Times New Roman"/>
                <w:bCs/>
                <w:color w:val="auto"/>
                <w:kern w:val="2"/>
                <w:szCs w:val="24"/>
                <w:u w:val="none"/>
                <w:lang w:val="en-US" w:eastAsia="zh-CN"/>
              </w:rPr>
              <w:t>/d，采用水解+A</w:t>
            </w:r>
            <w:r>
              <w:rPr>
                <w:rFonts w:hint="default" w:ascii="Times New Roman" w:hAnsi="Times New Roman" w:cs="Times New Roman"/>
                <w:bCs/>
                <w:color w:val="auto"/>
                <w:kern w:val="2"/>
                <w:szCs w:val="24"/>
                <w:u w:val="none"/>
                <w:vertAlign w:val="superscript"/>
                <w:lang w:val="en-US" w:eastAsia="zh-CN"/>
              </w:rPr>
              <w:t>2</w:t>
            </w:r>
            <w:r>
              <w:rPr>
                <w:rFonts w:hint="default" w:ascii="Times New Roman" w:hAnsi="Times New Roman" w:cs="Times New Roman"/>
                <w:bCs/>
                <w:color w:val="auto"/>
                <w:kern w:val="2"/>
                <w:szCs w:val="24"/>
                <w:u w:val="none"/>
                <w:lang w:val="en-US" w:eastAsia="zh-CN"/>
              </w:rPr>
              <w:t>O池+四阀滤池处理工艺，设计进水水质COD≤300mg/L、BOD</w:t>
            </w:r>
            <w:r>
              <w:rPr>
                <w:rFonts w:hint="default" w:ascii="Times New Roman" w:hAnsi="Times New Roman" w:cs="Times New Roman"/>
                <w:bCs/>
                <w:color w:val="auto"/>
                <w:kern w:val="2"/>
                <w:szCs w:val="24"/>
                <w:u w:val="none"/>
                <w:vertAlign w:val="subscript"/>
                <w:lang w:val="en-US" w:eastAsia="zh-CN"/>
              </w:rPr>
              <w:t>5</w:t>
            </w:r>
            <w:r>
              <w:rPr>
                <w:rFonts w:hint="default" w:ascii="Times New Roman" w:hAnsi="Times New Roman" w:cs="Times New Roman"/>
                <w:bCs/>
                <w:color w:val="auto"/>
                <w:kern w:val="2"/>
                <w:szCs w:val="24"/>
                <w:u w:val="none"/>
                <w:lang w:val="en-US" w:eastAsia="zh-CN"/>
              </w:rPr>
              <w:t>≤150mg/L、SS≤200mg/L、TP≤4.0mg/L、TN≤32mg/L、NH</w:t>
            </w:r>
            <w:r>
              <w:rPr>
                <w:rFonts w:hint="default" w:ascii="Times New Roman" w:hAnsi="Times New Roman" w:cs="Times New Roman"/>
                <w:bCs/>
                <w:color w:val="auto"/>
                <w:kern w:val="2"/>
                <w:szCs w:val="24"/>
                <w:u w:val="none"/>
                <w:vertAlign w:val="subscript"/>
                <w:lang w:val="en-US" w:eastAsia="zh-CN"/>
              </w:rPr>
              <w:t>3</w:t>
            </w:r>
            <w:r>
              <w:rPr>
                <w:rFonts w:hint="default" w:ascii="Times New Roman" w:hAnsi="Times New Roman" w:cs="Times New Roman"/>
                <w:bCs/>
                <w:color w:val="auto"/>
                <w:kern w:val="2"/>
                <w:szCs w:val="24"/>
                <w:u w:val="none"/>
                <w:lang w:val="en-US" w:eastAsia="zh-CN"/>
              </w:rPr>
              <w:t>-N≤20mg/L。服务范围为龙潭镇现已建成城区内的生活污水，服务人口约28000人。</w:t>
            </w:r>
            <w:r>
              <w:rPr>
                <w:rFonts w:hint="eastAsia" w:ascii="Times New Roman" w:hAnsi="Times New Roman" w:cs="Times New Roman"/>
                <w:bCs/>
                <w:color w:val="auto"/>
                <w:kern w:val="2"/>
                <w:szCs w:val="24"/>
                <w:u w:val="none"/>
                <w:lang w:val="en-US" w:eastAsia="zh-CN"/>
              </w:rPr>
              <w:t>于2021年7月30取得环评批复，2022年11月完工通水调试，2024年2月完成竣工验收。</w:t>
            </w:r>
          </w:p>
          <w:p w14:paraId="6132AE91">
            <w:pPr>
              <w:pStyle w:val="82"/>
              <w:jc w:val="both"/>
              <w:rPr>
                <w:rFonts w:hint="default" w:ascii="Times New Roman" w:hAnsi="Times New Roman" w:cs="Times New Roman"/>
                <w:bCs/>
                <w:color w:val="auto"/>
                <w:szCs w:val="24"/>
                <w:u w:val="none"/>
              </w:rPr>
            </w:pPr>
            <w:r>
              <w:rPr>
                <w:rFonts w:hint="default" w:ascii="Times New Roman" w:hAnsi="Times New Roman" w:cs="Times New Roman"/>
                <w:bCs/>
                <w:color w:val="auto"/>
                <w:szCs w:val="24"/>
                <w:u w:val="none"/>
              </w:rPr>
              <w:t>本项目所在</w:t>
            </w:r>
            <w:r>
              <w:rPr>
                <w:rFonts w:hint="eastAsia" w:cs="Times New Roman"/>
                <w:bCs/>
                <w:color w:val="auto"/>
                <w:szCs w:val="24"/>
                <w:u w:val="none"/>
                <w:lang w:val="en-US" w:eastAsia="zh-CN"/>
              </w:rPr>
              <w:t>区域</w:t>
            </w:r>
            <w:r>
              <w:rPr>
                <w:rFonts w:hint="default" w:ascii="Times New Roman" w:hAnsi="Times New Roman" w:cs="Times New Roman"/>
                <w:bCs/>
                <w:color w:val="auto"/>
                <w:szCs w:val="24"/>
                <w:u w:val="none"/>
              </w:rPr>
              <w:t>属于龙潭镇污水处理厂的纳污范围其城市污水管网已建成投入使用</w:t>
            </w:r>
            <w:r>
              <w:rPr>
                <w:rFonts w:hint="eastAsia" w:ascii="Times New Roman" w:hAnsi="Times New Roman" w:cs="Times New Roman"/>
                <w:bCs/>
                <w:color w:val="auto"/>
                <w:szCs w:val="24"/>
                <w:u w:val="none"/>
                <w:lang w:eastAsia="zh-CN"/>
              </w:rPr>
              <w:t>，剩余容量约</w:t>
            </w:r>
            <w:r>
              <w:rPr>
                <w:rFonts w:hint="eastAsia" w:ascii="Times New Roman" w:hAnsi="Times New Roman" w:cs="Times New Roman"/>
                <w:bCs/>
                <w:color w:val="auto"/>
                <w:szCs w:val="24"/>
                <w:u w:val="none"/>
                <w:lang w:val="en-US" w:eastAsia="zh-CN"/>
              </w:rPr>
              <w:t>1000</w:t>
            </w:r>
            <w:r>
              <w:rPr>
                <w:rFonts w:hint="default" w:ascii="Times New Roman" w:hAnsi="Times New Roman" w:cs="Times New Roman"/>
                <w:bCs/>
                <w:color w:val="auto"/>
                <w:kern w:val="2"/>
                <w:szCs w:val="24"/>
                <w:u w:val="none"/>
                <w:lang w:val="en-US" w:eastAsia="zh-CN"/>
              </w:rPr>
              <w:t>m</w:t>
            </w:r>
            <w:r>
              <w:rPr>
                <w:rFonts w:hint="default" w:ascii="Times New Roman" w:hAnsi="Times New Roman" w:cs="Times New Roman"/>
                <w:bCs/>
                <w:color w:val="auto"/>
                <w:kern w:val="2"/>
                <w:szCs w:val="24"/>
                <w:u w:val="none"/>
                <w:vertAlign w:val="superscript"/>
                <w:lang w:val="en-US" w:eastAsia="zh-CN"/>
              </w:rPr>
              <w:t>3</w:t>
            </w:r>
            <w:r>
              <w:rPr>
                <w:rFonts w:hint="default" w:ascii="Times New Roman" w:hAnsi="Times New Roman" w:cs="Times New Roman"/>
                <w:bCs/>
                <w:color w:val="auto"/>
                <w:kern w:val="2"/>
                <w:szCs w:val="24"/>
                <w:u w:val="none"/>
                <w:lang w:val="en-US" w:eastAsia="zh-CN"/>
              </w:rPr>
              <w:t>/d</w:t>
            </w:r>
            <w:r>
              <w:rPr>
                <w:rFonts w:hint="default" w:ascii="Times New Roman" w:hAnsi="Times New Roman" w:cs="Times New Roman"/>
                <w:bCs/>
                <w:color w:val="auto"/>
                <w:szCs w:val="24"/>
                <w:u w:val="none"/>
              </w:rPr>
              <w:t>。本项目</w:t>
            </w:r>
            <w:r>
              <w:rPr>
                <w:rFonts w:hint="eastAsia" w:cs="Times New Roman"/>
                <w:bCs/>
                <w:color w:val="auto"/>
                <w:szCs w:val="24"/>
                <w:u w:val="none"/>
                <w:lang w:val="en-US" w:eastAsia="zh-CN"/>
              </w:rPr>
              <w:t>综合废水日最大</w:t>
            </w:r>
            <w:r>
              <w:rPr>
                <w:rFonts w:hint="default" w:ascii="Times New Roman" w:hAnsi="Times New Roman" w:cs="Times New Roman"/>
                <w:bCs/>
                <w:color w:val="auto"/>
                <w:szCs w:val="24"/>
                <w:u w:val="none"/>
              </w:rPr>
              <w:t>排放量约</w:t>
            </w:r>
            <w:r>
              <w:rPr>
                <w:rFonts w:hint="eastAsia" w:cs="Times New Roman"/>
                <w:bCs/>
                <w:color w:val="auto"/>
                <w:szCs w:val="24"/>
                <w:highlight w:val="none"/>
                <w:u w:val="none"/>
                <w:lang w:val="en-US" w:eastAsia="zh-CN"/>
              </w:rPr>
              <w:t>23.5</w:t>
            </w:r>
            <w:r>
              <w:rPr>
                <w:rFonts w:hint="default" w:ascii="Times New Roman" w:hAnsi="Times New Roman" w:cs="Times New Roman"/>
                <w:bCs/>
                <w:color w:val="auto"/>
                <w:szCs w:val="24"/>
                <w:highlight w:val="none"/>
                <w:u w:val="none"/>
              </w:rPr>
              <w:t>m³/d，</w:t>
            </w:r>
            <w:r>
              <w:rPr>
                <w:rFonts w:hint="default" w:ascii="Times New Roman" w:hAnsi="Times New Roman" w:cs="Times New Roman"/>
                <w:bCs/>
                <w:color w:val="auto"/>
                <w:szCs w:val="24"/>
                <w:u w:val="none"/>
              </w:rPr>
              <w:t>从处理规模和现状分析，龙潭镇污水处理厂可以接纳本项目产生的</w:t>
            </w:r>
            <w:r>
              <w:rPr>
                <w:rFonts w:hint="default" w:ascii="Times New Roman" w:hAnsi="Times New Roman" w:cs="Times New Roman"/>
                <w:bCs/>
                <w:color w:val="auto"/>
                <w:szCs w:val="24"/>
                <w:u w:val="none"/>
                <w:lang w:eastAsia="zh-CN"/>
              </w:rPr>
              <w:t>综合污水</w:t>
            </w:r>
            <w:r>
              <w:rPr>
                <w:rFonts w:hint="default" w:ascii="Times New Roman" w:hAnsi="Times New Roman" w:cs="Times New Roman"/>
                <w:bCs/>
                <w:color w:val="auto"/>
                <w:szCs w:val="24"/>
                <w:u w:val="none"/>
              </w:rPr>
              <w:t>。</w:t>
            </w:r>
            <w:r>
              <w:rPr>
                <w:rFonts w:hint="default" w:ascii="Times New Roman" w:hAnsi="Times New Roman" w:cs="Times New Roman"/>
                <w:bCs/>
                <w:color w:val="auto"/>
                <w:szCs w:val="24"/>
                <w:u w:val="single"/>
              </w:rPr>
              <w:t>本项目</w:t>
            </w:r>
            <w:r>
              <w:rPr>
                <w:rFonts w:hint="default" w:ascii="Times New Roman" w:hAnsi="Times New Roman" w:cs="Times New Roman"/>
                <w:bCs/>
                <w:color w:val="auto"/>
                <w:szCs w:val="24"/>
                <w:u w:val="single"/>
                <w:lang w:eastAsia="zh-CN"/>
              </w:rPr>
              <w:t>综合污水</w:t>
            </w:r>
            <w:r>
              <w:rPr>
                <w:rFonts w:hint="default" w:ascii="Times New Roman" w:hAnsi="Times New Roman" w:cs="Times New Roman"/>
                <w:bCs/>
                <w:color w:val="auto"/>
                <w:szCs w:val="24"/>
                <w:u w:val="single"/>
              </w:rPr>
              <w:t>满足龙潭镇污水处理厂设计进水水质要求</w:t>
            </w:r>
            <w:r>
              <w:rPr>
                <w:rFonts w:hint="eastAsia" w:cs="Times New Roman"/>
                <w:bCs/>
                <w:color w:val="auto"/>
                <w:szCs w:val="24"/>
                <w:u w:val="single"/>
                <w:lang w:eastAsia="zh-CN"/>
              </w:rPr>
              <w:t>，</w:t>
            </w:r>
            <w:r>
              <w:rPr>
                <w:rFonts w:hint="eastAsia" w:cs="Times New Roman"/>
                <w:bCs/>
                <w:color w:val="auto"/>
                <w:szCs w:val="24"/>
                <w:u w:val="single"/>
                <w:lang w:val="en-US" w:eastAsia="zh-CN"/>
              </w:rPr>
              <w:t>且溆浦县龙潭镇人民政府出具了本项目运营期产生的污水可进入龙潭镇污水处理厂的纳污证明，详见附件12</w:t>
            </w:r>
            <w:r>
              <w:rPr>
                <w:rFonts w:hint="default" w:ascii="Times New Roman" w:hAnsi="Times New Roman" w:cs="Times New Roman"/>
                <w:bCs/>
                <w:color w:val="auto"/>
                <w:szCs w:val="24"/>
                <w:u w:val="single"/>
              </w:rPr>
              <w:t>。</w:t>
            </w:r>
          </w:p>
          <w:p w14:paraId="7AC2A345">
            <w:pPr>
              <w:pStyle w:val="82"/>
              <w:rPr>
                <w:rFonts w:hint="default" w:ascii="Times New Roman" w:hAnsi="Times New Roman" w:cs="Times New Roman"/>
                <w:bCs/>
                <w:color w:val="auto"/>
                <w:szCs w:val="24"/>
                <w:u w:val="none"/>
              </w:rPr>
            </w:pPr>
            <w:r>
              <w:rPr>
                <w:rFonts w:hint="default" w:ascii="Times New Roman" w:hAnsi="Times New Roman" w:cs="Times New Roman"/>
                <w:bCs/>
                <w:color w:val="auto"/>
                <w:szCs w:val="24"/>
                <w:u w:val="none"/>
              </w:rPr>
              <w:t>综上所述，项目依托措施可行，措施有效，对地表水环境影响较小。</w:t>
            </w:r>
          </w:p>
          <w:p w14:paraId="0CFFF72B">
            <w:pPr>
              <w:spacing w:line="360" w:lineRule="auto"/>
              <w:ind w:firstLine="422" w:firstLineChars="200"/>
              <w:rPr>
                <w:b/>
                <w:bCs/>
                <w:snapToGrid w:val="0"/>
                <w:color w:val="auto"/>
                <w:kern w:val="0"/>
                <w:sz w:val="24"/>
              </w:rPr>
            </w:pPr>
            <w:r>
              <w:rPr>
                <w:rFonts w:hint="eastAsia" w:cs="Times New Roman"/>
                <w:b/>
                <w:color w:val="auto"/>
                <w:szCs w:val="24"/>
                <w:lang w:eastAsia="zh-CN"/>
              </w:rPr>
              <w:t>（</w:t>
            </w:r>
            <w:r>
              <w:rPr>
                <w:rFonts w:hint="eastAsia" w:cs="Times New Roman"/>
                <w:b/>
                <w:color w:val="auto"/>
                <w:szCs w:val="24"/>
                <w:lang w:val="en-US" w:eastAsia="zh-CN"/>
              </w:rPr>
              <w:t>4</w:t>
            </w:r>
            <w:r>
              <w:rPr>
                <w:rFonts w:hint="eastAsia" w:cs="Times New Roman"/>
                <w:b/>
                <w:color w:val="auto"/>
                <w:szCs w:val="24"/>
                <w:lang w:eastAsia="zh-CN"/>
              </w:rPr>
              <w:t>）</w:t>
            </w:r>
            <w:r>
              <w:rPr>
                <w:b/>
                <w:bCs/>
                <w:snapToGrid w:val="0"/>
                <w:color w:val="auto"/>
                <w:kern w:val="0"/>
                <w:sz w:val="24"/>
              </w:rPr>
              <w:t>项目废水污染物排放信息表</w:t>
            </w:r>
          </w:p>
          <w:p w14:paraId="73A78AA9">
            <w:pPr>
              <w:autoSpaceDE w:val="0"/>
              <w:autoSpaceDN w:val="0"/>
              <w:jc w:val="center"/>
              <w:rPr>
                <w:b/>
                <w:bCs/>
                <w:color w:val="auto"/>
                <w:sz w:val="24"/>
              </w:rPr>
            </w:pPr>
            <w:r>
              <w:rPr>
                <w:b/>
                <w:bCs/>
                <w:color w:val="auto"/>
                <w:sz w:val="24"/>
              </w:rPr>
              <w:t>表4</w:t>
            </w:r>
            <w:r>
              <w:rPr>
                <w:rFonts w:hint="eastAsia"/>
                <w:b/>
                <w:bCs/>
                <w:color w:val="auto"/>
                <w:sz w:val="24"/>
              </w:rPr>
              <w:t>-</w:t>
            </w:r>
            <w:r>
              <w:rPr>
                <w:rFonts w:hint="eastAsia"/>
                <w:b/>
                <w:bCs/>
                <w:color w:val="auto"/>
                <w:sz w:val="24"/>
                <w:lang w:val="en-US" w:eastAsia="zh-CN"/>
              </w:rPr>
              <w:t>2</w:t>
            </w:r>
            <w:r>
              <w:rPr>
                <w:rFonts w:hint="eastAsia"/>
                <w:b/>
                <w:bCs/>
                <w:color w:val="auto"/>
                <w:sz w:val="24"/>
              </w:rPr>
              <w:t xml:space="preserve">   </w:t>
            </w:r>
            <w:r>
              <w:rPr>
                <w:b/>
                <w:bCs/>
                <w:color w:val="auto"/>
                <w:sz w:val="24"/>
              </w:rPr>
              <w:t>废水类别、污染物及污染治理设施信息表</w:t>
            </w:r>
          </w:p>
          <w:tbl>
            <w:tblPr>
              <w:tblStyle w:val="32"/>
              <w:tblW w:w="78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5"/>
              <w:gridCol w:w="650"/>
              <w:gridCol w:w="1394"/>
              <w:gridCol w:w="781"/>
              <w:gridCol w:w="627"/>
              <w:gridCol w:w="475"/>
              <w:gridCol w:w="1111"/>
              <w:gridCol w:w="846"/>
              <w:gridCol w:w="923"/>
              <w:gridCol w:w="645"/>
            </w:tblGrid>
            <w:tr w14:paraId="4F980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6" w:hRule="atLeast"/>
                <w:jc w:val="center"/>
              </w:trPr>
              <w:tc>
                <w:tcPr>
                  <w:tcW w:w="385" w:type="dxa"/>
                  <w:vMerge w:val="restart"/>
                  <w:noWrap w:val="0"/>
                  <w:vAlign w:val="center"/>
                </w:tcPr>
                <w:p w14:paraId="361CBCFA">
                  <w:pPr>
                    <w:jc w:val="center"/>
                    <w:rPr>
                      <w:color w:val="auto"/>
                      <w:sz w:val="21"/>
                      <w:szCs w:val="21"/>
                    </w:rPr>
                  </w:pPr>
                  <w:r>
                    <w:rPr>
                      <w:color w:val="auto"/>
                      <w:sz w:val="21"/>
                      <w:szCs w:val="21"/>
                    </w:rPr>
                    <w:t>序号</w:t>
                  </w:r>
                </w:p>
              </w:tc>
              <w:tc>
                <w:tcPr>
                  <w:tcW w:w="650" w:type="dxa"/>
                  <w:vMerge w:val="restart"/>
                  <w:noWrap w:val="0"/>
                  <w:vAlign w:val="center"/>
                </w:tcPr>
                <w:p w14:paraId="520B9473">
                  <w:pPr>
                    <w:jc w:val="center"/>
                    <w:rPr>
                      <w:color w:val="auto"/>
                      <w:sz w:val="21"/>
                      <w:szCs w:val="21"/>
                    </w:rPr>
                  </w:pPr>
                  <w:r>
                    <w:rPr>
                      <w:color w:val="auto"/>
                      <w:sz w:val="21"/>
                      <w:szCs w:val="21"/>
                    </w:rPr>
                    <w:t>废水类别</w:t>
                  </w:r>
                </w:p>
              </w:tc>
              <w:tc>
                <w:tcPr>
                  <w:tcW w:w="1394" w:type="dxa"/>
                  <w:vMerge w:val="restart"/>
                  <w:noWrap w:val="0"/>
                  <w:vAlign w:val="center"/>
                </w:tcPr>
                <w:p w14:paraId="05AE82F8">
                  <w:pPr>
                    <w:jc w:val="center"/>
                    <w:rPr>
                      <w:color w:val="auto"/>
                      <w:sz w:val="21"/>
                      <w:szCs w:val="21"/>
                    </w:rPr>
                  </w:pPr>
                  <w:r>
                    <w:rPr>
                      <w:color w:val="auto"/>
                      <w:sz w:val="21"/>
                      <w:szCs w:val="21"/>
                    </w:rPr>
                    <w:t>污染物种类</w:t>
                  </w:r>
                </w:p>
              </w:tc>
              <w:tc>
                <w:tcPr>
                  <w:tcW w:w="781" w:type="dxa"/>
                  <w:vMerge w:val="restart"/>
                  <w:noWrap w:val="0"/>
                  <w:vAlign w:val="center"/>
                </w:tcPr>
                <w:p w14:paraId="1FAF1B96">
                  <w:pPr>
                    <w:jc w:val="center"/>
                    <w:rPr>
                      <w:color w:val="auto"/>
                      <w:sz w:val="21"/>
                      <w:szCs w:val="21"/>
                    </w:rPr>
                  </w:pPr>
                  <w:r>
                    <w:rPr>
                      <w:color w:val="auto"/>
                      <w:sz w:val="21"/>
                      <w:szCs w:val="21"/>
                    </w:rPr>
                    <w:t>排放去向</w:t>
                  </w:r>
                </w:p>
              </w:tc>
              <w:tc>
                <w:tcPr>
                  <w:tcW w:w="627" w:type="dxa"/>
                  <w:vMerge w:val="restart"/>
                  <w:noWrap w:val="0"/>
                  <w:vAlign w:val="center"/>
                </w:tcPr>
                <w:p w14:paraId="61FB8DE1">
                  <w:pPr>
                    <w:pStyle w:val="82"/>
                    <w:spacing w:line="240" w:lineRule="auto"/>
                    <w:ind w:firstLine="0" w:firstLineChars="0"/>
                    <w:jc w:val="center"/>
                    <w:rPr>
                      <w:color w:val="auto"/>
                      <w:sz w:val="21"/>
                      <w:szCs w:val="21"/>
                    </w:rPr>
                  </w:pPr>
                  <w:r>
                    <w:rPr>
                      <w:rFonts w:hint="default" w:ascii="Times New Roman" w:hAnsi="Times New Roman" w:cs="Times New Roman"/>
                      <w:bCs/>
                      <w:color w:val="auto"/>
                      <w:sz w:val="21"/>
                      <w:szCs w:val="21"/>
                      <w:highlight w:val="none"/>
                    </w:rPr>
                    <w:t>纳污水体</w:t>
                  </w:r>
                </w:p>
              </w:tc>
              <w:tc>
                <w:tcPr>
                  <w:tcW w:w="475" w:type="dxa"/>
                  <w:vMerge w:val="restart"/>
                  <w:noWrap w:val="0"/>
                  <w:vAlign w:val="center"/>
                </w:tcPr>
                <w:p w14:paraId="5DDFBCB5">
                  <w:pPr>
                    <w:jc w:val="center"/>
                    <w:rPr>
                      <w:color w:val="auto"/>
                      <w:sz w:val="21"/>
                      <w:szCs w:val="21"/>
                    </w:rPr>
                  </w:pPr>
                  <w:r>
                    <w:rPr>
                      <w:color w:val="auto"/>
                      <w:sz w:val="21"/>
                      <w:szCs w:val="21"/>
                    </w:rPr>
                    <w:t>排放规律</w:t>
                  </w:r>
                </w:p>
              </w:tc>
              <w:tc>
                <w:tcPr>
                  <w:tcW w:w="2880" w:type="dxa"/>
                  <w:gridSpan w:val="3"/>
                  <w:noWrap w:val="0"/>
                  <w:vAlign w:val="center"/>
                </w:tcPr>
                <w:p w14:paraId="56B8F44F">
                  <w:pPr>
                    <w:jc w:val="center"/>
                    <w:rPr>
                      <w:color w:val="auto"/>
                      <w:sz w:val="21"/>
                      <w:szCs w:val="21"/>
                    </w:rPr>
                  </w:pPr>
                  <w:r>
                    <w:rPr>
                      <w:color w:val="auto"/>
                      <w:sz w:val="21"/>
                      <w:szCs w:val="21"/>
                    </w:rPr>
                    <w:t>污染治理设施</w:t>
                  </w:r>
                </w:p>
              </w:tc>
              <w:tc>
                <w:tcPr>
                  <w:tcW w:w="645" w:type="dxa"/>
                  <w:vMerge w:val="restart"/>
                  <w:noWrap w:val="0"/>
                  <w:vAlign w:val="center"/>
                </w:tcPr>
                <w:p w14:paraId="26741439">
                  <w:pPr>
                    <w:jc w:val="center"/>
                    <w:rPr>
                      <w:color w:val="auto"/>
                      <w:sz w:val="21"/>
                      <w:szCs w:val="21"/>
                    </w:rPr>
                  </w:pPr>
                  <w:r>
                    <w:rPr>
                      <w:color w:val="auto"/>
                      <w:sz w:val="21"/>
                      <w:szCs w:val="21"/>
                    </w:rPr>
                    <w:t>排放口类型</w:t>
                  </w:r>
                </w:p>
              </w:tc>
            </w:tr>
            <w:tr w14:paraId="47834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385" w:type="dxa"/>
                  <w:vMerge w:val="continue"/>
                  <w:noWrap w:val="0"/>
                  <w:vAlign w:val="center"/>
                </w:tcPr>
                <w:p w14:paraId="40B86F1F">
                  <w:pPr>
                    <w:jc w:val="center"/>
                    <w:rPr>
                      <w:color w:val="auto"/>
                      <w:sz w:val="21"/>
                      <w:szCs w:val="21"/>
                    </w:rPr>
                  </w:pPr>
                </w:p>
              </w:tc>
              <w:tc>
                <w:tcPr>
                  <w:tcW w:w="650" w:type="dxa"/>
                  <w:vMerge w:val="continue"/>
                  <w:noWrap w:val="0"/>
                  <w:vAlign w:val="center"/>
                </w:tcPr>
                <w:p w14:paraId="7E7B39C3">
                  <w:pPr>
                    <w:jc w:val="center"/>
                    <w:rPr>
                      <w:color w:val="auto"/>
                      <w:sz w:val="21"/>
                      <w:szCs w:val="21"/>
                    </w:rPr>
                  </w:pPr>
                </w:p>
              </w:tc>
              <w:tc>
                <w:tcPr>
                  <w:tcW w:w="1394" w:type="dxa"/>
                  <w:vMerge w:val="continue"/>
                  <w:noWrap w:val="0"/>
                  <w:vAlign w:val="center"/>
                </w:tcPr>
                <w:p w14:paraId="163C95BE">
                  <w:pPr>
                    <w:jc w:val="center"/>
                    <w:rPr>
                      <w:color w:val="auto"/>
                      <w:sz w:val="21"/>
                      <w:szCs w:val="21"/>
                    </w:rPr>
                  </w:pPr>
                </w:p>
              </w:tc>
              <w:tc>
                <w:tcPr>
                  <w:tcW w:w="781" w:type="dxa"/>
                  <w:vMerge w:val="continue"/>
                  <w:noWrap w:val="0"/>
                  <w:vAlign w:val="center"/>
                </w:tcPr>
                <w:p w14:paraId="0D37ADBE">
                  <w:pPr>
                    <w:jc w:val="center"/>
                    <w:rPr>
                      <w:color w:val="auto"/>
                      <w:sz w:val="21"/>
                      <w:szCs w:val="21"/>
                    </w:rPr>
                  </w:pPr>
                </w:p>
              </w:tc>
              <w:tc>
                <w:tcPr>
                  <w:tcW w:w="627" w:type="dxa"/>
                  <w:vMerge w:val="continue"/>
                  <w:noWrap w:val="0"/>
                  <w:vAlign w:val="center"/>
                </w:tcPr>
                <w:p w14:paraId="563849F6">
                  <w:pPr>
                    <w:pStyle w:val="82"/>
                    <w:spacing w:line="240" w:lineRule="auto"/>
                    <w:ind w:firstLine="0" w:firstLineChars="0"/>
                    <w:jc w:val="center"/>
                    <w:rPr>
                      <w:color w:val="auto"/>
                      <w:sz w:val="21"/>
                      <w:szCs w:val="21"/>
                    </w:rPr>
                  </w:pPr>
                </w:p>
              </w:tc>
              <w:tc>
                <w:tcPr>
                  <w:tcW w:w="475" w:type="dxa"/>
                  <w:vMerge w:val="continue"/>
                  <w:noWrap w:val="0"/>
                  <w:vAlign w:val="center"/>
                </w:tcPr>
                <w:p w14:paraId="10D8F0C6">
                  <w:pPr>
                    <w:jc w:val="center"/>
                    <w:rPr>
                      <w:color w:val="auto"/>
                      <w:sz w:val="21"/>
                      <w:szCs w:val="21"/>
                    </w:rPr>
                  </w:pPr>
                </w:p>
              </w:tc>
              <w:tc>
                <w:tcPr>
                  <w:tcW w:w="1111" w:type="dxa"/>
                  <w:noWrap w:val="0"/>
                  <w:vAlign w:val="center"/>
                </w:tcPr>
                <w:p w14:paraId="05B0B41A">
                  <w:pPr>
                    <w:jc w:val="center"/>
                    <w:rPr>
                      <w:color w:val="auto"/>
                      <w:sz w:val="21"/>
                      <w:szCs w:val="21"/>
                    </w:rPr>
                  </w:pPr>
                  <w:r>
                    <w:rPr>
                      <w:color w:val="auto"/>
                      <w:sz w:val="21"/>
                      <w:szCs w:val="21"/>
                    </w:rPr>
                    <w:t>污染治理设施名称</w:t>
                  </w:r>
                </w:p>
              </w:tc>
              <w:tc>
                <w:tcPr>
                  <w:tcW w:w="846" w:type="dxa"/>
                  <w:noWrap w:val="0"/>
                  <w:vAlign w:val="center"/>
                </w:tcPr>
                <w:p w14:paraId="0FD2E35D">
                  <w:pPr>
                    <w:jc w:val="center"/>
                    <w:rPr>
                      <w:color w:val="auto"/>
                      <w:sz w:val="21"/>
                      <w:szCs w:val="21"/>
                    </w:rPr>
                  </w:pPr>
                  <w:r>
                    <w:rPr>
                      <w:color w:val="auto"/>
                      <w:sz w:val="21"/>
                      <w:szCs w:val="21"/>
                    </w:rPr>
                    <w:t>污染治理设施工艺</w:t>
                  </w:r>
                </w:p>
              </w:tc>
              <w:tc>
                <w:tcPr>
                  <w:tcW w:w="923" w:type="dxa"/>
                  <w:noWrap w:val="0"/>
                  <w:vAlign w:val="center"/>
                </w:tcPr>
                <w:p w14:paraId="02A65C94">
                  <w:pPr>
                    <w:jc w:val="center"/>
                    <w:rPr>
                      <w:color w:val="auto"/>
                      <w:sz w:val="21"/>
                      <w:szCs w:val="21"/>
                    </w:rPr>
                  </w:pPr>
                  <w:r>
                    <w:rPr>
                      <w:color w:val="auto"/>
                      <w:sz w:val="21"/>
                      <w:szCs w:val="21"/>
                    </w:rPr>
                    <w:t>是否为可行技术</w:t>
                  </w:r>
                </w:p>
              </w:tc>
              <w:tc>
                <w:tcPr>
                  <w:tcW w:w="645" w:type="dxa"/>
                  <w:vMerge w:val="continue"/>
                  <w:noWrap w:val="0"/>
                  <w:vAlign w:val="center"/>
                </w:tcPr>
                <w:p w14:paraId="326CCD34">
                  <w:pPr>
                    <w:jc w:val="center"/>
                    <w:rPr>
                      <w:color w:val="auto"/>
                      <w:sz w:val="21"/>
                      <w:szCs w:val="21"/>
                    </w:rPr>
                  </w:pPr>
                </w:p>
              </w:tc>
            </w:tr>
            <w:tr w14:paraId="30072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9" w:hRule="atLeast"/>
                <w:jc w:val="center"/>
              </w:trPr>
              <w:tc>
                <w:tcPr>
                  <w:tcW w:w="385" w:type="dxa"/>
                  <w:noWrap w:val="0"/>
                  <w:vAlign w:val="center"/>
                </w:tcPr>
                <w:p w14:paraId="23DAF4F6">
                  <w:pPr>
                    <w:jc w:val="center"/>
                    <w:rPr>
                      <w:rFonts w:hint="eastAsia" w:eastAsia="宋体"/>
                      <w:color w:val="auto"/>
                      <w:sz w:val="21"/>
                      <w:szCs w:val="21"/>
                      <w:lang w:val="en-US" w:eastAsia="zh-CN"/>
                    </w:rPr>
                  </w:pPr>
                  <w:r>
                    <w:rPr>
                      <w:rFonts w:hint="eastAsia"/>
                      <w:color w:val="auto"/>
                      <w:sz w:val="21"/>
                      <w:szCs w:val="21"/>
                      <w:lang w:val="en-US" w:eastAsia="zh-CN"/>
                    </w:rPr>
                    <w:t>1</w:t>
                  </w:r>
                </w:p>
              </w:tc>
              <w:tc>
                <w:tcPr>
                  <w:tcW w:w="650" w:type="dxa"/>
                  <w:noWrap w:val="0"/>
                  <w:vAlign w:val="center"/>
                </w:tcPr>
                <w:p w14:paraId="3311D2EF">
                  <w:pPr>
                    <w:jc w:val="center"/>
                    <w:rPr>
                      <w:rFonts w:hint="default"/>
                      <w:color w:val="auto"/>
                      <w:sz w:val="21"/>
                      <w:szCs w:val="21"/>
                      <w:lang w:val="en-US" w:eastAsia="zh-CN"/>
                    </w:rPr>
                  </w:pPr>
                  <w:r>
                    <w:rPr>
                      <w:rFonts w:hint="eastAsia"/>
                      <w:color w:val="auto"/>
                      <w:sz w:val="21"/>
                      <w:szCs w:val="21"/>
                      <w:lang w:val="en-US" w:eastAsia="zh-CN"/>
                    </w:rPr>
                    <w:t>综合废水</w:t>
                  </w:r>
                </w:p>
              </w:tc>
              <w:tc>
                <w:tcPr>
                  <w:tcW w:w="1394" w:type="dxa"/>
                  <w:noWrap w:val="0"/>
                  <w:vAlign w:val="center"/>
                </w:tcPr>
                <w:p w14:paraId="4E58FCE8">
                  <w:pPr>
                    <w:jc w:val="center"/>
                    <w:rPr>
                      <w:rFonts w:hint="default" w:eastAsia="宋体"/>
                      <w:color w:val="auto"/>
                      <w:sz w:val="21"/>
                      <w:szCs w:val="21"/>
                      <w:lang w:val="en-US" w:eastAsia="zh-CN"/>
                    </w:rPr>
                  </w:pPr>
                  <w:r>
                    <w:rPr>
                      <w:rFonts w:hint="eastAsia" w:ascii="Times New Roman" w:hAnsi="Times New Roman" w:cs="Times New Roman"/>
                      <w:bCs/>
                      <w:color w:val="auto"/>
                      <w:sz w:val="21"/>
                      <w:szCs w:val="21"/>
                      <w:lang w:val="en-US" w:eastAsia="zh-CN"/>
                    </w:rPr>
                    <w:t>PH、</w:t>
                  </w:r>
                  <w:r>
                    <w:rPr>
                      <w:rFonts w:hint="default" w:ascii="Times New Roman" w:hAnsi="Times New Roman" w:cs="Times New Roman"/>
                      <w:bCs/>
                      <w:color w:val="auto"/>
                      <w:sz w:val="21"/>
                      <w:szCs w:val="21"/>
                    </w:rPr>
                    <w:t>COD、BOD</w:t>
                  </w:r>
                  <w:r>
                    <w:rPr>
                      <w:rFonts w:hint="default" w:ascii="Times New Roman" w:hAnsi="Times New Roman" w:cs="Times New Roman"/>
                      <w:bCs/>
                      <w:color w:val="auto"/>
                      <w:sz w:val="21"/>
                      <w:szCs w:val="21"/>
                      <w:vertAlign w:val="subscript"/>
                    </w:rPr>
                    <w:t>5</w:t>
                  </w:r>
                  <w:r>
                    <w:rPr>
                      <w:rFonts w:hint="default" w:ascii="Times New Roman" w:hAnsi="Times New Roman" w:cs="Times New Roman"/>
                      <w:bCs/>
                      <w:color w:val="auto"/>
                      <w:sz w:val="21"/>
                      <w:szCs w:val="21"/>
                    </w:rPr>
                    <w:t>、SS、</w:t>
                  </w:r>
                  <w:r>
                    <w:rPr>
                      <w:rFonts w:hint="default" w:ascii="Times New Roman" w:hAnsi="Times New Roman" w:cs="Times New Roman"/>
                      <w:bCs/>
                      <w:color w:val="auto"/>
                      <w:kern w:val="2"/>
                      <w:szCs w:val="24"/>
                      <w:u w:val="none"/>
                      <w:lang w:val="en-US" w:eastAsia="zh-CN"/>
                    </w:rPr>
                    <w:t>TP</w:t>
                  </w:r>
                  <w:r>
                    <w:rPr>
                      <w:rFonts w:hint="eastAsia" w:ascii="Times New Roman" w:hAnsi="Times New Roman" w:cs="Times New Roman"/>
                      <w:bCs/>
                      <w:color w:val="auto"/>
                      <w:kern w:val="2"/>
                      <w:szCs w:val="24"/>
                      <w:u w:val="none"/>
                      <w:lang w:val="en-US" w:eastAsia="zh-CN"/>
                    </w:rPr>
                    <w:t>、</w:t>
                  </w:r>
                  <w:r>
                    <w:rPr>
                      <w:rFonts w:hint="default" w:ascii="Times New Roman" w:hAnsi="Times New Roman" w:cs="Times New Roman"/>
                      <w:bCs/>
                      <w:color w:val="auto"/>
                      <w:kern w:val="2"/>
                      <w:szCs w:val="24"/>
                      <w:u w:val="none"/>
                      <w:lang w:val="en-US" w:eastAsia="zh-CN"/>
                    </w:rPr>
                    <w:t>TN</w:t>
                  </w:r>
                  <w:r>
                    <w:rPr>
                      <w:rFonts w:hint="eastAsia" w:cs="Times New Roman"/>
                      <w:bCs/>
                      <w:color w:val="auto"/>
                      <w:sz w:val="21"/>
                      <w:szCs w:val="21"/>
                      <w:lang w:eastAsia="zh-CN"/>
                    </w:rPr>
                    <w:t>、</w:t>
                  </w:r>
                  <w:r>
                    <w:rPr>
                      <w:rFonts w:hint="default" w:ascii="Times New Roman" w:hAnsi="Times New Roman" w:cs="Times New Roman"/>
                      <w:bCs/>
                      <w:color w:val="auto"/>
                      <w:sz w:val="21"/>
                      <w:szCs w:val="21"/>
                    </w:rPr>
                    <w:t>氨氮、</w:t>
                  </w:r>
                  <w:r>
                    <w:rPr>
                      <w:rFonts w:hint="eastAsia" w:ascii="Times New Roman" w:hAnsi="Times New Roman" w:eastAsia="宋体" w:cs="Times New Roman"/>
                      <w:bCs/>
                      <w:color w:val="auto"/>
                      <w:sz w:val="21"/>
                      <w:szCs w:val="21"/>
                      <w:lang w:eastAsia="zh-CN"/>
                    </w:rPr>
                    <w:t>动植物油</w:t>
                  </w:r>
                </w:p>
              </w:tc>
              <w:tc>
                <w:tcPr>
                  <w:tcW w:w="781" w:type="dxa"/>
                  <w:noWrap w:val="0"/>
                  <w:vAlign w:val="center"/>
                </w:tcPr>
                <w:p w14:paraId="23355D96">
                  <w:pPr>
                    <w:jc w:val="center"/>
                    <w:rPr>
                      <w:rFonts w:hint="eastAsia" w:eastAsia="宋体"/>
                      <w:color w:val="auto"/>
                      <w:sz w:val="21"/>
                      <w:szCs w:val="21"/>
                      <w:lang w:eastAsia="zh-CN"/>
                    </w:rPr>
                  </w:pPr>
                  <w:r>
                    <w:rPr>
                      <w:rFonts w:hint="default" w:ascii="Times New Roman" w:hAnsi="Times New Roman" w:cs="Times New Roman"/>
                      <w:bCs/>
                      <w:color w:val="auto"/>
                      <w:sz w:val="21"/>
                      <w:szCs w:val="21"/>
                      <w:lang w:eastAsia="zh-CN"/>
                    </w:rPr>
                    <w:t>龙潭镇</w:t>
                  </w:r>
                  <w:r>
                    <w:rPr>
                      <w:rFonts w:hint="default" w:ascii="Times New Roman" w:hAnsi="Times New Roman" w:cs="Times New Roman"/>
                      <w:bCs/>
                      <w:color w:val="auto"/>
                      <w:sz w:val="21"/>
                      <w:szCs w:val="21"/>
                    </w:rPr>
                    <w:t>污水处理厂</w:t>
                  </w:r>
                </w:p>
              </w:tc>
              <w:tc>
                <w:tcPr>
                  <w:tcW w:w="627" w:type="dxa"/>
                  <w:noWrap w:val="0"/>
                  <w:vAlign w:val="center"/>
                </w:tcPr>
                <w:p w14:paraId="5D013DB5">
                  <w:pPr>
                    <w:pStyle w:val="82"/>
                    <w:spacing w:line="240" w:lineRule="auto"/>
                    <w:ind w:firstLine="0" w:firstLineChars="0"/>
                    <w:jc w:val="center"/>
                    <w:rPr>
                      <w:rFonts w:hint="default" w:ascii="Times New Roman" w:hAnsi="Times New Roman" w:cs="Times New Roman"/>
                      <w:bCs/>
                      <w:color w:val="auto"/>
                      <w:sz w:val="21"/>
                      <w:szCs w:val="21"/>
                      <w:lang w:eastAsia="zh-CN"/>
                    </w:rPr>
                  </w:pPr>
                  <w:r>
                    <w:rPr>
                      <w:rFonts w:hint="default" w:ascii="Times New Roman" w:hAnsi="Times New Roman" w:eastAsia="宋体" w:cs="Times New Roman"/>
                      <w:bCs/>
                      <w:color w:val="auto"/>
                      <w:sz w:val="21"/>
                      <w:szCs w:val="21"/>
                      <w:highlight w:val="none"/>
                      <w:lang w:eastAsia="zh-CN"/>
                    </w:rPr>
                    <w:t>二都河</w:t>
                  </w:r>
                </w:p>
              </w:tc>
              <w:tc>
                <w:tcPr>
                  <w:tcW w:w="475" w:type="dxa"/>
                  <w:noWrap w:val="0"/>
                  <w:vAlign w:val="center"/>
                </w:tcPr>
                <w:p w14:paraId="17219FC8">
                  <w:pPr>
                    <w:jc w:val="center"/>
                    <w:rPr>
                      <w:color w:val="auto"/>
                      <w:sz w:val="21"/>
                      <w:szCs w:val="21"/>
                    </w:rPr>
                  </w:pPr>
                  <w:r>
                    <w:rPr>
                      <w:color w:val="auto"/>
                      <w:sz w:val="21"/>
                      <w:szCs w:val="21"/>
                    </w:rPr>
                    <w:t>/</w:t>
                  </w:r>
                </w:p>
              </w:tc>
              <w:tc>
                <w:tcPr>
                  <w:tcW w:w="1111" w:type="dxa"/>
                  <w:noWrap w:val="0"/>
                  <w:vAlign w:val="center"/>
                </w:tcPr>
                <w:p w14:paraId="4C991618">
                  <w:pPr>
                    <w:jc w:val="center"/>
                    <w:rPr>
                      <w:rFonts w:hint="default" w:eastAsia="宋体"/>
                      <w:color w:val="auto"/>
                      <w:sz w:val="21"/>
                      <w:szCs w:val="21"/>
                      <w:lang w:val="en-US" w:eastAsia="zh-CN"/>
                    </w:rPr>
                  </w:pPr>
                  <w:r>
                    <w:rPr>
                      <w:rFonts w:hint="eastAsia"/>
                      <w:color w:val="auto"/>
                      <w:sz w:val="21"/>
                      <w:szCs w:val="21"/>
                      <w:lang w:val="en-US" w:eastAsia="zh-CN"/>
                    </w:rPr>
                    <w:t>油水分离器+</w:t>
                  </w:r>
                  <w:r>
                    <w:rPr>
                      <w:color w:val="auto"/>
                      <w:sz w:val="21"/>
                      <w:szCs w:val="21"/>
                    </w:rPr>
                    <w:t>化粪池</w:t>
                  </w:r>
                  <w:r>
                    <w:rPr>
                      <w:rFonts w:hint="eastAsia"/>
                      <w:color w:val="auto"/>
                      <w:sz w:val="21"/>
                      <w:szCs w:val="21"/>
                      <w:lang w:eastAsia="zh-CN"/>
                    </w:rPr>
                    <w:t>；</w:t>
                  </w:r>
                  <w:r>
                    <w:rPr>
                      <w:rFonts w:hint="eastAsia"/>
                      <w:color w:val="auto"/>
                      <w:sz w:val="21"/>
                      <w:szCs w:val="21"/>
                      <w:lang w:val="en-US" w:eastAsia="zh-CN"/>
                    </w:rPr>
                    <w:t>三级沉淀池</w:t>
                  </w:r>
                </w:p>
              </w:tc>
              <w:tc>
                <w:tcPr>
                  <w:tcW w:w="846" w:type="dxa"/>
                  <w:noWrap w:val="0"/>
                  <w:vAlign w:val="center"/>
                </w:tcPr>
                <w:p w14:paraId="412ECA36">
                  <w:pPr>
                    <w:jc w:val="center"/>
                    <w:rPr>
                      <w:rFonts w:hint="default" w:eastAsia="宋体"/>
                      <w:color w:val="auto"/>
                      <w:sz w:val="21"/>
                      <w:szCs w:val="21"/>
                      <w:lang w:val="en-US" w:eastAsia="zh-CN"/>
                    </w:rPr>
                  </w:pPr>
                  <w:r>
                    <w:rPr>
                      <w:color w:val="auto"/>
                      <w:sz w:val="21"/>
                      <w:szCs w:val="21"/>
                    </w:rPr>
                    <w:t>厌氧</w:t>
                  </w:r>
                  <w:r>
                    <w:rPr>
                      <w:rFonts w:hint="eastAsia"/>
                      <w:color w:val="auto"/>
                      <w:sz w:val="21"/>
                      <w:szCs w:val="21"/>
                      <w:lang w:eastAsia="zh-CN"/>
                    </w:rPr>
                    <w:t>、</w:t>
                  </w:r>
                  <w:r>
                    <w:rPr>
                      <w:rFonts w:hint="eastAsia"/>
                      <w:color w:val="auto"/>
                      <w:sz w:val="21"/>
                      <w:szCs w:val="21"/>
                      <w:lang w:val="en-US" w:eastAsia="zh-CN"/>
                    </w:rPr>
                    <w:t>沉淀</w:t>
                  </w:r>
                </w:p>
              </w:tc>
              <w:tc>
                <w:tcPr>
                  <w:tcW w:w="923" w:type="dxa"/>
                  <w:noWrap w:val="0"/>
                  <w:vAlign w:val="center"/>
                </w:tcPr>
                <w:p w14:paraId="58B86312">
                  <w:pPr>
                    <w:jc w:val="center"/>
                    <w:rPr>
                      <w:color w:val="auto"/>
                      <w:sz w:val="21"/>
                      <w:szCs w:val="21"/>
                    </w:rPr>
                  </w:pPr>
                  <w:r>
                    <w:rPr>
                      <w:color w:val="auto"/>
                      <w:sz w:val="21"/>
                      <w:szCs w:val="21"/>
                    </w:rPr>
                    <w:t>可行</w:t>
                  </w:r>
                </w:p>
              </w:tc>
              <w:tc>
                <w:tcPr>
                  <w:tcW w:w="645" w:type="dxa"/>
                  <w:noWrap w:val="0"/>
                  <w:vAlign w:val="center"/>
                </w:tcPr>
                <w:p w14:paraId="04678C55">
                  <w:pPr>
                    <w:jc w:val="center"/>
                    <w:rPr>
                      <w:color w:val="auto"/>
                      <w:sz w:val="21"/>
                      <w:szCs w:val="21"/>
                    </w:rPr>
                  </w:pPr>
                  <w:r>
                    <w:rPr>
                      <w:color w:val="auto"/>
                      <w:sz w:val="21"/>
                      <w:szCs w:val="21"/>
                    </w:rPr>
                    <w:t>一般排放口</w:t>
                  </w:r>
                </w:p>
              </w:tc>
            </w:tr>
          </w:tbl>
          <w:p w14:paraId="0518383C">
            <w:pPr>
              <w:autoSpaceDE w:val="0"/>
              <w:autoSpaceDN w:val="0"/>
              <w:spacing w:before="120" w:beforeLines="50"/>
              <w:jc w:val="center"/>
              <w:rPr>
                <w:b/>
                <w:bCs/>
                <w:color w:val="auto"/>
                <w:sz w:val="24"/>
              </w:rPr>
            </w:pPr>
            <w:r>
              <w:rPr>
                <w:b/>
                <w:bCs/>
                <w:color w:val="auto"/>
                <w:sz w:val="24"/>
              </w:rPr>
              <w:t>表4</w:t>
            </w:r>
            <w:r>
              <w:rPr>
                <w:rFonts w:hint="eastAsia"/>
                <w:b/>
                <w:bCs/>
                <w:color w:val="auto"/>
                <w:sz w:val="24"/>
              </w:rPr>
              <w:t>-</w:t>
            </w:r>
            <w:r>
              <w:rPr>
                <w:rFonts w:hint="eastAsia"/>
                <w:b/>
                <w:bCs/>
                <w:color w:val="auto"/>
                <w:sz w:val="24"/>
                <w:lang w:val="en-US" w:eastAsia="zh-CN"/>
              </w:rPr>
              <w:t>3</w:t>
            </w:r>
            <w:r>
              <w:rPr>
                <w:rFonts w:hint="eastAsia"/>
                <w:b/>
                <w:bCs/>
                <w:color w:val="auto"/>
                <w:sz w:val="24"/>
              </w:rPr>
              <w:t xml:space="preserve">   </w:t>
            </w:r>
            <w:r>
              <w:rPr>
                <w:b/>
                <w:bCs/>
                <w:color w:val="auto"/>
                <w:sz w:val="24"/>
              </w:rPr>
              <w:t>建设项目废水间接排放口基本情况表</w:t>
            </w:r>
            <w:bookmarkStart w:id="16" w:name="BIAO12"/>
          </w:p>
          <w:bookmarkEnd w:id="16"/>
          <w:tbl>
            <w:tblPr>
              <w:tblStyle w:val="32"/>
              <w:tblW w:w="78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5"/>
              <w:gridCol w:w="899"/>
              <w:gridCol w:w="1150"/>
              <w:gridCol w:w="562"/>
              <w:gridCol w:w="675"/>
              <w:gridCol w:w="1000"/>
              <w:gridCol w:w="650"/>
              <w:gridCol w:w="600"/>
              <w:gridCol w:w="1338"/>
              <w:gridCol w:w="607"/>
            </w:tblGrid>
            <w:tr w14:paraId="1E78D4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50" w:type="pct"/>
                  <w:vMerge w:val="restart"/>
                  <w:tcBorders>
                    <w:tl2br w:val="nil"/>
                    <w:tr2bl w:val="nil"/>
                  </w:tcBorders>
                  <w:noWrap w:val="0"/>
                  <w:vAlign w:val="center"/>
                </w:tcPr>
                <w:p w14:paraId="64A6E3FE">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序号</w:t>
                  </w:r>
                </w:p>
              </w:tc>
              <w:tc>
                <w:tcPr>
                  <w:tcW w:w="570" w:type="pct"/>
                  <w:vMerge w:val="restart"/>
                  <w:tcBorders>
                    <w:tl2br w:val="nil"/>
                    <w:tr2bl w:val="nil"/>
                  </w:tcBorders>
                  <w:noWrap w:val="0"/>
                  <w:vAlign w:val="center"/>
                </w:tcPr>
                <w:p w14:paraId="5F02E4AF">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污染物排放口名称及编号</w:t>
                  </w:r>
                </w:p>
              </w:tc>
              <w:tc>
                <w:tcPr>
                  <w:tcW w:w="730" w:type="pct"/>
                  <w:vMerge w:val="restart"/>
                  <w:tcBorders>
                    <w:tl2br w:val="nil"/>
                    <w:tr2bl w:val="nil"/>
                  </w:tcBorders>
                  <w:noWrap w:val="0"/>
                  <w:vAlign w:val="center"/>
                </w:tcPr>
                <w:p w14:paraId="1F13F867">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污染物种类</w:t>
                  </w:r>
                </w:p>
              </w:tc>
              <w:tc>
                <w:tcPr>
                  <w:tcW w:w="356" w:type="pct"/>
                  <w:vMerge w:val="restart"/>
                  <w:tcBorders>
                    <w:tl2br w:val="nil"/>
                    <w:tr2bl w:val="nil"/>
                  </w:tcBorders>
                  <w:noWrap w:val="0"/>
                  <w:vAlign w:val="center"/>
                </w:tcPr>
                <w:p w14:paraId="44EE834F">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排放方式</w:t>
                  </w:r>
                </w:p>
              </w:tc>
              <w:tc>
                <w:tcPr>
                  <w:tcW w:w="428" w:type="pct"/>
                  <w:vMerge w:val="restart"/>
                  <w:tcBorders>
                    <w:tl2br w:val="nil"/>
                    <w:tr2bl w:val="nil"/>
                  </w:tcBorders>
                  <w:noWrap w:val="0"/>
                  <w:vAlign w:val="center"/>
                </w:tcPr>
                <w:p w14:paraId="392B3E06">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排放去向</w:t>
                  </w:r>
                </w:p>
              </w:tc>
              <w:tc>
                <w:tcPr>
                  <w:tcW w:w="634" w:type="pct"/>
                  <w:vMerge w:val="restart"/>
                  <w:tcBorders>
                    <w:tl2br w:val="nil"/>
                    <w:tr2bl w:val="nil"/>
                  </w:tcBorders>
                  <w:noWrap w:val="0"/>
                  <w:vAlign w:val="center"/>
                </w:tcPr>
                <w:p w14:paraId="78762160">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排放规律</w:t>
                  </w:r>
                </w:p>
              </w:tc>
              <w:tc>
                <w:tcPr>
                  <w:tcW w:w="793" w:type="pct"/>
                  <w:gridSpan w:val="2"/>
                  <w:tcBorders>
                    <w:tl2br w:val="nil"/>
                    <w:tr2bl w:val="nil"/>
                  </w:tcBorders>
                  <w:noWrap w:val="0"/>
                  <w:vAlign w:val="center"/>
                </w:tcPr>
                <w:p w14:paraId="7073D677">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排放口坐标</w:t>
                  </w:r>
                </w:p>
              </w:tc>
              <w:tc>
                <w:tcPr>
                  <w:tcW w:w="1234" w:type="pct"/>
                  <w:gridSpan w:val="2"/>
                  <w:tcBorders>
                    <w:tl2br w:val="nil"/>
                    <w:tr2bl w:val="nil"/>
                  </w:tcBorders>
                  <w:noWrap w:val="0"/>
                  <w:vAlign w:val="center"/>
                </w:tcPr>
                <w:p w14:paraId="20B7EAD9">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排放标准（mg/L）</w:t>
                  </w:r>
                </w:p>
              </w:tc>
            </w:tr>
            <w:tr w14:paraId="24DFF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50" w:type="pct"/>
                  <w:vMerge w:val="continue"/>
                  <w:tcBorders>
                    <w:tl2br w:val="nil"/>
                    <w:tr2bl w:val="nil"/>
                  </w:tcBorders>
                  <w:noWrap w:val="0"/>
                  <w:vAlign w:val="center"/>
                </w:tcPr>
                <w:p w14:paraId="01B5B729">
                  <w:pPr>
                    <w:widowControl/>
                    <w:jc w:val="left"/>
                    <w:rPr>
                      <w:color w:val="auto"/>
                      <w:szCs w:val="21"/>
                    </w:rPr>
                  </w:pPr>
                </w:p>
              </w:tc>
              <w:tc>
                <w:tcPr>
                  <w:tcW w:w="570" w:type="pct"/>
                  <w:vMerge w:val="continue"/>
                  <w:tcBorders>
                    <w:tl2br w:val="nil"/>
                    <w:tr2bl w:val="nil"/>
                  </w:tcBorders>
                  <w:noWrap w:val="0"/>
                  <w:vAlign w:val="center"/>
                </w:tcPr>
                <w:p w14:paraId="132549BF">
                  <w:pPr>
                    <w:widowControl/>
                    <w:jc w:val="left"/>
                    <w:rPr>
                      <w:color w:val="auto"/>
                      <w:szCs w:val="21"/>
                    </w:rPr>
                  </w:pPr>
                </w:p>
              </w:tc>
              <w:tc>
                <w:tcPr>
                  <w:tcW w:w="730" w:type="pct"/>
                  <w:vMerge w:val="continue"/>
                  <w:tcBorders>
                    <w:tl2br w:val="nil"/>
                    <w:tr2bl w:val="nil"/>
                  </w:tcBorders>
                  <w:noWrap w:val="0"/>
                  <w:vAlign w:val="center"/>
                </w:tcPr>
                <w:p w14:paraId="5A4CCD83">
                  <w:pPr>
                    <w:widowControl/>
                    <w:jc w:val="left"/>
                    <w:rPr>
                      <w:color w:val="auto"/>
                      <w:szCs w:val="21"/>
                    </w:rPr>
                  </w:pPr>
                </w:p>
              </w:tc>
              <w:tc>
                <w:tcPr>
                  <w:tcW w:w="356" w:type="pct"/>
                  <w:vMerge w:val="continue"/>
                  <w:tcBorders>
                    <w:tl2br w:val="nil"/>
                    <w:tr2bl w:val="nil"/>
                  </w:tcBorders>
                  <w:noWrap w:val="0"/>
                  <w:vAlign w:val="center"/>
                </w:tcPr>
                <w:p w14:paraId="0EC11E34">
                  <w:pPr>
                    <w:widowControl/>
                    <w:jc w:val="left"/>
                    <w:rPr>
                      <w:color w:val="auto"/>
                      <w:szCs w:val="21"/>
                    </w:rPr>
                  </w:pPr>
                </w:p>
              </w:tc>
              <w:tc>
                <w:tcPr>
                  <w:tcW w:w="428" w:type="pct"/>
                  <w:vMerge w:val="continue"/>
                  <w:tcBorders>
                    <w:tl2br w:val="nil"/>
                    <w:tr2bl w:val="nil"/>
                  </w:tcBorders>
                  <w:noWrap w:val="0"/>
                  <w:vAlign w:val="center"/>
                </w:tcPr>
                <w:p w14:paraId="5755A2D6">
                  <w:pPr>
                    <w:widowControl/>
                    <w:jc w:val="left"/>
                    <w:rPr>
                      <w:color w:val="auto"/>
                      <w:szCs w:val="21"/>
                    </w:rPr>
                  </w:pPr>
                </w:p>
              </w:tc>
              <w:tc>
                <w:tcPr>
                  <w:tcW w:w="634" w:type="pct"/>
                  <w:vMerge w:val="continue"/>
                  <w:tcBorders>
                    <w:tl2br w:val="nil"/>
                    <w:tr2bl w:val="nil"/>
                  </w:tcBorders>
                  <w:noWrap w:val="0"/>
                  <w:vAlign w:val="center"/>
                </w:tcPr>
                <w:p w14:paraId="14B37A7C">
                  <w:pPr>
                    <w:pStyle w:val="61"/>
                    <w:adjustRightInd/>
                    <w:snapToGrid/>
                    <w:spacing w:before="0" w:beforeLines="0" w:after="0" w:afterLines="0" w:line="240" w:lineRule="auto"/>
                    <w:ind w:left="0" w:firstLine="0" w:firstLineChars="0"/>
                    <w:rPr>
                      <w:rFonts w:ascii="Times New Roman"/>
                      <w:color w:val="auto"/>
                      <w:szCs w:val="21"/>
                    </w:rPr>
                  </w:pPr>
                </w:p>
              </w:tc>
              <w:tc>
                <w:tcPr>
                  <w:tcW w:w="412" w:type="pct"/>
                  <w:tcBorders>
                    <w:tl2br w:val="nil"/>
                    <w:tr2bl w:val="nil"/>
                  </w:tcBorders>
                  <w:noWrap w:val="0"/>
                  <w:vAlign w:val="center"/>
                </w:tcPr>
                <w:p w14:paraId="18AE1ED9">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经度</w:t>
                  </w:r>
                </w:p>
              </w:tc>
              <w:tc>
                <w:tcPr>
                  <w:tcW w:w="380" w:type="pct"/>
                  <w:tcBorders>
                    <w:tl2br w:val="nil"/>
                    <w:tr2bl w:val="nil"/>
                  </w:tcBorders>
                  <w:noWrap w:val="0"/>
                  <w:vAlign w:val="center"/>
                </w:tcPr>
                <w:p w14:paraId="4FED4C47">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纬度</w:t>
                  </w:r>
                </w:p>
              </w:tc>
              <w:tc>
                <w:tcPr>
                  <w:tcW w:w="849" w:type="pct"/>
                  <w:tcBorders>
                    <w:tl2br w:val="nil"/>
                    <w:tr2bl w:val="nil"/>
                  </w:tcBorders>
                  <w:noWrap w:val="0"/>
                  <w:vAlign w:val="center"/>
                </w:tcPr>
                <w:p w14:paraId="013DF0D4">
                  <w:pPr>
                    <w:pStyle w:val="61"/>
                    <w:adjustRightInd/>
                    <w:snapToGrid/>
                    <w:spacing w:before="0" w:beforeLines="0" w:after="0" w:afterLines="0" w:line="240" w:lineRule="auto"/>
                    <w:ind w:left="0" w:firstLine="0" w:firstLineChars="0"/>
                    <w:jc w:val="center"/>
                    <w:rPr>
                      <w:rFonts w:ascii="Times New Roman"/>
                      <w:color w:val="auto"/>
                      <w:szCs w:val="21"/>
                    </w:rPr>
                  </w:pPr>
                  <w:r>
                    <w:rPr>
                      <w:rFonts w:ascii="Times New Roman"/>
                      <w:color w:val="auto"/>
                      <w:szCs w:val="21"/>
                    </w:rPr>
                    <w:t>名称</w:t>
                  </w:r>
                </w:p>
              </w:tc>
              <w:tc>
                <w:tcPr>
                  <w:tcW w:w="385" w:type="pct"/>
                  <w:tcBorders>
                    <w:tl2br w:val="nil"/>
                    <w:tr2bl w:val="nil"/>
                  </w:tcBorders>
                  <w:noWrap w:val="0"/>
                  <w:vAlign w:val="center"/>
                </w:tcPr>
                <w:p w14:paraId="04CF3B41">
                  <w:pPr>
                    <w:pStyle w:val="61"/>
                    <w:adjustRightInd/>
                    <w:snapToGrid/>
                    <w:spacing w:before="0" w:beforeLines="0" w:after="0" w:afterLines="0" w:line="240" w:lineRule="auto"/>
                    <w:ind w:left="0" w:firstLine="0" w:firstLineChars="0"/>
                    <w:rPr>
                      <w:rFonts w:ascii="Times New Roman"/>
                      <w:color w:val="auto"/>
                      <w:szCs w:val="21"/>
                    </w:rPr>
                  </w:pPr>
                  <w:r>
                    <w:rPr>
                      <w:rFonts w:hint="eastAsia" w:ascii="Times New Roman"/>
                      <w:color w:val="auto"/>
                      <w:szCs w:val="21"/>
                    </w:rPr>
                    <w:t>限值</w:t>
                  </w:r>
                </w:p>
              </w:tc>
            </w:tr>
            <w:tr w14:paraId="45B3A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50" w:type="pct"/>
                  <w:vMerge w:val="restart"/>
                  <w:tcBorders>
                    <w:tl2br w:val="nil"/>
                    <w:tr2bl w:val="nil"/>
                  </w:tcBorders>
                  <w:noWrap w:val="0"/>
                  <w:vAlign w:val="center"/>
                </w:tcPr>
                <w:p w14:paraId="1F372E9F">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1</w:t>
                  </w:r>
                </w:p>
              </w:tc>
              <w:tc>
                <w:tcPr>
                  <w:tcW w:w="570" w:type="pct"/>
                  <w:vMerge w:val="restart"/>
                  <w:tcBorders>
                    <w:tl2br w:val="nil"/>
                    <w:tr2bl w:val="nil"/>
                  </w:tcBorders>
                  <w:noWrap w:val="0"/>
                  <w:vAlign w:val="center"/>
                </w:tcPr>
                <w:p w14:paraId="44BE8A4E">
                  <w:pPr>
                    <w:pStyle w:val="61"/>
                    <w:adjustRightInd/>
                    <w:snapToGrid/>
                    <w:spacing w:before="0" w:beforeLines="0" w:after="0" w:afterLines="0" w:line="240" w:lineRule="auto"/>
                    <w:ind w:left="0" w:firstLine="0" w:firstLineChars="0"/>
                    <w:rPr>
                      <w:rFonts w:ascii="Times New Roman"/>
                      <w:color w:val="auto"/>
                      <w:szCs w:val="21"/>
                    </w:rPr>
                  </w:pPr>
                  <w:r>
                    <w:rPr>
                      <w:rFonts w:hint="eastAsia" w:ascii="Times New Roman"/>
                      <w:color w:val="auto"/>
                      <w:szCs w:val="21"/>
                      <w:lang w:val="en-US" w:eastAsia="zh-CN"/>
                    </w:rPr>
                    <w:t>废水总排口</w:t>
                  </w:r>
                  <w:r>
                    <w:rPr>
                      <w:rFonts w:ascii="Times New Roman"/>
                      <w:color w:val="auto"/>
                      <w:szCs w:val="21"/>
                    </w:rPr>
                    <w:t>DW001</w:t>
                  </w:r>
                </w:p>
              </w:tc>
              <w:tc>
                <w:tcPr>
                  <w:tcW w:w="730" w:type="pct"/>
                  <w:tcBorders>
                    <w:tl2br w:val="nil"/>
                    <w:tr2bl w:val="nil"/>
                  </w:tcBorders>
                  <w:noWrap w:val="0"/>
                  <w:vAlign w:val="center"/>
                </w:tcPr>
                <w:p w14:paraId="0646AA74">
                  <w:pPr>
                    <w:pStyle w:val="61"/>
                    <w:adjustRightInd/>
                    <w:snapToGrid/>
                    <w:spacing w:before="0" w:beforeLines="0" w:after="0" w:afterLines="0" w:line="240" w:lineRule="auto"/>
                    <w:ind w:left="0" w:firstLine="0" w:firstLineChars="0"/>
                    <w:rPr>
                      <w:rFonts w:ascii="Times New Roman"/>
                      <w:color w:val="auto"/>
                      <w:szCs w:val="21"/>
                    </w:rPr>
                  </w:pPr>
                  <w:r>
                    <w:rPr>
                      <w:rFonts w:hint="eastAsia" w:ascii="Times New Roman" w:hAnsi="Times New Roman" w:cs="Times New Roman"/>
                      <w:bCs/>
                      <w:color w:val="auto"/>
                      <w:sz w:val="21"/>
                      <w:szCs w:val="21"/>
                      <w:lang w:val="en-US" w:eastAsia="zh-CN"/>
                    </w:rPr>
                    <w:t>PH</w:t>
                  </w:r>
                </w:p>
              </w:tc>
              <w:tc>
                <w:tcPr>
                  <w:tcW w:w="356" w:type="pct"/>
                  <w:vMerge w:val="restart"/>
                  <w:tcBorders>
                    <w:tl2br w:val="nil"/>
                    <w:tr2bl w:val="nil"/>
                  </w:tcBorders>
                  <w:noWrap w:val="0"/>
                  <w:vAlign w:val="center"/>
                </w:tcPr>
                <w:p w14:paraId="19779B95">
                  <w:pPr>
                    <w:pStyle w:val="61"/>
                    <w:adjustRightInd/>
                    <w:snapToGrid/>
                    <w:spacing w:before="0" w:beforeLines="0" w:after="0" w:afterLines="0" w:line="240" w:lineRule="auto"/>
                    <w:ind w:left="0" w:firstLine="0" w:firstLineChars="0"/>
                    <w:rPr>
                      <w:rFonts w:ascii="Times New Roman"/>
                      <w:color w:val="auto"/>
                      <w:szCs w:val="21"/>
                    </w:rPr>
                  </w:pPr>
                  <w:r>
                    <w:rPr>
                      <w:rFonts w:ascii="Times New Roman"/>
                      <w:color w:val="auto"/>
                      <w:szCs w:val="21"/>
                    </w:rPr>
                    <w:t>间接排放</w:t>
                  </w:r>
                </w:p>
              </w:tc>
              <w:tc>
                <w:tcPr>
                  <w:tcW w:w="428" w:type="pct"/>
                  <w:vMerge w:val="restart"/>
                  <w:tcBorders>
                    <w:tl2br w:val="nil"/>
                    <w:tr2bl w:val="nil"/>
                  </w:tcBorders>
                  <w:noWrap w:val="0"/>
                  <w:vAlign w:val="center"/>
                </w:tcPr>
                <w:p w14:paraId="3441804B">
                  <w:pPr>
                    <w:pStyle w:val="61"/>
                    <w:adjustRightInd/>
                    <w:snapToGrid/>
                    <w:spacing w:before="0" w:beforeLines="0" w:after="0" w:afterLines="0" w:line="240" w:lineRule="auto"/>
                    <w:ind w:left="0" w:firstLine="0" w:firstLineChars="0"/>
                    <w:rPr>
                      <w:rFonts w:hint="eastAsia" w:ascii="Times New Roman" w:eastAsia="宋体"/>
                      <w:color w:val="auto"/>
                      <w:szCs w:val="21"/>
                      <w:lang w:eastAsia="zh-CN"/>
                    </w:rPr>
                  </w:pPr>
                  <w:r>
                    <w:rPr>
                      <w:rFonts w:hint="default" w:ascii="Times New Roman" w:hAnsi="Times New Roman" w:cs="Times New Roman"/>
                      <w:bCs/>
                      <w:color w:val="auto"/>
                      <w:sz w:val="21"/>
                      <w:szCs w:val="21"/>
                      <w:lang w:eastAsia="zh-CN"/>
                    </w:rPr>
                    <w:t>龙潭镇</w:t>
                  </w:r>
                  <w:r>
                    <w:rPr>
                      <w:rFonts w:hint="default" w:ascii="Times New Roman" w:hAnsi="Times New Roman" w:cs="Times New Roman"/>
                      <w:bCs/>
                      <w:color w:val="auto"/>
                      <w:sz w:val="21"/>
                      <w:szCs w:val="21"/>
                    </w:rPr>
                    <w:t>污水处理厂</w:t>
                  </w:r>
                </w:p>
              </w:tc>
              <w:tc>
                <w:tcPr>
                  <w:tcW w:w="634" w:type="pct"/>
                  <w:vMerge w:val="restart"/>
                  <w:tcBorders>
                    <w:tl2br w:val="nil"/>
                    <w:tr2bl w:val="nil"/>
                  </w:tcBorders>
                  <w:noWrap w:val="0"/>
                  <w:vAlign w:val="center"/>
                </w:tcPr>
                <w:p w14:paraId="551BE75A">
                  <w:pPr>
                    <w:jc w:val="center"/>
                    <w:rPr>
                      <w:color w:val="auto"/>
                      <w:szCs w:val="21"/>
                    </w:rPr>
                  </w:pPr>
                  <w:r>
                    <w:rPr>
                      <w:rFonts w:hint="default" w:ascii="Times New Roman" w:hAnsi="Times New Roman" w:eastAsia="CIDFont" w:cs="Times New Roman"/>
                      <w:color w:val="auto"/>
                      <w:kern w:val="0"/>
                      <w:szCs w:val="21"/>
                    </w:rPr>
                    <w:t>间断排放，排放期间流量不稳定且无规律，但不属于冲击型排放。</w:t>
                  </w:r>
                </w:p>
              </w:tc>
              <w:tc>
                <w:tcPr>
                  <w:tcW w:w="412" w:type="pct"/>
                  <w:vMerge w:val="restart"/>
                  <w:tcBorders>
                    <w:tl2br w:val="nil"/>
                    <w:tr2bl w:val="nil"/>
                  </w:tcBorders>
                  <w:noWrap w:val="0"/>
                  <w:vAlign w:val="center"/>
                </w:tcPr>
                <w:p w14:paraId="01D381C7">
                  <w:pPr>
                    <w:pStyle w:val="61"/>
                    <w:adjustRightInd/>
                    <w:snapToGrid/>
                    <w:spacing w:before="0" w:beforeLines="0" w:after="0" w:afterLines="0" w:line="240" w:lineRule="auto"/>
                    <w:ind w:left="0" w:firstLine="0" w:firstLineChars="0"/>
                    <w:rPr>
                      <w:rFonts w:ascii="Times New Roman"/>
                      <w:color w:val="auto"/>
                      <w:szCs w:val="21"/>
                    </w:rPr>
                  </w:pPr>
                  <w:r>
                    <w:rPr>
                      <w:rFonts w:hint="eastAsia" w:ascii="Times New Roman"/>
                      <w:color w:val="auto"/>
                      <w:szCs w:val="21"/>
                    </w:rPr>
                    <w:t>110.53186</w:t>
                  </w:r>
                </w:p>
              </w:tc>
              <w:tc>
                <w:tcPr>
                  <w:tcW w:w="380" w:type="pct"/>
                  <w:vMerge w:val="restart"/>
                  <w:tcBorders>
                    <w:tl2br w:val="nil"/>
                    <w:tr2bl w:val="nil"/>
                  </w:tcBorders>
                  <w:noWrap w:val="0"/>
                  <w:vAlign w:val="center"/>
                </w:tcPr>
                <w:p w14:paraId="7E9632E5">
                  <w:pPr>
                    <w:pStyle w:val="61"/>
                    <w:adjustRightInd/>
                    <w:snapToGrid/>
                    <w:spacing w:before="0" w:beforeLines="0" w:after="0" w:afterLines="0" w:line="240" w:lineRule="auto"/>
                    <w:ind w:left="0" w:firstLine="0" w:firstLineChars="0"/>
                    <w:rPr>
                      <w:rFonts w:ascii="Times New Roman"/>
                      <w:color w:val="auto"/>
                      <w:szCs w:val="21"/>
                    </w:rPr>
                  </w:pPr>
                  <w:r>
                    <w:rPr>
                      <w:rFonts w:hint="eastAsia" w:ascii="Times New Roman"/>
                      <w:color w:val="auto"/>
                      <w:szCs w:val="21"/>
                    </w:rPr>
                    <w:t>27.41245</w:t>
                  </w:r>
                </w:p>
              </w:tc>
              <w:tc>
                <w:tcPr>
                  <w:tcW w:w="849" w:type="pct"/>
                  <w:vMerge w:val="restart"/>
                  <w:tcBorders>
                    <w:tl2br w:val="nil"/>
                    <w:tr2bl w:val="nil"/>
                  </w:tcBorders>
                  <w:noWrap w:val="0"/>
                  <w:vAlign w:val="center"/>
                </w:tcPr>
                <w:p w14:paraId="390D87FC">
                  <w:pPr>
                    <w:pStyle w:val="61"/>
                    <w:adjustRightInd/>
                    <w:snapToGrid/>
                    <w:spacing w:before="0" w:beforeLines="0" w:after="0" w:afterLines="0" w:line="240" w:lineRule="auto"/>
                    <w:ind w:left="0" w:firstLine="0" w:firstLineChars="0"/>
                    <w:rPr>
                      <w:rFonts w:ascii="Times New Roman"/>
                      <w:color w:val="auto"/>
                      <w:szCs w:val="21"/>
                    </w:rPr>
                  </w:pPr>
                  <w:r>
                    <w:rPr>
                      <w:rFonts w:hint="eastAsia" w:ascii="Times New Roman"/>
                      <w:color w:val="auto"/>
                      <w:szCs w:val="21"/>
                      <w:lang w:eastAsia="zh-CN"/>
                    </w:rPr>
                    <w:t>《污水综合排放标准》（GB8978-1996）</w:t>
                  </w:r>
                  <w:r>
                    <w:rPr>
                      <w:rFonts w:hint="eastAsia" w:ascii="Times New Roman"/>
                      <w:color w:val="auto"/>
                      <w:szCs w:val="21"/>
                      <w:lang w:val="en-US" w:eastAsia="zh-CN"/>
                    </w:rPr>
                    <w:t>表4中三级</w:t>
                  </w:r>
                  <w:r>
                    <w:rPr>
                      <w:rFonts w:hint="eastAsia" w:ascii="Times New Roman" w:hAnsi="Times New Roman" w:eastAsia="宋体" w:cs="Times New Roman"/>
                      <w:color w:val="FF0000"/>
                      <w:szCs w:val="21"/>
                      <w:lang w:val="en-US" w:eastAsia="zh-CN"/>
                    </w:rPr>
                    <w:t>标准及龙潭镇污水处理厂进水水质标准中较严格的限值</w:t>
                  </w:r>
                </w:p>
              </w:tc>
              <w:tc>
                <w:tcPr>
                  <w:tcW w:w="385" w:type="pct"/>
                  <w:tcBorders>
                    <w:tl2br w:val="nil"/>
                    <w:tr2bl w:val="nil"/>
                  </w:tcBorders>
                  <w:noWrap w:val="0"/>
                  <w:vAlign w:val="center"/>
                </w:tcPr>
                <w:p w14:paraId="554A8974">
                  <w:pPr>
                    <w:pStyle w:val="61"/>
                    <w:adjustRightInd/>
                    <w:snapToGrid/>
                    <w:spacing w:before="0" w:beforeLines="0" w:after="0" w:afterLines="0" w:line="240" w:lineRule="auto"/>
                    <w:ind w:left="0" w:firstLine="0" w:firstLineChars="0"/>
                    <w:rPr>
                      <w:rFonts w:hint="default" w:ascii="Times New Roman" w:eastAsia="宋体"/>
                      <w:color w:val="auto"/>
                      <w:szCs w:val="21"/>
                      <w:lang w:val="en-US" w:eastAsia="zh-CN"/>
                    </w:rPr>
                  </w:pPr>
                  <w:r>
                    <w:rPr>
                      <w:rFonts w:hint="eastAsia" w:ascii="Times New Roman"/>
                      <w:color w:val="auto"/>
                      <w:szCs w:val="21"/>
                      <w:lang w:val="en-US" w:eastAsia="zh-CN"/>
                    </w:rPr>
                    <w:t>6~9</w:t>
                  </w:r>
                </w:p>
              </w:tc>
            </w:tr>
            <w:tr w14:paraId="2E37B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50" w:type="pct"/>
                  <w:vMerge w:val="continue"/>
                  <w:tcBorders>
                    <w:tl2br w:val="nil"/>
                    <w:tr2bl w:val="nil"/>
                  </w:tcBorders>
                  <w:noWrap w:val="0"/>
                  <w:vAlign w:val="center"/>
                </w:tcPr>
                <w:p w14:paraId="2DE8C437">
                  <w:pPr>
                    <w:pStyle w:val="61"/>
                    <w:adjustRightInd/>
                    <w:snapToGrid/>
                    <w:spacing w:before="0" w:beforeLines="0" w:after="0" w:afterLines="0" w:line="240" w:lineRule="auto"/>
                    <w:ind w:left="0" w:firstLine="0" w:firstLineChars="0"/>
                    <w:rPr>
                      <w:rFonts w:ascii="Times New Roman"/>
                      <w:color w:val="auto"/>
                      <w:szCs w:val="21"/>
                    </w:rPr>
                  </w:pPr>
                </w:p>
              </w:tc>
              <w:tc>
                <w:tcPr>
                  <w:tcW w:w="570" w:type="pct"/>
                  <w:vMerge w:val="continue"/>
                  <w:tcBorders>
                    <w:tl2br w:val="nil"/>
                    <w:tr2bl w:val="nil"/>
                  </w:tcBorders>
                  <w:noWrap w:val="0"/>
                  <w:vAlign w:val="center"/>
                </w:tcPr>
                <w:p w14:paraId="7E8C1C08">
                  <w:pPr>
                    <w:pStyle w:val="61"/>
                    <w:adjustRightInd/>
                    <w:snapToGrid/>
                    <w:spacing w:before="0" w:beforeLines="0" w:after="0" w:afterLines="0" w:line="240" w:lineRule="auto"/>
                    <w:ind w:left="0" w:firstLine="0" w:firstLineChars="0"/>
                    <w:rPr>
                      <w:rFonts w:hint="eastAsia" w:ascii="Times New Roman"/>
                      <w:color w:val="auto"/>
                      <w:szCs w:val="21"/>
                      <w:lang w:val="en-US" w:eastAsia="zh-CN"/>
                    </w:rPr>
                  </w:pPr>
                </w:p>
              </w:tc>
              <w:tc>
                <w:tcPr>
                  <w:tcW w:w="730" w:type="pct"/>
                  <w:tcBorders>
                    <w:tl2br w:val="nil"/>
                    <w:tr2bl w:val="nil"/>
                  </w:tcBorders>
                  <w:noWrap w:val="0"/>
                  <w:vAlign w:val="center"/>
                </w:tcPr>
                <w:p w14:paraId="5C4DCDA1">
                  <w:pPr>
                    <w:pStyle w:val="61"/>
                    <w:adjustRightInd/>
                    <w:snapToGrid/>
                    <w:spacing w:before="0" w:beforeLines="0" w:after="0" w:afterLines="0" w:line="240" w:lineRule="auto"/>
                    <w:ind w:left="0" w:leftChars="0" w:firstLine="0" w:firstLineChars="0"/>
                    <w:rPr>
                      <w:rFonts w:ascii="Times New Roman"/>
                      <w:color w:val="auto"/>
                      <w:szCs w:val="21"/>
                    </w:rPr>
                  </w:pPr>
                  <w:r>
                    <w:rPr>
                      <w:rFonts w:ascii="Times New Roman"/>
                      <w:color w:val="auto"/>
                      <w:szCs w:val="21"/>
                    </w:rPr>
                    <w:t>COD</w:t>
                  </w:r>
                </w:p>
              </w:tc>
              <w:tc>
                <w:tcPr>
                  <w:tcW w:w="356" w:type="pct"/>
                  <w:vMerge w:val="continue"/>
                  <w:tcBorders>
                    <w:tl2br w:val="nil"/>
                    <w:tr2bl w:val="nil"/>
                  </w:tcBorders>
                  <w:noWrap w:val="0"/>
                  <w:vAlign w:val="center"/>
                </w:tcPr>
                <w:p w14:paraId="1FD4052C">
                  <w:pPr>
                    <w:pStyle w:val="61"/>
                    <w:adjustRightInd/>
                    <w:snapToGrid/>
                    <w:spacing w:before="0" w:beforeLines="0" w:after="0" w:afterLines="0" w:line="240" w:lineRule="auto"/>
                    <w:ind w:left="0" w:firstLine="0" w:firstLineChars="0"/>
                    <w:rPr>
                      <w:rFonts w:ascii="Times New Roman"/>
                      <w:color w:val="auto"/>
                      <w:szCs w:val="21"/>
                    </w:rPr>
                  </w:pPr>
                </w:p>
              </w:tc>
              <w:tc>
                <w:tcPr>
                  <w:tcW w:w="428" w:type="pct"/>
                  <w:vMerge w:val="continue"/>
                  <w:tcBorders>
                    <w:tl2br w:val="nil"/>
                    <w:tr2bl w:val="nil"/>
                  </w:tcBorders>
                  <w:noWrap w:val="0"/>
                  <w:vAlign w:val="center"/>
                </w:tcPr>
                <w:p w14:paraId="7528F39A">
                  <w:pPr>
                    <w:pStyle w:val="61"/>
                    <w:adjustRightInd/>
                    <w:snapToGrid/>
                    <w:spacing w:before="0" w:beforeLines="0" w:after="0" w:afterLines="0" w:line="240" w:lineRule="auto"/>
                    <w:ind w:left="0" w:firstLine="0" w:firstLineChars="0"/>
                    <w:rPr>
                      <w:rFonts w:hint="eastAsia" w:ascii="Times New Roman"/>
                      <w:color w:val="auto"/>
                      <w:szCs w:val="21"/>
                      <w:lang w:eastAsia="zh-CN"/>
                    </w:rPr>
                  </w:pPr>
                </w:p>
              </w:tc>
              <w:tc>
                <w:tcPr>
                  <w:tcW w:w="634" w:type="pct"/>
                  <w:vMerge w:val="continue"/>
                  <w:tcBorders>
                    <w:tl2br w:val="nil"/>
                    <w:tr2bl w:val="nil"/>
                  </w:tcBorders>
                  <w:noWrap w:val="0"/>
                  <w:vAlign w:val="center"/>
                </w:tcPr>
                <w:p w14:paraId="019D46C8">
                  <w:pPr>
                    <w:jc w:val="center"/>
                    <w:rPr>
                      <w:color w:val="auto"/>
                      <w:szCs w:val="21"/>
                    </w:rPr>
                  </w:pPr>
                </w:p>
              </w:tc>
              <w:tc>
                <w:tcPr>
                  <w:tcW w:w="412" w:type="pct"/>
                  <w:vMerge w:val="continue"/>
                  <w:tcBorders>
                    <w:tl2br w:val="nil"/>
                    <w:tr2bl w:val="nil"/>
                  </w:tcBorders>
                  <w:noWrap w:val="0"/>
                  <w:vAlign w:val="center"/>
                </w:tcPr>
                <w:p w14:paraId="01EACEC8">
                  <w:pPr>
                    <w:pStyle w:val="61"/>
                    <w:adjustRightInd/>
                    <w:snapToGrid/>
                    <w:spacing w:before="0" w:beforeLines="0" w:after="0" w:afterLines="0" w:line="240" w:lineRule="auto"/>
                    <w:ind w:left="0" w:firstLine="0" w:firstLineChars="0"/>
                    <w:rPr>
                      <w:rFonts w:hint="eastAsia" w:ascii="Times New Roman"/>
                      <w:color w:val="auto"/>
                      <w:szCs w:val="21"/>
                    </w:rPr>
                  </w:pPr>
                </w:p>
              </w:tc>
              <w:tc>
                <w:tcPr>
                  <w:tcW w:w="380" w:type="pct"/>
                  <w:vMerge w:val="continue"/>
                  <w:tcBorders>
                    <w:tl2br w:val="nil"/>
                    <w:tr2bl w:val="nil"/>
                  </w:tcBorders>
                  <w:noWrap w:val="0"/>
                  <w:vAlign w:val="center"/>
                </w:tcPr>
                <w:p w14:paraId="7F6AC405">
                  <w:pPr>
                    <w:pStyle w:val="61"/>
                    <w:adjustRightInd/>
                    <w:snapToGrid/>
                    <w:spacing w:before="0" w:beforeLines="0" w:after="0" w:afterLines="0" w:line="240" w:lineRule="auto"/>
                    <w:ind w:left="0" w:firstLine="0" w:firstLineChars="0"/>
                    <w:rPr>
                      <w:rFonts w:hint="eastAsia" w:ascii="Times New Roman"/>
                      <w:color w:val="auto"/>
                      <w:szCs w:val="21"/>
                    </w:rPr>
                  </w:pPr>
                </w:p>
              </w:tc>
              <w:tc>
                <w:tcPr>
                  <w:tcW w:w="849" w:type="pct"/>
                  <w:vMerge w:val="continue"/>
                  <w:tcBorders>
                    <w:tl2br w:val="nil"/>
                    <w:tr2bl w:val="nil"/>
                  </w:tcBorders>
                  <w:noWrap w:val="0"/>
                  <w:vAlign w:val="center"/>
                </w:tcPr>
                <w:p w14:paraId="25574B83">
                  <w:pPr>
                    <w:pStyle w:val="61"/>
                    <w:adjustRightInd/>
                    <w:snapToGrid/>
                    <w:spacing w:before="0" w:beforeLines="0" w:after="0" w:afterLines="0" w:line="240" w:lineRule="auto"/>
                    <w:ind w:left="0" w:firstLine="0" w:firstLineChars="0"/>
                    <w:jc w:val="center"/>
                    <w:rPr>
                      <w:rFonts w:hint="default" w:ascii="Times New Roman" w:hAnsi="Times New Roman" w:eastAsia="宋体" w:cs="Times New Roman"/>
                      <w:color w:val="auto"/>
                      <w:spacing w:val="7"/>
                      <w:sz w:val="21"/>
                      <w:szCs w:val="21"/>
                    </w:rPr>
                  </w:pPr>
                </w:p>
              </w:tc>
              <w:tc>
                <w:tcPr>
                  <w:tcW w:w="385" w:type="pct"/>
                  <w:tcBorders>
                    <w:tl2br w:val="nil"/>
                    <w:tr2bl w:val="nil"/>
                  </w:tcBorders>
                  <w:noWrap w:val="0"/>
                  <w:vAlign w:val="center"/>
                </w:tcPr>
                <w:p w14:paraId="4D53BE85">
                  <w:pPr>
                    <w:pStyle w:val="61"/>
                    <w:adjustRightInd/>
                    <w:snapToGrid/>
                    <w:spacing w:before="0" w:beforeLines="0" w:after="0" w:afterLines="0" w:line="240" w:lineRule="auto"/>
                    <w:ind w:left="0" w:leftChars="0" w:firstLine="0" w:firstLineChars="0"/>
                    <w:rPr>
                      <w:rFonts w:hint="default" w:ascii="Times New Roman" w:hAnsi="Times New Roman" w:eastAsia="宋体" w:cs="Times New Roman"/>
                      <w:bCs/>
                      <w:snapToGrid w:val="0"/>
                      <w:color w:val="auto"/>
                      <w:szCs w:val="21"/>
                      <w:lang w:val="en-US" w:eastAsia="zh-CN"/>
                    </w:rPr>
                  </w:pPr>
                  <w:r>
                    <w:rPr>
                      <w:rFonts w:hint="eastAsia" w:ascii="Times New Roman" w:cs="Times New Roman"/>
                      <w:bCs/>
                      <w:snapToGrid w:val="0"/>
                      <w:color w:val="auto"/>
                      <w:szCs w:val="21"/>
                      <w:lang w:val="en-US" w:eastAsia="zh-CN"/>
                    </w:rPr>
                    <w:t>300</w:t>
                  </w:r>
                </w:p>
              </w:tc>
            </w:tr>
            <w:tr w14:paraId="2C3E2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1" w:hRule="atLeast"/>
                <w:jc w:val="center"/>
              </w:trPr>
              <w:tc>
                <w:tcPr>
                  <w:tcW w:w="250" w:type="pct"/>
                  <w:vMerge w:val="continue"/>
                  <w:tcBorders>
                    <w:tl2br w:val="nil"/>
                    <w:tr2bl w:val="nil"/>
                  </w:tcBorders>
                  <w:noWrap w:val="0"/>
                  <w:vAlign w:val="center"/>
                </w:tcPr>
                <w:p w14:paraId="2F0CAD62">
                  <w:pPr>
                    <w:pStyle w:val="61"/>
                    <w:adjustRightInd/>
                    <w:snapToGrid/>
                    <w:spacing w:before="0" w:beforeLines="0" w:after="0" w:afterLines="0" w:line="240" w:lineRule="auto"/>
                    <w:ind w:left="0" w:firstLine="0" w:firstLineChars="0"/>
                    <w:rPr>
                      <w:rFonts w:ascii="Times New Roman"/>
                      <w:color w:val="auto"/>
                      <w:szCs w:val="21"/>
                    </w:rPr>
                  </w:pPr>
                </w:p>
              </w:tc>
              <w:tc>
                <w:tcPr>
                  <w:tcW w:w="570" w:type="pct"/>
                  <w:vMerge w:val="continue"/>
                  <w:tcBorders>
                    <w:tl2br w:val="nil"/>
                    <w:tr2bl w:val="nil"/>
                  </w:tcBorders>
                  <w:noWrap w:val="0"/>
                  <w:vAlign w:val="center"/>
                </w:tcPr>
                <w:p w14:paraId="344595CC">
                  <w:pPr>
                    <w:pStyle w:val="61"/>
                    <w:adjustRightInd/>
                    <w:snapToGrid/>
                    <w:spacing w:before="0" w:beforeLines="0" w:after="0" w:afterLines="0" w:line="240" w:lineRule="auto"/>
                    <w:ind w:left="0" w:firstLine="0" w:firstLineChars="0"/>
                    <w:rPr>
                      <w:rFonts w:hint="eastAsia" w:ascii="Times New Roman"/>
                      <w:color w:val="auto"/>
                      <w:szCs w:val="21"/>
                      <w:lang w:val="en-US" w:eastAsia="zh-CN"/>
                    </w:rPr>
                  </w:pPr>
                </w:p>
              </w:tc>
              <w:tc>
                <w:tcPr>
                  <w:tcW w:w="730" w:type="pct"/>
                  <w:tcBorders>
                    <w:tl2br w:val="nil"/>
                    <w:tr2bl w:val="nil"/>
                  </w:tcBorders>
                  <w:noWrap w:val="0"/>
                  <w:vAlign w:val="center"/>
                </w:tcPr>
                <w:p w14:paraId="3B212B8B">
                  <w:pPr>
                    <w:pStyle w:val="61"/>
                    <w:adjustRightInd/>
                    <w:snapToGrid/>
                    <w:spacing w:before="0" w:beforeLines="0" w:after="0" w:afterLines="0" w:line="240" w:lineRule="auto"/>
                    <w:ind w:left="0" w:leftChars="0" w:firstLine="0" w:firstLineChars="0"/>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rPr>
                    <w:t>BOD</w:t>
                  </w:r>
                  <w:r>
                    <w:rPr>
                      <w:rFonts w:hint="default" w:ascii="Times New Roman" w:hAnsi="Times New Roman" w:eastAsia="宋体" w:cs="Times New Roman"/>
                      <w:color w:val="auto"/>
                      <w:spacing w:val="5"/>
                      <w:position w:val="-1"/>
                      <w:sz w:val="21"/>
                      <w:szCs w:val="21"/>
                      <w:vertAlign w:val="subscript"/>
                    </w:rPr>
                    <w:t>5</w:t>
                  </w:r>
                </w:p>
              </w:tc>
              <w:tc>
                <w:tcPr>
                  <w:tcW w:w="356" w:type="pct"/>
                  <w:vMerge w:val="continue"/>
                  <w:tcBorders>
                    <w:tl2br w:val="nil"/>
                    <w:tr2bl w:val="nil"/>
                  </w:tcBorders>
                  <w:noWrap w:val="0"/>
                  <w:vAlign w:val="center"/>
                </w:tcPr>
                <w:p w14:paraId="1FFF42F5">
                  <w:pPr>
                    <w:pStyle w:val="61"/>
                    <w:adjustRightInd/>
                    <w:snapToGrid/>
                    <w:spacing w:before="0" w:beforeLines="0" w:after="0" w:afterLines="0" w:line="240" w:lineRule="auto"/>
                    <w:ind w:left="0" w:firstLine="0" w:firstLineChars="0"/>
                    <w:rPr>
                      <w:rFonts w:ascii="Times New Roman"/>
                      <w:color w:val="auto"/>
                      <w:szCs w:val="21"/>
                    </w:rPr>
                  </w:pPr>
                </w:p>
              </w:tc>
              <w:tc>
                <w:tcPr>
                  <w:tcW w:w="428" w:type="pct"/>
                  <w:vMerge w:val="continue"/>
                  <w:tcBorders>
                    <w:tl2br w:val="nil"/>
                    <w:tr2bl w:val="nil"/>
                  </w:tcBorders>
                  <w:noWrap w:val="0"/>
                  <w:vAlign w:val="center"/>
                </w:tcPr>
                <w:p w14:paraId="0FD67EBF">
                  <w:pPr>
                    <w:pStyle w:val="61"/>
                    <w:adjustRightInd/>
                    <w:snapToGrid/>
                    <w:spacing w:before="0" w:beforeLines="0" w:after="0" w:afterLines="0" w:line="240" w:lineRule="auto"/>
                    <w:ind w:left="0" w:firstLine="0" w:firstLineChars="0"/>
                    <w:rPr>
                      <w:rFonts w:hint="eastAsia" w:ascii="Times New Roman"/>
                      <w:color w:val="auto"/>
                      <w:szCs w:val="21"/>
                      <w:lang w:eastAsia="zh-CN"/>
                    </w:rPr>
                  </w:pPr>
                </w:p>
              </w:tc>
              <w:tc>
                <w:tcPr>
                  <w:tcW w:w="634" w:type="pct"/>
                  <w:vMerge w:val="continue"/>
                  <w:tcBorders>
                    <w:tl2br w:val="nil"/>
                    <w:tr2bl w:val="nil"/>
                  </w:tcBorders>
                  <w:noWrap w:val="0"/>
                  <w:vAlign w:val="center"/>
                </w:tcPr>
                <w:p w14:paraId="3E81D981">
                  <w:pPr>
                    <w:jc w:val="center"/>
                    <w:rPr>
                      <w:color w:val="auto"/>
                      <w:szCs w:val="21"/>
                    </w:rPr>
                  </w:pPr>
                </w:p>
              </w:tc>
              <w:tc>
                <w:tcPr>
                  <w:tcW w:w="412" w:type="pct"/>
                  <w:vMerge w:val="continue"/>
                  <w:tcBorders>
                    <w:tl2br w:val="nil"/>
                    <w:tr2bl w:val="nil"/>
                  </w:tcBorders>
                  <w:noWrap w:val="0"/>
                  <w:vAlign w:val="center"/>
                </w:tcPr>
                <w:p w14:paraId="1DF25D25">
                  <w:pPr>
                    <w:pStyle w:val="61"/>
                    <w:adjustRightInd/>
                    <w:snapToGrid/>
                    <w:spacing w:before="0" w:beforeLines="0" w:after="0" w:afterLines="0" w:line="240" w:lineRule="auto"/>
                    <w:ind w:left="0" w:firstLine="0" w:firstLineChars="0"/>
                    <w:rPr>
                      <w:rFonts w:hint="eastAsia" w:ascii="Times New Roman"/>
                      <w:color w:val="auto"/>
                      <w:szCs w:val="21"/>
                    </w:rPr>
                  </w:pPr>
                </w:p>
              </w:tc>
              <w:tc>
                <w:tcPr>
                  <w:tcW w:w="380" w:type="pct"/>
                  <w:vMerge w:val="continue"/>
                  <w:tcBorders>
                    <w:tl2br w:val="nil"/>
                    <w:tr2bl w:val="nil"/>
                  </w:tcBorders>
                  <w:noWrap w:val="0"/>
                  <w:vAlign w:val="center"/>
                </w:tcPr>
                <w:p w14:paraId="717B3B2F">
                  <w:pPr>
                    <w:pStyle w:val="61"/>
                    <w:adjustRightInd/>
                    <w:snapToGrid/>
                    <w:spacing w:before="0" w:beforeLines="0" w:after="0" w:afterLines="0" w:line="240" w:lineRule="auto"/>
                    <w:ind w:left="0" w:firstLine="0" w:firstLineChars="0"/>
                    <w:rPr>
                      <w:rFonts w:hint="eastAsia" w:ascii="Times New Roman"/>
                      <w:color w:val="auto"/>
                      <w:szCs w:val="21"/>
                    </w:rPr>
                  </w:pPr>
                </w:p>
              </w:tc>
              <w:tc>
                <w:tcPr>
                  <w:tcW w:w="849" w:type="pct"/>
                  <w:vMerge w:val="continue"/>
                  <w:tcBorders>
                    <w:tl2br w:val="nil"/>
                    <w:tr2bl w:val="nil"/>
                  </w:tcBorders>
                  <w:noWrap w:val="0"/>
                  <w:vAlign w:val="center"/>
                </w:tcPr>
                <w:p w14:paraId="66E403F8">
                  <w:pPr>
                    <w:pStyle w:val="61"/>
                    <w:adjustRightInd/>
                    <w:snapToGrid/>
                    <w:spacing w:before="0" w:beforeLines="0" w:after="0" w:afterLines="0" w:line="240" w:lineRule="auto"/>
                    <w:ind w:left="0" w:firstLine="0" w:firstLineChars="0"/>
                    <w:jc w:val="center"/>
                    <w:rPr>
                      <w:rFonts w:hint="default" w:ascii="Times New Roman" w:hAnsi="Times New Roman" w:eastAsia="宋体" w:cs="Times New Roman"/>
                      <w:color w:val="auto"/>
                      <w:spacing w:val="7"/>
                      <w:sz w:val="21"/>
                      <w:szCs w:val="21"/>
                    </w:rPr>
                  </w:pPr>
                </w:p>
              </w:tc>
              <w:tc>
                <w:tcPr>
                  <w:tcW w:w="385" w:type="pct"/>
                  <w:tcBorders>
                    <w:tl2br w:val="nil"/>
                    <w:tr2bl w:val="nil"/>
                  </w:tcBorders>
                  <w:noWrap w:val="0"/>
                  <w:vAlign w:val="center"/>
                </w:tcPr>
                <w:p w14:paraId="595310D0">
                  <w:pPr>
                    <w:pStyle w:val="61"/>
                    <w:adjustRightInd/>
                    <w:snapToGrid/>
                    <w:spacing w:before="0" w:beforeLines="0" w:after="0" w:afterLines="0" w:line="240" w:lineRule="auto"/>
                    <w:ind w:left="0" w:leftChars="0" w:firstLine="0" w:firstLineChars="0"/>
                    <w:rPr>
                      <w:rFonts w:hint="default" w:ascii="Times New Roman" w:hAnsi="Times New Roman" w:eastAsia="宋体" w:cs="Times New Roman"/>
                      <w:bCs/>
                      <w:snapToGrid w:val="0"/>
                      <w:color w:val="auto"/>
                      <w:szCs w:val="21"/>
                      <w:lang w:val="en-US" w:eastAsia="zh-CN"/>
                    </w:rPr>
                  </w:pPr>
                  <w:r>
                    <w:rPr>
                      <w:rFonts w:hint="eastAsia" w:ascii="Times New Roman" w:cs="Times New Roman"/>
                      <w:bCs/>
                      <w:snapToGrid w:val="0"/>
                      <w:color w:val="auto"/>
                      <w:szCs w:val="21"/>
                      <w:lang w:val="en-US" w:eastAsia="zh-CN"/>
                    </w:rPr>
                    <w:t>150</w:t>
                  </w:r>
                </w:p>
              </w:tc>
            </w:tr>
            <w:tr w14:paraId="6B8E8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50" w:type="pct"/>
                  <w:vMerge w:val="continue"/>
                  <w:tcBorders>
                    <w:tl2br w:val="nil"/>
                    <w:tr2bl w:val="nil"/>
                  </w:tcBorders>
                  <w:noWrap w:val="0"/>
                  <w:vAlign w:val="center"/>
                </w:tcPr>
                <w:p w14:paraId="42DCD1BC">
                  <w:pPr>
                    <w:pStyle w:val="61"/>
                    <w:adjustRightInd/>
                    <w:snapToGrid/>
                    <w:spacing w:before="0" w:beforeLines="0" w:after="0" w:afterLines="0" w:line="240" w:lineRule="auto"/>
                    <w:ind w:left="0" w:firstLine="0" w:firstLineChars="0"/>
                    <w:rPr>
                      <w:rFonts w:ascii="Times New Roman"/>
                      <w:color w:val="auto"/>
                      <w:szCs w:val="21"/>
                    </w:rPr>
                  </w:pPr>
                </w:p>
              </w:tc>
              <w:tc>
                <w:tcPr>
                  <w:tcW w:w="570" w:type="pct"/>
                  <w:vMerge w:val="continue"/>
                  <w:tcBorders>
                    <w:tl2br w:val="nil"/>
                    <w:tr2bl w:val="nil"/>
                  </w:tcBorders>
                  <w:noWrap w:val="0"/>
                  <w:vAlign w:val="center"/>
                </w:tcPr>
                <w:p w14:paraId="29FE6AD6">
                  <w:pPr>
                    <w:pStyle w:val="61"/>
                    <w:adjustRightInd/>
                    <w:snapToGrid/>
                    <w:spacing w:before="0" w:beforeLines="0" w:after="0" w:afterLines="0" w:line="240" w:lineRule="auto"/>
                    <w:ind w:left="0" w:firstLine="0" w:firstLineChars="0"/>
                    <w:rPr>
                      <w:rFonts w:hint="eastAsia" w:ascii="Times New Roman"/>
                      <w:color w:val="auto"/>
                      <w:szCs w:val="21"/>
                      <w:lang w:val="en-US" w:eastAsia="zh-CN"/>
                    </w:rPr>
                  </w:pPr>
                </w:p>
              </w:tc>
              <w:tc>
                <w:tcPr>
                  <w:tcW w:w="730" w:type="pct"/>
                  <w:tcBorders>
                    <w:tl2br w:val="nil"/>
                    <w:tr2bl w:val="nil"/>
                  </w:tcBorders>
                  <w:noWrap w:val="0"/>
                  <w:vAlign w:val="center"/>
                </w:tcPr>
                <w:p w14:paraId="2D5D6EA3">
                  <w:pPr>
                    <w:pStyle w:val="61"/>
                    <w:adjustRightInd/>
                    <w:snapToGrid/>
                    <w:spacing w:before="0" w:beforeLines="0" w:after="0" w:afterLines="0" w:line="240" w:lineRule="auto"/>
                    <w:ind w:left="0" w:leftChars="0" w:firstLine="0" w:firstLineChars="0"/>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SS</w:t>
                  </w:r>
                </w:p>
              </w:tc>
              <w:tc>
                <w:tcPr>
                  <w:tcW w:w="356" w:type="pct"/>
                  <w:vMerge w:val="continue"/>
                  <w:tcBorders>
                    <w:tl2br w:val="nil"/>
                    <w:tr2bl w:val="nil"/>
                  </w:tcBorders>
                  <w:noWrap w:val="0"/>
                  <w:vAlign w:val="center"/>
                </w:tcPr>
                <w:p w14:paraId="26761641">
                  <w:pPr>
                    <w:pStyle w:val="61"/>
                    <w:adjustRightInd/>
                    <w:snapToGrid/>
                    <w:spacing w:before="0" w:beforeLines="0" w:after="0" w:afterLines="0" w:line="240" w:lineRule="auto"/>
                    <w:ind w:left="0" w:firstLine="0" w:firstLineChars="0"/>
                    <w:rPr>
                      <w:rFonts w:ascii="Times New Roman"/>
                      <w:color w:val="auto"/>
                      <w:szCs w:val="21"/>
                    </w:rPr>
                  </w:pPr>
                </w:p>
              </w:tc>
              <w:tc>
                <w:tcPr>
                  <w:tcW w:w="428" w:type="pct"/>
                  <w:vMerge w:val="continue"/>
                  <w:tcBorders>
                    <w:tl2br w:val="nil"/>
                    <w:tr2bl w:val="nil"/>
                  </w:tcBorders>
                  <w:noWrap w:val="0"/>
                  <w:vAlign w:val="center"/>
                </w:tcPr>
                <w:p w14:paraId="69607456">
                  <w:pPr>
                    <w:pStyle w:val="61"/>
                    <w:adjustRightInd/>
                    <w:snapToGrid/>
                    <w:spacing w:before="0" w:beforeLines="0" w:after="0" w:afterLines="0" w:line="240" w:lineRule="auto"/>
                    <w:ind w:left="0" w:firstLine="0" w:firstLineChars="0"/>
                    <w:rPr>
                      <w:rFonts w:hint="eastAsia" w:ascii="Times New Roman"/>
                      <w:color w:val="auto"/>
                      <w:szCs w:val="21"/>
                      <w:lang w:eastAsia="zh-CN"/>
                    </w:rPr>
                  </w:pPr>
                </w:p>
              </w:tc>
              <w:tc>
                <w:tcPr>
                  <w:tcW w:w="634" w:type="pct"/>
                  <w:vMerge w:val="continue"/>
                  <w:tcBorders>
                    <w:tl2br w:val="nil"/>
                    <w:tr2bl w:val="nil"/>
                  </w:tcBorders>
                  <w:noWrap w:val="0"/>
                  <w:vAlign w:val="center"/>
                </w:tcPr>
                <w:p w14:paraId="64490F7A">
                  <w:pPr>
                    <w:jc w:val="center"/>
                    <w:rPr>
                      <w:color w:val="auto"/>
                      <w:szCs w:val="21"/>
                    </w:rPr>
                  </w:pPr>
                </w:p>
              </w:tc>
              <w:tc>
                <w:tcPr>
                  <w:tcW w:w="412" w:type="pct"/>
                  <w:vMerge w:val="continue"/>
                  <w:tcBorders>
                    <w:tl2br w:val="nil"/>
                    <w:tr2bl w:val="nil"/>
                  </w:tcBorders>
                  <w:noWrap w:val="0"/>
                  <w:vAlign w:val="center"/>
                </w:tcPr>
                <w:p w14:paraId="1033E127">
                  <w:pPr>
                    <w:pStyle w:val="61"/>
                    <w:adjustRightInd/>
                    <w:snapToGrid/>
                    <w:spacing w:before="0" w:beforeLines="0" w:after="0" w:afterLines="0" w:line="240" w:lineRule="auto"/>
                    <w:ind w:left="0" w:firstLine="0" w:firstLineChars="0"/>
                    <w:rPr>
                      <w:rFonts w:hint="eastAsia" w:ascii="Times New Roman"/>
                      <w:color w:val="auto"/>
                      <w:szCs w:val="21"/>
                    </w:rPr>
                  </w:pPr>
                </w:p>
              </w:tc>
              <w:tc>
                <w:tcPr>
                  <w:tcW w:w="380" w:type="pct"/>
                  <w:vMerge w:val="continue"/>
                  <w:tcBorders>
                    <w:tl2br w:val="nil"/>
                    <w:tr2bl w:val="nil"/>
                  </w:tcBorders>
                  <w:noWrap w:val="0"/>
                  <w:vAlign w:val="center"/>
                </w:tcPr>
                <w:p w14:paraId="4EFEA21A">
                  <w:pPr>
                    <w:pStyle w:val="61"/>
                    <w:adjustRightInd/>
                    <w:snapToGrid/>
                    <w:spacing w:before="0" w:beforeLines="0" w:after="0" w:afterLines="0" w:line="240" w:lineRule="auto"/>
                    <w:ind w:left="0" w:firstLine="0" w:firstLineChars="0"/>
                    <w:rPr>
                      <w:rFonts w:hint="eastAsia" w:ascii="Times New Roman"/>
                      <w:color w:val="auto"/>
                      <w:szCs w:val="21"/>
                    </w:rPr>
                  </w:pPr>
                </w:p>
              </w:tc>
              <w:tc>
                <w:tcPr>
                  <w:tcW w:w="849" w:type="pct"/>
                  <w:vMerge w:val="continue"/>
                  <w:tcBorders>
                    <w:tl2br w:val="nil"/>
                    <w:tr2bl w:val="nil"/>
                  </w:tcBorders>
                  <w:noWrap w:val="0"/>
                  <w:vAlign w:val="center"/>
                </w:tcPr>
                <w:p w14:paraId="3B7A3EBA">
                  <w:pPr>
                    <w:pStyle w:val="61"/>
                    <w:adjustRightInd/>
                    <w:snapToGrid/>
                    <w:spacing w:before="0" w:beforeLines="0" w:after="0" w:afterLines="0" w:line="240" w:lineRule="auto"/>
                    <w:ind w:left="0" w:firstLine="0" w:firstLineChars="0"/>
                    <w:jc w:val="center"/>
                    <w:rPr>
                      <w:rFonts w:hint="default" w:ascii="Times New Roman" w:hAnsi="Times New Roman" w:eastAsia="宋体" w:cs="Times New Roman"/>
                      <w:color w:val="auto"/>
                      <w:spacing w:val="7"/>
                      <w:sz w:val="21"/>
                      <w:szCs w:val="21"/>
                    </w:rPr>
                  </w:pPr>
                </w:p>
              </w:tc>
              <w:tc>
                <w:tcPr>
                  <w:tcW w:w="385" w:type="pct"/>
                  <w:tcBorders>
                    <w:tl2br w:val="nil"/>
                    <w:tr2bl w:val="nil"/>
                  </w:tcBorders>
                  <w:noWrap w:val="0"/>
                  <w:vAlign w:val="center"/>
                </w:tcPr>
                <w:p w14:paraId="22E798D1">
                  <w:pPr>
                    <w:pStyle w:val="61"/>
                    <w:adjustRightInd/>
                    <w:snapToGrid/>
                    <w:spacing w:before="0" w:beforeLines="0" w:after="0" w:afterLines="0" w:line="240" w:lineRule="auto"/>
                    <w:ind w:left="0" w:leftChars="0" w:firstLine="0" w:firstLineChars="0"/>
                    <w:rPr>
                      <w:rFonts w:hint="default" w:ascii="Times New Roman" w:hAnsi="Times New Roman" w:eastAsia="宋体" w:cs="Times New Roman"/>
                      <w:bCs/>
                      <w:snapToGrid w:val="0"/>
                      <w:color w:val="auto"/>
                      <w:szCs w:val="21"/>
                      <w:lang w:val="en-US" w:eastAsia="zh-CN"/>
                    </w:rPr>
                  </w:pPr>
                  <w:r>
                    <w:rPr>
                      <w:rFonts w:hint="eastAsia" w:ascii="Times New Roman" w:cs="Times New Roman"/>
                      <w:bCs/>
                      <w:snapToGrid w:val="0"/>
                      <w:color w:val="auto"/>
                      <w:szCs w:val="21"/>
                      <w:lang w:val="en-US" w:eastAsia="zh-CN"/>
                    </w:rPr>
                    <w:t>200</w:t>
                  </w:r>
                </w:p>
              </w:tc>
            </w:tr>
            <w:tr w14:paraId="2C082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50" w:type="pct"/>
                  <w:vMerge w:val="continue"/>
                  <w:tcBorders>
                    <w:tl2br w:val="nil"/>
                    <w:tr2bl w:val="nil"/>
                  </w:tcBorders>
                  <w:noWrap w:val="0"/>
                  <w:vAlign w:val="center"/>
                </w:tcPr>
                <w:p w14:paraId="66A746C3">
                  <w:pPr>
                    <w:pStyle w:val="61"/>
                    <w:adjustRightInd/>
                    <w:snapToGrid/>
                    <w:spacing w:before="0" w:beforeLines="0" w:after="0" w:afterLines="0" w:line="240" w:lineRule="auto"/>
                    <w:ind w:left="0" w:firstLine="0" w:firstLineChars="0"/>
                    <w:rPr>
                      <w:rFonts w:ascii="Times New Roman"/>
                      <w:color w:val="auto"/>
                      <w:szCs w:val="21"/>
                    </w:rPr>
                  </w:pPr>
                </w:p>
              </w:tc>
              <w:tc>
                <w:tcPr>
                  <w:tcW w:w="570" w:type="pct"/>
                  <w:vMerge w:val="continue"/>
                  <w:tcBorders>
                    <w:tl2br w:val="nil"/>
                    <w:tr2bl w:val="nil"/>
                  </w:tcBorders>
                  <w:noWrap w:val="0"/>
                  <w:vAlign w:val="center"/>
                </w:tcPr>
                <w:p w14:paraId="52DFB604">
                  <w:pPr>
                    <w:pStyle w:val="61"/>
                    <w:adjustRightInd/>
                    <w:snapToGrid/>
                    <w:spacing w:before="0" w:beforeLines="0" w:after="0" w:afterLines="0" w:line="240" w:lineRule="auto"/>
                    <w:ind w:left="0" w:firstLine="0" w:firstLineChars="0"/>
                    <w:rPr>
                      <w:rFonts w:hint="eastAsia" w:ascii="Times New Roman"/>
                      <w:color w:val="auto"/>
                      <w:szCs w:val="21"/>
                      <w:lang w:val="en-US" w:eastAsia="zh-CN"/>
                    </w:rPr>
                  </w:pPr>
                </w:p>
              </w:tc>
              <w:tc>
                <w:tcPr>
                  <w:tcW w:w="730" w:type="pct"/>
                  <w:tcBorders>
                    <w:tl2br w:val="nil"/>
                    <w:tr2bl w:val="nil"/>
                  </w:tcBorders>
                  <w:noWrap w:val="0"/>
                  <w:vAlign w:val="center"/>
                </w:tcPr>
                <w:p w14:paraId="1B7F6D3E">
                  <w:pPr>
                    <w:pStyle w:val="61"/>
                    <w:adjustRightInd/>
                    <w:snapToGrid/>
                    <w:spacing w:before="0" w:beforeLines="0" w:after="0" w:afterLines="0" w:line="240" w:lineRule="auto"/>
                    <w:ind w:left="0" w:leftChars="0" w:firstLine="0" w:firstLineChars="0"/>
                    <w:rPr>
                      <w:rFonts w:hint="default" w:ascii="Times New Roman" w:hAnsi="Times New Roman" w:eastAsia="宋体" w:cs="Times New Roman"/>
                      <w:color w:val="auto"/>
                      <w:spacing w:val="-3"/>
                      <w:sz w:val="21"/>
                      <w:szCs w:val="21"/>
                    </w:rPr>
                  </w:pPr>
                  <w:r>
                    <w:rPr>
                      <w:rFonts w:hint="default" w:ascii="Times New Roman" w:hAnsi="Times New Roman" w:cs="Times New Roman"/>
                      <w:bCs/>
                      <w:color w:val="auto"/>
                      <w:kern w:val="2"/>
                      <w:szCs w:val="24"/>
                      <w:u w:val="none"/>
                      <w:lang w:val="en-US" w:eastAsia="zh-CN"/>
                    </w:rPr>
                    <w:t>TP</w:t>
                  </w:r>
                </w:p>
              </w:tc>
              <w:tc>
                <w:tcPr>
                  <w:tcW w:w="356" w:type="pct"/>
                  <w:vMerge w:val="continue"/>
                  <w:tcBorders>
                    <w:tl2br w:val="nil"/>
                    <w:tr2bl w:val="nil"/>
                  </w:tcBorders>
                  <w:noWrap w:val="0"/>
                  <w:vAlign w:val="center"/>
                </w:tcPr>
                <w:p w14:paraId="5D51F2E9">
                  <w:pPr>
                    <w:pStyle w:val="61"/>
                    <w:adjustRightInd/>
                    <w:snapToGrid/>
                    <w:spacing w:before="0" w:beforeLines="0" w:after="0" w:afterLines="0" w:line="240" w:lineRule="auto"/>
                    <w:ind w:left="0" w:firstLine="0" w:firstLineChars="0"/>
                    <w:rPr>
                      <w:rFonts w:ascii="Times New Roman"/>
                      <w:color w:val="auto"/>
                      <w:szCs w:val="21"/>
                    </w:rPr>
                  </w:pPr>
                </w:p>
              </w:tc>
              <w:tc>
                <w:tcPr>
                  <w:tcW w:w="428" w:type="pct"/>
                  <w:vMerge w:val="continue"/>
                  <w:tcBorders>
                    <w:tl2br w:val="nil"/>
                    <w:tr2bl w:val="nil"/>
                  </w:tcBorders>
                  <w:noWrap w:val="0"/>
                  <w:vAlign w:val="center"/>
                </w:tcPr>
                <w:p w14:paraId="460366C6">
                  <w:pPr>
                    <w:pStyle w:val="61"/>
                    <w:adjustRightInd/>
                    <w:snapToGrid/>
                    <w:spacing w:before="0" w:beforeLines="0" w:after="0" w:afterLines="0" w:line="240" w:lineRule="auto"/>
                    <w:ind w:left="0" w:firstLine="0" w:firstLineChars="0"/>
                    <w:rPr>
                      <w:rFonts w:hint="eastAsia" w:ascii="Times New Roman"/>
                      <w:color w:val="auto"/>
                      <w:szCs w:val="21"/>
                      <w:lang w:eastAsia="zh-CN"/>
                    </w:rPr>
                  </w:pPr>
                </w:p>
              </w:tc>
              <w:tc>
                <w:tcPr>
                  <w:tcW w:w="634" w:type="pct"/>
                  <w:vMerge w:val="continue"/>
                  <w:tcBorders>
                    <w:tl2br w:val="nil"/>
                    <w:tr2bl w:val="nil"/>
                  </w:tcBorders>
                  <w:noWrap w:val="0"/>
                  <w:vAlign w:val="center"/>
                </w:tcPr>
                <w:p w14:paraId="36530CAE">
                  <w:pPr>
                    <w:jc w:val="center"/>
                    <w:rPr>
                      <w:color w:val="auto"/>
                      <w:szCs w:val="21"/>
                    </w:rPr>
                  </w:pPr>
                </w:p>
              </w:tc>
              <w:tc>
                <w:tcPr>
                  <w:tcW w:w="412" w:type="pct"/>
                  <w:vMerge w:val="continue"/>
                  <w:tcBorders>
                    <w:tl2br w:val="nil"/>
                    <w:tr2bl w:val="nil"/>
                  </w:tcBorders>
                  <w:noWrap w:val="0"/>
                  <w:vAlign w:val="center"/>
                </w:tcPr>
                <w:p w14:paraId="66988014">
                  <w:pPr>
                    <w:pStyle w:val="61"/>
                    <w:adjustRightInd/>
                    <w:snapToGrid/>
                    <w:spacing w:before="0" w:beforeLines="0" w:after="0" w:afterLines="0" w:line="240" w:lineRule="auto"/>
                    <w:ind w:left="0" w:firstLine="0" w:firstLineChars="0"/>
                    <w:rPr>
                      <w:rFonts w:hint="eastAsia" w:ascii="Times New Roman"/>
                      <w:color w:val="auto"/>
                      <w:szCs w:val="21"/>
                    </w:rPr>
                  </w:pPr>
                </w:p>
              </w:tc>
              <w:tc>
                <w:tcPr>
                  <w:tcW w:w="380" w:type="pct"/>
                  <w:vMerge w:val="continue"/>
                  <w:tcBorders>
                    <w:tl2br w:val="nil"/>
                    <w:tr2bl w:val="nil"/>
                  </w:tcBorders>
                  <w:noWrap w:val="0"/>
                  <w:vAlign w:val="center"/>
                </w:tcPr>
                <w:p w14:paraId="53FF1070">
                  <w:pPr>
                    <w:pStyle w:val="61"/>
                    <w:adjustRightInd/>
                    <w:snapToGrid/>
                    <w:spacing w:before="0" w:beforeLines="0" w:after="0" w:afterLines="0" w:line="240" w:lineRule="auto"/>
                    <w:ind w:left="0" w:firstLine="0" w:firstLineChars="0"/>
                    <w:rPr>
                      <w:rFonts w:hint="eastAsia" w:ascii="Times New Roman"/>
                      <w:color w:val="auto"/>
                      <w:szCs w:val="21"/>
                    </w:rPr>
                  </w:pPr>
                </w:p>
              </w:tc>
              <w:tc>
                <w:tcPr>
                  <w:tcW w:w="849" w:type="pct"/>
                  <w:vMerge w:val="continue"/>
                  <w:tcBorders>
                    <w:tl2br w:val="nil"/>
                    <w:tr2bl w:val="nil"/>
                  </w:tcBorders>
                  <w:noWrap w:val="0"/>
                  <w:vAlign w:val="center"/>
                </w:tcPr>
                <w:p w14:paraId="1A1EB80D">
                  <w:pPr>
                    <w:pStyle w:val="61"/>
                    <w:adjustRightInd/>
                    <w:snapToGrid/>
                    <w:spacing w:before="0" w:beforeLines="0" w:after="0" w:afterLines="0" w:line="240" w:lineRule="auto"/>
                    <w:ind w:left="0" w:firstLine="0" w:firstLineChars="0"/>
                    <w:jc w:val="center"/>
                    <w:rPr>
                      <w:rFonts w:hint="default" w:ascii="Times New Roman" w:hAnsi="Times New Roman" w:eastAsia="宋体" w:cs="Times New Roman"/>
                      <w:color w:val="auto"/>
                      <w:spacing w:val="7"/>
                      <w:sz w:val="21"/>
                      <w:szCs w:val="21"/>
                    </w:rPr>
                  </w:pPr>
                </w:p>
              </w:tc>
              <w:tc>
                <w:tcPr>
                  <w:tcW w:w="385" w:type="pct"/>
                  <w:tcBorders>
                    <w:tl2br w:val="nil"/>
                    <w:tr2bl w:val="nil"/>
                  </w:tcBorders>
                  <w:noWrap w:val="0"/>
                  <w:vAlign w:val="center"/>
                </w:tcPr>
                <w:p w14:paraId="26D70BEE">
                  <w:pPr>
                    <w:pStyle w:val="61"/>
                    <w:adjustRightInd/>
                    <w:snapToGrid/>
                    <w:spacing w:before="0" w:beforeLines="0" w:after="0" w:afterLines="0" w:line="240" w:lineRule="auto"/>
                    <w:ind w:left="0" w:leftChars="0" w:firstLine="0" w:firstLineChars="0"/>
                    <w:rPr>
                      <w:rFonts w:hint="eastAsia" w:ascii="Times New Roman" w:cs="Times New Roman"/>
                      <w:bCs/>
                      <w:snapToGrid w:val="0"/>
                      <w:color w:val="auto"/>
                      <w:szCs w:val="21"/>
                      <w:lang w:val="en-US" w:eastAsia="zh-CN"/>
                    </w:rPr>
                  </w:pPr>
                  <w:r>
                    <w:rPr>
                      <w:rFonts w:hint="eastAsia" w:ascii="Times New Roman" w:cs="Times New Roman"/>
                      <w:bCs/>
                      <w:snapToGrid w:val="0"/>
                      <w:color w:val="auto"/>
                      <w:szCs w:val="21"/>
                      <w:lang w:val="en-US" w:eastAsia="zh-CN"/>
                    </w:rPr>
                    <w:t>5.0</w:t>
                  </w:r>
                </w:p>
              </w:tc>
            </w:tr>
            <w:tr w14:paraId="643398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50" w:type="pct"/>
                  <w:vMerge w:val="continue"/>
                  <w:tcBorders>
                    <w:tl2br w:val="nil"/>
                    <w:tr2bl w:val="nil"/>
                  </w:tcBorders>
                  <w:noWrap w:val="0"/>
                  <w:vAlign w:val="center"/>
                </w:tcPr>
                <w:p w14:paraId="6FB54B15">
                  <w:pPr>
                    <w:pStyle w:val="61"/>
                    <w:adjustRightInd/>
                    <w:snapToGrid/>
                    <w:spacing w:before="0" w:beforeLines="0" w:after="0" w:afterLines="0" w:line="240" w:lineRule="auto"/>
                    <w:ind w:left="0" w:firstLine="0" w:firstLineChars="0"/>
                    <w:rPr>
                      <w:rFonts w:ascii="Times New Roman"/>
                      <w:color w:val="auto"/>
                      <w:szCs w:val="21"/>
                    </w:rPr>
                  </w:pPr>
                </w:p>
              </w:tc>
              <w:tc>
                <w:tcPr>
                  <w:tcW w:w="570" w:type="pct"/>
                  <w:vMerge w:val="continue"/>
                  <w:tcBorders>
                    <w:tl2br w:val="nil"/>
                    <w:tr2bl w:val="nil"/>
                  </w:tcBorders>
                  <w:noWrap w:val="0"/>
                  <w:vAlign w:val="center"/>
                </w:tcPr>
                <w:p w14:paraId="353AD835">
                  <w:pPr>
                    <w:pStyle w:val="61"/>
                    <w:adjustRightInd/>
                    <w:snapToGrid/>
                    <w:spacing w:before="0" w:beforeLines="0" w:after="0" w:afterLines="0" w:line="240" w:lineRule="auto"/>
                    <w:ind w:left="0" w:firstLine="0" w:firstLineChars="0"/>
                    <w:rPr>
                      <w:rFonts w:hint="eastAsia" w:ascii="Times New Roman"/>
                      <w:color w:val="auto"/>
                      <w:szCs w:val="21"/>
                      <w:lang w:val="en-US" w:eastAsia="zh-CN"/>
                    </w:rPr>
                  </w:pPr>
                </w:p>
              </w:tc>
              <w:tc>
                <w:tcPr>
                  <w:tcW w:w="730" w:type="pct"/>
                  <w:tcBorders>
                    <w:tl2br w:val="nil"/>
                    <w:tr2bl w:val="nil"/>
                  </w:tcBorders>
                  <w:noWrap w:val="0"/>
                  <w:vAlign w:val="center"/>
                </w:tcPr>
                <w:p w14:paraId="07A5AF4E">
                  <w:pPr>
                    <w:pStyle w:val="61"/>
                    <w:adjustRightInd/>
                    <w:snapToGrid/>
                    <w:spacing w:before="0" w:beforeLines="0" w:after="0" w:afterLines="0" w:line="240" w:lineRule="auto"/>
                    <w:ind w:left="0" w:leftChars="0" w:firstLine="0" w:firstLineChars="0"/>
                    <w:rPr>
                      <w:rFonts w:hint="default" w:ascii="Times New Roman" w:hAnsi="Times New Roman" w:eastAsia="宋体" w:cs="Times New Roman"/>
                      <w:color w:val="auto"/>
                      <w:spacing w:val="-3"/>
                      <w:sz w:val="21"/>
                      <w:szCs w:val="21"/>
                    </w:rPr>
                  </w:pPr>
                  <w:r>
                    <w:rPr>
                      <w:rFonts w:hint="default" w:ascii="Times New Roman" w:hAnsi="Times New Roman" w:cs="Times New Roman"/>
                      <w:bCs/>
                      <w:color w:val="auto"/>
                      <w:kern w:val="2"/>
                      <w:szCs w:val="24"/>
                      <w:u w:val="none"/>
                      <w:lang w:val="en-US" w:eastAsia="zh-CN"/>
                    </w:rPr>
                    <w:t>TN</w:t>
                  </w:r>
                </w:p>
              </w:tc>
              <w:tc>
                <w:tcPr>
                  <w:tcW w:w="356" w:type="pct"/>
                  <w:vMerge w:val="continue"/>
                  <w:tcBorders>
                    <w:tl2br w:val="nil"/>
                    <w:tr2bl w:val="nil"/>
                  </w:tcBorders>
                  <w:noWrap w:val="0"/>
                  <w:vAlign w:val="center"/>
                </w:tcPr>
                <w:p w14:paraId="517A4E90">
                  <w:pPr>
                    <w:pStyle w:val="61"/>
                    <w:adjustRightInd/>
                    <w:snapToGrid/>
                    <w:spacing w:before="0" w:beforeLines="0" w:after="0" w:afterLines="0" w:line="240" w:lineRule="auto"/>
                    <w:ind w:left="0" w:firstLine="0" w:firstLineChars="0"/>
                    <w:rPr>
                      <w:rFonts w:ascii="Times New Roman"/>
                      <w:color w:val="auto"/>
                      <w:szCs w:val="21"/>
                    </w:rPr>
                  </w:pPr>
                </w:p>
              </w:tc>
              <w:tc>
                <w:tcPr>
                  <w:tcW w:w="428" w:type="pct"/>
                  <w:vMerge w:val="continue"/>
                  <w:tcBorders>
                    <w:tl2br w:val="nil"/>
                    <w:tr2bl w:val="nil"/>
                  </w:tcBorders>
                  <w:noWrap w:val="0"/>
                  <w:vAlign w:val="center"/>
                </w:tcPr>
                <w:p w14:paraId="4BADC195">
                  <w:pPr>
                    <w:pStyle w:val="61"/>
                    <w:adjustRightInd/>
                    <w:snapToGrid/>
                    <w:spacing w:before="0" w:beforeLines="0" w:after="0" w:afterLines="0" w:line="240" w:lineRule="auto"/>
                    <w:ind w:left="0" w:firstLine="0" w:firstLineChars="0"/>
                    <w:rPr>
                      <w:rFonts w:hint="eastAsia" w:ascii="Times New Roman"/>
                      <w:color w:val="auto"/>
                      <w:szCs w:val="21"/>
                      <w:lang w:eastAsia="zh-CN"/>
                    </w:rPr>
                  </w:pPr>
                </w:p>
              </w:tc>
              <w:tc>
                <w:tcPr>
                  <w:tcW w:w="634" w:type="pct"/>
                  <w:vMerge w:val="continue"/>
                  <w:tcBorders>
                    <w:tl2br w:val="nil"/>
                    <w:tr2bl w:val="nil"/>
                  </w:tcBorders>
                  <w:noWrap w:val="0"/>
                  <w:vAlign w:val="center"/>
                </w:tcPr>
                <w:p w14:paraId="29F52B89">
                  <w:pPr>
                    <w:jc w:val="center"/>
                    <w:rPr>
                      <w:color w:val="auto"/>
                      <w:szCs w:val="21"/>
                    </w:rPr>
                  </w:pPr>
                </w:p>
              </w:tc>
              <w:tc>
                <w:tcPr>
                  <w:tcW w:w="412" w:type="pct"/>
                  <w:vMerge w:val="continue"/>
                  <w:tcBorders>
                    <w:tl2br w:val="nil"/>
                    <w:tr2bl w:val="nil"/>
                  </w:tcBorders>
                  <w:noWrap w:val="0"/>
                  <w:vAlign w:val="center"/>
                </w:tcPr>
                <w:p w14:paraId="7BB11A0C">
                  <w:pPr>
                    <w:pStyle w:val="61"/>
                    <w:adjustRightInd/>
                    <w:snapToGrid/>
                    <w:spacing w:before="0" w:beforeLines="0" w:after="0" w:afterLines="0" w:line="240" w:lineRule="auto"/>
                    <w:ind w:left="0" w:firstLine="0" w:firstLineChars="0"/>
                    <w:rPr>
                      <w:rFonts w:hint="eastAsia" w:ascii="Times New Roman"/>
                      <w:color w:val="auto"/>
                      <w:szCs w:val="21"/>
                    </w:rPr>
                  </w:pPr>
                </w:p>
              </w:tc>
              <w:tc>
                <w:tcPr>
                  <w:tcW w:w="380" w:type="pct"/>
                  <w:vMerge w:val="continue"/>
                  <w:tcBorders>
                    <w:tl2br w:val="nil"/>
                    <w:tr2bl w:val="nil"/>
                  </w:tcBorders>
                  <w:noWrap w:val="0"/>
                  <w:vAlign w:val="center"/>
                </w:tcPr>
                <w:p w14:paraId="3E0B4FE1">
                  <w:pPr>
                    <w:pStyle w:val="61"/>
                    <w:adjustRightInd/>
                    <w:snapToGrid/>
                    <w:spacing w:before="0" w:beforeLines="0" w:after="0" w:afterLines="0" w:line="240" w:lineRule="auto"/>
                    <w:ind w:left="0" w:firstLine="0" w:firstLineChars="0"/>
                    <w:rPr>
                      <w:rFonts w:hint="eastAsia" w:ascii="Times New Roman"/>
                      <w:color w:val="auto"/>
                      <w:szCs w:val="21"/>
                    </w:rPr>
                  </w:pPr>
                </w:p>
              </w:tc>
              <w:tc>
                <w:tcPr>
                  <w:tcW w:w="849" w:type="pct"/>
                  <w:vMerge w:val="continue"/>
                  <w:tcBorders>
                    <w:tl2br w:val="nil"/>
                    <w:tr2bl w:val="nil"/>
                  </w:tcBorders>
                  <w:noWrap w:val="0"/>
                  <w:vAlign w:val="center"/>
                </w:tcPr>
                <w:p w14:paraId="677BF6AC">
                  <w:pPr>
                    <w:pStyle w:val="61"/>
                    <w:adjustRightInd/>
                    <w:snapToGrid/>
                    <w:spacing w:before="0" w:beforeLines="0" w:after="0" w:afterLines="0" w:line="240" w:lineRule="auto"/>
                    <w:ind w:left="0" w:firstLine="0" w:firstLineChars="0"/>
                    <w:jc w:val="center"/>
                    <w:rPr>
                      <w:rFonts w:hint="default" w:ascii="Times New Roman" w:hAnsi="Times New Roman" w:eastAsia="宋体" w:cs="Times New Roman"/>
                      <w:color w:val="auto"/>
                      <w:spacing w:val="7"/>
                      <w:sz w:val="21"/>
                      <w:szCs w:val="21"/>
                    </w:rPr>
                  </w:pPr>
                </w:p>
              </w:tc>
              <w:tc>
                <w:tcPr>
                  <w:tcW w:w="385" w:type="pct"/>
                  <w:tcBorders>
                    <w:tl2br w:val="nil"/>
                    <w:tr2bl w:val="nil"/>
                  </w:tcBorders>
                  <w:noWrap w:val="0"/>
                  <w:vAlign w:val="center"/>
                </w:tcPr>
                <w:p w14:paraId="78D7EE96">
                  <w:pPr>
                    <w:pStyle w:val="61"/>
                    <w:adjustRightInd/>
                    <w:snapToGrid/>
                    <w:spacing w:before="0" w:beforeLines="0" w:after="0" w:afterLines="0" w:line="240" w:lineRule="auto"/>
                    <w:ind w:left="0" w:leftChars="0" w:firstLine="0" w:firstLineChars="0"/>
                    <w:rPr>
                      <w:rFonts w:hint="eastAsia" w:ascii="Times New Roman" w:cs="Times New Roman"/>
                      <w:bCs/>
                      <w:snapToGrid w:val="0"/>
                      <w:color w:val="auto"/>
                      <w:szCs w:val="21"/>
                      <w:lang w:val="en-US" w:eastAsia="zh-CN"/>
                    </w:rPr>
                  </w:pPr>
                  <w:r>
                    <w:rPr>
                      <w:rFonts w:hint="eastAsia" w:ascii="Times New Roman" w:cs="Times New Roman"/>
                      <w:bCs/>
                      <w:snapToGrid w:val="0"/>
                      <w:color w:val="auto"/>
                      <w:szCs w:val="21"/>
                      <w:lang w:val="en-US" w:eastAsia="zh-CN"/>
                    </w:rPr>
                    <w:t>40</w:t>
                  </w:r>
                </w:p>
              </w:tc>
            </w:tr>
            <w:tr w14:paraId="7729C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50" w:type="pct"/>
                  <w:vMerge w:val="continue"/>
                  <w:tcBorders>
                    <w:tl2br w:val="nil"/>
                    <w:tr2bl w:val="nil"/>
                  </w:tcBorders>
                  <w:noWrap w:val="0"/>
                  <w:vAlign w:val="center"/>
                </w:tcPr>
                <w:p w14:paraId="5E0B1F58">
                  <w:pPr>
                    <w:pStyle w:val="61"/>
                    <w:adjustRightInd/>
                    <w:snapToGrid/>
                    <w:spacing w:before="0" w:beforeLines="0" w:after="0" w:afterLines="0" w:line="240" w:lineRule="auto"/>
                    <w:ind w:left="0" w:firstLine="0" w:firstLineChars="0"/>
                    <w:rPr>
                      <w:rFonts w:ascii="Times New Roman"/>
                      <w:color w:val="auto"/>
                      <w:szCs w:val="21"/>
                    </w:rPr>
                  </w:pPr>
                </w:p>
              </w:tc>
              <w:tc>
                <w:tcPr>
                  <w:tcW w:w="570" w:type="pct"/>
                  <w:vMerge w:val="continue"/>
                  <w:tcBorders>
                    <w:tl2br w:val="nil"/>
                    <w:tr2bl w:val="nil"/>
                  </w:tcBorders>
                  <w:noWrap w:val="0"/>
                  <w:vAlign w:val="center"/>
                </w:tcPr>
                <w:p w14:paraId="0944FB8A">
                  <w:pPr>
                    <w:pStyle w:val="61"/>
                    <w:adjustRightInd/>
                    <w:snapToGrid/>
                    <w:spacing w:before="0" w:beforeLines="0" w:after="0" w:afterLines="0" w:line="240" w:lineRule="auto"/>
                    <w:ind w:left="0" w:firstLine="0" w:firstLineChars="0"/>
                    <w:rPr>
                      <w:rFonts w:hint="eastAsia" w:ascii="Times New Roman"/>
                      <w:color w:val="auto"/>
                      <w:szCs w:val="21"/>
                      <w:lang w:val="en-US" w:eastAsia="zh-CN"/>
                    </w:rPr>
                  </w:pPr>
                </w:p>
              </w:tc>
              <w:tc>
                <w:tcPr>
                  <w:tcW w:w="730" w:type="pct"/>
                  <w:tcBorders>
                    <w:tl2br w:val="nil"/>
                    <w:tr2bl w:val="nil"/>
                  </w:tcBorders>
                  <w:noWrap w:val="0"/>
                  <w:vAlign w:val="center"/>
                </w:tcPr>
                <w:p w14:paraId="69674A86">
                  <w:pPr>
                    <w:pStyle w:val="61"/>
                    <w:adjustRightInd/>
                    <w:snapToGrid/>
                    <w:spacing w:before="0" w:beforeLines="0" w:after="0" w:afterLines="0" w:line="240" w:lineRule="auto"/>
                    <w:ind w:left="0" w:leftChars="0" w:firstLine="0" w:firstLineChars="0"/>
                    <w:rPr>
                      <w:rFonts w:hint="default" w:ascii="Times New Roman" w:hAnsi="Times New Roman" w:eastAsia="宋体" w:cs="Times New Roman"/>
                      <w:color w:val="auto"/>
                      <w:spacing w:val="-3"/>
                      <w:sz w:val="21"/>
                      <w:szCs w:val="21"/>
                    </w:rPr>
                  </w:pPr>
                  <w:r>
                    <w:rPr>
                      <w:rFonts w:hint="default" w:ascii="Times New Roman" w:hAnsi="Times New Roman" w:cs="Times New Roman"/>
                      <w:bCs/>
                      <w:color w:val="auto"/>
                      <w:sz w:val="21"/>
                      <w:szCs w:val="21"/>
                    </w:rPr>
                    <w:t>氨氮</w:t>
                  </w:r>
                </w:p>
              </w:tc>
              <w:tc>
                <w:tcPr>
                  <w:tcW w:w="356" w:type="pct"/>
                  <w:vMerge w:val="continue"/>
                  <w:tcBorders>
                    <w:tl2br w:val="nil"/>
                    <w:tr2bl w:val="nil"/>
                  </w:tcBorders>
                  <w:noWrap w:val="0"/>
                  <w:vAlign w:val="center"/>
                </w:tcPr>
                <w:p w14:paraId="5DB79706">
                  <w:pPr>
                    <w:pStyle w:val="61"/>
                    <w:adjustRightInd/>
                    <w:snapToGrid/>
                    <w:spacing w:before="0" w:beforeLines="0" w:after="0" w:afterLines="0" w:line="240" w:lineRule="auto"/>
                    <w:ind w:left="0" w:firstLine="0" w:firstLineChars="0"/>
                    <w:rPr>
                      <w:rFonts w:ascii="Times New Roman"/>
                      <w:color w:val="auto"/>
                      <w:szCs w:val="21"/>
                    </w:rPr>
                  </w:pPr>
                </w:p>
              </w:tc>
              <w:tc>
                <w:tcPr>
                  <w:tcW w:w="428" w:type="pct"/>
                  <w:vMerge w:val="continue"/>
                  <w:tcBorders>
                    <w:tl2br w:val="nil"/>
                    <w:tr2bl w:val="nil"/>
                  </w:tcBorders>
                  <w:noWrap w:val="0"/>
                  <w:vAlign w:val="center"/>
                </w:tcPr>
                <w:p w14:paraId="5DC2A5E0">
                  <w:pPr>
                    <w:pStyle w:val="61"/>
                    <w:adjustRightInd/>
                    <w:snapToGrid/>
                    <w:spacing w:before="0" w:beforeLines="0" w:after="0" w:afterLines="0" w:line="240" w:lineRule="auto"/>
                    <w:ind w:left="0" w:firstLine="0" w:firstLineChars="0"/>
                    <w:rPr>
                      <w:rFonts w:hint="eastAsia" w:ascii="Times New Roman"/>
                      <w:color w:val="auto"/>
                      <w:szCs w:val="21"/>
                      <w:lang w:eastAsia="zh-CN"/>
                    </w:rPr>
                  </w:pPr>
                </w:p>
              </w:tc>
              <w:tc>
                <w:tcPr>
                  <w:tcW w:w="634" w:type="pct"/>
                  <w:vMerge w:val="continue"/>
                  <w:tcBorders>
                    <w:tl2br w:val="nil"/>
                    <w:tr2bl w:val="nil"/>
                  </w:tcBorders>
                  <w:noWrap w:val="0"/>
                  <w:vAlign w:val="center"/>
                </w:tcPr>
                <w:p w14:paraId="350FBDB7">
                  <w:pPr>
                    <w:jc w:val="center"/>
                    <w:rPr>
                      <w:color w:val="auto"/>
                      <w:szCs w:val="21"/>
                    </w:rPr>
                  </w:pPr>
                </w:p>
              </w:tc>
              <w:tc>
                <w:tcPr>
                  <w:tcW w:w="412" w:type="pct"/>
                  <w:vMerge w:val="continue"/>
                  <w:tcBorders>
                    <w:tl2br w:val="nil"/>
                    <w:tr2bl w:val="nil"/>
                  </w:tcBorders>
                  <w:noWrap w:val="0"/>
                  <w:vAlign w:val="center"/>
                </w:tcPr>
                <w:p w14:paraId="20B9F600">
                  <w:pPr>
                    <w:pStyle w:val="61"/>
                    <w:adjustRightInd/>
                    <w:snapToGrid/>
                    <w:spacing w:before="0" w:beforeLines="0" w:after="0" w:afterLines="0" w:line="240" w:lineRule="auto"/>
                    <w:ind w:left="0" w:firstLine="0" w:firstLineChars="0"/>
                    <w:rPr>
                      <w:rFonts w:hint="eastAsia" w:ascii="Times New Roman"/>
                      <w:color w:val="auto"/>
                      <w:szCs w:val="21"/>
                    </w:rPr>
                  </w:pPr>
                </w:p>
              </w:tc>
              <w:tc>
                <w:tcPr>
                  <w:tcW w:w="380" w:type="pct"/>
                  <w:vMerge w:val="continue"/>
                  <w:tcBorders>
                    <w:tl2br w:val="nil"/>
                    <w:tr2bl w:val="nil"/>
                  </w:tcBorders>
                  <w:noWrap w:val="0"/>
                  <w:vAlign w:val="center"/>
                </w:tcPr>
                <w:p w14:paraId="66722847">
                  <w:pPr>
                    <w:pStyle w:val="61"/>
                    <w:adjustRightInd/>
                    <w:snapToGrid/>
                    <w:spacing w:before="0" w:beforeLines="0" w:after="0" w:afterLines="0" w:line="240" w:lineRule="auto"/>
                    <w:ind w:left="0" w:firstLine="0" w:firstLineChars="0"/>
                    <w:rPr>
                      <w:rFonts w:hint="eastAsia" w:ascii="Times New Roman"/>
                      <w:color w:val="auto"/>
                      <w:szCs w:val="21"/>
                    </w:rPr>
                  </w:pPr>
                </w:p>
              </w:tc>
              <w:tc>
                <w:tcPr>
                  <w:tcW w:w="849" w:type="pct"/>
                  <w:vMerge w:val="continue"/>
                  <w:tcBorders>
                    <w:tl2br w:val="nil"/>
                    <w:tr2bl w:val="nil"/>
                  </w:tcBorders>
                  <w:noWrap w:val="0"/>
                  <w:vAlign w:val="center"/>
                </w:tcPr>
                <w:p w14:paraId="5236788D">
                  <w:pPr>
                    <w:pStyle w:val="61"/>
                    <w:adjustRightInd/>
                    <w:snapToGrid/>
                    <w:spacing w:before="0" w:beforeLines="0" w:after="0" w:afterLines="0" w:line="240" w:lineRule="auto"/>
                    <w:ind w:left="0" w:firstLine="0" w:firstLineChars="0"/>
                    <w:jc w:val="center"/>
                    <w:rPr>
                      <w:rFonts w:hint="default" w:ascii="Times New Roman" w:hAnsi="Times New Roman" w:eastAsia="宋体" w:cs="Times New Roman"/>
                      <w:color w:val="auto"/>
                      <w:spacing w:val="7"/>
                      <w:sz w:val="21"/>
                      <w:szCs w:val="21"/>
                    </w:rPr>
                  </w:pPr>
                </w:p>
              </w:tc>
              <w:tc>
                <w:tcPr>
                  <w:tcW w:w="385" w:type="pct"/>
                  <w:tcBorders>
                    <w:tl2br w:val="nil"/>
                    <w:tr2bl w:val="nil"/>
                  </w:tcBorders>
                  <w:noWrap w:val="0"/>
                  <w:vAlign w:val="center"/>
                </w:tcPr>
                <w:p w14:paraId="0C9A966E">
                  <w:pPr>
                    <w:pStyle w:val="61"/>
                    <w:adjustRightInd/>
                    <w:snapToGrid/>
                    <w:spacing w:before="0" w:beforeLines="0" w:after="0" w:afterLines="0" w:line="240" w:lineRule="auto"/>
                    <w:ind w:left="0" w:leftChars="0" w:firstLine="0" w:firstLineChars="0"/>
                    <w:rPr>
                      <w:rFonts w:hint="default" w:ascii="Times New Roman" w:hAnsi="Times New Roman" w:eastAsia="宋体" w:cs="Times New Roman"/>
                      <w:bCs/>
                      <w:snapToGrid w:val="0"/>
                      <w:color w:val="auto"/>
                      <w:szCs w:val="21"/>
                      <w:lang w:val="en-US" w:eastAsia="zh-CN"/>
                    </w:rPr>
                  </w:pPr>
                  <w:r>
                    <w:rPr>
                      <w:rFonts w:hint="eastAsia" w:ascii="Times New Roman" w:cs="Times New Roman"/>
                      <w:bCs/>
                      <w:snapToGrid w:val="0"/>
                      <w:color w:val="auto"/>
                      <w:szCs w:val="21"/>
                      <w:lang w:val="en-US" w:eastAsia="zh-CN"/>
                    </w:rPr>
                    <w:t>30</w:t>
                  </w:r>
                </w:p>
              </w:tc>
            </w:tr>
            <w:tr w14:paraId="3765B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1" w:hRule="atLeast"/>
                <w:jc w:val="center"/>
              </w:trPr>
              <w:tc>
                <w:tcPr>
                  <w:tcW w:w="250" w:type="pct"/>
                  <w:vMerge w:val="continue"/>
                  <w:tcBorders>
                    <w:tl2br w:val="nil"/>
                    <w:tr2bl w:val="nil"/>
                  </w:tcBorders>
                  <w:noWrap w:val="0"/>
                  <w:vAlign w:val="center"/>
                </w:tcPr>
                <w:p w14:paraId="78E43494">
                  <w:pPr>
                    <w:pStyle w:val="61"/>
                    <w:adjustRightInd/>
                    <w:snapToGrid/>
                    <w:spacing w:before="0" w:beforeLines="0" w:after="0" w:afterLines="0" w:line="240" w:lineRule="auto"/>
                    <w:ind w:left="0" w:firstLine="0" w:firstLineChars="0"/>
                    <w:rPr>
                      <w:rFonts w:ascii="Times New Roman"/>
                      <w:color w:val="auto"/>
                      <w:szCs w:val="21"/>
                    </w:rPr>
                  </w:pPr>
                </w:p>
              </w:tc>
              <w:tc>
                <w:tcPr>
                  <w:tcW w:w="570" w:type="pct"/>
                  <w:vMerge w:val="continue"/>
                  <w:tcBorders>
                    <w:tl2br w:val="nil"/>
                    <w:tr2bl w:val="nil"/>
                  </w:tcBorders>
                  <w:noWrap w:val="0"/>
                  <w:vAlign w:val="center"/>
                </w:tcPr>
                <w:p w14:paraId="7182FE66">
                  <w:pPr>
                    <w:pStyle w:val="61"/>
                    <w:adjustRightInd/>
                    <w:snapToGrid/>
                    <w:spacing w:before="0" w:beforeLines="0" w:after="0" w:afterLines="0" w:line="240" w:lineRule="auto"/>
                    <w:ind w:left="0" w:firstLine="0" w:firstLineChars="0"/>
                    <w:rPr>
                      <w:rFonts w:hint="eastAsia" w:ascii="Times New Roman"/>
                      <w:color w:val="auto"/>
                      <w:szCs w:val="21"/>
                      <w:lang w:val="en-US" w:eastAsia="zh-CN"/>
                    </w:rPr>
                  </w:pPr>
                </w:p>
              </w:tc>
              <w:tc>
                <w:tcPr>
                  <w:tcW w:w="730" w:type="pct"/>
                  <w:tcBorders>
                    <w:tl2br w:val="nil"/>
                    <w:tr2bl w:val="nil"/>
                  </w:tcBorders>
                  <w:noWrap w:val="0"/>
                  <w:vAlign w:val="center"/>
                </w:tcPr>
                <w:p w14:paraId="28190A1E">
                  <w:pPr>
                    <w:pStyle w:val="61"/>
                    <w:adjustRightInd/>
                    <w:snapToGrid/>
                    <w:spacing w:before="0" w:beforeLines="0" w:after="0" w:afterLines="0" w:line="240" w:lineRule="auto"/>
                    <w:ind w:left="0" w:leftChars="0" w:firstLine="0" w:firstLineChars="0"/>
                    <w:rPr>
                      <w:rFonts w:hint="default" w:ascii="Times New Roman" w:hAnsi="Times New Roman" w:eastAsia="宋体" w:cs="Times New Roman"/>
                      <w:color w:val="auto"/>
                      <w:spacing w:val="5"/>
                      <w:sz w:val="21"/>
                      <w:szCs w:val="21"/>
                    </w:rPr>
                  </w:pPr>
                  <w:r>
                    <w:rPr>
                      <w:rFonts w:hint="eastAsia" w:ascii="Times New Roman" w:hAnsi="Times New Roman" w:eastAsia="宋体" w:cs="Times New Roman"/>
                      <w:bCs/>
                      <w:color w:val="auto"/>
                      <w:sz w:val="21"/>
                      <w:szCs w:val="21"/>
                      <w:lang w:eastAsia="zh-CN"/>
                    </w:rPr>
                    <w:t>动植物油</w:t>
                  </w:r>
                </w:p>
              </w:tc>
              <w:tc>
                <w:tcPr>
                  <w:tcW w:w="356" w:type="pct"/>
                  <w:vMerge w:val="continue"/>
                  <w:tcBorders>
                    <w:tl2br w:val="nil"/>
                    <w:tr2bl w:val="nil"/>
                  </w:tcBorders>
                  <w:noWrap w:val="0"/>
                  <w:vAlign w:val="center"/>
                </w:tcPr>
                <w:p w14:paraId="69724679">
                  <w:pPr>
                    <w:pStyle w:val="61"/>
                    <w:adjustRightInd/>
                    <w:snapToGrid/>
                    <w:spacing w:before="0" w:beforeLines="0" w:after="0" w:afterLines="0" w:line="240" w:lineRule="auto"/>
                    <w:ind w:left="0" w:firstLine="0" w:firstLineChars="0"/>
                    <w:rPr>
                      <w:rFonts w:ascii="Times New Roman"/>
                      <w:color w:val="auto"/>
                      <w:szCs w:val="21"/>
                    </w:rPr>
                  </w:pPr>
                </w:p>
              </w:tc>
              <w:tc>
                <w:tcPr>
                  <w:tcW w:w="428" w:type="pct"/>
                  <w:vMerge w:val="continue"/>
                  <w:tcBorders>
                    <w:tl2br w:val="nil"/>
                    <w:tr2bl w:val="nil"/>
                  </w:tcBorders>
                  <w:noWrap w:val="0"/>
                  <w:vAlign w:val="center"/>
                </w:tcPr>
                <w:p w14:paraId="1B6384FF">
                  <w:pPr>
                    <w:pStyle w:val="61"/>
                    <w:adjustRightInd/>
                    <w:snapToGrid/>
                    <w:spacing w:before="0" w:beforeLines="0" w:after="0" w:afterLines="0" w:line="240" w:lineRule="auto"/>
                    <w:ind w:left="0" w:firstLine="0" w:firstLineChars="0"/>
                    <w:rPr>
                      <w:rFonts w:hint="eastAsia" w:ascii="Times New Roman"/>
                      <w:color w:val="auto"/>
                      <w:szCs w:val="21"/>
                      <w:lang w:eastAsia="zh-CN"/>
                    </w:rPr>
                  </w:pPr>
                </w:p>
              </w:tc>
              <w:tc>
                <w:tcPr>
                  <w:tcW w:w="634" w:type="pct"/>
                  <w:vMerge w:val="continue"/>
                  <w:tcBorders>
                    <w:tl2br w:val="nil"/>
                    <w:tr2bl w:val="nil"/>
                  </w:tcBorders>
                  <w:noWrap w:val="0"/>
                  <w:vAlign w:val="center"/>
                </w:tcPr>
                <w:p w14:paraId="0F3BDCA3">
                  <w:pPr>
                    <w:jc w:val="center"/>
                    <w:rPr>
                      <w:color w:val="auto"/>
                      <w:szCs w:val="21"/>
                    </w:rPr>
                  </w:pPr>
                </w:p>
              </w:tc>
              <w:tc>
                <w:tcPr>
                  <w:tcW w:w="412" w:type="pct"/>
                  <w:vMerge w:val="continue"/>
                  <w:tcBorders>
                    <w:tl2br w:val="nil"/>
                    <w:tr2bl w:val="nil"/>
                  </w:tcBorders>
                  <w:noWrap w:val="0"/>
                  <w:vAlign w:val="center"/>
                </w:tcPr>
                <w:p w14:paraId="1A570FB6">
                  <w:pPr>
                    <w:pStyle w:val="61"/>
                    <w:adjustRightInd/>
                    <w:snapToGrid/>
                    <w:spacing w:before="0" w:beforeLines="0" w:after="0" w:afterLines="0" w:line="240" w:lineRule="auto"/>
                    <w:ind w:left="0" w:firstLine="0" w:firstLineChars="0"/>
                    <w:rPr>
                      <w:rFonts w:hint="eastAsia" w:ascii="Times New Roman"/>
                      <w:color w:val="auto"/>
                      <w:szCs w:val="21"/>
                    </w:rPr>
                  </w:pPr>
                </w:p>
              </w:tc>
              <w:tc>
                <w:tcPr>
                  <w:tcW w:w="380" w:type="pct"/>
                  <w:vMerge w:val="continue"/>
                  <w:tcBorders>
                    <w:tl2br w:val="nil"/>
                    <w:tr2bl w:val="nil"/>
                  </w:tcBorders>
                  <w:noWrap w:val="0"/>
                  <w:vAlign w:val="center"/>
                </w:tcPr>
                <w:p w14:paraId="41D7C9BA">
                  <w:pPr>
                    <w:pStyle w:val="61"/>
                    <w:adjustRightInd/>
                    <w:snapToGrid/>
                    <w:spacing w:before="0" w:beforeLines="0" w:after="0" w:afterLines="0" w:line="240" w:lineRule="auto"/>
                    <w:ind w:left="0" w:firstLine="0" w:firstLineChars="0"/>
                    <w:rPr>
                      <w:rFonts w:hint="eastAsia" w:ascii="Times New Roman"/>
                      <w:color w:val="auto"/>
                      <w:szCs w:val="21"/>
                    </w:rPr>
                  </w:pPr>
                </w:p>
              </w:tc>
              <w:tc>
                <w:tcPr>
                  <w:tcW w:w="849" w:type="pct"/>
                  <w:vMerge w:val="continue"/>
                  <w:tcBorders>
                    <w:tl2br w:val="nil"/>
                    <w:tr2bl w:val="nil"/>
                  </w:tcBorders>
                  <w:noWrap w:val="0"/>
                  <w:vAlign w:val="center"/>
                </w:tcPr>
                <w:p w14:paraId="2DF94837">
                  <w:pPr>
                    <w:pStyle w:val="61"/>
                    <w:adjustRightInd/>
                    <w:snapToGrid/>
                    <w:spacing w:before="0" w:beforeLines="0" w:after="0" w:afterLines="0" w:line="240" w:lineRule="auto"/>
                    <w:ind w:left="0" w:firstLine="0" w:firstLineChars="0"/>
                    <w:jc w:val="center"/>
                    <w:rPr>
                      <w:rFonts w:hint="default" w:ascii="Times New Roman" w:hAnsi="Times New Roman" w:eastAsia="宋体" w:cs="Times New Roman"/>
                      <w:color w:val="auto"/>
                      <w:spacing w:val="7"/>
                      <w:sz w:val="21"/>
                      <w:szCs w:val="21"/>
                    </w:rPr>
                  </w:pPr>
                </w:p>
              </w:tc>
              <w:tc>
                <w:tcPr>
                  <w:tcW w:w="385" w:type="pct"/>
                  <w:tcBorders>
                    <w:tl2br w:val="nil"/>
                    <w:tr2bl w:val="nil"/>
                  </w:tcBorders>
                  <w:noWrap w:val="0"/>
                  <w:vAlign w:val="center"/>
                </w:tcPr>
                <w:p w14:paraId="4E4EF845">
                  <w:pPr>
                    <w:pStyle w:val="61"/>
                    <w:adjustRightInd/>
                    <w:snapToGrid/>
                    <w:spacing w:before="0" w:beforeLines="0" w:after="0" w:afterLines="0" w:line="240" w:lineRule="auto"/>
                    <w:ind w:left="0" w:firstLine="0" w:firstLineChars="0"/>
                    <w:rPr>
                      <w:rFonts w:hint="default" w:ascii="Times New Roman" w:hAnsi="Times New Roman" w:eastAsia="宋体" w:cs="Times New Roman"/>
                      <w:bCs/>
                      <w:snapToGrid w:val="0"/>
                      <w:color w:val="auto"/>
                      <w:szCs w:val="21"/>
                      <w:lang w:val="en-US" w:eastAsia="zh-CN"/>
                    </w:rPr>
                  </w:pPr>
                  <w:r>
                    <w:rPr>
                      <w:rFonts w:hint="eastAsia" w:ascii="Times New Roman" w:cs="Times New Roman"/>
                      <w:bCs/>
                      <w:snapToGrid w:val="0"/>
                      <w:color w:val="auto"/>
                      <w:szCs w:val="21"/>
                      <w:lang w:val="en-US" w:eastAsia="zh-CN"/>
                    </w:rPr>
                    <w:t>100</w:t>
                  </w:r>
                </w:p>
              </w:tc>
            </w:tr>
          </w:tbl>
          <w:p w14:paraId="451E9B3F">
            <w:pPr>
              <w:pStyle w:val="82"/>
              <w:keepNext w:val="0"/>
              <w:keepLines w:val="0"/>
              <w:pageBreakBefore w:val="0"/>
              <w:widowControl w:val="0"/>
              <w:kinsoku/>
              <w:wordWrap/>
              <w:overflowPunct/>
              <w:topLinePunct w:val="0"/>
              <w:autoSpaceDE/>
              <w:autoSpaceDN/>
              <w:bidi w:val="0"/>
              <w:adjustRightInd/>
              <w:snapToGrid/>
              <w:spacing w:before="157" w:beforeLines="50"/>
              <w:ind w:left="0" w:leftChars="0" w:firstLine="482" w:firstLineChars="200"/>
              <w:textAlignment w:val="auto"/>
              <w:rPr>
                <w:rFonts w:hint="default" w:ascii="Times New Roman" w:hAnsi="Times New Roman" w:cs="Times New Roman"/>
                <w:b/>
                <w:color w:val="auto"/>
                <w:szCs w:val="24"/>
              </w:rPr>
            </w:pPr>
            <w:r>
              <w:rPr>
                <w:rFonts w:hint="eastAsia" w:cs="Times New Roman"/>
                <w:b/>
                <w:color w:val="auto"/>
                <w:szCs w:val="24"/>
                <w:lang w:eastAsia="zh-CN"/>
              </w:rPr>
              <w:t>（</w:t>
            </w:r>
            <w:r>
              <w:rPr>
                <w:rFonts w:hint="eastAsia" w:cs="Times New Roman"/>
                <w:b/>
                <w:color w:val="auto"/>
                <w:szCs w:val="24"/>
                <w:lang w:val="en-US" w:eastAsia="zh-CN"/>
              </w:rPr>
              <w:t>5</w:t>
            </w:r>
            <w:r>
              <w:rPr>
                <w:rFonts w:hint="eastAsia" w:cs="Times New Roman"/>
                <w:b/>
                <w:color w:val="auto"/>
                <w:szCs w:val="24"/>
                <w:lang w:eastAsia="zh-CN"/>
              </w:rPr>
              <w:t>）</w:t>
            </w:r>
            <w:r>
              <w:rPr>
                <w:rFonts w:hint="default" w:ascii="Times New Roman" w:hAnsi="Times New Roman" w:cs="Times New Roman"/>
                <w:b/>
                <w:color w:val="auto"/>
                <w:szCs w:val="24"/>
              </w:rPr>
              <w:t>废水环境监测计划</w:t>
            </w:r>
          </w:p>
          <w:p w14:paraId="2EA419EA">
            <w:pPr>
              <w:pStyle w:val="82"/>
              <w:rPr>
                <w:rFonts w:hint="default" w:ascii="Times New Roman" w:hAnsi="Times New Roman" w:cs="Times New Roman"/>
                <w:bCs/>
                <w:color w:val="auto"/>
                <w:szCs w:val="24"/>
              </w:rPr>
            </w:pPr>
            <w:r>
              <w:rPr>
                <w:rFonts w:hint="eastAsia" w:ascii="Times New Roman" w:hAnsi="Times New Roman" w:cs="Times New Roman"/>
                <w:bCs/>
                <w:color w:val="auto"/>
                <w:szCs w:val="24"/>
                <w:lang w:val="en-US" w:eastAsia="zh-CN"/>
              </w:rPr>
              <w:t>参照</w:t>
            </w:r>
            <w:r>
              <w:rPr>
                <w:rFonts w:hint="default" w:ascii="Times New Roman" w:hAnsi="Times New Roman" w:cs="Times New Roman"/>
                <w:bCs/>
                <w:color w:val="auto"/>
                <w:szCs w:val="24"/>
              </w:rPr>
              <w:t>《排污单位自行监测技术指南</w:t>
            </w:r>
            <w:r>
              <w:rPr>
                <w:rFonts w:hint="default" w:ascii="Times New Roman" w:hAnsi="Times New Roman" w:cs="Times New Roman"/>
                <w:bCs/>
                <w:color w:val="auto"/>
                <w:szCs w:val="24"/>
                <w:lang w:val="en-US" w:eastAsia="zh-CN"/>
              </w:rPr>
              <w:t xml:space="preserve"> </w:t>
            </w:r>
            <w:r>
              <w:rPr>
                <w:rFonts w:hint="default" w:ascii="Times New Roman" w:hAnsi="Times New Roman" w:cs="Times New Roman"/>
                <w:bCs/>
                <w:color w:val="auto"/>
                <w:szCs w:val="24"/>
              </w:rPr>
              <w:t>火力发电及锅炉》（HJ820-2017）</w:t>
            </w:r>
            <w:r>
              <w:rPr>
                <w:rFonts w:hint="eastAsia" w:ascii="Times New Roman" w:hAnsi="Times New Roman" w:cs="Times New Roman"/>
                <w:bCs/>
                <w:color w:val="auto"/>
                <w:szCs w:val="24"/>
                <w:lang w:eastAsia="zh-CN"/>
              </w:rPr>
              <w:t>，</w:t>
            </w:r>
            <w:r>
              <w:rPr>
                <w:rFonts w:hint="eastAsia" w:ascii="Times New Roman" w:hAnsi="Times New Roman" w:cs="Times New Roman"/>
                <w:bCs/>
                <w:color w:val="auto"/>
                <w:szCs w:val="24"/>
                <w:lang w:val="en-US" w:eastAsia="zh-CN"/>
              </w:rPr>
              <w:t>本项目</w:t>
            </w:r>
            <w:r>
              <w:rPr>
                <w:rFonts w:hint="default" w:ascii="Times New Roman" w:hAnsi="Times New Roman" w:cs="Times New Roman"/>
                <w:bCs/>
                <w:color w:val="auto"/>
                <w:szCs w:val="24"/>
              </w:rPr>
              <w:t>废水环境监测计划建议如下：</w:t>
            </w:r>
          </w:p>
          <w:p w14:paraId="28701E1E">
            <w:pPr>
              <w:autoSpaceDE w:val="0"/>
              <w:autoSpaceDN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 xml:space="preserve">4 </w:t>
            </w:r>
            <w:r>
              <w:rPr>
                <w:rFonts w:hint="default" w:ascii="Times New Roman" w:hAnsi="Times New Roman" w:eastAsia="宋体" w:cs="Times New Roman"/>
                <w:b/>
                <w:bCs/>
                <w:color w:val="auto"/>
                <w:sz w:val="24"/>
              </w:rPr>
              <w:t xml:space="preserve"> </w:t>
            </w:r>
            <w:r>
              <w:rPr>
                <w:rFonts w:hint="eastAsia" w:ascii="Times New Roman" w:hAnsi="Times New Roman" w:eastAsia="宋体" w:cs="Times New Roman"/>
                <w:b/>
                <w:bCs/>
                <w:color w:val="auto"/>
                <w:sz w:val="24"/>
                <w:lang w:val="en-US" w:eastAsia="zh-CN"/>
              </w:rPr>
              <w:t xml:space="preserve"> </w:t>
            </w:r>
            <w:r>
              <w:rPr>
                <w:rFonts w:hint="default" w:ascii="Times New Roman" w:hAnsi="Times New Roman" w:eastAsia="宋体" w:cs="Times New Roman"/>
                <w:b/>
                <w:bCs/>
                <w:color w:val="auto"/>
                <w:sz w:val="24"/>
              </w:rPr>
              <w:t>项目</w:t>
            </w:r>
            <w:r>
              <w:rPr>
                <w:rFonts w:hint="default" w:ascii="Times New Roman" w:hAnsi="Times New Roman" w:eastAsia="宋体" w:cs="Times New Roman"/>
                <w:b/>
                <w:bCs/>
                <w:color w:val="auto"/>
                <w:sz w:val="24"/>
                <w:lang w:eastAsia="zh-CN"/>
              </w:rPr>
              <w:t>废</w:t>
            </w:r>
            <w:r>
              <w:rPr>
                <w:rFonts w:hint="default" w:ascii="Times New Roman" w:hAnsi="Times New Roman" w:eastAsia="宋体" w:cs="Times New Roman"/>
                <w:b/>
                <w:bCs/>
                <w:color w:val="auto"/>
                <w:sz w:val="24"/>
              </w:rPr>
              <w:t>水环境监测计划</w:t>
            </w:r>
          </w:p>
          <w:tbl>
            <w:tblPr>
              <w:tblStyle w:val="32"/>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587"/>
              <w:gridCol w:w="1088"/>
              <w:gridCol w:w="2815"/>
              <w:gridCol w:w="1066"/>
            </w:tblGrid>
            <w:tr w14:paraId="3CD5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tcBorders>
                    <w:top w:val="single" w:color="auto" w:sz="4" w:space="0"/>
                    <w:left w:val="single" w:color="auto" w:sz="4" w:space="0"/>
                    <w:bottom w:val="single" w:color="auto" w:sz="4" w:space="0"/>
                    <w:right w:val="single" w:color="auto" w:sz="4" w:space="0"/>
                    <w:tl2br w:val="nil"/>
                    <w:tr2bl w:val="nil"/>
                  </w:tcBorders>
                  <w:vAlign w:val="center"/>
                </w:tcPr>
                <w:p w14:paraId="52FDA730">
                  <w:pPr>
                    <w:pStyle w:val="10"/>
                    <w:spacing w:before="0" w:after="0" w:line="240" w:lineRule="auto"/>
                    <w:ind w:right="0"/>
                    <w:jc w:val="center"/>
                    <w:rPr>
                      <w:rFonts w:hint="default" w:ascii="Times New Roman" w:hAnsi="Times New Roman" w:cs="Times New Roman"/>
                      <w:b/>
                      <w:color w:val="auto"/>
                      <w:sz w:val="21"/>
                      <w:szCs w:val="21"/>
                      <w:u w:val="single"/>
                    </w:rPr>
                  </w:pPr>
                  <w:r>
                    <w:rPr>
                      <w:rFonts w:hint="default" w:ascii="Times New Roman" w:hAnsi="Times New Roman" w:eastAsia="宋体" w:cs="Times New Roman"/>
                      <w:b/>
                      <w:color w:val="auto"/>
                      <w:sz w:val="21"/>
                      <w:szCs w:val="21"/>
                      <w:u w:val="single"/>
                    </w:rPr>
                    <w:t>监测点位</w:t>
                  </w:r>
                </w:p>
              </w:tc>
              <w:tc>
                <w:tcPr>
                  <w:tcW w:w="1028" w:type="pct"/>
                  <w:tcBorders>
                    <w:top w:val="single" w:color="auto" w:sz="4" w:space="0"/>
                    <w:left w:val="single" w:color="auto" w:sz="4" w:space="0"/>
                    <w:bottom w:val="single" w:color="auto" w:sz="4" w:space="0"/>
                    <w:right w:val="single" w:color="auto" w:sz="4" w:space="0"/>
                    <w:tl2br w:val="nil"/>
                    <w:tr2bl w:val="nil"/>
                  </w:tcBorders>
                  <w:vAlign w:val="center"/>
                </w:tcPr>
                <w:p w14:paraId="0713196A">
                  <w:pPr>
                    <w:pStyle w:val="10"/>
                    <w:spacing w:before="0" w:after="0" w:line="240" w:lineRule="auto"/>
                    <w:ind w:right="0"/>
                    <w:jc w:val="center"/>
                    <w:rPr>
                      <w:rFonts w:hint="default" w:ascii="Times New Roman" w:hAnsi="Times New Roman" w:cs="Times New Roman"/>
                      <w:b/>
                      <w:color w:val="auto"/>
                      <w:sz w:val="21"/>
                      <w:szCs w:val="21"/>
                      <w:u w:val="single"/>
                    </w:rPr>
                  </w:pPr>
                  <w:r>
                    <w:rPr>
                      <w:rFonts w:hint="default" w:ascii="Times New Roman" w:hAnsi="Times New Roman" w:eastAsia="宋体" w:cs="Times New Roman"/>
                      <w:b/>
                      <w:color w:val="auto"/>
                      <w:sz w:val="21"/>
                      <w:szCs w:val="21"/>
                      <w:u w:val="single"/>
                    </w:rPr>
                    <w:t>监测项目</w:t>
                  </w:r>
                </w:p>
              </w:tc>
              <w:tc>
                <w:tcPr>
                  <w:tcW w:w="704" w:type="pct"/>
                  <w:tcBorders>
                    <w:top w:val="single" w:color="auto" w:sz="4" w:space="0"/>
                    <w:left w:val="single" w:color="auto" w:sz="4" w:space="0"/>
                    <w:bottom w:val="single" w:color="auto" w:sz="4" w:space="0"/>
                    <w:right w:val="single" w:color="auto" w:sz="4" w:space="0"/>
                    <w:tl2br w:val="nil"/>
                    <w:tr2bl w:val="nil"/>
                  </w:tcBorders>
                  <w:vAlign w:val="center"/>
                </w:tcPr>
                <w:p w14:paraId="6BE4A840">
                  <w:pPr>
                    <w:pStyle w:val="10"/>
                    <w:spacing w:before="0" w:after="0" w:line="240" w:lineRule="auto"/>
                    <w:ind w:right="0"/>
                    <w:jc w:val="center"/>
                    <w:rPr>
                      <w:rFonts w:hint="default" w:ascii="Times New Roman" w:hAnsi="Times New Roman" w:cs="Times New Roman"/>
                      <w:b/>
                      <w:color w:val="auto"/>
                      <w:sz w:val="21"/>
                      <w:szCs w:val="21"/>
                      <w:u w:val="single"/>
                    </w:rPr>
                  </w:pPr>
                  <w:r>
                    <w:rPr>
                      <w:rFonts w:hint="default" w:ascii="Times New Roman" w:hAnsi="Times New Roman" w:eastAsia="宋体" w:cs="Times New Roman"/>
                      <w:b/>
                      <w:color w:val="auto"/>
                      <w:sz w:val="21"/>
                      <w:szCs w:val="21"/>
                      <w:u w:val="single"/>
                    </w:rPr>
                    <w:t>监测频次</w:t>
                  </w:r>
                </w:p>
              </w:tc>
              <w:tc>
                <w:tcPr>
                  <w:tcW w:w="1823" w:type="pct"/>
                  <w:tcBorders>
                    <w:top w:val="single" w:color="auto" w:sz="4" w:space="0"/>
                    <w:left w:val="single" w:color="auto" w:sz="4" w:space="0"/>
                    <w:bottom w:val="single" w:color="auto" w:sz="4" w:space="0"/>
                    <w:right w:val="single" w:color="auto" w:sz="4" w:space="0"/>
                    <w:tl2br w:val="nil"/>
                    <w:tr2bl w:val="nil"/>
                  </w:tcBorders>
                  <w:vAlign w:val="center"/>
                </w:tcPr>
                <w:p w14:paraId="55F2C6EA">
                  <w:pPr>
                    <w:pStyle w:val="10"/>
                    <w:spacing w:before="0" w:after="0" w:line="240" w:lineRule="auto"/>
                    <w:ind w:right="0"/>
                    <w:jc w:val="center"/>
                    <w:rPr>
                      <w:rFonts w:hint="default" w:ascii="Times New Roman" w:hAnsi="Times New Roman" w:cs="Times New Roman"/>
                      <w:b/>
                      <w:color w:val="auto"/>
                      <w:sz w:val="21"/>
                      <w:szCs w:val="21"/>
                      <w:u w:val="single"/>
                    </w:rPr>
                  </w:pPr>
                  <w:r>
                    <w:rPr>
                      <w:rFonts w:hint="default" w:ascii="Times New Roman" w:hAnsi="Times New Roman" w:eastAsia="宋体" w:cs="Times New Roman"/>
                      <w:b/>
                      <w:color w:val="auto"/>
                      <w:sz w:val="21"/>
                      <w:szCs w:val="21"/>
                      <w:u w:val="single"/>
                    </w:rPr>
                    <w:t>执行标准</w:t>
                  </w:r>
                </w:p>
              </w:tc>
              <w:tc>
                <w:tcPr>
                  <w:tcW w:w="690" w:type="pct"/>
                  <w:tcBorders>
                    <w:top w:val="single" w:color="auto" w:sz="4" w:space="0"/>
                    <w:left w:val="single" w:color="auto" w:sz="4" w:space="0"/>
                    <w:bottom w:val="single" w:color="auto" w:sz="4" w:space="0"/>
                    <w:right w:val="single" w:color="auto" w:sz="4" w:space="0"/>
                    <w:tl2br w:val="nil"/>
                    <w:tr2bl w:val="nil"/>
                  </w:tcBorders>
                  <w:vAlign w:val="center"/>
                </w:tcPr>
                <w:p w14:paraId="3D1D6087">
                  <w:pPr>
                    <w:pStyle w:val="10"/>
                    <w:spacing w:before="0" w:after="0" w:line="240" w:lineRule="auto"/>
                    <w:ind w:right="0"/>
                    <w:jc w:val="center"/>
                    <w:rPr>
                      <w:rFonts w:hint="eastAsia" w:ascii="Times New Roman" w:hAnsi="Times New Roman" w:eastAsia="宋体" w:cs="Times New Roman"/>
                      <w:b/>
                      <w:color w:val="auto"/>
                      <w:sz w:val="21"/>
                      <w:szCs w:val="21"/>
                      <w:u w:val="single"/>
                      <w:lang w:val="en-US" w:eastAsia="zh-CN"/>
                    </w:rPr>
                  </w:pPr>
                  <w:r>
                    <w:rPr>
                      <w:rFonts w:hint="eastAsia" w:cs="Times New Roman"/>
                      <w:b/>
                      <w:color w:val="auto"/>
                      <w:sz w:val="21"/>
                      <w:szCs w:val="21"/>
                      <w:u w:val="single"/>
                      <w:lang w:val="en-US" w:eastAsia="zh-CN"/>
                    </w:rPr>
                    <w:t>备注</w:t>
                  </w:r>
                </w:p>
              </w:tc>
            </w:tr>
            <w:tr w14:paraId="4840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tcBorders>
                    <w:top w:val="single" w:color="auto" w:sz="4" w:space="0"/>
                    <w:left w:val="single" w:color="auto" w:sz="4" w:space="0"/>
                    <w:bottom w:val="single" w:color="auto" w:sz="4" w:space="0"/>
                    <w:right w:val="single" w:color="auto" w:sz="4" w:space="0"/>
                    <w:tl2br w:val="nil"/>
                    <w:tr2bl w:val="nil"/>
                  </w:tcBorders>
                  <w:vAlign w:val="center"/>
                </w:tcPr>
                <w:p w14:paraId="74BCA000">
                  <w:pPr>
                    <w:pStyle w:val="10"/>
                    <w:spacing w:before="0" w:after="0" w:line="240" w:lineRule="auto"/>
                    <w:ind w:right="0"/>
                    <w:jc w:val="center"/>
                    <w:rPr>
                      <w:rFonts w:hint="default" w:ascii="Times New Roman" w:hAnsi="Times New Roman" w:cs="Times New Roman"/>
                      <w:color w:val="auto"/>
                      <w:sz w:val="21"/>
                      <w:szCs w:val="21"/>
                      <w:u w:val="single"/>
                    </w:rPr>
                  </w:pPr>
                  <w:r>
                    <w:rPr>
                      <w:rFonts w:hint="eastAsia" w:ascii="Times New Roman" w:hAnsi="Times New Roman" w:eastAsia="宋体" w:cs="Times New Roman"/>
                      <w:color w:val="auto"/>
                      <w:sz w:val="21"/>
                      <w:szCs w:val="21"/>
                      <w:u w:val="single"/>
                      <w:lang w:val="en-US" w:eastAsia="zh-CN"/>
                    </w:rPr>
                    <w:t>废水</w:t>
                  </w:r>
                  <w:r>
                    <w:rPr>
                      <w:rFonts w:hint="default" w:ascii="Times New Roman" w:hAnsi="Times New Roman" w:eastAsia="宋体" w:cs="Times New Roman"/>
                      <w:color w:val="auto"/>
                      <w:sz w:val="21"/>
                      <w:szCs w:val="21"/>
                      <w:u w:val="single"/>
                    </w:rPr>
                    <w:t>总排口</w:t>
                  </w:r>
                </w:p>
              </w:tc>
              <w:tc>
                <w:tcPr>
                  <w:tcW w:w="1028" w:type="pct"/>
                  <w:tcBorders>
                    <w:top w:val="single" w:color="auto" w:sz="4" w:space="0"/>
                    <w:left w:val="single" w:color="auto" w:sz="4" w:space="0"/>
                    <w:right w:val="single" w:color="auto" w:sz="4" w:space="0"/>
                    <w:tl2br w:val="nil"/>
                    <w:tr2bl w:val="nil"/>
                  </w:tcBorders>
                  <w:vAlign w:val="center"/>
                </w:tcPr>
                <w:p w14:paraId="3C230D10">
                  <w:pPr>
                    <w:pStyle w:val="10"/>
                    <w:spacing w:before="0" w:after="0" w:line="240" w:lineRule="auto"/>
                    <w:ind w:right="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pH</w:t>
                  </w:r>
                  <w:r>
                    <w:rPr>
                      <w:rFonts w:hint="eastAsia"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rPr>
                    <w:t>COD、</w:t>
                  </w:r>
                  <w:r>
                    <w:rPr>
                      <w:rFonts w:hint="eastAsia" w:ascii="Times New Roman" w:hAnsi="Times New Roman" w:eastAsia="宋体" w:cs="Times New Roman"/>
                      <w:color w:val="auto"/>
                      <w:sz w:val="21"/>
                      <w:szCs w:val="21"/>
                      <w:u w:val="single"/>
                      <w:lang w:eastAsia="zh-CN"/>
                    </w:rPr>
                    <w:t>氨氮、</w:t>
                  </w:r>
                  <w:r>
                    <w:rPr>
                      <w:rFonts w:hint="default" w:ascii="Times New Roman" w:hAnsi="Times New Roman" w:eastAsia="宋体" w:cs="Times New Roman"/>
                      <w:color w:val="auto"/>
                      <w:sz w:val="21"/>
                      <w:szCs w:val="21"/>
                      <w:u w:val="single"/>
                    </w:rPr>
                    <w:t>SS</w:t>
                  </w:r>
                  <w:r>
                    <w:rPr>
                      <w:rFonts w:hint="eastAsia"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rPr>
                    <w:t>BOD</w:t>
                  </w:r>
                  <w:r>
                    <w:rPr>
                      <w:rFonts w:hint="default" w:ascii="Times New Roman" w:hAnsi="Times New Roman" w:eastAsia="宋体" w:cs="Times New Roman"/>
                      <w:color w:val="auto"/>
                      <w:sz w:val="21"/>
                      <w:szCs w:val="21"/>
                      <w:u w:val="single"/>
                      <w:vertAlign w:val="subscript"/>
                    </w:rPr>
                    <w:t>5</w:t>
                  </w:r>
                  <w:r>
                    <w:rPr>
                      <w:rFonts w:hint="eastAsia" w:ascii="Times New Roman" w:hAnsi="Times New Roman" w:eastAsia="宋体" w:cs="Times New Roman"/>
                      <w:color w:val="auto"/>
                      <w:sz w:val="21"/>
                      <w:szCs w:val="21"/>
                      <w:u w:val="single"/>
                      <w:lang w:eastAsia="zh-CN"/>
                    </w:rPr>
                    <w:t>、</w:t>
                  </w:r>
                  <w:r>
                    <w:rPr>
                      <w:rFonts w:hint="default" w:ascii="Times New Roman" w:hAnsi="Times New Roman" w:eastAsia="宋体" w:cs="Times New Roman"/>
                      <w:bCs/>
                      <w:color w:val="FF0000"/>
                      <w:sz w:val="21"/>
                      <w:szCs w:val="21"/>
                      <w:u w:val="single"/>
                      <w:lang w:val="en-US" w:eastAsia="zh-CN"/>
                    </w:rPr>
                    <w:t>TP</w:t>
                  </w:r>
                  <w:r>
                    <w:rPr>
                      <w:rFonts w:hint="eastAsia" w:ascii="Times New Roman" w:hAnsi="Times New Roman" w:eastAsia="宋体" w:cs="Times New Roman"/>
                      <w:bCs/>
                      <w:color w:val="FF0000"/>
                      <w:sz w:val="21"/>
                      <w:szCs w:val="21"/>
                      <w:u w:val="single"/>
                      <w:lang w:val="en-US" w:eastAsia="zh-CN"/>
                    </w:rPr>
                    <w:t>、</w:t>
                  </w:r>
                  <w:r>
                    <w:rPr>
                      <w:rFonts w:hint="default" w:ascii="Times New Roman" w:hAnsi="Times New Roman" w:eastAsia="宋体" w:cs="Times New Roman"/>
                      <w:bCs/>
                      <w:color w:val="FF0000"/>
                      <w:sz w:val="21"/>
                      <w:szCs w:val="21"/>
                      <w:u w:val="single"/>
                      <w:lang w:val="en-US" w:eastAsia="zh-CN"/>
                    </w:rPr>
                    <w:t>TN</w:t>
                  </w:r>
                </w:p>
              </w:tc>
              <w:tc>
                <w:tcPr>
                  <w:tcW w:w="704" w:type="pct"/>
                  <w:tcBorders>
                    <w:top w:val="single" w:color="auto" w:sz="4" w:space="0"/>
                    <w:left w:val="single" w:color="auto" w:sz="4" w:space="0"/>
                    <w:bottom w:val="single" w:color="auto" w:sz="4" w:space="0"/>
                    <w:right w:val="single" w:color="auto" w:sz="4" w:space="0"/>
                    <w:tl2br w:val="nil"/>
                    <w:tr2bl w:val="nil"/>
                  </w:tcBorders>
                  <w:vAlign w:val="center"/>
                </w:tcPr>
                <w:p w14:paraId="2AB8E75F">
                  <w:pPr>
                    <w:pStyle w:val="10"/>
                    <w:spacing w:before="0" w:after="0" w:line="240" w:lineRule="auto"/>
                    <w:ind w:right="0"/>
                    <w:jc w:val="center"/>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1次/年</w:t>
                  </w:r>
                </w:p>
              </w:tc>
              <w:tc>
                <w:tcPr>
                  <w:tcW w:w="1823" w:type="pct"/>
                  <w:tcBorders>
                    <w:top w:val="single" w:color="auto" w:sz="4" w:space="0"/>
                    <w:left w:val="single" w:color="auto" w:sz="4" w:space="0"/>
                    <w:bottom w:val="single" w:color="auto" w:sz="4" w:space="0"/>
                    <w:right w:val="single" w:color="auto" w:sz="4" w:space="0"/>
                    <w:tl2br w:val="nil"/>
                    <w:tr2bl w:val="nil"/>
                  </w:tcBorders>
                  <w:vAlign w:val="center"/>
                </w:tcPr>
                <w:p w14:paraId="20156D04">
                  <w:pPr>
                    <w:pStyle w:val="10"/>
                    <w:spacing w:before="0" w:after="0" w:line="240" w:lineRule="auto"/>
                    <w:ind w:right="0"/>
                    <w:jc w:val="center"/>
                    <w:rPr>
                      <w:rFonts w:hint="default" w:ascii="Times New Roman" w:hAnsi="Times New Roman" w:cs="Times New Roman"/>
                      <w:color w:val="auto"/>
                      <w:sz w:val="21"/>
                      <w:szCs w:val="21"/>
                      <w:u w:val="single"/>
                    </w:rPr>
                  </w:pPr>
                  <w:r>
                    <w:rPr>
                      <w:rFonts w:hint="eastAsia" w:ascii="Times New Roman" w:hAnsi="Times New Roman" w:eastAsia="宋体" w:cs="Times New Roman"/>
                      <w:bCs/>
                      <w:color w:val="auto"/>
                      <w:sz w:val="21"/>
                      <w:szCs w:val="21"/>
                      <w:u w:val="single"/>
                      <w:lang w:eastAsia="zh-CN"/>
                    </w:rPr>
                    <w:t>《污水综合排放标准》</w:t>
                  </w:r>
                  <w:r>
                    <w:rPr>
                      <w:rFonts w:hint="eastAsia" w:cs="Times New Roman"/>
                      <w:bCs/>
                      <w:color w:val="auto"/>
                      <w:sz w:val="21"/>
                      <w:szCs w:val="21"/>
                      <w:u w:val="single"/>
                      <w:lang w:eastAsia="zh-CN"/>
                    </w:rPr>
                    <w:t>（</w:t>
                  </w:r>
                  <w:r>
                    <w:rPr>
                      <w:rFonts w:hint="eastAsia" w:ascii="Times New Roman" w:hAnsi="Times New Roman" w:eastAsia="宋体" w:cs="Times New Roman"/>
                      <w:bCs/>
                      <w:color w:val="auto"/>
                      <w:sz w:val="21"/>
                      <w:szCs w:val="21"/>
                      <w:u w:val="single"/>
                      <w:lang w:val="en-US" w:eastAsia="zh-CN"/>
                    </w:rPr>
                    <w:t>GB8978-1996</w:t>
                  </w:r>
                  <w:r>
                    <w:rPr>
                      <w:rFonts w:hint="eastAsia" w:cs="Times New Roman"/>
                      <w:bCs/>
                      <w:color w:val="auto"/>
                      <w:sz w:val="21"/>
                      <w:szCs w:val="21"/>
                      <w:u w:val="single"/>
                      <w:lang w:eastAsia="zh-CN"/>
                    </w:rPr>
                    <w:t>）</w:t>
                  </w:r>
                  <w:r>
                    <w:rPr>
                      <w:rFonts w:hint="eastAsia" w:ascii="Times New Roman" w:hAnsi="Times New Roman" w:eastAsia="宋体" w:cs="Times New Roman"/>
                      <w:bCs/>
                      <w:color w:val="auto"/>
                      <w:sz w:val="21"/>
                      <w:szCs w:val="21"/>
                      <w:u w:val="single"/>
                      <w:lang w:val="en-US" w:eastAsia="zh-CN"/>
                    </w:rPr>
                    <w:t>表4中三级标准</w:t>
                  </w:r>
                  <w:r>
                    <w:rPr>
                      <w:rFonts w:hint="eastAsia" w:ascii="Times New Roman" w:hAnsi="Times New Roman" w:eastAsia="宋体" w:cs="Times New Roman"/>
                      <w:bCs/>
                      <w:color w:val="FF0000"/>
                      <w:sz w:val="21"/>
                      <w:szCs w:val="21"/>
                      <w:u w:val="single"/>
                      <w:lang w:val="en-US" w:eastAsia="zh-CN"/>
                    </w:rPr>
                    <w:t>及龙潭镇污水处理厂进水水质标准中较严格的限值</w:t>
                  </w:r>
                </w:p>
              </w:tc>
              <w:tc>
                <w:tcPr>
                  <w:tcW w:w="690" w:type="pct"/>
                  <w:tcBorders>
                    <w:top w:val="single" w:color="auto" w:sz="4" w:space="0"/>
                    <w:left w:val="single" w:color="auto" w:sz="4" w:space="0"/>
                    <w:bottom w:val="single" w:color="auto" w:sz="4" w:space="0"/>
                    <w:right w:val="single" w:color="auto" w:sz="4" w:space="0"/>
                    <w:tl2br w:val="nil"/>
                    <w:tr2bl w:val="nil"/>
                  </w:tcBorders>
                  <w:vAlign w:val="center"/>
                </w:tcPr>
                <w:p w14:paraId="3B7622F3">
                  <w:pPr>
                    <w:pStyle w:val="10"/>
                    <w:spacing w:before="0" w:after="0" w:line="240" w:lineRule="auto"/>
                    <w:ind w:right="0"/>
                    <w:jc w:val="center"/>
                    <w:rPr>
                      <w:rFonts w:hint="default" w:ascii="Times New Roman" w:hAnsi="Times New Roman" w:eastAsia="宋体" w:cs="Times New Roman"/>
                      <w:bCs/>
                      <w:color w:val="auto"/>
                      <w:sz w:val="21"/>
                      <w:szCs w:val="21"/>
                      <w:u w:val="single"/>
                      <w:lang w:val="en-US" w:eastAsia="zh-CN"/>
                    </w:rPr>
                  </w:pPr>
                  <w:r>
                    <w:rPr>
                      <w:rFonts w:hint="eastAsia" w:cs="Times New Roman"/>
                      <w:color w:val="auto"/>
                      <w:sz w:val="21"/>
                      <w:szCs w:val="21"/>
                      <w:u w:val="single"/>
                      <w:lang w:val="en-US" w:eastAsia="zh-CN"/>
                    </w:rPr>
                    <w:t>生产期间进行监测</w:t>
                  </w:r>
                </w:p>
              </w:tc>
            </w:tr>
          </w:tbl>
          <w:p w14:paraId="4FA1587F">
            <w:pPr>
              <w:pStyle w:val="82"/>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cs="Times New Roman"/>
                <w:b/>
                <w:color w:val="auto"/>
                <w:szCs w:val="24"/>
              </w:rPr>
            </w:pPr>
            <w:r>
              <w:rPr>
                <w:rFonts w:hint="eastAsia" w:cs="Times New Roman"/>
                <w:b/>
                <w:color w:val="auto"/>
                <w:szCs w:val="24"/>
                <w:lang w:val="en-US" w:eastAsia="zh-CN"/>
              </w:rPr>
              <w:t>2</w:t>
            </w:r>
            <w:r>
              <w:rPr>
                <w:rFonts w:hint="default" w:ascii="Times New Roman" w:hAnsi="Times New Roman" w:cs="Times New Roman"/>
                <w:b/>
                <w:color w:val="auto"/>
                <w:szCs w:val="24"/>
              </w:rPr>
              <w:t>、废气环境影响和保护措施</w:t>
            </w:r>
          </w:p>
          <w:p w14:paraId="3CF6DC09">
            <w:pPr>
              <w:pStyle w:val="82"/>
              <w:rPr>
                <w:rFonts w:hint="default" w:ascii="Times New Roman" w:hAnsi="Times New Roman" w:cs="Times New Roman"/>
                <w:bCs/>
                <w:color w:val="auto"/>
                <w:szCs w:val="24"/>
              </w:rPr>
            </w:pPr>
            <w:r>
              <w:rPr>
                <w:rFonts w:hint="default" w:ascii="Times New Roman" w:hAnsi="Times New Roman" w:cs="Times New Roman"/>
                <w:bCs/>
                <w:color w:val="auto"/>
                <w:szCs w:val="24"/>
              </w:rPr>
              <w:t>废气污染源主要为</w:t>
            </w:r>
            <w:r>
              <w:rPr>
                <w:rFonts w:hint="eastAsia" w:ascii="Times New Roman" w:hAnsi="Times New Roman" w:eastAsia="宋体" w:cs="Times New Roman"/>
                <w:bCs/>
                <w:color w:val="auto"/>
                <w:szCs w:val="24"/>
                <w:lang w:val="en-US" w:eastAsia="zh-CN"/>
              </w:rPr>
              <w:t>蒸汽发生器生物质</w:t>
            </w:r>
            <w:r>
              <w:rPr>
                <w:rFonts w:hint="default" w:ascii="Times New Roman" w:hAnsi="Times New Roman" w:eastAsia="宋体" w:cs="Times New Roman"/>
                <w:bCs/>
                <w:color w:val="auto"/>
                <w:szCs w:val="24"/>
                <w:lang w:eastAsia="zh-CN"/>
              </w:rPr>
              <w:t>燃烧废气</w:t>
            </w:r>
            <w:r>
              <w:rPr>
                <w:rFonts w:hint="eastAsia" w:ascii="Times New Roman" w:hAnsi="Times New Roman" w:eastAsia="宋体" w:cs="Times New Roman"/>
                <w:bCs/>
                <w:color w:val="auto"/>
                <w:szCs w:val="24"/>
                <w:lang w:val="en-US" w:eastAsia="zh-CN"/>
              </w:rPr>
              <w:t>、热风炉生物质燃烧废气</w:t>
            </w:r>
            <w:r>
              <w:rPr>
                <w:rFonts w:hint="default" w:ascii="Times New Roman" w:hAnsi="Times New Roman" w:cs="Times New Roman"/>
                <w:color w:val="auto"/>
                <w:lang w:eastAsia="zh-CN"/>
              </w:rPr>
              <w:t>、</w:t>
            </w:r>
            <w:r>
              <w:rPr>
                <w:rFonts w:hint="eastAsia" w:cs="Times New Roman"/>
                <w:color w:val="auto"/>
                <w:lang w:val="en-US" w:eastAsia="zh-CN"/>
              </w:rPr>
              <w:t>粉碎粉尘、</w:t>
            </w:r>
            <w:r>
              <w:rPr>
                <w:rFonts w:hint="default" w:ascii="Times New Roman" w:hAnsi="Times New Roman" w:cs="Times New Roman"/>
                <w:color w:val="auto"/>
                <w:lang w:eastAsia="zh-CN"/>
              </w:rPr>
              <w:t>食堂油烟</w:t>
            </w:r>
            <w:r>
              <w:rPr>
                <w:rFonts w:hint="eastAsia" w:cs="Times New Roman"/>
                <w:color w:val="auto"/>
                <w:lang w:val="en-US" w:eastAsia="zh-CN"/>
              </w:rPr>
              <w:t>等</w:t>
            </w:r>
            <w:r>
              <w:rPr>
                <w:rFonts w:hint="default" w:ascii="Times New Roman" w:hAnsi="Times New Roman" w:cs="Times New Roman"/>
                <w:bCs/>
                <w:color w:val="auto"/>
                <w:szCs w:val="24"/>
              </w:rPr>
              <w:t>。</w:t>
            </w:r>
          </w:p>
          <w:p w14:paraId="4E4EE698">
            <w:pPr>
              <w:pStyle w:val="82"/>
              <w:keepNext w:val="0"/>
              <w:keepLines w:val="0"/>
              <w:pageBreakBefore w:val="0"/>
              <w:widowControl w:val="0"/>
              <w:kinsoku/>
              <w:wordWrap/>
              <w:overflowPunct/>
              <w:topLinePunct w:val="0"/>
              <w:autoSpaceDE/>
              <w:autoSpaceDN/>
              <w:bidi w:val="0"/>
              <w:adjustRightInd/>
              <w:snapToGrid/>
              <w:ind w:firstLine="482"/>
              <w:textAlignment w:val="auto"/>
              <w:rPr>
                <w:rFonts w:hint="default" w:cs="Times New Roman"/>
                <w:b/>
                <w:color w:val="auto"/>
                <w:szCs w:val="24"/>
                <w:highlight w:val="none"/>
                <w:lang w:val="en-US" w:eastAsia="zh-CN"/>
              </w:rPr>
            </w:pPr>
            <w:r>
              <w:rPr>
                <w:rFonts w:hint="eastAsia" w:cs="Times New Roman"/>
                <w:b/>
                <w:color w:val="auto"/>
                <w:szCs w:val="24"/>
                <w:highlight w:val="none"/>
                <w:lang w:val="en-US" w:eastAsia="zh-CN"/>
              </w:rPr>
              <w:t>（1）生物质</w:t>
            </w:r>
            <w:r>
              <w:rPr>
                <w:rFonts w:hint="default" w:cs="Times New Roman"/>
                <w:b/>
                <w:color w:val="auto"/>
                <w:szCs w:val="24"/>
                <w:highlight w:val="none"/>
                <w:lang w:val="en-US" w:eastAsia="zh-CN"/>
              </w:rPr>
              <w:t>燃烧废气</w:t>
            </w:r>
          </w:p>
          <w:p w14:paraId="497497FF">
            <w:pPr>
              <w:pStyle w:val="8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本项目生物质蒸汽发生器、生物质热风炉</w:t>
            </w:r>
            <w:r>
              <w:rPr>
                <w:rFonts w:hint="default" w:ascii="Times New Roman" w:hAnsi="Times New Roman" w:eastAsia="宋体" w:cs="Times New Roman"/>
                <w:color w:val="auto"/>
                <w:kern w:val="2"/>
                <w:sz w:val="24"/>
                <w:szCs w:val="24"/>
                <w:u w:val="none" w:color="auto"/>
                <w:lang w:val="en-US" w:eastAsia="zh-CN" w:bidi="ar-SA"/>
              </w:rPr>
              <w:t>年工作时间</w:t>
            </w:r>
            <w:r>
              <w:rPr>
                <w:rFonts w:hint="eastAsia" w:cs="Times New Roman"/>
                <w:color w:val="auto"/>
                <w:kern w:val="2"/>
                <w:sz w:val="24"/>
                <w:szCs w:val="24"/>
                <w:u w:val="none" w:color="auto"/>
                <w:lang w:val="en-US" w:eastAsia="zh-CN" w:bidi="ar-SA"/>
              </w:rPr>
              <w:t>1440</w:t>
            </w:r>
            <w:r>
              <w:rPr>
                <w:rFonts w:hint="default" w:ascii="Times New Roman" w:hAnsi="Times New Roman" w:eastAsia="宋体" w:cs="Times New Roman"/>
                <w:color w:val="auto"/>
                <w:kern w:val="2"/>
                <w:sz w:val="24"/>
                <w:szCs w:val="24"/>
                <w:u w:val="none" w:color="auto"/>
                <w:lang w:val="en-US" w:eastAsia="zh-CN" w:bidi="ar-SA"/>
              </w:rPr>
              <w:t>h，生物质年用量约</w:t>
            </w:r>
            <w:r>
              <w:rPr>
                <w:rFonts w:hint="eastAsia"/>
                <w:color w:val="auto"/>
                <w:kern w:val="0"/>
                <w:szCs w:val="21"/>
                <w:lang w:val="en-US" w:eastAsia="zh-CN"/>
              </w:rPr>
              <w:t>736.02</w:t>
            </w:r>
            <w:r>
              <w:rPr>
                <w:rFonts w:hint="default" w:ascii="Times New Roman" w:hAnsi="Times New Roman" w:eastAsia="宋体" w:cs="Times New Roman"/>
                <w:color w:val="auto"/>
                <w:kern w:val="2"/>
                <w:sz w:val="24"/>
                <w:szCs w:val="24"/>
                <w:u w:val="none" w:color="auto"/>
                <w:lang w:val="en-US" w:eastAsia="zh-CN" w:bidi="ar-SA"/>
              </w:rPr>
              <w:t>t/a</w:t>
            </w:r>
            <w:r>
              <w:rPr>
                <w:rFonts w:hint="eastAsia" w:cs="Times New Roman"/>
                <w:color w:val="auto"/>
                <w:kern w:val="2"/>
                <w:sz w:val="24"/>
                <w:szCs w:val="24"/>
                <w:u w:val="none" w:color="auto"/>
                <w:lang w:val="en-US" w:eastAsia="zh-CN" w:bidi="ar-SA"/>
              </w:rPr>
              <w:t>，生物质燃烧废气产排污参照</w:t>
            </w:r>
            <w:r>
              <w:rPr>
                <w:rFonts w:hint="default" w:ascii="Times New Roman" w:hAnsi="Times New Roman" w:eastAsia="宋体" w:cs="Times New Roman"/>
                <w:color w:val="auto"/>
                <w:kern w:val="2"/>
                <w:sz w:val="24"/>
                <w:szCs w:val="24"/>
                <w:u w:val="none" w:color="auto"/>
                <w:lang w:val="en-US" w:eastAsia="zh-CN" w:bidi="ar-SA"/>
              </w:rPr>
              <w:t>《排放源统计调查产排污核算方法和系数手册》中表</w:t>
            </w:r>
            <w:r>
              <w:rPr>
                <w:rFonts w:hint="eastAsia" w:cs="Times New Roman"/>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4430工业锅炉（热力生产和供应行业）产排污系数表-生物质工业锅炉</w:t>
            </w:r>
            <w:r>
              <w:rPr>
                <w:rFonts w:hint="eastAsia" w:cs="Times New Roman"/>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进行核算</w:t>
            </w:r>
            <w:r>
              <w:rPr>
                <w:rFonts w:hint="eastAsia" w:ascii="Times New Roman" w:hAnsi="Times New Roman" w:eastAsia="宋体" w:cs="Times New Roman"/>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燃生物质工业锅炉产排污系数</w:t>
            </w:r>
            <w:r>
              <w:rPr>
                <w:rFonts w:hint="eastAsia" w:ascii="Times New Roman" w:hAnsi="Times New Roman" w:eastAsia="宋体" w:cs="Times New Roman"/>
                <w:color w:val="auto"/>
                <w:kern w:val="2"/>
                <w:sz w:val="24"/>
                <w:szCs w:val="24"/>
                <w:u w:val="none" w:color="auto"/>
                <w:lang w:val="en-US" w:eastAsia="zh-CN" w:bidi="ar-SA"/>
              </w:rPr>
              <w:t>详见下表。</w:t>
            </w:r>
          </w:p>
          <w:p w14:paraId="655D2F76">
            <w:pPr>
              <w:spacing w:line="240" w:lineRule="auto"/>
              <w:jc w:val="center"/>
              <w:rPr>
                <w:rFonts w:hint="default" w:ascii="Times New Roman" w:hAnsi="Times New Roman" w:cs="Times New Roman"/>
                <w:color w:val="auto"/>
                <w:sz w:val="24"/>
                <w:szCs w:val="24"/>
                <w:u w:val="none" w:color="auto"/>
              </w:rPr>
            </w:pPr>
            <w:r>
              <w:rPr>
                <w:rFonts w:hint="default" w:ascii="Times New Roman" w:hAnsi="Times New Roman" w:eastAsia="宋体" w:cs="Times New Roman"/>
                <w:b/>
                <w:color w:val="auto"/>
                <w:sz w:val="24"/>
                <w:szCs w:val="24"/>
                <w:u w:val="none" w:color="auto"/>
              </w:rPr>
              <w:t>表</w:t>
            </w:r>
            <w:r>
              <w:rPr>
                <w:rFonts w:hint="default" w:ascii="Times New Roman" w:hAnsi="Times New Roman" w:eastAsia="宋体" w:cs="Times New Roman"/>
                <w:b/>
                <w:color w:val="auto"/>
                <w:sz w:val="24"/>
                <w:szCs w:val="24"/>
                <w:u w:val="none" w:color="auto"/>
                <w:lang w:val="en-US" w:eastAsia="zh-CN"/>
              </w:rPr>
              <w:t>4</w:t>
            </w:r>
            <w:r>
              <w:rPr>
                <w:rFonts w:hint="default" w:ascii="Times New Roman" w:hAnsi="Times New Roman" w:eastAsia="宋体" w:cs="Times New Roman"/>
                <w:b/>
                <w:color w:val="auto"/>
                <w:sz w:val="24"/>
                <w:szCs w:val="24"/>
                <w:u w:val="none" w:color="auto"/>
              </w:rPr>
              <w:t>-</w:t>
            </w:r>
            <w:r>
              <w:rPr>
                <w:rFonts w:hint="eastAsia" w:cs="Times New Roman"/>
                <w:b/>
                <w:color w:val="auto"/>
                <w:sz w:val="24"/>
                <w:szCs w:val="24"/>
                <w:u w:val="none" w:color="auto"/>
                <w:lang w:val="en-US" w:eastAsia="zh-CN"/>
              </w:rPr>
              <w:t>5</w:t>
            </w:r>
            <w:r>
              <w:rPr>
                <w:rFonts w:hint="default" w:ascii="Times New Roman" w:hAnsi="Times New Roman" w:eastAsia="宋体" w:cs="Times New Roman"/>
                <w:b/>
                <w:color w:val="auto"/>
                <w:sz w:val="24"/>
                <w:szCs w:val="24"/>
                <w:u w:val="none" w:color="auto"/>
              </w:rPr>
              <w:t xml:space="preserve"> </w:t>
            </w:r>
            <w:r>
              <w:rPr>
                <w:rFonts w:hint="eastAsia" w:cs="Times New Roman"/>
                <w:b/>
                <w:color w:val="auto"/>
                <w:sz w:val="24"/>
                <w:szCs w:val="24"/>
                <w:u w:val="none" w:color="auto"/>
                <w:lang w:val="en-US" w:eastAsia="zh-CN"/>
              </w:rPr>
              <w:t xml:space="preserve">  </w:t>
            </w:r>
            <w:r>
              <w:rPr>
                <w:rFonts w:hint="default" w:ascii="Times New Roman" w:hAnsi="Times New Roman" w:eastAsia="宋体" w:cs="Times New Roman"/>
                <w:b/>
                <w:color w:val="auto"/>
                <w:sz w:val="24"/>
                <w:szCs w:val="24"/>
                <w:u w:val="none" w:color="auto"/>
              </w:rPr>
              <w:t>燃</w:t>
            </w:r>
            <w:r>
              <w:rPr>
                <w:rFonts w:hint="default" w:ascii="Times New Roman" w:hAnsi="Times New Roman" w:eastAsia="宋体" w:cs="Times New Roman"/>
                <w:b/>
                <w:color w:val="auto"/>
                <w:sz w:val="24"/>
                <w:szCs w:val="24"/>
                <w:u w:val="none" w:color="auto"/>
                <w:lang w:eastAsia="zh-CN"/>
              </w:rPr>
              <w:t>生物质</w:t>
            </w:r>
            <w:r>
              <w:rPr>
                <w:rFonts w:hint="default" w:ascii="Times New Roman" w:hAnsi="Times New Roman" w:eastAsia="宋体" w:cs="Times New Roman"/>
                <w:b/>
                <w:color w:val="auto"/>
                <w:sz w:val="24"/>
                <w:szCs w:val="24"/>
                <w:u w:val="none" w:color="auto"/>
              </w:rPr>
              <w:t>工业锅炉产排污系数表</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695"/>
              <w:gridCol w:w="595"/>
              <w:gridCol w:w="1247"/>
              <w:gridCol w:w="1797"/>
              <w:gridCol w:w="1291"/>
              <w:gridCol w:w="1004"/>
              <w:gridCol w:w="1077"/>
            </w:tblGrid>
            <w:tr w14:paraId="0DA46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51" w:type="pct"/>
                  <w:tcBorders>
                    <w:tl2br w:val="nil"/>
                    <w:tr2bl w:val="nil"/>
                  </w:tcBorders>
                  <w:vAlign w:val="center"/>
                </w:tcPr>
                <w:p w14:paraId="22D9262C">
                  <w:pPr>
                    <w:widowControl/>
                    <w:snapToGrid w:val="0"/>
                    <w:spacing w:line="240" w:lineRule="auto"/>
                    <w:jc w:val="center"/>
                    <w:rPr>
                      <w:rFonts w:hint="default" w:ascii="Times New Roman" w:hAnsi="Times New Roman"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产品</w:t>
                  </w:r>
                </w:p>
                <w:p w14:paraId="3647A435">
                  <w:pPr>
                    <w:widowControl/>
                    <w:snapToGrid w:val="0"/>
                    <w:spacing w:line="240" w:lineRule="auto"/>
                    <w:jc w:val="center"/>
                    <w:rPr>
                      <w:rFonts w:hint="default" w:ascii="Times New Roman" w:hAnsi="Times New Roman"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名称</w:t>
                  </w:r>
                </w:p>
              </w:tc>
              <w:tc>
                <w:tcPr>
                  <w:tcW w:w="386" w:type="pct"/>
                  <w:tcBorders>
                    <w:tl2br w:val="nil"/>
                    <w:tr2bl w:val="nil"/>
                  </w:tcBorders>
                  <w:vAlign w:val="center"/>
                </w:tcPr>
                <w:p w14:paraId="015E738F">
                  <w:pPr>
                    <w:widowControl/>
                    <w:snapToGrid w:val="0"/>
                    <w:spacing w:line="240" w:lineRule="auto"/>
                    <w:jc w:val="center"/>
                    <w:rPr>
                      <w:rFonts w:hint="default" w:ascii="Times New Roman" w:hAnsi="Times New Roman"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原料</w:t>
                  </w:r>
                </w:p>
                <w:p w14:paraId="7E56B842">
                  <w:pPr>
                    <w:widowControl/>
                    <w:snapToGrid w:val="0"/>
                    <w:spacing w:line="240" w:lineRule="auto"/>
                    <w:jc w:val="center"/>
                    <w:rPr>
                      <w:rFonts w:hint="default" w:ascii="Times New Roman" w:hAnsi="Times New Roman"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名称</w:t>
                  </w:r>
                </w:p>
              </w:tc>
              <w:tc>
                <w:tcPr>
                  <w:tcW w:w="809" w:type="pct"/>
                  <w:tcBorders>
                    <w:tl2br w:val="nil"/>
                    <w:tr2bl w:val="nil"/>
                  </w:tcBorders>
                  <w:vAlign w:val="center"/>
                </w:tcPr>
                <w:p w14:paraId="3CE627BD">
                  <w:pPr>
                    <w:widowControl/>
                    <w:snapToGrid w:val="0"/>
                    <w:spacing w:line="240" w:lineRule="auto"/>
                    <w:ind w:firstLine="105" w:firstLineChars="50"/>
                    <w:jc w:val="center"/>
                    <w:rPr>
                      <w:rFonts w:hint="default" w:ascii="Times New Roman" w:hAnsi="Times New Roman"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污染物指标</w:t>
                  </w:r>
                </w:p>
              </w:tc>
              <w:tc>
                <w:tcPr>
                  <w:tcW w:w="1165" w:type="pct"/>
                  <w:tcBorders>
                    <w:tl2br w:val="nil"/>
                    <w:tr2bl w:val="nil"/>
                  </w:tcBorders>
                  <w:vAlign w:val="center"/>
                </w:tcPr>
                <w:p w14:paraId="2AE5B80F">
                  <w:pPr>
                    <w:widowControl/>
                    <w:snapToGrid w:val="0"/>
                    <w:spacing w:line="240" w:lineRule="auto"/>
                    <w:jc w:val="center"/>
                    <w:rPr>
                      <w:rFonts w:hint="default" w:ascii="Times New Roman" w:hAnsi="Times New Roman"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单位</w:t>
                  </w:r>
                </w:p>
              </w:tc>
              <w:tc>
                <w:tcPr>
                  <w:tcW w:w="837" w:type="pct"/>
                  <w:tcBorders>
                    <w:tl2br w:val="nil"/>
                    <w:tr2bl w:val="nil"/>
                  </w:tcBorders>
                  <w:vAlign w:val="center"/>
                </w:tcPr>
                <w:p w14:paraId="497797B6">
                  <w:pPr>
                    <w:widowControl/>
                    <w:snapToGrid w:val="0"/>
                    <w:spacing w:line="240" w:lineRule="auto"/>
                    <w:jc w:val="center"/>
                    <w:rPr>
                      <w:rFonts w:hint="default" w:ascii="Times New Roman" w:hAnsi="Times New Roman"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产污系数</w:t>
                  </w:r>
                </w:p>
              </w:tc>
              <w:tc>
                <w:tcPr>
                  <w:tcW w:w="651" w:type="pct"/>
                  <w:tcBorders>
                    <w:tl2br w:val="nil"/>
                    <w:tr2bl w:val="nil"/>
                  </w:tcBorders>
                  <w:vAlign w:val="center"/>
                </w:tcPr>
                <w:p w14:paraId="019690E9">
                  <w:pPr>
                    <w:widowControl/>
                    <w:snapToGrid w:val="0"/>
                    <w:spacing w:line="240" w:lineRule="auto"/>
                    <w:jc w:val="center"/>
                    <w:rPr>
                      <w:rFonts w:hint="default" w:ascii="Times New Roman" w:hAnsi="Times New Roman" w:cs="Times New Roman"/>
                      <w:b/>
                      <w:color w:val="auto"/>
                      <w:kern w:val="0"/>
                      <w:sz w:val="21"/>
                      <w:szCs w:val="21"/>
                      <w:u w:val="none" w:color="auto"/>
                    </w:rPr>
                  </w:pPr>
                  <w:r>
                    <w:rPr>
                      <w:rFonts w:hint="default" w:ascii="Times New Roman" w:hAnsi="Times New Roman" w:eastAsia="宋体" w:cs="Times New Roman"/>
                      <w:b/>
                      <w:color w:val="auto"/>
                      <w:kern w:val="0"/>
                      <w:sz w:val="21"/>
                      <w:szCs w:val="21"/>
                      <w:u w:val="none" w:color="auto"/>
                    </w:rPr>
                    <w:t>末端处理技术</w:t>
                  </w:r>
                </w:p>
              </w:tc>
              <w:tc>
                <w:tcPr>
                  <w:tcW w:w="698" w:type="pct"/>
                  <w:tcBorders>
                    <w:tl2br w:val="nil"/>
                    <w:tr2bl w:val="nil"/>
                  </w:tcBorders>
                  <w:vAlign w:val="center"/>
                </w:tcPr>
                <w:p w14:paraId="69846CFF">
                  <w:pPr>
                    <w:widowControl/>
                    <w:snapToGrid w:val="0"/>
                    <w:spacing w:line="240" w:lineRule="auto"/>
                    <w:jc w:val="center"/>
                    <w:rPr>
                      <w:rFonts w:hint="default" w:ascii="Times New Roman" w:hAnsi="Times New Roman" w:eastAsia="宋体" w:cs="Times New Roman"/>
                      <w:b/>
                      <w:color w:val="auto"/>
                      <w:kern w:val="0"/>
                      <w:sz w:val="21"/>
                      <w:szCs w:val="21"/>
                      <w:u w:val="none" w:color="auto"/>
                      <w:lang w:eastAsia="zh-CN"/>
                    </w:rPr>
                  </w:pPr>
                  <w:r>
                    <w:rPr>
                      <w:rFonts w:hint="default" w:ascii="Times New Roman" w:hAnsi="Times New Roman" w:eastAsia="宋体" w:cs="Times New Roman"/>
                      <w:b/>
                      <w:color w:val="auto"/>
                      <w:kern w:val="0"/>
                      <w:sz w:val="21"/>
                      <w:szCs w:val="21"/>
                      <w:u w:val="none" w:color="auto"/>
                      <w:lang w:eastAsia="zh-CN"/>
                    </w:rPr>
                    <w:t>去除效率</w:t>
                  </w:r>
                </w:p>
              </w:tc>
            </w:tr>
            <w:tr w14:paraId="6E4CF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51" w:type="pct"/>
                  <w:vMerge w:val="restart"/>
                  <w:tcBorders>
                    <w:tl2br w:val="nil"/>
                    <w:tr2bl w:val="nil"/>
                  </w:tcBorders>
                  <w:vAlign w:val="center"/>
                </w:tcPr>
                <w:p w14:paraId="03789C32">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蒸汽/热水/</w:t>
                  </w:r>
                  <w:r>
                    <w:rPr>
                      <w:rFonts w:hint="eastAsia" w:cs="Times New Roman"/>
                      <w:color w:val="auto"/>
                      <w:kern w:val="0"/>
                      <w:sz w:val="21"/>
                      <w:szCs w:val="21"/>
                      <w:u w:val="none" w:color="auto"/>
                      <w:lang w:eastAsia="zh-CN"/>
                    </w:rPr>
                    <w:t>其他</w:t>
                  </w:r>
                </w:p>
              </w:tc>
              <w:tc>
                <w:tcPr>
                  <w:tcW w:w="386" w:type="pct"/>
                  <w:vMerge w:val="restart"/>
                  <w:tcBorders>
                    <w:tl2br w:val="nil"/>
                    <w:tr2bl w:val="nil"/>
                  </w:tcBorders>
                  <w:vAlign w:val="center"/>
                </w:tcPr>
                <w:p w14:paraId="57D0DA00">
                  <w:pPr>
                    <w:snapToGrid w:val="0"/>
                    <w:spacing w:line="240" w:lineRule="auto"/>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eastAsia="zh-CN"/>
                    </w:rPr>
                    <w:t>生物质颗粒</w:t>
                  </w:r>
                </w:p>
              </w:tc>
              <w:tc>
                <w:tcPr>
                  <w:tcW w:w="809" w:type="pct"/>
                  <w:tcBorders>
                    <w:tl2br w:val="nil"/>
                    <w:tr2bl w:val="nil"/>
                  </w:tcBorders>
                  <w:vAlign w:val="center"/>
                </w:tcPr>
                <w:p w14:paraId="57BCB52E">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工业废气量</w:t>
                  </w:r>
                </w:p>
              </w:tc>
              <w:tc>
                <w:tcPr>
                  <w:tcW w:w="1165" w:type="pct"/>
                  <w:tcBorders>
                    <w:tl2br w:val="nil"/>
                    <w:tr2bl w:val="nil"/>
                  </w:tcBorders>
                  <w:vAlign w:val="center"/>
                </w:tcPr>
                <w:p w14:paraId="020E829A">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标立方米/吨-原料</w:t>
                  </w:r>
                </w:p>
              </w:tc>
              <w:tc>
                <w:tcPr>
                  <w:tcW w:w="837" w:type="pct"/>
                  <w:tcBorders>
                    <w:tl2br w:val="nil"/>
                    <w:tr2bl w:val="nil"/>
                  </w:tcBorders>
                  <w:vAlign w:val="center"/>
                </w:tcPr>
                <w:p w14:paraId="20288EC6">
                  <w:pPr>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cs="Times New Roman"/>
                      <w:color w:val="auto"/>
                      <w:kern w:val="0"/>
                      <w:sz w:val="21"/>
                      <w:szCs w:val="21"/>
                      <w:u w:val="none" w:color="auto"/>
                      <w:lang w:val="en-US" w:eastAsia="zh-CN"/>
                    </w:rPr>
                    <w:t>6240</w:t>
                  </w:r>
                </w:p>
              </w:tc>
              <w:tc>
                <w:tcPr>
                  <w:tcW w:w="651" w:type="pct"/>
                  <w:tcBorders>
                    <w:tl2br w:val="nil"/>
                    <w:tr2bl w:val="nil"/>
                  </w:tcBorders>
                  <w:vAlign w:val="center"/>
                </w:tcPr>
                <w:p w14:paraId="0CD6FFC1">
                  <w:pPr>
                    <w:snapToGrid w:val="0"/>
                    <w:spacing w:line="240" w:lineRule="auto"/>
                    <w:jc w:val="center"/>
                    <w:rPr>
                      <w:rFonts w:hint="default" w:ascii="Times New Roman" w:hAnsi="Times New Roman" w:eastAsia="宋体" w:cs="Times New Roman"/>
                      <w:color w:val="auto"/>
                      <w:kern w:val="0"/>
                      <w:sz w:val="21"/>
                      <w:szCs w:val="21"/>
                      <w:u w:val="none" w:color="auto"/>
                      <w:lang w:eastAsia="zh-CN"/>
                    </w:rPr>
                  </w:pPr>
                  <w:r>
                    <w:rPr>
                      <w:rFonts w:hint="default" w:ascii="Times New Roman" w:hAnsi="Times New Roman" w:eastAsia="宋体" w:cs="Times New Roman"/>
                      <w:color w:val="auto"/>
                      <w:kern w:val="0"/>
                      <w:sz w:val="21"/>
                      <w:szCs w:val="21"/>
                      <w:u w:val="none" w:color="auto"/>
                      <w:lang w:val="en-US" w:eastAsia="zh-CN"/>
                    </w:rPr>
                    <w:t>/</w:t>
                  </w:r>
                </w:p>
              </w:tc>
              <w:tc>
                <w:tcPr>
                  <w:tcW w:w="698" w:type="pct"/>
                  <w:tcBorders>
                    <w:tl2br w:val="nil"/>
                    <w:tr2bl w:val="nil"/>
                  </w:tcBorders>
                  <w:vAlign w:val="center"/>
                </w:tcPr>
                <w:p w14:paraId="13DFDFAD">
                  <w:pPr>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w:t>
                  </w:r>
                </w:p>
              </w:tc>
            </w:tr>
            <w:tr w14:paraId="02F54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51" w:type="pct"/>
                  <w:vMerge w:val="continue"/>
                  <w:tcBorders>
                    <w:tl2br w:val="nil"/>
                    <w:tr2bl w:val="nil"/>
                  </w:tcBorders>
                  <w:vAlign w:val="center"/>
                </w:tcPr>
                <w:p w14:paraId="4BF9631C">
                  <w:pPr>
                    <w:widowControl/>
                    <w:spacing w:line="240" w:lineRule="auto"/>
                    <w:jc w:val="center"/>
                    <w:rPr>
                      <w:rFonts w:hint="default" w:ascii="Times New Roman" w:hAnsi="Times New Roman" w:cs="Times New Roman"/>
                      <w:color w:val="auto"/>
                      <w:kern w:val="0"/>
                      <w:sz w:val="21"/>
                      <w:szCs w:val="21"/>
                      <w:u w:val="none" w:color="auto"/>
                    </w:rPr>
                  </w:pPr>
                </w:p>
              </w:tc>
              <w:tc>
                <w:tcPr>
                  <w:tcW w:w="386" w:type="pct"/>
                  <w:vMerge w:val="continue"/>
                  <w:tcBorders>
                    <w:tl2br w:val="nil"/>
                    <w:tr2bl w:val="nil"/>
                  </w:tcBorders>
                  <w:vAlign w:val="center"/>
                </w:tcPr>
                <w:p w14:paraId="75AD4D87">
                  <w:pPr>
                    <w:widowControl/>
                    <w:spacing w:line="240" w:lineRule="auto"/>
                    <w:jc w:val="center"/>
                    <w:rPr>
                      <w:rFonts w:hint="default" w:ascii="Times New Roman" w:hAnsi="Times New Roman" w:cs="Times New Roman"/>
                      <w:color w:val="auto"/>
                      <w:kern w:val="0"/>
                      <w:sz w:val="21"/>
                      <w:szCs w:val="21"/>
                      <w:u w:val="none" w:color="auto"/>
                    </w:rPr>
                  </w:pPr>
                </w:p>
              </w:tc>
              <w:tc>
                <w:tcPr>
                  <w:tcW w:w="809" w:type="pct"/>
                  <w:tcBorders>
                    <w:tl2br w:val="nil"/>
                    <w:tr2bl w:val="nil"/>
                  </w:tcBorders>
                  <w:vAlign w:val="center"/>
                </w:tcPr>
                <w:p w14:paraId="26340E09">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二氧化硫</w:t>
                  </w:r>
                </w:p>
              </w:tc>
              <w:tc>
                <w:tcPr>
                  <w:tcW w:w="1165" w:type="pct"/>
                  <w:tcBorders>
                    <w:tl2br w:val="nil"/>
                    <w:tr2bl w:val="nil"/>
                  </w:tcBorders>
                  <w:vAlign w:val="center"/>
                </w:tcPr>
                <w:p w14:paraId="450BB53C">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kg/t-</w:t>
                  </w:r>
                  <w:r>
                    <w:rPr>
                      <w:rFonts w:hint="default" w:ascii="Times New Roman" w:hAnsi="Times New Roman" w:eastAsia="宋体" w:cs="Times New Roman"/>
                      <w:color w:val="auto"/>
                      <w:kern w:val="0"/>
                      <w:sz w:val="21"/>
                      <w:szCs w:val="21"/>
                      <w:u w:val="none" w:color="auto"/>
                    </w:rPr>
                    <w:t>原料</w:t>
                  </w:r>
                </w:p>
              </w:tc>
              <w:tc>
                <w:tcPr>
                  <w:tcW w:w="837" w:type="pct"/>
                  <w:tcBorders>
                    <w:tl2br w:val="nil"/>
                    <w:tr2bl w:val="nil"/>
                  </w:tcBorders>
                  <w:vAlign w:val="center"/>
                </w:tcPr>
                <w:p w14:paraId="13401575">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lang w:val="en-US" w:eastAsia="zh-CN"/>
                    </w:rPr>
                    <w:t>17</w:t>
                  </w:r>
                  <w:r>
                    <w:rPr>
                      <w:rFonts w:hint="default" w:ascii="Times New Roman" w:hAnsi="Times New Roman" w:cs="Times New Roman"/>
                      <w:color w:val="auto"/>
                      <w:kern w:val="0"/>
                      <w:sz w:val="21"/>
                      <w:szCs w:val="21"/>
                      <w:u w:val="none" w:color="auto"/>
                    </w:rPr>
                    <w:t>S</w:t>
                  </w:r>
                  <w:r>
                    <w:rPr>
                      <w:rFonts w:hint="default" w:ascii="Times New Roman" w:hAnsi="Times New Roman" w:cs="Times New Roman"/>
                      <w:color w:val="auto"/>
                      <w:sz w:val="21"/>
                      <w:szCs w:val="21"/>
                      <w:u w:val="none" w:color="auto"/>
                      <w:vertAlign w:val="superscript"/>
                    </w:rPr>
                    <w:t>②</w:t>
                  </w:r>
                </w:p>
              </w:tc>
              <w:tc>
                <w:tcPr>
                  <w:tcW w:w="651" w:type="pct"/>
                  <w:tcBorders>
                    <w:tl2br w:val="nil"/>
                    <w:tr2bl w:val="nil"/>
                  </w:tcBorders>
                  <w:vAlign w:val="center"/>
                </w:tcPr>
                <w:p w14:paraId="6741A084">
                  <w:pPr>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cs="Times New Roman"/>
                      <w:color w:val="auto"/>
                      <w:kern w:val="0"/>
                      <w:sz w:val="21"/>
                      <w:szCs w:val="21"/>
                      <w:u w:val="none" w:color="auto"/>
                      <w:lang w:val="en-US" w:eastAsia="zh-CN"/>
                    </w:rPr>
                    <w:t>/</w:t>
                  </w:r>
                </w:p>
              </w:tc>
              <w:tc>
                <w:tcPr>
                  <w:tcW w:w="698" w:type="pct"/>
                  <w:tcBorders>
                    <w:tl2br w:val="nil"/>
                    <w:tr2bl w:val="nil"/>
                  </w:tcBorders>
                  <w:vAlign w:val="center"/>
                </w:tcPr>
                <w:p w14:paraId="69584814">
                  <w:pPr>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cs="Times New Roman"/>
                      <w:color w:val="auto"/>
                      <w:kern w:val="0"/>
                      <w:sz w:val="21"/>
                      <w:szCs w:val="21"/>
                      <w:u w:val="none" w:color="auto"/>
                      <w:lang w:val="en-US" w:eastAsia="zh-CN"/>
                    </w:rPr>
                    <w:t>/</w:t>
                  </w:r>
                </w:p>
              </w:tc>
            </w:tr>
            <w:tr w14:paraId="28655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51" w:type="pct"/>
                  <w:vMerge w:val="continue"/>
                  <w:tcBorders>
                    <w:tl2br w:val="nil"/>
                    <w:tr2bl w:val="nil"/>
                  </w:tcBorders>
                  <w:vAlign w:val="center"/>
                </w:tcPr>
                <w:p w14:paraId="112C0F27">
                  <w:pPr>
                    <w:widowControl/>
                    <w:spacing w:line="240" w:lineRule="auto"/>
                    <w:jc w:val="center"/>
                    <w:rPr>
                      <w:rFonts w:hint="default" w:ascii="Times New Roman" w:hAnsi="Times New Roman" w:cs="Times New Roman"/>
                      <w:color w:val="auto"/>
                      <w:kern w:val="0"/>
                      <w:sz w:val="21"/>
                      <w:szCs w:val="21"/>
                      <w:u w:val="none" w:color="auto"/>
                    </w:rPr>
                  </w:pPr>
                </w:p>
              </w:tc>
              <w:tc>
                <w:tcPr>
                  <w:tcW w:w="386" w:type="pct"/>
                  <w:vMerge w:val="continue"/>
                  <w:tcBorders>
                    <w:tl2br w:val="nil"/>
                    <w:tr2bl w:val="nil"/>
                  </w:tcBorders>
                  <w:vAlign w:val="center"/>
                </w:tcPr>
                <w:p w14:paraId="3F71BA37">
                  <w:pPr>
                    <w:widowControl/>
                    <w:spacing w:line="240" w:lineRule="auto"/>
                    <w:jc w:val="center"/>
                    <w:rPr>
                      <w:rFonts w:hint="default" w:ascii="Times New Roman" w:hAnsi="Times New Roman" w:cs="Times New Roman"/>
                      <w:color w:val="auto"/>
                      <w:kern w:val="0"/>
                      <w:sz w:val="21"/>
                      <w:szCs w:val="21"/>
                      <w:u w:val="none" w:color="auto"/>
                    </w:rPr>
                  </w:pPr>
                </w:p>
              </w:tc>
              <w:tc>
                <w:tcPr>
                  <w:tcW w:w="809" w:type="pct"/>
                  <w:tcBorders>
                    <w:tl2br w:val="nil"/>
                    <w:tr2bl w:val="nil"/>
                  </w:tcBorders>
                  <w:vAlign w:val="center"/>
                </w:tcPr>
                <w:p w14:paraId="0239FA3A">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颗粒物</w:t>
                  </w:r>
                </w:p>
              </w:tc>
              <w:tc>
                <w:tcPr>
                  <w:tcW w:w="1165" w:type="pct"/>
                  <w:tcBorders>
                    <w:tl2br w:val="nil"/>
                    <w:tr2bl w:val="nil"/>
                  </w:tcBorders>
                  <w:vAlign w:val="center"/>
                </w:tcPr>
                <w:p w14:paraId="6DDBAA93">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kg/t-</w:t>
                  </w:r>
                  <w:r>
                    <w:rPr>
                      <w:rFonts w:hint="default" w:ascii="Times New Roman" w:hAnsi="Times New Roman" w:eastAsia="宋体" w:cs="Times New Roman"/>
                      <w:color w:val="auto"/>
                      <w:kern w:val="0"/>
                      <w:sz w:val="21"/>
                      <w:szCs w:val="21"/>
                      <w:u w:val="none" w:color="auto"/>
                    </w:rPr>
                    <w:t>原料</w:t>
                  </w:r>
                </w:p>
              </w:tc>
              <w:tc>
                <w:tcPr>
                  <w:tcW w:w="837" w:type="pct"/>
                  <w:tcBorders>
                    <w:tl2br w:val="nil"/>
                    <w:tr2bl w:val="nil"/>
                  </w:tcBorders>
                  <w:vAlign w:val="center"/>
                </w:tcPr>
                <w:p w14:paraId="4A64137A">
                  <w:pPr>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cs="Times New Roman"/>
                      <w:color w:val="auto"/>
                      <w:kern w:val="0"/>
                      <w:sz w:val="21"/>
                      <w:szCs w:val="21"/>
                      <w:u w:val="none" w:color="auto"/>
                      <w:lang w:val="en-US" w:eastAsia="zh-CN"/>
                    </w:rPr>
                    <w:t>0.5</w:t>
                  </w:r>
                </w:p>
              </w:tc>
              <w:tc>
                <w:tcPr>
                  <w:tcW w:w="651" w:type="pct"/>
                  <w:tcBorders>
                    <w:tl2br w:val="nil"/>
                    <w:tr2bl w:val="nil"/>
                  </w:tcBorders>
                  <w:vAlign w:val="center"/>
                </w:tcPr>
                <w:p w14:paraId="4AC3F340">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eastAsia="宋体" w:cs="Times New Roman"/>
                      <w:color w:val="auto"/>
                      <w:kern w:val="0"/>
                      <w:sz w:val="21"/>
                      <w:szCs w:val="21"/>
                      <w:highlight w:val="none"/>
                      <w:u w:val="none" w:color="auto"/>
                      <w:lang w:eastAsia="zh-CN"/>
                    </w:rPr>
                    <w:t>布袋除尘</w:t>
                  </w:r>
                </w:p>
              </w:tc>
              <w:tc>
                <w:tcPr>
                  <w:tcW w:w="698" w:type="pct"/>
                  <w:tcBorders>
                    <w:tl2br w:val="nil"/>
                    <w:tr2bl w:val="nil"/>
                  </w:tcBorders>
                  <w:vAlign w:val="center"/>
                </w:tcPr>
                <w:p w14:paraId="44481456">
                  <w:pPr>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cs="Times New Roman"/>
                      <w:color w:val="auto"/>
                      <w:kern w:val="0"/>
                      <w:sz w:val="21"/>
                      <w:szCs w:val="21"/>
                      <w:u w:val="none" w:color="auto"/>
                      <w:lang w:val="en-US" w:eastAsia="zh-CN"/>
                    </w:rPr>
                    <w:t>99%</w:t>
                  </w:r>
                </w:p>
              </w:tc>
            </w:tr>
            <w:tr w14:paraId="64803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451" w:type="pct"/>
                  <w:vMerge w:val="continue"/>
                  <w:tcBorders>
                    <w:tl2br w:val="nil"/>
                    <w:tr2bl w:val="nil"/>
                  </w:tcBorders>
                  <w:vAlign w:val="center"/>
                </w:tcPr>
                <w:p w14:paraId="4396AE65">
                  <w:pPr>
                    <w:widowControl/>
                    <w:spacing w:line="240" w:lineRule="auto"/>
                    <w:jc w:val="center"/>
                    <w:rPr>
                      <w:rFonts w:hint="default" w:ascii="Times New Roman" w:hAnsi="Times New Roman" w:cs="Times New Roman"/>
                      <w:color w:val="auto"/>
                      <w:kern w:val="0"/>
                      <w:sz w:val="21"/>
                      <w:szCs w:val="21"/>
                      <w:u w:val="none" w:color="auto"/>
                    </w:rPr>
                  </w:pPr>
                </w:p>
              </w:tc>
              <w:tc>
                <w:tcPr>
                  <w:tcW w:w="386" w:type="pct"/>
                  <w:vMerge w:val="continue"/>
                  <w:tcBorders>
                    <w:tl2br w:val="nil"/>
                    <w:tr2bl w:val="nil"/>
                  </w:tcBorders>
                  <w:vAlign w:val="center"/>
                </w:tcPr>
                <w:p w14:paraId="38720555">
                  <w:pPr>
                    <w:widowControl/>
                    <w:spacing w:line="240" w:lineRule="auto"/>
                    <w:jc w:val="center"/>
                    <w:rPr>
                      <w:rFonts w:hint="default" w:ascii="Times New Roman" w:hAnsi="Times New Roman" w:cs="Times New Roman"/>
                      <w:color w:val="auto"/>
                      <w:kern w:val="0"/>
                      <w:sz w:val="21"/>
                      <w:szCs w:val="21"/>
                      <w:u w:val="none" w:color="auto"/>
                    </w:rPr>
                  </w:pPr>
                </w:p>
              </w:tc>
              <w:tc>
                <w:tcPr>
                  <w:tcW w:w="809" w:type="pct"/>
                  <w:tcBorders>
                    <w:tl2br w:val="nil"/>
                    <w:tr2bl w:val="nil"/>
                  </w:tcBorders>
                  <w:vAlign w:val="center"/>
                </w:tcPr>
                <w:p w14:paraId="472DD4F5">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氮氧化物</w:t>
                  </w:r>
                </w:p>
              </w:tc>
              <w:tc>
                <w:tcPr>
                  <w:tcW w:w="1165" w:type="pct"/>
                  <w:tcBorders>
                    <w:tl2br w:val="nil"/>
                    <w:tr2bl w:val="nil"/>
                  </w:tcBorders>
                  <w:vAlign w:val="center"/>
                </w:tcPr>
                <w:p w14:paraId="5B2341CA">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kg/t-</w:t>
                  </w:r>
                  <w:r>
                    <w:rPr>
                      <w:rFonts w:hint="default" w:ascii="Times New Roman" w:hAnsi="Times New Roman" w:eastAsia="宋体" w:cs="Times New Roman"/>
                      <w:color w:val="auto"/>
                      <w:kern w:val="0"/>
                      <w:sz w:val="21"/>
                      <w:szCs w:val="21"/>
                      <w:u w:val="none" w:color="auto"/>
                    </w:rPr>
                    <w:t>原料</w:t>
                  </w:r>
                </w:p>
              </w:tc>
              <w:tc>
                <w:tcPr>
                  <w:tcW w:w="837" w:type="pct"/>
                  <w:tcBorders>
                    <w:tl2br w:val="nil"/>
                    <w:tr2bl w:val="nil"/>
                  </w:tcBorders>
                  <w:vAlign w:val="center"/>
                </w:tcPr>
                <w:p w14:paraId="37F45FEB">
                  <w:pPr>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cs="Times New Roman"/>
                      <w:color w:val="auto"/>
                      <w:kern w:val="0"/>
                      <w:sz w:val="21"/>
                      <w:szCs w:val="21"/>
                      <w:u w:val="none" w:color="auto"/>
                      <w:lang w:val="en-US" w:eastAsia="zh-CN"/>
                    </w:rPr>
                    <w:t>1.02</w:t>
                  </w:r>
                </w:p>
              </w:tc>
              <w:tc>
                <w:tcPr>
                  <w:tcW w:w="651" w:type="pct"/>
                  <w:tcBorders>
                    <w:tl2br w:val="nil"/>
                    <w:tr2bl w:val="nil"/>
                  </w:tcBorders>
                  <w:vAlign w:val="center"/>
                </w:tcPr>
                <w:p w14:paraId="008316A6">
                  <w:pPr>
                    <w:snapToGrid w:val="0"/>
                    <w:spacing w:line="240" w:lineRule="auto"/>
                    <w:jc w:val="center"/>
                    <w:rPr>
                      <w:rFonts w:hint="default" w:ascii="Times New Roman" w:hAnsi="Times New Roman" w:cs="Times New Roman"/>
                      <w:color w:val="auto"/>
                      <w:kern w:val="0"/>
                      <w:sz w:val="21"/>
                      <w:szCs w:val="21"/>
                      <w:u w:val="none" w:color="auto"/>
                    </w:rPr>
                  </w:pPr>
                  <w:r>
                    <w:rPr>
                      <w:rFonts w:hint="default" w:ascii="Times New Roman" w:hAnsi="Times New Roman" w:cs="Times New Roman"/>
                      <w:color w:val="auto"/>
                      <w:kern w:val="0"/>
                      <w:sz w:val="21"/>
                      <w:szCs w:val="21"/>
                      <w:u w:val="none" w:color="auto"/>
                    </w:rPr>
                    <w:t>低氮燃烧</w:t>
                  </w:r>
                </w:p>
              </w:tc>
              <w:tc>
                <w:tcPr>
                  <w:tcW w:w="698" w:type="pct"/>
                  <w:tcBorders>
                    <w:tl2br w:val="nil"/>
                    <w:tr2bl w:val="nil"/>
                  </w:tcBorders>
                  <w:vAlign w:val="center"/>
                </w:tcPr>
                <w:p w14:paraId="02700C9D">
                  <w:pPr>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cs="Times New Roman"/>
                      <w:color w:val="auto"/>
                      <w:kern w:val="0"/>
                      <w:sz w:val="21"/>
                      <w:szCs w:val="21"/>
                      <w:u w:val="none" w:color="auto"/>
                      <w:lang w:val="en-US" w:eastAsia="zh-CN"/>
                    </w:rPr>
                    <w:t>30%</w:t>
                  </w:r>
                </w:p>
              </w:tc>
            </w:tr>
            <w:tr w14:paraId="1962B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711" w:hRule="atLeast"/>
                <w:jc w:val="center"/>
              </w:trPr>
              <w:tc>
                <w:tcPr>
                  <w:tcW w:w="5000" w:type="pct"/>
                  <w:gridSpan w:val="7"/>
                  <w:tcBorders>
                    <w:tl2br w:val="nil"/>
                    <w:tr2bl w:val="nil"/>
                  </w:tcBorders>
                  <w:vAlign w:val="center"/>
                </w:tcPr>
                <w:p w14:paraId="58B2D451">
                  <w:pPr>
                    <w:snapToGrid w:val="0"/>
                    <w:spacing w:line="240" w:lineRule="auto"/>
                    <w:jc w:val="both"/>
                    <w:rPr>
                      <w:rFonts w:hint="default" w:ascii="Times New Roman" w:hAnsi="Times New Roman" w:cs="Times New Roman"/>
                      <w:color w:val="auto"/>
                      <w:kern w:val="0"/>
                      <w:sz w:val="21"/>
                      <w:szCs w:val="21"/>
                      <w:u w:val="none" w:color="auto"/>
                      <w:lang w:val="en-US" w:eastAsia="zh-CN"/>
                    </w:rPr>
                  </w:pPr>
                  <w:r>
                    <w:rPr>
                      <w:rFonts w:hint="default" w:ascii="Times New Roman" w:hAnsi="Times New Roman" w:cs="Times New Roman"/>
                      <w:color w:val="auto"/>
                      <w:sz w:val="21"/>
                      <w:szCs w:val="21"/>
                      <w:u w:val="none" w:color="auto"/>
                    </w:rPr>
                    <w:t>①二氧化硫的产污系数是以含硫量</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S%</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的形式表示的，其中含硫量</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S%</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是指生物质收到基硫分含量，以质量百分数的形式表示。例如生物质中含硫量</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S%</w:t>
                  </w:r>
                  <w:r>
                    <w:rPr>
                      <w:rFonts w:hint="default" w:ascii="Times New Roman" w:hAnsi="Times New Roman" w:cs="Times New Roman"/>
                      <w:color w:val="auto"/>
                      <w:sz w:val="21"/>
                      <w:szCs w:val="21"/>
                      <w:u w:val="none" w:color="auto"/>
                      <w:lang w:eastAsia="zh-CN"/>
                    </w:rPr>
                    <w:t>）</w:t>
                  </w:r>
                  <w:r>
                    <w:rPr>
                      <w:rFonts w:hint="default" w:ascii="Times New Roman" w:hAnsi="Times New Roman" w:cs="Times New Roman"/>
                      <w:color w:val="auto"/>
                      <w:sz w:val="21"/>
                      <w:szCs w:val="21"/>
                      <w:u w:val="none" w:color="auto"/>
                    </w:rPr>
                    <w:t>为0.1%，则S=0.1。</w:t>
                  </w:r>
                </w:p>
              </w:tc>
            </w:tr>
          </w:tbl>
          <w:p w14:paraId="32156038">
            <w:pPr>
              <w:pStyle w:val="82"/>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本评价要求</w:t>
            </w:r>
            <w:r>
              <w:rPr>
                <w:rFonts w:hint="eastAsia" w:cs="Times New Roman"/>
                <w:color w:val="auto"/>
                <w:kern w:val="2"/>
                <w:sz w:val="24"/>
                <w:szCs w:val="24"/>
                <w:u w:val="none" w:color="auto"/>
                <w:lang w:val="en-US" w:eastAsia="zh-CN" w:bidi="ar-SA"/>
              </w:rPr>
              <w:t>项目建设单位</w:t>
            </w:r>
            <w:r>
              <w:rPr>
                <w:rFonts w:hint="eastAsia" w:ascii="Times New Roman" w:hAnsi="Times New Roman" w:eastAsia="宋体" w:cs="Times New Roman"/>
                <w:color w:val="auto"/>
                <w:kern w:val="2"/>
                <w:sz w:val="24"/>
                <w:szCs w:val="24"/>
                <w:u w:val="none" w:color="auto"/>
                <w:lang w:val="en-US" w:eastAsia="zh-CN" w:bidi="ar-SA"/>
              </w:rPr>
              <w:t>采购的生物质颗粒质量满足《</w:t>
            </w:r>
            <w:r>
              <w:rPr>
                <w:rFonts w:hint="eastAsia" w:ascii="Times New Roman" w:hAnsi="Times New Roman" w:eastAsia="宋体" w:cs="Times New Roman"/>
                <w:color w:val="auto"/>
                <w:szCs w:val="21"/>
                <w:u w:val="none" w:color="auto"/>
                <w:lang w:eastAsia="zh-CN"/>
              </w:rPr>
              <w:t>生物质固体成型燃料技术条件中质量标准</w:t>
            </w:r>
            <w:r>
              <w:rPr>
                <w:rFonts w:hint="eastAsia" w:ascii="Times New Roman" w:hAnsi="Times New Roman" w:eastAsia="宋体" w:cs="Times New Roman"/>
                <w:color w:val="auto"/>
                <w:kern w:val="2"/>
                <w:sz w:val="24"/>
                <w:szCs w:val="24"/>
                <w:u w:val="none" w:color="auto"/>
                <w:lang w:val="en-US" w:eastAsia="zh-CN" w:bidi="ar-SA"/>
              </w:rPr>
              <w:t>》（</w:t>
            </w:r>
            <w:r>
              <w:rPr>
                <w:rFonts w:hint="eastAsia" w:ascii="Times New Roman" w:hAnsi="Times New Roman" w:eastAsia="宋体" w:cs="Times New Roman"/>
                <w:color w:val="auto"/>
                <w:szCs w:val="21"/>
                <w:u w:val="none" w:color="auto"/>
                <w:lang w:eastAsia="zh-CN"/>
              </w:rPr>
              <w:t>NY_T1878-2010</w:t>
            </w:r>
            <w:r>
              <w:rPr>
                <w:rFonts w:hint="eastAsia" w:ascii="Times New Roman" w:hAnsi="Times New Roman" w:eastAsia="宋体" w:cs="Times New Roman"/>
                <w:color w:val="auto"/>
                <w:kern w:val="2"/>
                <w:sz w:val="24"/>
                <w:szCs w:val="24"/>
                <w:u w:val="none" w:color="auto"/>
                <w:lang w:val="en-US" w:eastAsia="zh-CN" w:bidi="ar-SA"/>
              </w:rPr>
              <w:t>）</w:t>
            </w:r>
            <w:r>
              <w:rPr>
                <w:rFonts w:hint="eastAsia" w:ascii="Times New Roman" w:hAnsi="Times New Roman" w:eastAsia="宋体" w:cs="Times New Roman"/>
                <w:color w:val="auto"/>
                <w:szCs w:val="21"/>
                <w:u w:val="none" w:color="auto"/>
                <w:lang w:eastAsia="zh-CN"/>
              </w:rPr>
              <w:t>且</w:t>
            </w:r>
            <w:r>
              <w:rPr>
                <w:rFonts w:hint="default" w:ascii="Times New Roman" w:hAnsi="Times New Roman" w:eastAsia="宋体" w:cs="Times New Roman"/>
                <w:color w:val="auto"/>
                <w:kern w:val="2"/>
                <w:sz w:val="24"/>
                <w:szCs w:val="24"/>
                <w:u w:val="none" w:color="auto"/>
                <w:lang w:val="en-US" w:eastAsia="zh-CN" w:bidi="ar-SA"/>
              </w:rPr>
              <w:t>生物质颗粒含硫率为</w:t>
            </w:r>
            <w:r>
              <w:rPr>
                <w:rFonts w:hint="eastAsia" w:ascii="宋体" w:hAnsi="宋体" w:eastAsia="宋体" w:cs="宋体"/>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0.</w:t>
            </w:r>
            <w:r>
              <w:rPr>
                <w:rFonts w:hint="eastAsia" w:ascii="Times New Roman" w:hAnsi="Times New Roman" w:eastAsia="宋体" w:cs="Times New Roman"/>
                <w:color w:val="auto"/>
                <w:kern w:val="2"/>
                <w:sz w:val="24"/>
                <w:szCs w:val="24"/>
                <w:u w:val="none" w:color="auto"/>
                <w:lang w:val="en-US" w:eastAsia="zh-CN" w:bidi="ar-SA"/>
              </w:rPr>
              <w:t>1</w:t>
            </w:r>
            <w:r>
              <w:rPr>
                <w:rFonts w:hint="default" w:ascii="Times New Roman" w:hAnsi="Times New Roman" w:eastAsia="宋体" w:cs="Times New Roman"/>
                <w:color w:val="auto"/>
                <w:kern w:val="2"/>
                <w:sz w:val="24"/>
                <w:szCs w:val="24"/>
                <w:u w:val="none" w:color="auto"/>
                <w:lang w:val="en-US" w:eastAsia="zh-CN" w:bidi="ar-SA"/>
              </w:rPr>
              <w:t>%，</w:t>
            </w:r>
            <w:r>
              <w:rPr>
                <w:rFonts w:hint="eastAsia" w:ascii="Times New Roman" w:hAnsi="Times New Roman" w:eastAsia="宋体" w:cs="Times New Roman"/>
                <w:color w:val="auto"/>
                <w:kern w:val="2"/>
                <w:sz w:val="24"/>
                <w:szCs w:val="24"/>
                <w:u w:val="none" w:color="auto"/>
                <w:lang w:val="en-US" w:eastAsia="zh-CN" w:bidi="ar-SA"/>
              </w:rPr>
              <w:t>本项目取标准的最大值0.1%，</w:t>
            </w:r>
            <w:r>
              <w:rPr>
                <w:rFonts w:hint="default" w:ascii="Times New Roman" w:hAnsi="Times New Roman" w:eastAsia="宋体" w:cs="Times New Roman"/>
                <w:color w:val="auto"/>
                <w:kern w:val="2"/>
                <w:sz w:val="24"/>
                <w:szCs w:val="24"/>
                <w:u w:val="none" w:color="auto"/>
                <w:lang w:val="en-US" w:eastAsia="zh-CN" w:bidi="ar-SA"/>
              </w:rPr>
              <w:t>则S=0.</w:t>
            </w:r>
            <w:r>
              <w:rPr>
                <w:rFonts w:hint="eastAsia" w:ascii="Times New Roman" w:hAnsi="Times New Roman" w:eastAsia="宋体" w:cs="Times New Roman"/>
                <w:color w:val="auto"/>
                <w:kern w:val="2"/>
                <w:sz w:val="24"/>
                <w:szCs w:val="24"/>
                <w:u w:val="none" w:color="auto"/>
                <w:lang w:val="en-US" w:eastAsia="zh-CN" w:bidi="ar-SA"/>
              </w:rPr>
              <w:t>1</w:t>
            </w:r>
            <w:r>
              <w:rPr>
                <w:rFonts w:hint="default" w:ascii="Times New Roman" w:hAnsi="Times New Roman" w:eastAsia="宋体" w:cs="Times New Roman"/>
                <w:color w:val="auto"/>
                <w:kern w:val="2"/>
                <w:sz w:val="24"/>
                <w:szCs w:val="24"/>
                <w:u w:val="none" w:color="auto"/>
                <w:lang w:val="en-US" w:eastAsia="zh-CN" w:bidi="ar-SA"/>
              </w:rPr>
              <w:t>。</w:t>
            </w:r>
          </w:p>
          <w:p w14:paraId="0455C116">
            <w:pPr>
              <w:pStyle w:val="8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kern w:val="2"/>
                <w:sz w:val="24"/>
                <w:szCs w:val="24"/>
                <w:highlight w:val="none"/>
                <w:u w:val="single" w:color="auto"/>
                <w:lang w:val="en-US" w:eastAsia="zh-CN" w:bidi="ar-SA"/>
              </w:rPr>
            </w:pPr>
            <w:r>
              <w:rPr>
                <w:rFonts w:hint="eastAsia" w:cs="Times New Roman"/>
                <w:color w:val="auto"/>
                <w:kern w:val="2"/>
                <w:sz w:val="24"/>
                <w:szCs w:val="24"/>
                <w:highlight w:val="none"/>
                <w:u w:val="single" w:color="auto"/>
                <w:lang w:val="en-US" w:eastAsia="zh-CN" w:bidi="ar-SA"/>
              </w:rPr>
              <w:t>生物质蒸汽发生器使用生物质燃烧产生的废气经</w:t>
            </w:r>
            <w:r>
              <w:rPr>
                <w:rFonts w:hint="default" w:ascii="Times New Roman" w:hAnsi="Times New Roman" w:eastAsia="宋体" w:cs="Times New Roman"/>
                <w:color w:val="auto"/>
                <w:kern w:val="2"/>
                <w:sz w:val="24"/>
                <w:szCs w:val="24"/>
                <w:highlight w:val="none"/>
                <w:u w:val="single" w:color="auto"/>
                <w:lang w:val="en-US" w:eastAsia="zh-CN" w:bidi="ar-SA"/>
              </w:rPr>
              <w:t>配套</w:t>
            </w:r>
            <w:r>
              <w:rPr>
                <w:rFonts w:hint="eastAsia" w:ascii="Times New Roman" w:hAnsi="Times New Roman" w:eastAsia="宋体" w:cs="Times New Roman"/>
                <w:color w:val="auto"/>
                <w:kern w:val="2"/>
                <w:sz w:val="24"/>
                <w:szCs w:val="24"/>
                <w:highlight w:val="none"/>
                <w:u w:val="single" w:color="auto"/>
                <w:lang w:val="en-US" w:eastAsia="zh-CN" w:bidi="ar-SA"/>
              </w:rPr>
              <w:t>布袋</w:t>
            </w:r>
            <w:r>
              <w:rPr>
                <w:rFonts w:hint="default" w:ascii="Times New Roman" w:hAnsi="Times New Roman" w:eastAsia="宋体" w:cs="Times New Roman"/>
                <w:color w:val="auto"/>
                <w:kern w:val="2"/>
                <w:sz w:val="24"/>
                <w:szCs w:val="24"/>
                <w:highlight w:val="none"/>
                <w:u w:val="single" w:color="auto"/>
                <w:lang w:val="en-US" w:eastAsia="zh-CN" w:bidi="ar-SA"/>
              </w:rPr>
              <w:t>除尘器</w:t>
            </w:r>
            <w:r>
              <w:rPr>
                <w:rFonts w:hint="eastAsia" w:cs="Times New Roman"/>
                <w:color w:val="auto"/>
                <w:kern w:val="2"/>
                <w:sz w:val="24"/>
                <w:szCs w:val="24"/>
                <w:highlight w:val="none"/>
                <w:u w:val="single" w:color="auto"/>
                <w:lang w:val="en-US" w:eastAsia="zh-CN" w:bidi="ar-SA"/>
              </w:rPr>
              <w:t>处理后通过1</w:t>
            </w:r>
            <w:r>
              <w:rPr>
                <w:rFonts w:hint="default" w:ascii="Times New Roman" w:hAnsi="Times New Roman" w:eastAsia="宋体" w:cs="Times New Roman"/>
                <w:color w:val="auto"/>
                <w:kern w:val="2"/>
                <w:sz w:val="24"/>
                <w:szCs w:val="24"/>
                <w:highlight w:val="none"/>
                <w:u w:val="single" w:color="auto"/>
                <w:lang w:val="en-US" w:eastAsia="zh-CN" w:bidi="ar-SA"/>
              </w:rPr>
              <w:t>5m</w:t>
            </w:r>
            <w:r>
              <w:rPr>
                <w:rFonts w:hint="eastAsia" w:cs="Times New Roman"/>
                <w:color w:val="auto"/>
                <w:kern w:val="2"/>
                <w:sz w:val="24"/>
                <w:szCs w:val="24"/>
                <w:highlight w:val="none"/>
                <w:u w:val="single" w:color="auto"/>
                <w:lang w:val="en-US" w:eastAsia="zh-CN" w:bidi="ar-SA"/>
              </w:rPr>
              <w:t>高</w:t>
            </w:r>
            <w:r>
              <w:rPr>
                <w:rFonts w:hint="default" w:ascii="Times New Roman" w:hAnsi="Times New Roman" w:eastAsia="宋体" w:cs="Times New Roman"/>
                <w:color w:val="auto"/>
                <w:kern w:val="2"/>
                <w:sz w:val="24"/>
                <w:szCs w:val="24"/>
                <w:highlight w:val="none"/>
                <w:u w:val="single" w:color="auto"/>
                <w:lang w:val="en-US" w:eastAsia="zh-CN" w:bidi="ar-SA"/>
              </w:rPr>
              <w:t>排气筒</w:t>
            </w:r>
            <w:r>
              <w:rPr>
                <w:rFonts w:hint="eastAsia" w:cs="Times New Roman"/>
                <w:color w:val="auto"/>
                <w:kern w:val="2"/>
                <w:sz w:val="24"/>
                <w:szCs w:val="24"/>
                <w:highlight w:val="none"/>
                <w:u w:val="single" w:color="auto"/>
                <w:lang w:val="en-US" w:eastAsia="zh-CN" w:bidi="ar-SA"/>
              </w:rPr>
              <w:t>（DA001）</w:t>
            </w:r>
            <w:r>
              <w:rPr>
                <w:rFonts w:hint="default" w:ascii="Times New Roman" w:hAnsi="Times New Roman" w:eastAsia="宋体" w:cs="Times New Roman"/>
                <w:color w:val="auto"/>
                <w:kern w:val="2"/>
                <w:sz w:val="24"/>
                <w:szCs w:val="24"/>
                <w:highlight w:val="none"/>
                <w:u w:val="single" w:color="auto"/>
                <w:lang w:val="en-US" w:eastAsia="zh-CN" w:bidi="ar-SA"/>
              </w:rPr>
              <w:t>排放，</w:t>
            </w:r>
            <w:r>
              <w:rPr>
                <w:rFonts w:hint="eastAsia" w:cs="Times New Roman"/>
                <w:color w:val="auto"/>
                <w:kern w:val="2"/>
                <w:sz w:val="24"/>
                <w:szCs w:val="24"/>
                <w:highlight w:val="none"/>
                <w:u w:val="single" w:color="auto"/>
                <w:lang w:val="en-US" w:eastAsia="zh-CN" w:bidi="ar-SA"/>
              </w:rPr>
              <w:t>生物质热风炉使用生物质燃烧产生的废气经</w:t>
            </w:r>
            <w:r>
              <w:rPr>
                <w:rFonts w:hint="default" w:ascii="Times New Roman" w:hAnsi="Times New Roman" w:eastAsia="宋体" w:cs="Times New Roman"/>
                <w:color w:val="auto"/>
                <w:kern w:val="2"/>
                <w:sz w:val="24"/>
                <w:szCs w:val="24"/>
                <w:highlight w:val="none"/>
                <w:u w:val="single" w:color="auto"/>
                <w:lang w:val="en-US" w:eastAsia="zh-CN" w:bidi="ar-SA"/>
              </w:rPr>
              <w:t>配套</w:t>
            </w:r>
            <w:r>
              <w:rPr>
                <w:rFonts w:hint="eastAsia" w:ascii="Times New Roman" w:hAnsi="Times New Roman" w:eastAsia="宋体" w:cs="Times New Roman"/>
                <w:color w:val="auto"/>
                <w:kern w:val="2"/>
                <w:sz w:val="24"/>
                <w:szCs w:val="24"/>
                <w:highlight w:val="none"/>
                <w:u w:val="single" w:color="auto"/>
                <w:lang w:val="en-US" w:eastAsia="zh-CN" w:bidi="ar-SA"/>
              </w:rPr>
              <w:t>布袋</w:t>
            </w:r>
            <w:r>
              <w:rPr>
                <w:rFonts w:hint="default" w:ascii="Times New Roman" w:hAnsi="Times New Roman" w:eastAsia="宋体" w:cs="Times New Roman"/>
                <w:color w:val="auto"/>
                <w:kern w:val="2"/>
                <w:sz w:val="24"/>
                <w:szCs w:val="24"/>
                <w:highlight w:val="none"/>
                <w:u w:val="single" w:color="auto"/>
                <w:lang w:val="en-US" w:eastAsia="zh-CN" w:bidi="ar-SA"/>
              </w:rPr>
              <w:t>除尘器</w:t>
            </w:r>
            <w:r>
              <w:rPr>
                <w:rFonts w:hint="eastAsia" w:cs="Times New Roman"/>
                <w:color w:val="auto"/>
                <w:kern w:val="2"/>
                <w:sz w:val="24"/>
                <w:szCs w:val="24"/>
                <w:highlight w:val="none"/>
                <w:u w:val="single" w:color="auto"/>
                <w:lang w:val="en-US" w:eastAsia="zh-CN" w:bidi="ar-SA"/>
              </w:rPr>
              <w:t>处理后通过1</w:t>
            </w:r>
            <w:r>
              <w:rPr>
                <w:rFonts w:hint="default" w:ascii="Times New Roman" w:hAnsi="Times New Roman" w:eastAsia="宋体" w:cs="Times New Roman"/>
                <w:color w:val="auto"/>
                <w:kern w:val="2"/>
                <w:sz w:val="24"/>
                <w:szCs w:val="24"/>
                <w:highlight w:val="none"/>
                <w:u w:val="single" w:color="auto"/>
                <w:lang w:val="en-US" w:eastAsia="zh-CN" w:bidi="ar-SA"/>
              </w:rPr>
              <w:t>5m</w:t>
            </w:r>
            <w:r>
              <w:rPr>
                <w:rFonts w:hint="eastAsia" w:cs="Times New Roman"/>
                <w:color w:val="auto"/>
                <w:kern w:val="2"/>
                <w:sz w:val="24"/>
                <w:szCs w:val="24"/>
                <w:highlight w:val="none"/>
                <w:u w:val="single" w:color="auto"/>
                <w:lang w:val="en-US" w:eastAsia="zh-CN" w:bidi="ar-SA"/>
              </w:rPr>
              <w:t>高</w:t>
            </w:r>
            <w:r>
              <w:rPr>
                <w:rFonts w:hint="default" w:ascii="Times New Roman" w:hAnsi="Times New Roman" w:eastAsia="宋体" w:cs="Times New Roman"/>
                <w:color w:val="auto"/>
                <w:kern w:val="2"/>
                <w:sz w:val="24"/>
                <w:szCs w:val="24"/>
                <w:highlight w:val="none"/>
                <w:u w:val="single" w:color="auto"/>
                <w:lang w:val="en-US" w:eastAsia="zh-CN" w:bidi="ar-SA"/>
              </w:rPr>
              <w:t>排气筒</w:t>
            </w:r>
            <w:r>
              <w:rPr>
                <w:rFonts w:hint="eastAsia" w:cs="Times New Roman"/>
                <w:color w:val="auto"/>
                <w:kern w:val="2"/>
                <w:sz w:val="24"/>
                <w:szCs w:val="24"/>
                <w:highlight w:val="none"/>
                <w:u w:val="single" w:color="auto"/>
                <w:lang w:val="en-US" w:eastAsia="zh-CN" w:bidi="ar-SA"/>
              </w:rPr>
              <w:t>（DA002）</w:t>
            </w:r>
            <w:r>
              <w:rPr>
                <w:rFonts w:hint="default" w:ascii="Times New Roman" w:hAnsi="Times New Roman" w:eastAsia="宋体" w:cs="Times New Roman"/>
                <w:color w:val="auto"/>
                <w:kern w:val="2"/>
                <w:sz w:val="24"/>
                <w:szCs w:val="24"/>
                <w:highlight w:val="none"/>
                <w:u w:val="single" w:color="auto"/>
                <w:lang w:val="en-US" w:eastAsia="zh-CN" w:bidi="ar-SA"/>
              </w:rPr>
              <w:t>排放</w:t>
            </w:r>
            <w:r>
              <w:rPr>
                <w:rFonts w:hint="eastAsia" w:ascii="Times New Roman" w:hAnsi="Times New Roman" w:eastAsia="宋体" w:cs="Times New Roman"/>
                <w:color w:val="auto"/>
                <w:kern w:val="2"/>
                <w:sz w:val="24"/>
                <w:szCs w:val="24"/>
                <w:highlight w:val="none"/>
                <w:u w:val="single" w:color="auto"/>
                <w:lang w:val="en-US" w:eastAsia="zh-CN" w:bidi="ar-SA"/>
              </w:rPr>
              <w:t>。</w:t>
            </w:r>
            <w:r>
              <w:rPr>
                <w:rFonts w:hint="eastAsia" w:cs="Times New Roman"/>
                <w:color w:val="auto"/>
                <w:kern w:val="2"/>
                <w:sz w:val="24"/>
                <w:szCs w:val="24"/>
                <w:highlight w:val="none"/>
                <w:u w:val="single" w:color="auto"/>
                <w:lang w:val="en-US" w:eastAsia="zh-CN" w:bidi="ar-SA"/>
              </w:rPr>
              <w:t>生物质蒸汽发生器、热风炉</w:t>
            </w:r>
            <w:r>
              <w:rPr>
                <w:rFonts w:hint="default" w:ascii="Times New Roman" w:hAnsi="Times New Roman" w:eastAsia="宋体" w:cs="Times New Roman"/>
                <w:color w:val="auto"/>
                <w:kern w:val="2"/>
                <w:sz w:val="24"/>
                <w:szCs w:val="24"/>
                <w:highlight w:val="none"/>
                <w:u w:val="single" w:color="auto"/>
                <w:lang w:val="en-US" w:eastAsia="zh-CN" w:bidi="ar-SA"/>
              </w:rPr>
              <w:t>采用低氮燃烧、</w:t>
            </w:r>
            <w:r>
              <w:rPr>
                <w:rFonts w:hint="eastAsia" w:ascii="Times New Roman" w:hAnsi="Times New Roman" w:eastAsia="宋体" w:cs="Times New Roman"/>
                <w:color w:val="auto"/>
                <w:kern w:val="2"/>
                <w:sz w:val="24"/>
                <w:szCs w:val="24"/>
                <w:highlight w:val="none"/>
                <w:u w:val="single" w:color="auto"/>
                <w:lang w:val="en-US" w:eastAsia="zh-CN" w:bidi="ar-SA"/>
              </w:rPr>
              <w:t>使燃料燃烧充分，从而降低氮氧化物的产生。</w:t>
            </w:r>
          </w:p>
          <w:p w14:paraId="35DD1B75">
            <w:pPr>
              <w:pStyle w:val="8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kern w:val="2"/>
                <w:sz w:val="24"/>
                <w:szCs w:val="24"/>
                <w:highlight w:val="none"/>
                <w:u w:val="single" w:color="auto"/>
                <w:lang w:val="en-US" w:eastAsia="zh-CN" w:bidi="ar-SA"/>
              </w:rPr>
            </w:pPr>
            <w:r>
              <w:rPr>
                <w:rFonts w:hint="eastAsia" w:ascii="Times New Roman" w:hAnsi="Times New Roman" w:eastAsia="宋体" w:cs="Times New Roman"/>
                <w:color w:val="auto"/>
                <w:kern w:val="2"/>
                <w:sz w:val="24"/>
                <w:szCs w:val="24"/>
                <w:highlight w:val="none"/>
                <w:u w:val="single" w:color="auto"/>
                <w:lang w:val="en-US" w:eastAsia="zh-CN" w:bidi="ar-SA"/>
              </w:rPr>
              <w:t>根据</w:t>
            </w:r>
            <w:r>
              <w:rPr>
                <w:rFonts w:hint="default" w:ascii="Times New Roman" w:hAnsi="Times New Roman" w:eastAsia="宋体" w:cs="Times New Roman"/>
                <w:color w:val="auto"/>
                <w:kern w:val="2"/>
                <w:sz w:val="24"/>
                <w:szCs w:val="24"/>
                <w:highlight w:val="none"/>
                <w:u w:val="single" w:color="auto"/>
                <w:lang w:val="en-US" w:eastAsia="zh-CN" w:bidi="ar-SA"/>
              </w:rPr>
              <w:t>全国污染源普查工业源产排污系数手册中的推荐值</w:t>
            </w:r>
            <w:r>
              <w:rPr>
                <w:rFonts w:hint="eastAsia" w:ascii="Times New Roman" w:hAnsi="Times New Roman" w:eastAsia="宋体" w:cs="Times New Roman"/>
                <w:color w:val="auto"/>
                <w:kern w:val="2"/>
                <w:sz w:val="24"/>
                <w:szCs w:val="24"/>
                <w:highlight w:val="none"/>
                <w:u w:val="single" w:color="auto"/>
                <w:lang w:val="en-US" w:eastAsia="zh-CN" w:bidi="ar-SA"/>
              </w:rPr>
              <w:t>，布袋除尘</w:t>
            </w:r>
            <w:r>
              <w:rPr>
                <w:rFonts w:hint="default" w:ascii="Times New Roman" w:hAnsi="Times New Roman" w:eastAsia="宋体" w:cs="Times New Roman"/>
                <w:color w:val="auto"/>
                <w:kern w:val="2"/>
                <w:sz w:val="24"/>
                <w:szCs w:val="24"/>
                <w:highlight w:val="none"/>
                <w:u w:val="single" w:color="auto"/>
                <w:lang w:val="en-US" w:eastAsia="zh-CN" w:bidi="ar-SA"/>
              </w:rPr>
              <w:t>对颗粒物的处理效率为</w:t>
            </w:r>
            <w:r>
              <w:rPr>
                <w:rFonts w:hint="eastAsia" w:ascii="Times New Roman" w:hAnsi="Times New Roman" w:eastAsia="宋体" w:cs="Times New Roman"/>
                <w:color w:val="auto"/>
                <w:kern w:val="2"/>
                <w:sz w:val="24"/>
                <w:szCs w:val="24"/>
                <w:highlight w:val="none"/>
                <w:u w:val="single" w:color="auto"/>
                <w:lang w:val="en-US" w:eastAsia="zh-CN" w:bidi="ar-SA"/>
              </w:rPr>
              <w:t>99</w:t>
            </w:r>
            <w:r>
              <w:rPr>
                <w:rFonts w:hint="default" w:ascii="Times New Roman" w:hAnsi="Times New Roman" w:eastAsia="宋体" w:cs="Times New Roman"/>
                <w:color w:val="auto"/>
                <w:kern w:val="2"/>
                <w:sz w:val="24"/>
                <w:szCs w:val="24"/>
                <w:highlight w:val="none"/>
                <w:u w:val="single" w:color="auto"/>
                <w:lang w:val="en-US" w:eastAsia="zh-CN" w:bidi="ar-SA"/>
              </w:rPr>
              <w:t>%、低氮燃烧可去除30%氮氧化物</w:t>
            </w:r>
            <w:r>
              <w:rPr>
                <w:rFonts w:hint="eastAsia" w:ascii="Times New Roman" w:hAnsi="Times New Roman" w:eastAsia="宋体" w:cs="Times New Roman"/>
                <w:color w:val="auto"/>
                <w:kern w:val="2"/>
                <w:sz w:val="24"/>
                <w:szCs w:val="24"/>
                <w:highlight w:val="none"/>
                <w:u w:val="single" w:color="auto"/>
                <w:lang w:val="en-US" w:eastAsia="zh-CN" w:bidi="ar-SA"/>
              </w:rPr>
              <w:t>。</w:t>
            </w:r>
          </w:p>
          <w:p w14:paraId="4FB5C6A3">
            <w:pPr>
              <w:pStyle w:val="8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cs="Times New Roman"/>
                <w:color w:val="auto"/>
                <w:kern w:val="2"/>
                <w:sz w:val="24"/>
                <w:szCs w:val="24"/>
                <w:highlight w:val="none"/>
                <w:u w:val="single" w:color="auto"/>
                <w:lang w:val="en-US" w:eastAsia="zh-CN" w:bidi="ar-SA"/>
              </w:rPr>
              <w:t>为确保废气达标排放，本项目拟对热风炉废气采用“布袋除尘+活性炭”处理，对二氧化硫的处理效率取90</w:t>
            </w:r>
            <w:r>
              <w:rPr>
                <w:rFonts w:hint="eastAsia" w:cs="Times New Roman"/>
                <w:color w:val="auto"/>
                <w:kern w:val="2"/>
                <w:sz w:val="24"/>
                <w:szCs w:val="24"/>
                <w:u w:val="single" w:color="auto"/>
                <w:lang w:val="en-US" w:eastAsia="zh-CN" w:bidi="ar-SA"/>
              </w:rPr>
              <w:t>%、</w:t>
            </w:r>
            <w:r>
              <w:rPr>
                <w:rFonts w:hint="default" w:ascii="Times New Roman" w:hAnsi="Times New Roman" w:eastAsia="宋体" w:cs="Times New Roman"/>
                <w:color w:val="auto"/>
                <w:kern w:val="2"/>
                <w:sz w:val="24"/>
                <w:szCs w:val="24"/>
                <w:u w:val="single" w:color="auto"/>
                <w:lang w:val="en-US" w:eastAsia="zh-CN" w:bidi="ar-SA"/>
              </w:rPr>
              <w:t>颗粒物的处理效率为</w:t>
            </w:r>
            <w:r>
              <w:rPr>
                <w:rFonts w:hint="eastAsia" w:ascii="Times New Roman" w:hAnsi="Times New Roman" w:eastAsia="宋体" w:cs="Times New Roman"/>
                <w:color w:val="auto"/>
                <w:kern w:val="2"/>
                <w:sz w:val="24"/>
                <w:szCs w:val="24"/>
                <w:u w:val="single" w:color="auto"/>
                <w:lang w:val="en-US" w:eastAsia="zh-CN" w:bidi="ar-SA"/>
              </w:rPr>
              <w:t>99</w:t>
            </w:r>
            <w:r>
              <w:rPr>
                <w:rFonts w:hint="default" w:ascii="Times New Roman" w:hAnsi="Times New Roman" w:eastAsia="宋体" w:cs="Times New Roman"/>
                <w:color w:val="auto"/>
                <w:kern w:val="2"/>
                <w:sz w:val="24"/>
                <w:szCs w:val="24"/>
                <w:u w:val="single" w:color="auto"/>
                <w:lang w:val="en-US" w:eastAsia="zh-CN" w:bidi="ar-SA"/>
              </w:rPr>
              <w:t>%、低氮燃烧可去除30%氮氧化物</w:t>
            </w:r>
            <w:r>
              <w:rPr>
                <w:rFonts w:hint="eastAsia" w:ascii="Times New Roman" w:hAnsi="Times New Roman" w:eastAsia="宋体" w:cs="Times New Roman"/>
                <w:color w:val="auto"/>
                <w:kern w:val="2"/>
                <w:sz w:val="24"/>
                <w:szCs w:val="24"/>
                <w:u w:val="single" w:color="auto"/>
                <w:lang w:val="en-US" w:eastAsia="zh-CN" w:bidi="ar-SA"/>
              </w:rPr>
              <w:t>。</w:t>
            </w:r>
          </w:p>
          <w:p w14:paraId="113D18C1">
            <w:pPr>
              <w:pStyle w:val="82"/>
              <w:keepNext w:val="0"/>
              <w:keepLines w:val="0"/>
              <w:pageBreakBefore w:val="0"/>
              <w:widowControl w:val="0"/>
              <w:kinsoku/>
              <w:wordWrap/>
              <w:overflowPunct/>
              <w:topLinePunct w:val="0"/>
              <w:autoSpaceDE/>
              <w:autoSpaceDN/>
              <w:bidi w:val="0"/>
              <w:adjustRightInd/>
              <w:snapToGrid/>
              <w:ind w:firstLine="482"/>
              <w:textAlignment w:val="auto"/>
              <w:rPr>
                <w:rFonts w:hint="eastAsia" w:cs="Times New Roman"/>
                <w:b/>
                <w:color w:val="auto"/>
                <w:szCs w:val="24"/>
                <w:highlight w:val="none"/>
                <w:lang w:val="en-US" w:eastAsia="zh-CN"/>
              </w:rPr>
            </w:pPr>
            <w:r>
              <w:rPr>
                <w:rFonts w:hint="eastAsia" w:cs="Times New Roman"/>
                <w:b/>
                <w:color w:val="auto"/>
                <w:szCs w:val="24"/>
                <w:highlight w:val="none"/>
                <w:lang w:val="en-US" w:eastAsia="zh-CN"/>
              </w:rPr>
              <w:t>（2）干燥、蒸制等工序产生的异味</w:t>
            </w:r>
          </w:p>
          <w:p w14:paraId="3E393184">
            <w:pPr>
              <w:pStyle w:val="8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single" w:color="auto"/>
                <w:lang w:val="en-US" w:eastAsia="zh-CN" w:bidi="ar-SA"/>
              </w:rPr>
              <w:t>本项目大部分生产工序均在密闭仪器设备内进行，生产车间内因中药成分产生轻微异味，因中药材成分复杂，且没有毒性，只带有轻微的药材味道，对人身体健康无害，故以臭气浓度作为评价因子，不作定量计算。参考北京环境监测中心在吸取国外经验的基础上提出的恶臭6级分级法，该分级法以嗅觉和人的主观感觉特征两个方面来描述各级特征，</w:t>
            </w:r>
            <w:r>
              <w:rPr>
                <w:rFonts w:hint="eastAsia" w:cs="Times New Roman"/>
                <w:color w:val="auto"/>
                <w:kern w:val="2"/>
                <w:sz w:val="24"/>
                <w:szCs w:val="24"/>
                <w:u w:val="single" w:color="auto"/>
                <w:lang w:val="en-US" w:eastAsia="zh-CN" w:bidi="ar-SA"/>
              </w:rPr>
              <w:t>既</w:t>
            </w:r>
            <w:r>
              <w:rPr>
                <w:rFonts w:hint="eastAsia" w:ascii="Times New Roman" w:hAnsi="Times New Roman" w:eastAsia="宋体" w:cs="Times New Roman"/>
                <w:color w:val="auto"/>
                <w:kern w:val="2"/>
                <w:sz w:val="24"/>
                <w:szCs w:val="24"/>
                <w:u w:val="single" w:color="auto"/>
                <w:lang w:val="en-US" w:eastAsia="zh-CN" w:bidi="ar-SA"/>
              </w:rPr>
              <w:t>明确了各级的差别，也提高了分级的准确程度。类比同类型项目，项目中药异味等级为2~3级。</w:t>
            </w:r>
          </w:p>
          <w:p w14:paraId="607C9C6B">
            <w:pPr>
              <w:pStyle w:val="82"/>
              <w:keepNext w:val="0"/>
              <w:keepLines w:val="0"/>
              <w:pageBreakBefore w:val="0"/>
              <w:widowControl w:val="0"/>
              <w:kinsoku/>
              <w:wordWrap/>
              <w:overflowPunct/>
              <w:topLinePunct w:val="0"/>
              <w:autoSpaceDE/>
              <w:autoSpaceDN/>
              <w:bidi w:val="0"/>
              <w:adjustRightInd/>
              <w:snapToGrid/>
              <w:ind w:firstLine="482"/>
              <w:textAlignment w:val="auto"/>
              <w:rPr>
                <w:rFonts w:hint="default" w:cs="Times New Roman"/>
                <w:b/>
                <w:color w:val="auto"/>
                <w:szCs w:val="24"/>
                <w:highlight w:val="none"/>
                <w:lang w:val="en-US" w:eastAsia="zh-CN"/>
              </w:rPr>
            </w:pPr>
            <w:r>
              <w:rPr>
                <w:rFonts w:hint="eastAsia" w:cs="Times New Roman"/>
                <w:b/>
                <w:color w:val="auto"/>
                <w:szCs w:val="24"/>
                <w:highlight w:val="none"/>
                <w:lang w:val="en-US" w:eastAsia="zh-CN"/>
              </w:rPr>
              <w:t>（3）粉碎粉尘</w:t>
            </w:r>
          </w:p>
          <w:p w14:paraId="18B6F10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本项目部分干山银花、干玉竹产品需进行粉碎，此过程会产生粉碎粉尘。类比同类型项目，粉碎过程的</w:t>
            </w:r>
            <w:r>
              <w:rPr>
                <w:rFonts w:hint="eastAsia" w:ascii="Times New Roman" w:hAnsi="Times New Roman" w:eastAsia="宋体" w:cs="Times New Roman"/>
                <w:color w:val="auto"/>
                <w:sz w:val="24"/>
                <w:highlight w:val="none"/>
                <w:lang w:val="en-US" w:eastAsia="zh-CN"/>
              </w:rPr>
              <w:t>粉尘产生量按原材料总量的</w:t>
            </w:r>
            <w:r>
              <w:rPr>
                <w:rFonts w:hint="eastAsia"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val="en-US" w:eastAsia="zh-CN"/>
              </w:rPr>
              <w:t>计算，本项目</w:t>
            </w:r>
            <w:r>
              <w:rPr>
                <w:rFonts w:hint="eastAsia" w:cs="Times New Roman"/>
                <w:color w:val="auto"/>
                <w:sz w:val="24"/>
                <w:highlight w:val="none"/>
                <w:lang w:val="en-US" w:eastAsia="zh-CN"/>
              </w:rPr>
              <w:t>需粉碎的干山银花为50t/a、干玉竹为50t/a，共100t/a</w:t>
            </w:r>
            <w:r>
              <w:rPr>
                <w:rFonts w:hint="eastAsia" w:ascii="Times New Roman" w:hAnsi="Times New Roman" w:eastAsia="宋体" w:cs="Times New Roman"/>
                <w:color w:val="auto"/>
                <w:sz w:val="24"/>
                <w:highlight w:val="none"/>
                <w:lang w:val="en-US" w:eastAsia="zh-CN"/>
              </w:rPr>
              <w:t>，则粉尘产生量为</w:t>
            </w:r>
            <w:r>
              <w:rPr>
                <w:rFonts w:hint="default"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p>
          <w:p w14:paraId="1F36D7B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本项目拟建</w:t>
            </w:r>
            <w:r>
              <w:rPr>
                <w:rFonts w:hint="eastAsia" w:ascii="Times New Roman" w:hAnsi="Times New Roman" w:eastAsia="宋体" w:cs="Times New Roman"/>
                <w:color w:val="auto"/>
                <w:sz w:val="24"/>
                <w:highlight w:val="none"/>
                <w:lang w:val="en-US" w:eastAsia="zh-CN"/>
              </w:rPr>
              <w:t>设备均自带吸尘装置，统一收集后经</w:t>
            </w:r>
            <w:r>
              <w:rPr>
                <w:rFonts w:hint="eastAsia" w:cs="Times New Roman"/>
                <w:color w:val="auto"/>
                <w:sz w:val="24"/>
                <w:highlight w:val="none"/>
                <w:lang w:val="en-US" w:eastAsia="zh-CN"/>
              </w:rPr>
              <w:t>布袋除尘器</w:t>
            </w:r>
            <w:r>
              <w:rPr>
                <w:rFonts w:hint="eastAsia" w:ascii="Times New Roman" w:hAnsi="Times New Roman" w:eastAsia="宋体" w:cs="Times New Roman"/>
                <w:color w:val="auto"/>
                <w:sz w:val="24"/>
                <w:highlight w:val="none"/>
                <w:lang w:val="en-US" w:eastAsia="zh-CN"/>
              </w:rPr>
              <w:t>处理</w:t>
            </w:r>
            <w:r>
              <w:rPr>
                <w:rFonts w:hint="eastAsia" w:cs="Times New Roman"/>
                <w:color w:val="auto"/>
                <w:sz w:val="24"/>
                <w:highlight w:val="none"/>
                <w:lang w:val="en-US" w:eastAsia="zh-CN"/>
              </w:rPr>
              <w:t>后</w:t>
            </w:r>
            <w:r>
              <w:rPr>
                <w:rFonts w:hint="eastAsia" w:ascii="Times New Roman" w:hAnsi="Times New Roman" w:cs="Times New Roman"/>
                <w:color w:val="auto"/>
                <w:sz w:val="24"/>
                <w:highlight w:val="none"/>
                <w:lang w:val="en-US" w:eastAsia="zh-CN"/>
              </w:rPr>
              <w:t>呈</w:t>
            </w:r>
            <w:r>
              <w:rPr>
                <w:rFonts w:hint="eastAsia" w:ascii="Times New Roman" w:hAnsi="Times New Roman" w:eastAsia="宋体" w:cs="Times New Roman"/>
                <w:color w:val="auto"/>
                <w:sz w:val="24"/>
                <w:highlight w:val="none"/>
                <w:lang w:val="en-US" w:eastAsia="zh-CN"/>
              </w:rPr>
              <w:t>无组织排放，粉尘收集效率为</w:t>
            </w:r>
            <w:r>
              <w:rPr>
                <w:rFonts w:hint="default" w:ascii="Times New Roman" w:hAnsi="Times New Roman" w:eastAsia="宋体" w:cs="Times New Roman"/>
                <w:color w:val="auto"/>
                <w:sz w:val="24"/>
                <w:highlight w:val="none"/>
                <w:lang w:val="en-US" w:eastAsia="zh-CN"/>
              </w:rPr>
              <w:t>90%</w:t>
            </w:r>
            <w:r>
              <w:rPr>
                <w:rFonts w:hint="eastAsia" w:ascii="Times New Roman" w:hAnsi="Times New Roman" w:eastAsia="宋体" w:cs="Times New Roman"/>
                <w:color w:val="auto"/>
                <w:sz w:val="24"/>
                <w:highlight w:val="none"/>
                <w:lang w:val="en-US" w:eastAsia="zh-CN"/>
              </w:rPr>
              <w:t>，除尘效率为</w:t>
            </w:r>
            <w:r>
              <w:rPr>
                <w:rFonts w:hint="default" w:ascii="Times New Roman" w:hAnsi="Times New Roman" w:eastAsia="宋体" w:cs="Times New Roman"/>
                <w:color w:val="auto"/>
                <w:sz w:val="24"/>
                <w:highlight w:val="none"/>
                <w:lang w:val="en-US" w:eastAsia="zh-CN"/>
              </w:rPr>
              <w:t>95%</w:t>
            </w:r>
            <w:r>
              <w:rPr>
                <w:rFonts w:hint="eastAsia" w:ascii="Times New Roman" w:hAnsi="Times New Roman" w:eastAsia="宋体" w:cs="Times New Roman"/>
                <w:color w:val="auto"/>
                <w:sz w:val="24"/>
                <w:highlight w:val="none"/>
                <w:lang w:val="en-US" w:eastAsia="zh-CN"/>
              </w:rPr>
              <w:t>，则除尘车间粉尘排放量为</w:t>
            </w:r>
            <w:r>
              <w:rPr>
                <w:rFonts w:hint="default" w:ascii="Times New Roman" w:hAnsi="Times New Roman" w:eastAsia="宋体" w:cs="Times New Roman"/>
                <w:color w:val="auto"/>
                <w:sz w:val="24"/>
                <w:highlight w:val="none"/>
                <w:lang w:val="en-US" w:eastAsia="zh-CN"/>
              </w:rPr>
              <w:t>0.0</w:t>
            </w:r>
            <w:r>
              <w:rPr>
                <w:rFonts w:hint="eastAsia" w:cs="Times New Roman"/>
                <w:color w:val="auto"/>
                <w:sz w:val="24"/>
                <w:highlight w:val="none"/>
                <w:lang w:val="en-US" w:eastAsia="zh-CN"/>
              </w:rPr>
              <w:t>145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p>
          <w:p w14:paraId="23047A46">
            <w:pPr>
              <w:pStyle w:val="82"/>
              <w:keepNext w:val="0"/>
              <w:keepLines w:val="0"/>
              <w:pageBreakBefore w:val="0"/>
              <w:widowControl w:val="0"/>
              <w:kinsoku/>
              <w:wordWrap/>
              <w:overflowPunct/>
              <w:topLinePunct w:val="0"/>
              <w:autoSpaceDE/>
              <w:autoSpaceDN/>
              <w:bidi w:val="0"/>
              <w:adjustRightInd/>
              <w:snapToGrid/>
              <w:ind w:firstLine="482"/>
              <w:textAlignment w:val="auto"/>
              <w:rPr>
                <w:rFonts w:hint="default" w:cs="Times New Roman"/>
                <w:b/>
                <w:color w:val="auto"/>
                <w:szCs w:val="24"/>
                <w:highlight w:val="none"/>
                <w:lang w:val="en-US" w:eastAsia="zh-CN"/>
              </w:rPr>
            </w:pPr>
            <w:r>
              <w:rPr>
                <w:rFonts w:hint="eastAsia" w:cs="Times New Roman"/>
                <w:b/>
                <w:color w:val="auto"/>
                <w:szCs w:val="24"/>
                <w:highlight w:val="none"/>
                <w:lang w:val="en-US" w:eastAsia="zh-CN"/>
              </w:rPr>
              <w:t>（4）</w:t>
            </w:r>
            <w:r>
              <w:rPr>
                <w:rFonts w:hint="default" w:cs="Times New Roman"/>
                <w:b/>
                <w:color w:val="auto"/>
                <w:szCs w:val="24"/>
                <w:highlight w:val="none"/>
                <w:lang w:val="en-US" w:eastAsia="zh-CN"/>
              </w:rPr>
              <w:t>食堂油烟</w:t>
            </w:r>
          </w:p>
          <w:p w14:paraId="3506124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highlight w:val="none"/>
                <w:lang w:eastAsia="zh-CN"/>
              </w:rPr>
              <w:t>设</w:t>
            </w:r>
            <w:r>
              <w:rPr>
                <w:rFonts w:hint="default" w:ascii="Times New Roman" w:hAnsi="Times New Roman" w:cs="Times New Roman"/>
                <w:color w:val="auto"/>
                <w:sz w:val="24"/>
                <w:highlight w:val="none"/>
              </w:rPr>
              <w:t>食堂，约</w:t>
            </w:r>
            <w:r>
              <w:rPr>
                <w:rFonts w:hint="eastAsia" w:cs="Times New Roman"/>
                <w:color w:val="auto"/>
                <w:sz w:val="24"/>
                <w:highlight w:val="none"/>
                <w:lang w:val="en-US" w:eastAsia="zh-CN"/>
              </w:rPr>
              <w:t>5</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人用餐，项目食堂设</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个灶头，</w:t>
            </w:r>
            <w:r>
              <w:rPr>
                <w:rFonts w:hint="eastAsia" w:ascii="Times New Roman" w:hAnsi="Times New Roman" w:cs="Times New Roman"/>
                <w:color w:val="auto"/>
                <w:sz w:val="24"/>
                <w:highlight w:val="none"/>
                <w:lang w:eastAsia="zh-CN"/>
              </w:rPr>
              <w:t>灶头</w:t>
            </w:r>
            <w:r>
              <w:rPr>
                <w:rFonts w:hint="default" w:ascii="Times New Roman" w:hAnsi="Times New Roman" w:cs="Times New Roman"/>
                <w:color w:val="auto"/>
                <w:sz w:val="24"/>
                <w:highlight w:val="none"/>
              </w:rPr>
              <w:t>排放量为</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000</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default" w:ascii="Times New Roman" w:hAnsi="Times New Roman" w:cs="Times New Roman"/>
                <w:color w:val="auto"/>
                <w:sz w:val="24"/>
                <w:highlight w:val="none"/>
                <w:lang w:eastAsia="zh-CN"/>
              </w:rPr>
              <w:t>据调查居民</w:t>
            </w:r>
            <w:r>
              <w:rPr>
                <w:rFonts w:hint="default" w:ascii="Times New Roman" w:hAnsi="Times New Roman" w:cs="Times New Roman"/>
                <w:color w:val="auto"/>
                <w:sz w:val="24"/>
                <w:highlight w:val="none"/>
              </w:rPr>
              <w:t>一般的饮食耗油系数为</w:t>
            </w:r>
            <w:r>
              <w:rPr>
                <w:rFonts w:hint="default"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g/人•</w:t>
            </w:r>
            <w:r>
              <w:rPr>
                <w:rFonts w:hint="eastAsia" w:ascii="Times New Roman" w:hAnsi="Times New Roman" w:cs="Times New Roman"/>
                <w:color w:val="auto"/>
                <w:sz w:val="24"/>
                <w:highlight w:val="none"/>
                <w:lang w:eastAsia="zh-CN"/>
              </w:rPr>
              <w:t>天</w:t>
            </w:r>
            <w:r>
              <w:rPr>
                <w:rFonts w:hint="default" w:ascii="Times New Roman" w:hAnsi="Times New Roman" w:cs="Times New Roman"/>
                <w:color w:val="auto"/>
                <w:sz w:val="24"/>
                <w:highlight w:val="none"/>
              </w:rPr>
              <w:t>，一般油烟挥发量</w:t>
            </w:r>
            <w:r>
              <w:rPr>
                <w:rFonts w:hint="eastAsia" w:cs="Times New Roman"/>
                <w:color w:val="auto"/>
                <w:sz w:val="24"/>
                <w:highlight w:val="none"/>
                <w:lang w:eastAsia="zh-CN"/>
              </w:rPr>
              <w:t>占</w:t>
            </w:r>
            <w:r>
              <w:rPr>
                <w:rFonts w:hint="default" w:ascii="Times New Roman" w:hAnsi="Times New Roman" w:cs="Times New Roman"/>
                <w:color w:val="auto"/>
                <w:sz w:val="24"/>
                <w:highlight w:val="none"/>
              </w:rPr>
              <w:t>总油耗量的2~4%，平均为3%，年工作天数按</w:t>
            </w:r>
            <w:r>
              <w:rPr>
                <w:rFonts w:hint="eastAsia" w:ascii="Times New Roman" w:hAnsi="Times New Roman" w:cs="Times New Roman"/>
                <w:color w:val="auto"/>
                <w:sz w:val="24"/>
                <w:highlight w:val="none"/>
                <w:lang w:val="en-US" w:eastAsia="zh-CN"/>
              </w:rPr>
              <w:t>300</w:t>
            </w:r>
            <w:r>
              <w:rPr>
                <w:rFonts w:hint="default" w:ascii="Times New Roman" w:hAnsi="Times New Roman" w:cs="Times New Roman"/>
                <w:color w:val="auto"/>
                <w:sz w:val="24"/>
                <w:highlight w:val="none"/>
              </w:rPr>
              <w:t>天计，平均每天运行时间按</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h计。经计算，本项目年食用油耗量为</w:t>
            </w:r>
            <w:r>
              <w:rPr>
                <w:rFonts w:hint="eastAsia"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375</w:t>
            </w:r>
            <w:r>
              <w:rPr>
                <w:rFonts w:hint="default" w:ascii="Times New Roman" w:hAnsi="Times New Roman" w:cs="Times New Roman"/>
                <w:color w:val="auto"/>
                <w:sz w:val="24"/>
                <w:highlight w:val="none"/>
              </w:rPr>
              <w:t>t/a，油烟产生量为</w:t>
            </w:r>
            <w:r>
              <w:rPr>
                <w:rFonts w:hint="eastAsia" w:ascii="Times New Roman" w:hAnsi="Times New Roman" w:cs="Times New Roman"/>
                <w:color w:val="auto"/>
                <w:sz w:val="24"/>
                <w:highlight w:val="none"/>
                <w:lang w:val="en-US" w:eastAsia="zh-CN"/>
              </w:rPr>
              <w:t>0.0</w:t>
            </w:r>
            <w:r>
              <w:rPr>
                <w:rFonts w:hint="eastAsia" w:cs="Times New Roman"/>
                <w:color w:val="auto"/>
                <w:sz w:val="24"/>
                <w:highlight w:val="none"/>
                <w:lang w:val="en-US" w:eastAsia="zh-CN"/>
              </w:rPr>
              <w:t>113</w:t>
            </w:r>
            <w:r>
              <w:rPr>
                <w:rFonts w:hint="default" w:ascii="Times New Roman" w:hAnsi="Times New Roman" w:cs="Times New Roman"/>
                <w:color w:val="auto"/>
                <w:sz w:val="24"/>
                <w:highlight w:val="none"/>
              </w:rPr>
              <w:t>t/a。</w:t>
            </w:r>
          </w:p>
          <w:p w14:paraId="14D1E1D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食堂油烟经</w:t>
            </w:r>
            <w:r>
              <w:rPr>
                <w:rFonts w:hint="eastAsia" w:ascii="Times New Roman" w:hAnsi="Times New Roman" w:cs="Times New Roman"/>
                <w:color w:val="auto"/>
                <w:sz w:val="24"/>
                <w:highlight w:val="none"/>
                <w:lang w:eastAsia="zh-CN"/>
              </w:rPr>
              <w:t>高效</w:t>
            </w:r>
            <w:r>
              <w:rPr>
                <w:rFonts w:hint="default" w:ascii="Times New Roman" w:hAnsi="Times New Roman" w:cs="Times New Roman"/>
                <w:color w:val="auto"/>
                <w:sz w:val="24"/>
                <w:highlight w:val="none"/>
              </w:rPr>
              <w:t>油烟净化器处理后经专用排烟管道</w:t>
            </w:r>
            <w:r>
              <w:rPr>
                <w:rFonts w:hint="eastAsia" w:cs="Times New Roman"/>
                <w:color w:val="auto"/>
                <w:sz w:val="24"/>
                <w:highlight w:val="none"/>
                <w:lang w:eastAsia="zh-CN"/>
              </w:rPr>
              <w:t>（</w:t>
            </w:r>
            <w:r>
              <w:rPr>
                <w:rFonts w:hint="eastAsia" w:cs="Times New Roman"/>
                <w:color w:val="auto"/>
                <w:sz w:val="24"/>
                <w:highlight w:val="none"/>
                <w:lang w:val="en-US" w:eastAsia="zh-CN"/>
              </w:rPr>
              <w:t>DA002</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引至食堂楼顶高空排放。油烟净化装置油烟处理效率不低于75%，则食堂的油烟排放量</w:t>
            </w:r>
            <w:r>
              <w:rPr>
                <w:rFonts w:hint="eastAsia" w:ascii="Times New Roman" w:hAnsi="Times New Roman" w:cs="Times New Roman"/>
                <w:color w:val="auto"/>
                <w:sz w:val="24"/>
                <w:highlight w:val="none"/>
                <w:lang w:val="en-US" w:eastAsia="zh-CN"/>
              </w:rPr>
              <w:t>0.00</w:t>
            </w:r>
            <w:r>
              <w:rPr>
                <w:rFonts w:hint="eastAsia" w:cs="Times New Roman"/>
                <w:color w:val="auto"/>
                <w:sz w:val="24"/>
                <w:highlight w:val="none"/>
                <w:lang w:val="en-US" w:eastAsia="zh-CN"/>
              </w:rPr>
              <w:t>283</w:t>
            </w:r>
            <w:r>
              <w:rPr>
                <w:rFonts w:hint="default" w:ascii="Times New Roman" w:hAnsi="Times New Roman" w:cs="Times New Roman"/>
                <w:color w:val="auto"/>
                <w:sz w:val="24"/>
                <w:highlight w:val="none"/>
              </w:rPr>
              <w:t>t/a、排放浓度为</w:t>
            </w:r>
            <w:r>
              <w:rPr>
                <w:rFonts w:hint="eastAsia" w:cs="Times New Roman"/>
                <w:color w:val="auto"/>
                <w:sz w:val="24"/>
                <w:highlight w:val="none"/>
                <w:lang w:val="en-US" w:eastAsia="zh-CN"/>
              </w:rPr>
              <w:t>1.18</w:t>
            </w:r>
            <w:r>
              <w:rPr>
                <w:rFonts w:hint="default" w:ascii="Times New Roman" w:hAnsi="Times New Roman" w:cs="Times New Roman"/>
                <w:color w:val="auto"/>
                <w:sz w:val="24"/>
                <w:highlight w:val="none"/>
              </w:rPr>
              <w:t>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，满足《饮食业油烟排放标准（试行）》（GB18483-2001）中2.0mg/m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的排放要求。</w:t>
            </w:r>
          </w:p>
          <w:p w14:paraId="3D4EB768">
            <w:pPr>
              <w:widowControl w:val="0"/>
              <w:spacing w:line="360" w:lineRule="auto"/>
              <w:ind w:firstLine="442" w:firstLineChars="200"/>
              <w:textAlignment w:val="baseline"/>
              <w:rPr>
                <w:rFonts w:hint="eastAsia" w:cs="Times New Roman"/>
                <w:color w:val="auto"/>
                <w:sz w:val="24"/>
                <w:szCs w:val="21"/>
                <w:u w:val="none" w:color="auto"/>
                <w:lang w:eastAsia="zh-CN"/>
              </w:rPr>
            </w:pPr>
            <w:r>
              <w:rPr>
                <w:b/>
                <w:color w:val="auto"/>
                <w:spacing w:val="-10"/>
                <w:sz w:val="24"/>
                <w:szCs w:val="21"/>
              </w:rPr>
              <w:t>（</w:t>
            </w:r>
            <w:r>
              <w:rPr>
                <w:rFonts w:hint="eastAsia"/>
                <w:b/>
                <w:color w:val="auto"/>
                <w:spacing w:val="-10"/>
                <w:sz w:val="24"/>
                <w:szCs w:val="21"/>
              </w:rPr>
              <w:t>3</w:t>
            </w:r>
            <w:r>
              <w:rPr>
                <w:b/>
                <w:color w:val="auto"/>
                <w:spacing w:val="-10"/>
                <w:sz w:val="24"/>
                <w:szCs w:val="21"/>
              </w:rPr>
              <w:t>）污染源排放量核算</w:t>
            </w:r>
          </w:p>
          <w:p w14:paraId="5AD2ADD2">
            <w:pPr>
              <w:widowControl w:val="0"/>
              <w:spacing w:line="360" w:lineRule="auto"/>
              <w:ind w:firstLine="480" w:firstLineChars="200"/>
              <w:textAlignment w:val="baseline"/>
              <w:rPr>
                <w:rFonts w:hint="default" w:ascii="Times New Roman" w:hAnsi="Times New Roman" w:cs="Times New Roman"/>
                <w:b/>
                <w:color w:val="auto"/>
                <w:sz w:val="21"/>
                <w:szCs w:val="21"/>
                <w:u w:val="none" w:color="auto"/>
              </w:rPr>
            </w:pPr>
            <w:r>
              <w:rPr>
                <w:rFonts w:hint="eastAsia" w:cs="Times New Roman"/>
                <w:color w:val="auto"/>
                <w:sz w:val="24"/>
                <w:szCs w:val="21"/>
                <w:u w:val="none" w:color="auto"/>
                <w:lang w:val="en-US" w:eastAsia="zh-CN"/>
              </w:rPr>
              <w:t>本项目</w:t>
            </w:r>
            <w:r>
              <w:rPr>
                <w:rFonts w:hint="default" w:ascii="Times New Roman" w:hAnsi="Times New Roman" w:cs="Times New Roman"/>
                <w:color w:val="auto"/>
                <w:sz w:val="24"/>
                <w:szCs w:val="21"/>
                <w:u w:val="none" w:color="auto"/>
              </w:rPr>
              <w:t>各污染物排放量如表4-</w:t>
            </w:r>
            <w:r>
              <w:rPr>
                <w:rFonts w:hint="eastAsia" w:cs="Times New Roman"/>
                <w:color w:val="auto"/>
                <w:sz w:val="24"/>
                <w:szCs w:val="21"/>
                <w:u w:val="none" w:color="auto"/>
                <w:lang w:val="en-US" w:eastAsia="zh-CN"/>
              </w:rPr>
              <w:t>6</w:t>
            </w:r>
            <w:r>
              <w:rPr>
                <w:rFonts w:hint="default" w:ascii="Times New Roman" w:hAnsi="Times New Roman" w:cs="Times New Roman"/>
                <w:color w:val="auto"/>
                <w:sz w:val="24"/>
                <w:szCs w:val="21"/>
                <w:u w:val="none" w:color="auto"/>
              </w:rPr>
              <w:t>所示。</w:t>
            </w:r>
          </w:p>
          <w:p w14:paraId="2B3A01C6">
            <w:pPr>
              <w:spacing w:line="240" w:lineRule="auto"/>
              <w:jc w:val="center"/>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表4</w:t>
            </w:r>
            <w:r>
              <w:rPr>
                <w:rFonts w:hint="eastAsia" w:cs="Times New Roman"/>
                <w:b/>
                <w:color w:val="auto"/>
                <w:sz w:val="24"/>
                <w:szCs w:val="24"/>
                <w:u w:val="none" w:color="auto"/>
                <w:lang w:val="en-US" w:eastAsia="zh-CN"/>
              </w:rPr>
              <w:t>-6</w:t>
            </w:r>
            <w:r>
              <w:rPr>
                <w:rFonts w:hint="eastAsia" w:ascii="Times New Roman" w:hAnsi="Times New Roman" w:eastAsia="宋体" w:cs="Times New Roman"/>
                <w:b/>
                <w:color w:val="auto"/>
                <w:sz w:val="24"/>
                <w:szCs w:val="24"/>
                <w:u w:val="none" w:color="auto"/>
                <w:lang w:val="en-US" w:eastAsia="zh-CN"/>
              </w:rPr>
              <w:t xml:space="preserve">   </w:t>
            </w:r>
            <w:r>
              <w:rPr>
                <w:rFonts w:hint="default" w:ascii="Times New Roman" w:hAnsi="Times New Roman" w:eastAsia="宋体" w:cs="Times New Roman"/>
                <w:b/>
                <w:color w:val="auto"/>
                <w:sz w:val="24"/>
                <w:szCs w:val="24"/>
                <w:u w:val="none" w:color="auto"/>
              </w:rPr>
              <w:t>废气</w:t>
            </w:r>
            <w:r>
              <w:rPr>
                <w:rFonts w:hint="default" w:ascii="Times New Roman" w:hAnsi="Times New Roman" w:eastAsia="宋体" w:cs="Times New Roman"/>
                <w:b/>
                <w:color w:val="auto"/>
                <w:sz w:val="24"/>
                <w:szCs w:val="24"/>
                <w:u w:val="none" w:color="auto"/>
                <w:lang w:eastAsia="zh-CN"/>
              </w:rPr>
              <w:t>污染源产排污情况一览表</w:t>
            </w:r>
          </w:p>
          <w:tbl>
            <w:tblPr>
              <w:tblStyle w:val="32"/>
              <w:tblW w:w="785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63"/>
              <w:gridCol w:w="653"/>
              <w:gridCol w:w="764"/>
              <w:gridCol w:w="570"/>
              <w:gridCol w:w="722"/>
              <w:gridCol w:w="736"/>
              <w:gridCol w:w="534"/>
              <w:gridCol w:w="730"/>
              <w:gridCol w:w="708"/>
              <w:gridCol w:w="764"/>
              <w:gridCol w:w="709"/>
            </w:tblGrid>
            <w:tr w14:paraId="3FE91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29" w:hRule="atLeast"/>
                <w:jc w:val="center"/>
              </w:trPr>
              <w:tc>
                <w:tcPr>
                  <w:tcW w:w="613" w:type="pct"/>
                  <w:tcBorders>
                    <w:tl2br w:val="nil"/>
                    <w:tr2bl w:val="nil"/>
                  </w:tcBorders>
                  <w:vAlign w:val="center"/>
                </w:tcPr>
                <w:p w14:paraId="74C1CD72">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b/>
                      <w:color w:val="auto"/>
                      <w:sz w:val="21"/>
                      <w:szCs w:val="21"/>
                      <w:u w:val="none" w:color="auto"/>
                      <w:lang w:val="en-US" w:eastAsia="zh-CN"/>
                    </w:rPr>
                  </w:pPr>
                  <w:r>
                    <w:rPr>
                      <w:rFonts w:hint="eastAsia" w:ascii="Times New Roman" w:hAnsi="Times New Roman" w:cs="Times New Roman"/>
                      <w:b/>
                      <w:color w:val="auto"/>
                      <w:sz w:val="21"/>
                      <w:szCs w:val="21"/>
                      <w:u w:val="none" w:color="auto"/>
                      <w:lang w:val="en-US" w:eastAsia="zh-CN"/>
                    </w:rPr>
                    <w:t>产物环节</w:t>
                  </w:r>
                </w:p>
              </w:tc>
              <w:tc>
                <w:tcPr>
                  <w:tcW w:w="415" w:type="pct"/>
                  <w:tcBorders>
                    <w:tl2br w:val="nil"/>
                    <w:tr2bl w:val="nil"/>
                  </w:tcBorders>
                  <w:vAlign w:val="center"/>
                </w:tcPr>
                <w:p w14:paraId="7A619FCE">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污染物</w:t>
                  </w:r>
                </w:p>
              </w:tc>
              <w:tc>
                <w:tcPr>
                  <w:tcW w:w="486" w:type="pct"/>
                  <w:tcBorders>
                    <w:tl2br w:val="nil"/>
                    <w:tr2bl w:val="nil"/>
                  </w:tcBorders>
                  <w:vAlign w:val="center"/>
                </w:tcPr>
                <w:p w14:paraId="43902FAB">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工业废气量</w:t>
                  </w:r>
                </w:p>
                <w:p w14:paraId="23712477">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万</w:t>
                  </w:r>
                  <w:r>
                    <w:rPr>
                      <w:rFonts w:hint="default" w:ascii="Times New Roman" w:hAnsi="Times New Roman" w:cs="Times New Roman"/>
                      <w:color w:val="auto"/>
                      <w:sz w:val="21"/>
                      <w:szCs w:val="21"/>
                      <w:u w:val="none" w:color="auto"/>
                    </w:rPr>
                    <w:t>m</w:t>
                  </w:r>
                  <w:r>
                    <w:rPr>
                      <w:rFonts w:hint="default" w:ascii="Times New Roman" w:hAnsi="Times New Roman" w:cs="Times New Roman"/>
                      <w:color w:val="auto"/>
                      <w:sz w:val="21"/>
                      <w:szCs w:val="21"/>
                      <w:u w:val="none" w:color="auto"/>
                      <w:vertAlign w:val="superscript"/>
                    </w:rPr>
                    <w:t>3</w:t>
                  </w:r>
                  <w:r>
                    <w:rPr>
                      <w:rFonts w:hint="default" w:ascii="Times New Roman" w:hAnsi="Times New Roman" w:cs="Times New Roman"/>
                      <w:color w:val="auto"/>
                      <w:sz w:val="21"/>
                      <w:szCs w:val="21"/>
                      <w:u w:val="none" w:color="auto"/>
                    </w:rPr>
                    <w:t>/a</w:t>
                  </w:r>
                </w:p>
              </w:tc>
              <w:tc>
                <w:tcPr>
                  <w:tcW w:w="362" w:type="pct"/>
                  <w:tcBorders>
                    <w:tl2br w:val="nil"/>
                    <w:tr2bl w:val="nil"/>
                  </w:tcBorders>
                  <w:vAlign w:val="center"/>
                </w:tcPr>
                <w:p w14:paraId="720E4CA6">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eastAsia" w:ascii="Times New Roman" w:hAnsi="Times New Roman" w:eastAsia="宋体" w:cs="Times New Roman"/>
                      <w:b/>
                      <w:color w:val="auto"/>
                      <w:sz w:val="21"/>
                      <w:szCs w:val="21"/>
                      <w:u w:val="none" w:color="auto"/>
                      <w:lang w:eastAsia="zh-CN"/>
                    </w:rPr>
                  </w:pPr>
                  <w:r>
                    <w:rPr>
                      <w:rFonts w:hint="default" w:ascii="Times New Roman" w:hAnsi="Times New Roman" w:cs="Times New Roman"/>
                      <w:b/>
                      <w:color w:val="auto"/>
                      <w:sz w:val="21"/>
                      <w:szCs w:val="21"/>
                      <w:u w:val="none" w:color="auto"/>
                    </w:rPr>
                    <w:t>产生量t/a</w:t>
                  </w:r>
                </w:p>
              </w:tc>
              <w:tc>
                <w:tcPr>
                  <w:tcW w:w="459" w:type="pct"/>
                  <w:tcBorders>
                    <w:tl2br w:val="nil"/>
                    <w:tr2bl w:val="nil"/>
                  </w:tcBorders>
                  <w:vAlign w:val="center"/>
                </w:tcPr>
                <w:p w14:paraId="00C2ABEB">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产生速率</w:t>
                  </w:r>
                </w:p>
                <w:p w14:paraId="43628FD0">
                  <w:pPr>
                    <w:keepNext w:val="0"/>
                    <w:keepLines w:val="0"/>
                    <w:pageBreakBefore w:val="0"/>
                    <w:widowControl w:val="0"/>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kg/h</w:t>
                  </w:r>
                </w:p>
              </w:tc>
              <w:tc>
                <w:tcPr>
                  <w:tcW w:w="468" w:type="pct"/>
                  <w:tcBorders>
                    <w:tl2br w:val="nil"/>
                    <w:tr2bl w:val="nil"/>
                  </w:tcBorders>
                  <w:vAlign w:val="center"/>
                </w:tcPr>
                <w:p w14:paraId="29F89BAE">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产生浓度mg/m</w:t>
                  </w:r>
                  <w:r>
                    <w:rPr>
                      <w:rFonts w:hint="default" w:ascii="Times New Roman" w:hAnsi="Times New Roman" w:cs="Times New Roman"/>
                      <w:b/>
                      <w:color w:val="auto"/>
                      <w:sz w:val="21"/>
                      <w:szCs w:val="21"/>
                      <w:u w:val="none" w:color="auto"/>
                      <w:vertAlign w:val="superscript"/>
                    </w:rPr>
                    <w:t>3</w:t>
                  </w:r>
                </w:p>
              </w:tc>
              <w:tc>
                <w:tcPr>
                  <w:tcW w:w="339" w:type="pct"/>
                  <w:tcBorders>
                    <w:tl2br w:val="nil"/>
                    <w:tr2bl w:val="nil"/>
                  </w:tcBorders>
                  <w:vAlign w:val="center"/>
                </w:tcPr>
                <w:p w14:paraId="77842A5F">
                  <w:pPr>
                    <w:keepNext w:val="0"/>
                    <w:keepLines w:val="0"/>
                    <w:pageBreakBefore w:val="0"/>
                    <w:widowControl w:val="0"/>
                    <w:tabs>
                      <w:tab w:val="left" w:pos="5560"/>
                    </w:tabs>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处理</w:t>
                  </w:r>
                </w:p>
                <w:p w14:paraId="38507982">
                  <w:pPr>
                    <w:keepNext w:val="0"/>
                    <w:keepLines w:val="0"/>
                    <w:pageBreakBefore w:val="0"/>
                    <w:widowControl w:val="0"/>
                    <w:tabs>
                      <w:tab w:val="left" w:pos="5560"/>
                    </w:tabs>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效率</w:t>
                  </w:r>
                </w:p>
              </w:tc>
              <w:tc>
                <w:tcPr>
                  <w:tcW w:w="464" w:type="pct"/>
                  <w:tcBorders>
                    <w:tl2br w:val="nil"/>
                    <w:tr2bl w:val="nil"/>
                  </w:tcBorders>
                  <w:vAlign w:val="center"/>
                </w:tcPr>
                <w:p w14:paraId="52F0EF90">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eastAsia" w:ascii="Times New Roman" w:hAnsi="Times New Roman" w:eastAsia="宋体" w:cs="Times New Roman"/>
                      <w:b/>
                      <w:color w:val="auto"/>
                      <w:sz w:val="21"/>
                      <w:szCs w:val="21"/>
                      <w:u w:val="none" w:color="auto"/>
                      <w:lang w:eastAsia="zh-CN"/>
                    </w:rPr>
                  </w:pPr>
                  <w:r>
                    <w:rPr>
                      <w:rFonts w:hint="default" w:ascii="Times New Roman" w:hAnsi="Times New Roman" w:cs="Times New Roman"/>
                      <w:b/>
                      <w:color w:val="auto"/>
                      <w:sz w:val="21"/>
                      <w:szCs w:val="21"/>
                      <w:u w:val="none" w:color="auto"/>
                    </w:rPr>
                    <w:t>排放量</w:t>
                  </w:r>
                  <w:r>
                    <w:rPr>
                      <w:rFonts w:hint="eastAsia" w:cs="Times New Roman"/>
                      <w:b/>
                      <w:color w:val="auto"/>
                      <w:sz w:val="21"/>
                      <w:szCs w:val="21"/>
                      <w:u w:val="none" w:color="auto"/>
                      <w:lang w:eastAsia="zh-CN"/>
                    </w:rPr>
                    <w:t>（</w:t>
                  </w:r>
                  <w:r>
                    <w:rPr>
                      <w:rFonts w:hint="default" w:ascii="Times New Roman" w:hAnsi="Times New Roman" w:cs="Times New Roman"/>
                      <w:b/>
                      <w:color w:val="auto"/>
                      <w:sz w:val="21"/>
                      <w:szCs w:val="21"/>
                      <w:u w:val="none" w:color="auto"/>
                    </w:rPr>
                    <w:t>t/a</w:t>
                  </w:r>
                  <w:r>
                    <w:rPr>
                      <w:rFonts w:hint="eastAsia" w:cs="Times New Roman"/>
                      <w:b/>
                      <w:color w:val="auto"/>
                      <w:sz w:val="21"/>
                      <w:szCs w:val="21"/>
                      <w:u w:val="none" w:color="auto"/>
                      <w:lang w:eastAsia="zh-CN"/>
                    </w:rPr>
                    <w:t>）</w:t>
                  </w:r>
                </w:p>
              </w:tc>
              <w:tc>
                <w:tcPr>
                  <w:tcW w:w="450" w:type="pct"/>
                  <w:tcBorders>
                    <w:tl2br w:val="nil"/>
                    <w:tr2bl w:val="nil"/>
                  </w:tcBorders>
                  <w:vAlign w:val="center"/>
                </w:tcPr>
                <w:p w14:paraId="5E54E6F8">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排放速率</w:t>
                  </w:r>
                </w:p>
                <w:p w14:paraId="72FBCB5C">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kg/h</w:t>
                  </w:r>
                </w:p>
              </w:tc>
              <w:tc>
                <w:tcPr>
                  <w:tcW w:w="486" w:type="pct"/>
                  <w:tcBorders>
                    <w:tl2br w:val="nil"/>
                    <w:tr2bl w:val="nil"/>
                  </w:tcBorders>
                  <w:vAlign w:val="center"/>
                </w:tcPr>
                <w:p w14:paraId="69DAD195">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排放浓度mg/m</w:t>
                  </w:r>
                  <w:r>
                    <w:rPr>
                      <w:rFonts w:hint="default" w:ascii="Times New Roman" w:hAnsi="Times New Roman" w:cs="Times New Roman"/>
                      <w:b/>
                      <w:color w:val="auto"/>
                      <w:sz w:val="21"/>
                      <w:szCs w:val="21"/>
                      <w:u w:val="none" w:color="auto"/>
                      <w:vertAlign w:val="superscript"/>
                    </w:rPr>
                    <w:t>3</w:t>
                  </w:r>
                </w:p>
              </w:tc>
              <w:tc>
                <w:tcPr>
                  <w:tcW w:w="451" w:type="pct"/>
                  <w:tcBorders>
                    <w:tl2br w:val="nil"/>
                    <w:tr2bl w:val="nil"/>
                  </w:tcBorders>
                  <w:vAlign w:val="center"/>
                </w:tcPr>
                <w:p w14:paraId="47E1D096">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标准值mg/m</w:t>
                  </w:r>
                  <w:r>
                    <w:rPr>
                      <w:rFonts w:hint="default" w:ascii="Times New Roman" w:hAnsi="Times New Roman" w:cs="Times New Roman"/>
                      <w:b/>
                      <w:color w:val="auto"/>
                      <w:sz w:val="21"/>
                      <w:szCs w:val="21"/>
                      <w:u w:val="none" w:color="auto"/>
                      <w:vertAlign w:val="superscript"/>
                    </w:rPr>
                    <w:t>3</w:t>
                  </w:r>
                </w:p>
              </w:tc>
            </w:tr>
            <w:tr w14:paraId="2B57E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613" w:type="pct"/>
                  <w:vMerge w:val="restart"/>
                  <w:tcBorders>
                    <w:tl2br w:val="nil"/>
                    <w:tr2bl w:val="nil"/>
                  </w:tcBorders>
                  <w:vAlign w:val="center"/>
                </w:tcPr>
                <w:p w14:paraId="6D9DE420">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蒸汽发生器废气（DA0</w:t>
                  </w:r>
                  <w:r>
                    <w:rPr>
                      <w:rFonts w:hint="eastAsia" w:ascii="Times New Roman" w:hAnsi="Times New Roman" w:cs="Times New Roman"/>
                      <w:color w:val="auto"/>
                      <w:sz w:val="21"/>
                      <w:szCs w:val="21"/>
                      <w:u w:val="none" w:color="auto"/>
                      <w:lang w:val="en-US" w:eastAsia="zh-CN"/>
                    </w:rPr>
                    <w:t>01）</w:t>
                  </w:r>
                </w:p>
              </w:tc>
              <w:tc>
                <w:tcPr>
                  <w:tcW w:w="415" w:type="pct"/>
                  <w:tcBorders>
                    <w:tl2br w:val="nil"/>
                    <w:tr2bl w:val="nil"/>
                  </w:tcBorders>
                  <w:vAlign w:val="center"/>
                </w:tcPr>
                <w:p w14:paraId="0BFF0638">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SO</w:t>
                  </w:r>
                  <w:r>
                    <w:rPr>
                      <w:rFonts w:hint="default" w:ascii="Times New Roman" w:hAnsi="Times New Roman" w:cs="Times New Roman"/>
                      <w:color w:val="auto"/>
                      <w:sz w:val="21"/>
                      <w:szCs w:val="21"/>
                      <w:u w:val="none" w:color="auto"/>
                      <w:vertAlign w:val="subscript"/>
                    </w:rPr>
                    <w:t>2</w:t>
                  </w:r>
                </w:p>
              </w:tc>
              <w:tc>
                <w:tcPr>
                  <w:tcW w:w="486" w:type="pct"/>
                  <w:vMerge w:val="restart"/>
                  <w:tcBorders>
                    <w:tl2br w:val="nil"/>
                    <w:tr2bl w:val="nil"/>
                  </w:tcBorders>
                  <w:vAlign w:val="center"/>
                </w:tcPr>
                <w:p w14:paraId="1F9FB286">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176.8</w:t>
                  </w:r>
                  <w:r>
                    <w:rPr>
                      <w:rFonts w:hint="eastAsia" w:cs="Times New Roman"/>
                      <w:i w:val="0"/>
                      <w:iCs w:val="0"/>
                      <w:color w:val="auto"/>
                      <w:kern w:val="0"/>
                      <w:sz w:val="21"/>
                      <w:szCs w:val="21"/>
                      <w:u w:val="single" w:color="auto"/>
                      <w:lang w:val="en-US" w:eastAsia="zh-CN" w:bidi="ar"/>
                    </w:rPr>
                    <w:t>9</w:t>
                  </w:r>
                </w:p>
              </w:tc>
              <w:tc>
                <w:tcPr>
                  <w:tcW w:w="362" w:type="pct"/>
                  <w:tcBorders>
                    <w:tl2br w:val="nil"/>
                    <w:tr2bl w:val="nil"/>
                  </w:tcBorders>
                  <w:vAlign w:val="center"/>
                </w:tcPr>
                <w:p w14:paraId="394E58F5">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0.48</w:t>
                  </w:r>
                  <w:r>
                    <w:rPr>
                      <w:rFonts w:hint="eastAsia" w:cs="Times New Roman"/>
                      <w:i w:val="0"/>
                      <w:iCs w:val="0"/>
                      <w:color w:val="auto"/>
                      <w:kern w:val="0"/>
                      <w:sz w:val="21"/>
                      <w:szCs w:val="21"/>
                      <w:u w:val="single" w:color="auto"/>
                      <w:lang w:val="en-US" w:eastAsia="zh-CN" w:bidi="ar"/>
                    </w:rPr>
                    <w:t>2</w:t>
                  </w:r>
                </w:p>
              </w:tc>
              <w:tc>
                <w:tcPr>
                  <w:tcW w:w="459" w:type="pct"/>
                  <w:tcBorders>
                    <w:tl2br w:val="nil"/>
                    <w:tr2bl w:val="nil"/>
                  </w:tcBorders>
                  <w:vAlign w:val="center"/>
                </w:tcPr>
                <w:p w14:paraId="064ABF12">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0.40</w:t>
                  </w:r>
                  <w:r>
                    <w:rPr>
                      <w:rFonts w:hint="eastAsia" w:cs="Times New Roman"/>
                      <w:i w:val="0"/>
                      <w:iCs w:val="0"/>
                      <w:color w:val="auto"/>
                      <w:kern w:val="0"/>
                      <w:sz w:val="21"/>
                      <w:szCs w:val="21"/>
                      <w:u w:val="single" w:color="auto"/>
                      <w:lang w:val="en-US" w:eastAsia="zh-CN" w:bidi="ar"/>
                    </w:rPr>
                    <w:t>2</w:t>
                  </w:r>
                </w:p>
              </w:tc>
              <w:tc>
                <w:tcPr>
                  <w:tcW w:w="468" w:type="pct"/>
                  <w:tcBorders>
                    <w:tl2br w:val="nil"/>
                    <w:tr2bl w:val="nil"/>
                  </w:tcBorders>
                  <w:vAlign w:val="center"/>
                </w:tcPr>
                <w:p w14:paraId="65167971">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272.43</w:t>
                  </w:r>
                  <w:r>
                    <w:rPr>
                      <w:rFonts w:hint="eastAsia" w:cs="Times New Roman"/>
                      <w:i w:val="0"/>
                      <w:iCs w:val="0"/>
                      <w:color w:val="auto"/>
                      <w:kern w:val="0"/>
                      <w:sz w:val="21"/>
                      <w:szCs w:val="21"/>
                      <w:u w:val="single" w:color="auto"/>
                      <w:lang w:val="en-US" w:eastAsia="zh-CN" w:bidi="ar"/>
                    </w:rPr>
                    <w:t>6</w:t>
                  </w:r>
                </w:p>
              </w:tc>
              <w:tc>
                <w:tcPr>
                  <w:tcW w:w="339" w:type="pct"/>
                  <w:tcBorders>
                    <w:tl2br w:val="nil"/>
                    <w:tr2bl w:val="nil"/>
                  </w:tcBorders>
                  <w:vAlign w:val="center"/>
                </w:tcPr>
                <w:p w14:paraId="24FD4B99">
                  <w:pPr>
                    <w:keepNext w:val="0"/>
                    <w:keepLines w:val="0"/>
                    <w:widowControl/>
                    <w:suppressLineNumbers w:val="0"/>
                    <w:jc w:val="center"/>
                    <w:textAlignment w:val="center"/>
                    <w:rPr>
                      <w:rFonts w:hint="default" w:ascii="Times New Roman" w:hAnsi="Times New Roman" w:cs="Times New Roman"/>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w:t>
                  </w:r>
                </w:p>
              </w:tc>
              <w:tc>
                <w:tcPr>
                  <w:tcW w:w="464" w:type="pct"/>
                  <w:tcBorders>
                    <w:tl2br w:val="nil"/>
                    <w:tr2bl w:val="nil"/>
                  </w:tcBorders>
                  <w:vAlign w:val="center"/>
                </w:tcPr>
                <w:p w14:paraId="6A6429C1">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0.48</w:t>
                  </w:r>
                  <w:r>
                    <w:rPr>
                      <w:rFonts w:hint="eastAsia" w:cs="Times New Roman"/>
                      <w:i w:val="0"/>
                      <w:iCs w:val="0"/>
                      <w:color w:val="auto"/>
                      <w:kern w:val="0"/>
                      <w:sz w:val="21"/>
                      <w:szCs w:val="21"/>
                      <w:u w:val="single" w:color="auto"/>
                      <w:lang w:val="en-US" w:eastAsia="zh-CN" w:bidi="ar"/>
                    </w:rPr>
                    <w:t>2</w:t>
                  </w:r>
                </w:p>
              </w:tc>
              <w:tc>
                <w:tcPr>
                  <w:tcW w:w="450" w:type="pct"/>
                  <w:tcBorders>
                    <w:tl2br w:val="nil"/>
                    <w:tr2bl w:val="nil"/>
                  </w:tcBorders>
                  <w:vAlign w:val="center"/>
                </w:tcPr>
                <w:p w14:paraId="6E6BB0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0.40</w:t>
                  </w:r>
                  <w:r>
                    <w:rPr>
                      <w:rFonts w:hint="eastAsia" w:cs="Times New Roman"/>
                      <w:i w:val="0"/>
                      <w:iCs w:val="0"/>
                      <w:color w:val="auto"/>
                      <w:kern w:val="0"/>
                      <w:sz w:val="21"/>
                      <w:szCs w:val="21"/>
                      <w:u w:val="single" w:color="auto"/>
                      <w:lang w:val="en-US" w:eastAsia="zh-CN" w:bidi="ar"/>
                    </w:rPr>
                    <w:t>2</w:t>
                  </w:r>
                </w:p>
              </w:tc>
              <w:tc>
                <w:tcPr>
                  <w:tcW w:w="486" w:type="pct"/>
                  <w:tcBorders>
                    <w:tl2br w:val="nil"/>
                    <w:tr2bl w:val="nil"/>
                  </w:tcBorders>
                  <w:vAlign w:val="center"/>
                </w:tcPr>
                <w:p w14:paraId="0621A71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single" w:color="auto"/>
                      <w:lang w:val="en-US" w:eastAsia="zh-CN" w:bidi="ar-SA"/>
                    </w:rPr>
                  </w:pPr>
                  <w:r>
                    <w:rPr>
                      <w:rFonts w:hint="default" w:ascii="Times New Roman" w:hAnsi="Times New Roman" w:eastAsia="宋体" w:cs="Times New Roman"/>
                      <w:i w:val="0"/>
                      <w:iCs w:val="0"/>
                      <w:color w:val="auto"/>
                      <w:kern w:val="0"/>
                      <w:sz w:val="21"/>
                      <w:szCs w:val="21"/>
                      <w:u w:val="single" w:color="auto"/>
                      <w:lang w:val="en-US" w:eastAsia="zh-CN" w:bidi="ar"/>
                    </w:rPr>
                    <w:t>272.43</w:t>
                  </w:r>
                  <w:r>
                    <w:rPr>
                      <w:rFonts w:hint="eastAsia" w:cs="Times New Roman"/>
                      <w:i w:val="0"/>
                      <w:iCs w:val="0"/>
                      <w:color w:val="auto"/>
                      <w:kern w:val="0"/>
                      <w:sz w:val="21"/>
                      <w:szCs w:val="21"/>
                      <w:u w:val="single" w:color="auto"/>
                      <w:lang w:val="en-US" w:eastAsia="zh-CN" w:bidi="ar"/>
                    </w:rPr>
                    <w:t>6</w:t>
                  </w:r>
                </w:p>
              </w:tc>
              <w:tc>
                <w:tcPr>
                  <w:tcW w:w="451" w:type="pct"/>
                  <w:tcBorders>
                    <w:tl2br w:val="nil"/>
                    <w:tr2bl w:val="nil"/>
                  </w:tcBorders>
                  <w:vAlign w:val="center"/>
                </w:tcPr>
                <w:p w14:paraId="4F4C9974">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lang w:val="en-US" w:eastAsia="zh-CN"/>
                    </w:rPr>
                    <w:t>3</w:t>
                  </w:r>
                  <w:r>
                    <w:rPr>
                      <w:rFonts w:hint="default" w:ascii="Times New Roman" w:hAnsi="Times New Roman" w:cs="Times New Roman"/>
                      <w:color w:val="auto"/>
                      <w:sz w:val="21"/>
                      <w:szCs w:val="21"/>
                      <w:u w:val="single" w:color="auto"/>
                    </w:rPr>
                    <w:t>00</w:t>
                  </w:r>
                </w:p>
              </w:tc>
            </w:tr>
            <w:tr w14:paraId="2ADA1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613" w:type="pct"/>
                  <w:vMerge w:val="continue"/>
                  <w:tcBorders>
                    <w:tl2br w:val="nil"/>
                    <w:tr2bl w:val="nil"/>
                  </w:tcBorders>
                  <w:vAlign w:val="center"/>
                </w:tcPr>
                <w:p w14:paraId="165AC87F">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p>
              </w:tc>
              <w:tc>
                <w:tcPr>
                  <w:tcW w:w="415" w:type="pct"/>
                  <w:tcBorders>
                    <w:tl2br w:val="nil"/>
                    <w:tr2bl w:val="nil"/>
                  </w:tcBorders>
                  <w:vAlign w:val="center"/>
                </w:tcPr>
                <w:p w14:paraId="423CB4A0">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NO</w:t>
                  </w:r>
                  <w:r>
                    <w:rPr>
                      <w:rFonts w:hint="default" w:ascii="Times New Roman" w:hAnsi="Times New Roman" w:cs="Times New Roman"/>
                      <w:color w:val="auto"/>
                      <w:sz w:val="21"/>
                      <w:szCs w:val="21"/>
                      <w:u w:val="none" w:color="auto"/>
                      <w:vertAlign w:val="subscript"/>
                    </w:rPr>
                    <w:t>X</w:t>
                  </w:r>
                </w:p>
              </w:tc>
              <w:tc>
                <w:tcPr>
                  <w:tcW w:w="486" w:type="pct"/>
                  <w:vMerge w:val="continue"/>
                  <w:tcBorders>
                    <w:tl2br w:val="nil"/>
                    <w:tr2bl w:val="nil"/>
                  </w:tcBorders>
                  <w:vAlign w:val="center"/>
                </w:tcPr>
                <w:p w14:paraId="4BD85495">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single" w:color="auto"/>
                    </w:rPr>
                  </w:pPr>
                </w:p>
              </w:tc>
              <w:tc>
                <w:tcPr>
                  <w:tcW w:w="362" w:type="pct"/>
                  <w:tcBorders>
                    <w:tl2br w:val="nil"/>
                    <w:tr2bl w:val="nil"/>
                  </w:tcBorders>
                  <w:vAlign w:val="center"/>
                </w:tcPr>
                <w:p w14:paraId="183298D1">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0.289</w:t>
                  </w:r>
                </w:p>
              </w:tc>
              <w:tc>
                <w:tcPr>
                  <w:tcW w:w="459" w:type="pct"/>
                  <w:tcBorders>
                    <w:tl2br w:val="nil"/>
                    <w:tr2bl w:val="nil"/>
                  </w:tcBorders>
                  <w:vAlign w:val="center"/>
                </w:tcPr>
                <w:p w14:paraId="010D6D2F">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0.24</w:t>
                  </w:r>
                  <w:r>
                    <w:rPr>
                      <w:rFonts w:hint="eastAsia" w:cs="Times New Roman"/>
                      <w:i w:val="0"/>
                      <w:iCs w:val="0"/>
                      <w:color w:val="auto"/>
                      <w:kern w:val="0"/>
                      <w:sz w:val="21"/>
                      <w:szCs w:val="21"/>
                      <w:u w:val="single" w:color="auto"/>
                      <w:lang w:val="en-US" w:eastAsia="zh-CN" w:bidi="ar"/>
                    </w:rPr>
                    <w:t>1</w:t>
                  </w:r>
                </w:p>
              </w:tc>
              <w:tc>
                <w:tcPr>
                  <w:tcW w:w="468" w:type="pct"/>
                  <w:tcBorders>
                    <w:tl2br w:val="nil"/>
                    <w:tr2bl w:val="nil"/>
                  </w:tcBorders>
                  <w:vAlign w:val="center"/>
                </w:tcPr>
                <w:p w14:paraId="67C64CA1">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163.46</w:t>
                  </w:r>
                  <w:r>
                    <w:rPr>
                      <w:rFonts w:hint="eastAsia" w:cs="Times New Roman"/>
                      <w:i w:val="0"/>
                      <w:iCs w:val="0"/>
                      <w:color w:val="auto"/>
                      <w:kern w:val="0"/>
                      <w:sz w:val="21"/>
                      <w:szCs w:val="21"/>
                      <w:u w:val="single" w:color="auto"/>
                      <w:lang w:val="en-US" w:eastAsia="zh-CN" w:bidi="ar"/>
                    </w:rPr>
                    <w:t>2</w:t>
                  </w:r>
                </w:p>
              </w:tc>
              <w:tc>
                <w:tcPr>
                  <w:tcW w:w="339" w:type="pct"/>
                  <w:tcBorders>
                    <w:tl2br w:val="nil"/>
                    <w:tr2bl w:val="nil"/>
                  </w:tcBorders>
                  <w:vAlign w:val="center"/>
                </w:tcPr>
                <w:p w14:paraId="52B85875">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30%</w:t>
                  </w:r>
                </w:p>
              </w:tc>
              <w:tc>
                <w:tcPr>
                  <w:tcW w:w="464" w:type="pct"/>
                  <w:tcBorders>
                    <w:tl2br w:val="nil"/>
                    <w:tr2bl w:val="nil"/>
                  </w:tcBorders>
                  <w:vAlign w:val="center"/>
                </w:tcPr>
                <w:p w14:paraId="66B87048">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0.202</w:t>
                  </w:r>
                </w:p>
              </w:tc>
              <w:tc>
                <w:tcPr>
                  <w:tcW w:w="450" w:type="pct"/>
                  <w:tcBorders>
                    <w:tl2br w:val="nil"/>
                    <w:tr2bl w:val="nil"/>
                  </w:tcBorders>
                  <w:vAlign w:val="center"/>
                </w:tcPr>
                <w:p w14:paraId="2375E8A2">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0.16</w:t>
                  </w:r>
                  <w:r>
                    <w:rPr>
                      <w:rFonts w:hint="eastAsia" w:cs="Times New Roman"/>
                      <w:i w:val="0"/>
                      <w:iCs w:val="0"/>
                      <w:color w:val="auto"/>
                      <w:kern w:val="0"/>
                      <w:sz w:val="21"/>
                      <w:szCs w:val="21"/>
                      <w:u w:val="single" w:color="auto"/>
                      <w:lang w:val="en-US" w:eastAsia="zh-CN" w:bidi="ar"/>
                    </w:rPr>
                    <w:t>9</w:t>
                  </w:r>
                </w:p>
              </w:tc>
              <w:tc>
                <w:tcPr>
                  <w:tcW w:w="486" w:type="pct"/>
                  <w:tcBorders>
                    <w:tl2br w:val="nil"/>
                    <w:tr2bl w:val="nil"/>
                  </w:tcBorders>
                  <w:vAlign w:val="center"/>
                </w:tcPr>
                <w:p w14:paraId="10B4D5C8">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114.423</w:t>
                  </w:r>
                </w:p>
              </w:tc>
              <w:tc>
                <w:tcPr>
                  <w:tcW w:w="451" w:type="pct"/>
                  <w:tcBorders>
                    <w:tl2br w:val="nil"/>
                    <w:tr2bl w:val="nil"/>
                  </w:tcBorders>
                  <w:vAlign w:val="center"/>
                </w:tcPr>
                <w:p w14:paraId="490BBAD7">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lang w:val="en-US" w:eastAsia="zh-CN"/>
                    </w:rPr>
                    <w:t>3</w:t>
                  </w:r>
                  <w:r>
                    <w:rPr>
                      <w:rFonts w:hint="default" w:ascii="Times New Roman" w:hAnsi="Times New Roman" w:cs="Times New Roman"/>
                      <w:color w:val="auto"/>
                      <w:sz w:val="21"/>
                      <w:szCs w:val="21"/>
                      <w:u w:val="single" w:color="auto"/>
                    </w:rPr>
                    <w:t>00</w:t>
                  </w:r>
                </w:p>
              </w:tc>
            </w:tr>
            <w:tr w14:paraId="6C369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613" w:type="pct"/>
                  <w:vMerge w:val="continue"/>
                  <w:tcBorders>
                    <w:tl2br w:val="nil"/>
                    <w:tr2bl w:val="nil"/>
                  </w:tcBorders>
                  <w:vAlign w:val="center"/>
                </w:tcPr>
                <w:p w14:paraId="436A708A">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p>
              </w:tc>
              <w:tc>
                <w:tcPr>
                  <w:tcW w:w="415" w:type="pct"/>
                  <w:tcBorders>
                    <w:tl2br w:val="nil"/>
                    <w:tr2bl w:val="nil"/>
                  </w:tcBorders>
                  <w:vAlign w:val="center"/>
                </w:tcPr>
                <w:p w14:paraId="33FA0534">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颗粒物</w:t>
                  </w:r>
                </w:p>
              </w:tc>
              <w:tc>
                <w:tcPr>
                  <w:tcW w:w="486" w:type="pct"/>
                  <w:vMerge w:val="continue"/>
                  <w:tcBorders>
                    <w:tl2br w:val="nil"/>
                    <w:tr2bl w:val="nil"/>
                  </w:tcBorders>
                  <w:vAlign w:val="center"/>
                </w:tcPr>
                <w:p w14:paraId="59707773">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single" w:color="auto"/>
                    </w:rPr>
                  </w:pPr>
                </w:p>
              </w:tc>
              <w:tc>
                <w:tcPr>
                  <w:tcW w:w="362" w:type="pct"/>
                  <w:tcBorders>
                    <w:tl2br w:val="nil"/>
                    <w:tr2bl w:val="nil"/>
                  </w:tcBorders>
                  <w:vAlign w:val="center"/>
                </w:tcPr>
                <w:p w14:paraId="322660E4">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0.14</w:t>
                  </w:r>
                  <w:r>
                    <w:rPr>
                      <w:rFonts w:hint="eastAsia" w:cs="Times New Roman"/>
                      <w:i w:val="0"/>
                      <w:iCs w:val="0"/>
                      <w:color w:val="auto"/>
                      <w:kern w:val="0"/>
                      <w:sz w:val="21"/>
                      <w:szCs w:val="21"/>
                      <w:u w:val="single" w:color="auto"/>
                      <w:lang w:val="en-US" w:eastAsia="zh-CN" w:bidi="ar"/>
                    </w:rPr>
                    <w:t>2</w:t>
                  </w:r>
                </w:p>
              </w:tc>
              <w:tc>
                <w:tcPr>
                  <w:tcW w:w="459" w:type="pct"/>
                  <w:tcBorders>
                    <w:tl2br w:val="nil"/>
                    <w:tr2bl w:val="nil"/>
                  </w:tcBorders>
                  <w:vAlign w:val="center"/>
                </w:tcPr>
                <w:p w14:paraId="407BF9A7">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0.118</w:t>
                  </w:r>
                </w:p>
              </w:tc>
              <w:tc>
                <w:tcPr>
                  <w:tcW w:w="468" w:type="pct"/>
                  <w:tcBorders>
                    <w:tl2br w:val="nil"/>
                    <w:tr2bl w:val="nil"/>
                  </w:tcBorders>
                  <w:vAlign w:val="center"/>
                </w:tcPr>
                <w:p w14:paraId="098EB2EA">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80.128</w:t>
                  </w:r>
                </w:p>
              </w:tc>
              <w:tc>
                <w:tcPr>
                  <w:tcW w:w="339" w:type="pct"/>
                  <w:tcBorders>
                    <w:tl2br w:val="nil"/>
                    <w:tr2bl w:val="nil"/>
                  </w:tcBorders>
                  <w:vAlign w:val="center"/>
                </w:tcPr>
                <w:p w14:paraId="286EB00D">
                  <w:pPr>
                    <w:keepNext w:val="0"/>
                    <w:keepLines w:val="0"/>
                    <w:widowControl/>
                    <w:suppressLineNumbers w:val="0"/>
                    <w:jc w:val="center"/>
                    <w:textAlignment w:val="center"/>
                    <w:rPr>
                      <w:rFonts w:hint="default" w:ascii="Times New Roman" w:hAnsi="Times New Roman" w:cs="Times New Roman"/>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99%</w:t>
                  </w:r>
                </w:p>
              </w:tc>
              <w:tc>
                <w:tcPr>
                  <w:tcW w:w="464" w:type="pct"/>
                  <w:tcBorders>
                    <w:tl2br w:val="nil"/>
                    <w:tr2bl w:val="nil"/>
                  </w:tcBorders>
                  <w:vAlign w:val="center"/>
                </w:tcPr>
                <w:p w14:paraId="4BF90504">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0.0014</w:t>
                  </w:r>
                  <w:r>
                    <w:rPr>
                      <w:rFonts w:hint="eastAsia" w:cs="Times New Roman"/>
                      <w:i w:val="0"/>
                      <w:iCs w:val="0"/>
                      <w:color w:val="auto"/>
                      <w:kern w:val="0"/>
                      <w:sz w:val="21"/>
                      <w:szCs w:val="21"/>
                      <w:u w:val="single" w:color="auto"/>
                      <w:lang w:val="en-US" w:eastAsia="zh-CN" w:bidi="ar"/>
                    </w:rPr>
                    <w:t>2</w:t>
                  </w:r>
                </w:p>
              </w:tc>
              <w:tc>
                <w:tcPr>
                  <w:tcW w:w="450" w:type="pct"/>
                  <w:tcBorders>
                    <w:tl2br w:val="nil"/>
                    <w:tr2bl w:val="nil"/>
                  </w:tcBorders>
                  <w:vAlign w:val="center"/>
                </w:tcPr>
                <w:p w14:paraId="643A33CF">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0.00118</w:t>
                  </w:r>
                </w:p>
              </w:tc>
              <w:tc>
                <w:tcPr>
                  <w:tcW w:w="486" w:type="pct"/>
                  <w:tcBorders>
                    <w:tl2br w:val="nil"/>
                    <w:tr2bl w:val="nil"/>
                  </w:tcBorders>
                  <w:vAlign w:val="center"/>
                </w:tcPr>
                <w:p w14:paraId="38265877">
                  <w:pPr>
                    <w:keepNext w:val="0"/>
                    <w:keepLines w:val="0"/>
                    <w:widowControl/>
                    <w:suppressLineNumbers w:val="0"/>
                    <w:jc w:val="center"/>
                    <w:textAlignment w:val="center"/>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0.801</w:t>
                  </w:r>
                </w:p>
              </w:tc>
              <w:tc>
                <w:tcPr>
                  <w:tcW w:w="451" w:type="pct"/>
                  <w:tcBorders>
                    <w:tl2br w:val="nil"/>
                    <w:tr2bl w:val="nil"/>
                  </w:tcBorders>
                  <w:vAlign w:val="center"/>
                </w:tcPr>
                <w:p w14:paraId="1344C6ED">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50</w:t>
                  </w:r>
                </w:p>
              </w:tc>
            </w:tr>
            <w:tr w14:paraId="4674D4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613" w:type="pct"/>
                  <w:vMerge w:val="restart"/>
                  <w:tcBorders>
                    <w:tl2br w:val="nil"/>
                    <w:tr2bl w:val="nil"/>
                  </w:tcBorders>
                  <w:vAlign w:val="center"/>
                </w:tcPr>
                <w:p w14:paraId="7EF7B27E">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热风炉废气</w:t>
                  </w:r>
                  <w:r>
                    <w:rPr>
                      <w:rFonts w:hint="eastAsia" w:ascii="Times New Roman" w:hAnsi="Times New Roman" w:eastAsia="宋体" w:cs="Times New Roman"/>
                      <w:color w:val="auto"/>
                      <w:sz w:val="21"/>
                      <w:szCs w:val="21"/>
                      <w:u w:val="none" w:color="auto"/>
                      <w:lang w:val="en-US" w:eastAsia="zh-CN"/>
                    </w:rPr>
                    <w:t>（DA0</w:t>
                  </w:r>
                  <w:r>
                    <w:rPr>
                      <w:rFonts w:hint="eastAsia" w:ascii="Times New Roman" w:hAnsi="Times New Roman" w:cs="Times New Roman"/>
                      <w:color w:val="auto"/>
                      <w:sz w:val="21"/>
                      <w:szCs w:val="21"/>
                      <w:u w:val="none" w:color="auto"/>
                      <w:lang w:val="en-US" w:eastAsia="zh-CN"/>
                    </w:rPr>
                    <w:t>02）</w:t>
                  </w:r>
                </w:p>
              </w:tc>
              <w:tc>
                <w:tcPr>
                  <w:tcW w:w="415" w:type="pct"/>
                  <w:tcBorders>
                    <w:tl2br w:val="nil"/>
                    <w:tr2bl w:val="nil"/>
                  </w:tcBorders>
                  <w:vAlign w:val="center"/>
                </w:tcPr>
                <w:p w14:paraId="6DC23FC0">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SO</w:t>
                  </w:r>
                  <w:r>
                    <w:rPr>
                      <w:rFonts w:hint="default" w:ascii="Times New Roman" w:hAnsi="Times New Roman" w:cs="Times New Roman"/>
                      <w:color w:val="auto"/>
                      <w:sz w:val="21"/>
                      <w:szCs w:val="21"/>
                      <w:u w:val="none" w:color="auto"/>
                      <w:vertAlign w:val="subscript"/>
                    </w:rPr>
                    <w:t>2</w:t>
                  </w:r>
                </w:p>
              </w:tc>
              <w:tc>
                <w:tcPr>
                  <w:tcW w:w="486" w:type="pct"/>
                  <w:vMerge w:val="restart"/>
                  <w:tcBorders>
                    <w:tl2br w:val="nil"/>
                    <w:tr2bl w:val="nil"/>
                  </w:tcBorders>
                  <w:vAlign w:val="center"/>
                </w:tcPr>
                <w:p w14:paraId="29A846FC">
                  <w:pPr>
                    <w:keepNext w:val="0"/>
                    <w:keepLines w:val="0"/>
                    <w:widowControl/>
                    <w:suppressLineNumbers w:val="0"/>
                    <w:jc w:val="center"/>
                    <w:textAlignment w:val="center"/>
                    <w:rPr>
                      <w:rFonts w:hint="default" w:ascii="Times New Roman" w:hAnsi="Times New Roman" w:cs="Times New Roman"/>
                      <w:color w:val="auto"/>
                      <w:sz w:val="21"/>
                      <w:szCs w:val="21"/>
                      <w:u w:val="single" w:color="auto"/>
                    </w:rPr>
                  </w:pPr>
                  <w:r>
                    <w:rPr>
                      <w:rFonts w:hint="default" w:ascii="Times New Roman" w:hAnsi="Times New Roman" w:eastAsia="宋体" w:cs="Times New Roman"/>
                      <w:i w:val="0"/>
                      <w:iCs w:val="0"/>
                      <w:color w:val="auto"/>
                      <w:kern w:val="0"/>
                      <w:sz w:val="21"/>
                      <w:szCs w:val="21"/>
                      <w:u w:val="single" w:color="auto"/>
                      <w:lang w:val="en-US" w:eastAsia="zh-CN" w:bidi="ar"/>
                    </w:rPr>
                    <w:t>282.39</w:t>
                  </w:r>
                </w:p>
              </w:tc>
              <w:tc>
                <w:tcPr>
                  <w:tcW w:w="362" w:type="pct"/>
                  <w:tcBorders>
                    <w:tl2br w:val="nil"/>
                    <w:tr2bl w:val="nil"/>
                  </w:tcBorders>
                  <w:vAlign w:val="center"/>
                </w:tcPr>
                <w:p w14:paraId="132082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0.769</w:t>
                  </w:r>
                </w:p>
              </w:tc>
              <w:tc>
                <w:tcPr>
                  <w:tcW w:w="459" w:type="pct"/>
                  <w:tcBorders>
                    <w:tl2br w:val="nil"/>
                    <w:tr2bl w:val="nil"/>
                  </w:tcBorders>
                  <w:vAlign w:val="center"/>
                </w:tcPr>
                <w:p w14:paraId="4A3E47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0.641</w:t>
                  </w:r>
                </w:p>
              </w:tc>
              <w:tc>
                <w:tcPr>
                  <w:tcW w:w="468" w:type="pct"/>
                  <w:tcBorders>
                    <w:tl2br w:val="nil"/>
                    <w:tr2bl w:val="nil"/>
                  </w:tcBorders>
                  <w:vAlign w:val="center"/>
                </w:tcPr>
                <w:p w14:paraId="3B7217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272.43</w:t>
                  </w:r>
                  <w:r>
                    <w:rPr>
                      <w:rFonts w:hint="eastAsia" w:cs="Times New Roman"/>
                      <w:i w:val="0"/>
                      <w:iCs w:val="0"/>
                      <w:color w:val="auto"/>
                      <w:kern w:val="0"/>
                      <w:sz w:val="21"/>
                      <w:szCs w:val="21"/>
                      <w:u w:val="single" w:color="auto"/>
                      <w:lang w:val="en-US" w:eastAsia="zh-CN" w:bidi="ar"/>
                    </w:rPr>
                    <w:t>6</w:t>
                  </w:r>
                </w:p>
              </w:tc>
              <w:tc>
                <w:tcPr>
                  <w:tcW w:w="339" w:type="pct"/>
                  <w:tcBorders>
                    <w:tl2br w:val="nil"/>
                    <w:tr2bl w:val="nil"/>
                  </w:tcBorders>
                  <w:vAlign w:val="center"/>
                </w:tcPr>
                <w:p w14:paraId="20DDED6B">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eastAsia" w:cs="Times New Roman"/>
                      <w:i w:val="0"/>
                      <w:iCs w:val="0"/>
                      <w:color w:val="FF0000"/>
                      <w:kern w:val="0"/>
                      <w:sz w:val="21"/>
                      <w:szCs w:val="21"/>
                      <w:u w:val="single" w:color="auto"/>
                      <w:lang w:val="en-US" w:eastAsia="zh-CN" w:bidi="ar"/>
                    </w:rPr>
                    <w:t>9</w:t>
                  </w:r>
                  <w:r>
                    <w:rPr>
                      <w:rFonts w:hint="default" w:ascii="Times New Roman" w:hAnsi="Times New Roman" w:eastAsia="宋体" w:cs="Times New Roman"/>
                      <w:i w:val="0"/>
                      <w:iCs w:val="0"/>
                      <w:color w:val="FF0000"/>
                      <w:kern w:val="0"/>
                      <w:sz w:val="21"/>
                      <w:szCs w:val="21"/>
                      <w:u w:val="single" w:color="auto"/>
                      <w:lang w:val="en-US" w:eastAsia="zh-CN" w:bidi="ar"/>
                    </w:rPr>
                    <w:t>0%</w:t>
                  </w:r>
                </w:p>
              </w:tc>
              <w:tc>
                <w:tcPr>
                  <w:tcW w:w="730" w:type="dxa"/>
                  <w:tcBorders>
                    <w:tl2br w:val="nil"/>
                    <w:tr2bl w:val="nil"/>
                  </w:tcBorders>
                  <w:vAlign w:val="center"/>
                </w:tcPr>
                <w:p w14:paraId="61459CF9">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default" w:ascii="Times New Roman" w:hAnsi="Times New Roman" w:eastAsia="宋体" w:cs="Times New Roman"/>
                      <w:i w:val="0"/>
                      <w:iCs w:val="0"/>
                      <w:color w:val="FF0000"/>
                      <w:kern w:val="0"/>
                      <w:sz w:val="21"/>
                      <w:szCs w:val="21"/>
                      <w:u w:val="single" w:color="auto"/>
                      <w:lang w:val="en-US" w:eastAsia="zh-CN" w:bidi="ar"/>
                    </w:rPr>
                    <w:t>0.0769</w:t>
                  </w:r>
                </w:p>
              </w:tc>
              <w:tc>
                <w:tcPr>
                  <w:tcW w:w="708" w:type="dxa"/>
                  <w:tcBorders>
                    <w:tl2br w:val="nil"/>
                    <w:tr2bl w:val="nil"/>
                  </w:tcBorders>
                  <w:vAlign w:val="center"/>
                </w:tcPr>
                <w:p w14:paraId="753E29D6">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default" w:ascii="Times New Roman" w:hAnsi="Times New Roman" w:eastAsia="宋体" w:cs="Times New Roman"/>
                      <w:i w:val="0"/>
                      <w:iCs w:val="0"/>
                      <w:color w:val="FF0000"/>
                      <w:kern w:val="0"/>
                      <w:sz w:val="21"/>
                      <w:szCs w:val="21"/>
                      <w:u w:val="single" w:color="auto"/>
                      <w:lang w:val="en-US" w:eastAsia="zh-CN" w:bidi="ar"/>
                    </w:rPr>
                    <w:t>0.0641</w:t>
                  </w:r>
                </w:p>
              </w:tc>
              <w:tc>
                <w:tcPr>
                  <w:tcW w:w="764" w:type="dxa"/>
                  <w:tcBorders>
                    <w:tl2br w:val="nil"/>
                    <w:tr2bl w:val="nil"/>
                  </w:tcBorders>
                  <w:vAlign w:val="center"/>
                </w:tcPr>
                <w:p w14:paraId="0D7C16C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single" w:color="auto"/>
                      <w:lang w:val="en-US" w:eastAsia="zh-CN" w:bidi="ar"/>
                    </w:rPr>
                  </w:pPr>
                  <w:r>
                    <w:rPr>
                      <w:rFonts w:hint="default" w:ascii="Times New Roman" w:hAnsi="Times New Roman" w:eastAsia="宋体" w:cs="Times New Roman"/>
                      <w:i w:val="0"/>
                      <w:iCs w:val="0"/>
                      <w:color w:val="FF0000"/>
                      <w:kern w:val="0"/>
                      <w:sz w:val="21"/>
                      <w:szCs w:val="21"/>
                      <w:u w:val="single" w:color="auto"/>
                      <w:lang w:val="en-US" w:eastAsia="zh-CN" w:bidi="ar"/>
                    </w:rPr>
                    <w:t>27.244</w:t>
                  </w:r>
                </w:p>
              </w:tc>
              <w:tc>
                <w:tcPr>
                  <w:tcW w:w="451" w:type="pct"/>
                  <w:tcBorders>
                    <w:tl2br w:val="nil"/>
                    <w:tr2bl w:val="nil"/>
                  </w:tcBorders>
                  <w:vAlign w:val="center"/>
                </w:tcPr>
                <w:p w14:paraId="3FB18F66">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200</w:t>
                  </w:r>
                </w:p>
              </w:tc>
            </w:tr>
            <w:tr w14:paraId="1EDC6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613" w:type="pct"/>
                  <w:vMerge w:val="continue"/>
                  <w:tcBorders>
                    <w:tl2br w:val="nil"/>
                    <w:tr2bl w:val="nil"/>
                  </w:tcBorders>
                  <w:vAlign w:val="center"/>
                </w:tcPr>
                <w:p w14:paraId="017CB918">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p>
              </w:tc>
              <w:tc>
                <w:tcPr>
                  <w:tcW w:w="415" w:type="pct"/>
                  <w:tcBorders>
                    <w:tl2br w:val="nil"/>
                    <w:tr2bl w:val="nil"/>
                  </w:tcBorders>
                  <w:vAlign w:val="center"/>
                </w:tcPr>
                <w:p w14:paraId="7940DD47">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NO</w:t>
                  </w:r>
                  <w:r>
                    <w:rPr>
                      <w:rFonts w:hint="default" w:ascii="Times New Roman" w:hAnsi="Times New Roman" w:cs="Times New Roman"/>
                      <w:color w:val="auto"/>
                      <w:sz w:val="21"/>
                      <w:szCs w:val="21"/>
                      <w:u w:val="none" w:color="auto"/>
                      <w:vertAlign w:val="subscript"/>
                    </w:rPr>
                    <w:t>X</w:t>
                  </w:r>
                </w:p>
              </w:tc>
              <w:tc>
                <w:tcPr>
                  <w:tcW w:w="486" w:type="pct"/>
                  <w:vMerge w:val="continue"/>
                  <w:tcBorders>
                    <w:tl2br w:val="nil"/>
                    <w:tr2bl w:val="nil"/>
                  </w:tcBorders>
                  <w:vAlign w:val="center"/>
                </w:tcPr>
                <w:p w14:paraId="2F2070EB">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single" w:color="auto"/>
                    </w:rPr>
                  </w:pPr>
                </w:p>
              </w:tc>
              <w:tc>
                <w:tcPr>
                  <w:tcW w:w="362" w:type="pct"/>
                  <w:tcBorders>
                    <w:tl2br w:val="nil"/>
                    <w:tr2bl w:val="nil"/>
                  </w:tcBorders>
                  <w:vAlign w:val="center"/>
                </w:tcPr>
                <w:p w14:paraId="027B6A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0.46</w:t>
                  </w:r>
                  <w:r>
                    <w:rPr>
                      <w:rFonts w:hint="eastAsia" w:cs="Times New Roman"/>
                      <w:i w:val="0"/>
                      <w:iCs w:val="0"/>
                      <w:color w:val="auto"/>
                      <w:kern w:val="0"/>
                      <w:sz w:val="21"/>
                      <w:szCs w:val="21"/>
                      <w:u w:val="single" w:color="auto"/>
                      <w:lang w:val="en-US" w:eastAsia="zh-CN" w:bidi="ar"/>
                    </w:rPr>
                    <w:t>2</w:t>
                  </w:r>
                </w:p>
              </w:tc>
              <w:tc>
                <w:tcPr>
                  <w:tcW w:w="459" w:type="pct"/>
                  <w:tcBorders>
                    <w:tl2br w:val="nil"/>
                    <w:tr2bl w:val="nil"/>
                  </w:tcBorders>
                  <w:vAlign w:val="center"/>
                </w:tcPr>
                <w:p w14:paraId="33F648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0.38</w:t>
                  </w:r>
                  <w:r>
                    <w:rPr>
                      <w:rFonts w:hint="eastAsia" w:cs="Times New Roman"/>
                      <w:i w:val="0"/>
                      <w:iCs w:val="0"/>
                      <w:color w:val="auto"/>
                      <w:kern w:val="0"/>
                      <w:sz w:val="21"/>
                      <w:szCs w:val="21"/>
                      <w:u w:val="single" w:color="auto"/>
                      <w:lang w:val="en-US" w:eastAsia="zh-CN" w:bidi="ar"/>
                    </w:rPr>
                    <w:t>5</w:t>
                  </w:r>
                </w:p>
              </w:tc>
              <w:tc>
                <w:tcPr>
                  <w:tcW w:w="468" w:type="pct"/>
                  <w:tcBorders>
                    <w:tl2br w:val="nil"/>
                    <w:tr2bl w:val="nil"/>
                  </w:tcBorders>
                  <w:vAlign w:val="center"/>
                </w:tcPr>
                <w:p w14:paraId="1F5C627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163.46</w:t>
                  </w:r>
                  <w:r>
                    <w:rPr>
                      <w:rFonts w:hint="eastAsia" w:cs="Times New Roman"/>
                      <w:i w:val="0"/>
                      <w:iCs w:val="0"/>
                      <w:color w:val="auto"/>
                      <w:kern w:val="0"/>
                      <w:sz w:val="21"/>
                      <w:szCs w:val="21"/>
                      <w:u w:val="single" w:color="auto"/>
                      <w:lang w:val="en-US" w:eastAsia="zh-CN" w:bidi="ar"/>
                    </w:rPr>
                    <w:t>2</w:t>
                  </w:r>
                </w:p>
              </w:tc>
              <w:tc>
                <w:tcPr>
                  <w:tcW w:w="339" w:type="pct"/>
                  <w:tcBorders>
                    <w:tl2br w:val="nil"/>
                    <w:tr2bl w:val="nil"/>
                  </w:tcBorders>
                  <w:vAlign w:val="center"/>
                </w:tcPr>
                <w:p w14:paraId="451C79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30%</w:t>
                  </w:r>
                </w:p>
              </w:tc>
              <w:tc>
                <w:tcPr>
                  <w:tcW w:w="464" w:type="pct"/>
                  <w:tcBorders>
                    <w:tl2br w:val="nil"/>
                    <w:tr2bl w:val="nil"/>
                  </w:tcBorders>
                  <w:vAlign w:val="center"/>
                </w:tcPr>
                <w:p w14:paraId="177FAB7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0.323</w:t>
                  </w:r>
                </w:p>
              </w:tc>
              <w:tc>
                <w:tcPr>
                  <w:tcW w:w="450" w:type="pct"/>
                  <w:tcBorders>
                    <w:tl2br w:val="nil"/>
                    <w:tr2bl w:val="nil"/>
                  </w:tcBorders>
                  <w:vAlign w:val="center"/>
                </w:tcPr>
                <w:p w14:paraId="409FC2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0.269</w:t>
                  </w:r>
                </w:p>
              </w:tc>
              <w:tc>
                <w:tcPr>
                  <w:tcW w:w="486" w:type="pct"/>
                  <w:tcBorders>
                    <w:tl2br w:val="nil"/>
                    <w:tr2bl w:val="nil"/>
                  </w:tcBorders>
                  <w:vAlign w:val="center"/>
                </w:tcPr>
                <w:p w14:paraId="689F95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114.423</w:t>
                  </w:r>
                </w:p>
              </w:tc>
              <w:tc>
                <w:tcPr>
                  <w:tcW w:w="451" w:type="pct"/>
                  <w:tcBorders>
                    <w:tl2br w:val="nil"/>
                    <w:tr2bl w:val="nil"/>
                  </w:tcBorders>
                  <w:vAlign w:val="center"/>
                </w:tcPr>
                <w:p w14:paraId="66EE878D">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300</w:t>
                  </w:r>
                </w:p>
              </w:tc>
            </w:tr>
            <w:tr w14:paraId="7028B9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613" w:type="pct"/>
                  <w:vMerge w:val="continue"/>
                  <w:tcBorders>
                    <w:tl2br w:val="nil"/>
                    <w:tr2bl w:val="nil"/>
                  </w:tcBorders>
                  <w:vAlign w:val="center"/>
                </w:tcPr>
                <w:p w14:paraId="5193DA65">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p>
              </w:tc>
              <w:tc>
                <w:tcPr>
                  <w:tcW w:w="415" w:type="pct"/>
                  <w:tcBorders>
                    <w:tl2br w:val="nil"/>
                    <w:tr2bl w:val="nil"/>
                  </w:tcBorders>
                  <w:vAlign w:val="center"/>
                </w:tcPr>
                <w:p w14:paraId="28AEF234">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颗粒物</w:t>
                  </w:r>
                </w:p>
              </w:tc>
              <w:tc>
                <w:tcPr>
                  <w:tcW w:w="486" w:type="pct"/>
                  <w:vMerge w:val="continue"/>
                  <w:tcBorders>
                    <w:tl2br w:val="nil"/>
                    <w:tr2bl w:val="nil"/>
                  </w:tcBorders>
                  <w:vAlign w:val="center"/>
                </w:tcPr>
                <w:p w14:paraId="7C1F19A6">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single" w:color="auto"/>
                    </w:rPr>
                  </w:pPr>
                </w:p>
              </w:tc>
              <w:tc>
                <w:tcPr>
                  <w:tcW w:w="362" w:type="pct"/>
                  <w:tcBorders>
                    <w:tl2br w:val="nil"/>
                    <w:tr2bl w:val="nil"/>
                  </w:tcBorders>
                  <w:vAlign w:val="center"/>
                </w:tcPr>
                <w:p w14:paraId="08A7EC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0.226</w:t>
                  </w:r>
                </w:p>
              </w:tc>
              <w:tc>
                <w:tcPr>
                  <w:tcW w:w="459" w:type="pct"/>
                  <w:tcBorders>
                    <w:tl2br w:val="nil"/>
                    <w:tr2bl w:val="nil"/>
                  </w:tcBorders>
                  <w:vAlign w:val="center"/>
                </w:tcPr>
                <w:p w14:paraId="380F54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0.18</w:t>
                  </w:r>
                  <w:r>
                    <w:rPr>
                      <w:rFonts w:hint="eastAsia" w:cs="Times New Roman"/>
                      <w:i w:val="0"/>
                      <w:iCs w:val="0"/>
                      <w:color w:val="auto"/>
                      <w:kern w:val="0"/>
                      <w:sz w:val="21"/>
                      <w:szCs w:val="21"/>
                      <w:u w:val="single" w:color="auto"/>
                      <w:lang w:val="en-US" w:eastAsia="zh-CN" w:bidi="ar"/>
                    </w:rPr>
                    <w:t>9</w:t>
                  </w:r>
                </w:p>
              </w:tc>
              <w:tc>
                <w:tcPr>
                  <w:tcW w:w="468" w:type="pct"/>
                  <w:tcBorders>
                    <w:tl2br w:val="nil"/>
                    <w:tr2bl w:val="nil"/>
                  </w:tcBorders>
                  <w:vAlign w:val="center"/>
                </w:tcPr>
                <w:p w14:paraId="4CDDAC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80.128</w:t>
                  </w:r>
                </w:p>
              </w:tc>
              <w:tc>
                <w:tcPr>
                  <w:tcW w:w="339" w:type="pct"/>
                  <w:tcBorders>
                    <w:tl2br w:val="nil"/>
                    <w:tr2bl w:val="nil"/>
                  </w:tcBorders>
                  <w:vAlign w:val="center"/>
                </w:tcPr>
                <w:p w14:paraId="28B2C8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99%</w:t>
                  </w:r>
                </w:p>
              </w:tc>
              <w:tc>
                <w:tcPr>
                  <w:tcW w:w="464" w:type="pct"/>
                  <w:tcBorders>
                    <w:tl2br w:val="nil"/>
                    <w:tr2bl w:val="nil"/>
                  </w:tcBorders>
                  <w:vAlign w:val="center"/>
                </w:tcPr>
                <w:p w14:paraId="2EC455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0.00226</w:t>
                  </w:r>
                </w:p>
              </w:tc>
              <w:tc>
                <w:tcPr>
                  <w:tcW w:w="450" w:type="pct"/>
                  <w:tcBorders>
                    <w:tl2br w:val="nil"/>
                    <w:tr2bl w:val="nil"/>
                  </w:tcBorders>
                  <w:vAlign w:val="center"/>
                </w:tcPr>
                <w:p w14:paraId="6B4499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0.0018</w:t>
                  </w:r>
                  <w:r>
                    <w:rPr>
                      <w:rFonts w:hint="eastAsia" w:cs="Times New Roman"/>
                      <w:i w:val="0"/>
                      <w:iCs w:val="0"/>
                      <w:color w:val="auto"/>
                      <w:kern w:val="0"/>
                      <w:sz w:val="21"/>
                      <w:szCs w:val="21"/>
                      <w:u w:val="single" w:color="auto"/>
                      <w:lang w:val="en-US" w:eastAsia="zh-CN" w:bidi="ar"/>
                    </w:rPr>
                    <w:t>9</w:t>
                  </w:r>
                </w:p>
              </w:tc>
              <w:tc>
                <w:tcPr>
                  <w:tcW w:w="486" w:type="pct"/>
                  <w:tcBorders>
                    <w:tl2br w:val="nil"/>
                    <w:tr2bl w:val="nil"/>
                  </w:tcBorders>
                  <w:vAlign w:val="center"/>
                </w:tcPr>
                <w:p w14:paraId="668F0FE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single" w:color="auto"/>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0.801</w:t>
                  </w:r>
                </w:p>
              </w:tc>
              <w:tc>
                <w:tcPr>
                  <w:tcW w:w="451" w:type="pct"/>
                  <w:tcBorders>
                    <w:tl2br w:val="nil"/>
                    <w:tr2bl w:val="nil"/>
                  </w:tcBorders>
                  <w:vAlign w:val="center"/>
                </w:tcPr>
                <w:p w14:paraId="505F87B5">
                  <w:pPr>
                    <w:keepNext w:val="0"/>
                    <w:keepLines w:val="0"/>
                    <w:pageBreakBefore w:val="0"/>
                    <w:widowControl w:val="0"/>
                    <w:kinsoku/>
                    <w:wordWrap/>
                    <w:overflowPunct/>
                    <w:topLinePunct w:val="0"/>
                    <w:bidi w:val="0"/>
                    <w:snapToGrid/>
                    <w:ind w:left="0" w:leftChars="0" w:right="0" w:rightChars="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cs="Times New Roman"/>
                      <w:color w:val="auto"/>
                      <w:sz w:val="21"/>
                      <w:szCs w:val="21"/>
                      <w:u w:val="single" w:color="auto"/>
                      <w:lang w:val="en-US" w:eastAsia="zh-CN"/>
                    </w:rPr>
                    <w:t>30</w:t>
                  </w:r>
                </w:p>
              </w:tc>
            </w:tr>
            <w:tr w14:paraId="1A1F7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613" w:type="pct"/>
                  <w:tcBorders>
                    <w:tl2br w:val="nil"/>
                    <w:tr2bl w:val="nil"/>
                  </w:tcBorders>
                  <w:vAlign w:val="center"/>
                </w:tcPr>
                <w:p w14:paraId="126D76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粉碎工序</w:t>
                  </w:r>
                </w:p>
              </w:tc>
              <w:tc>
                <w:tcPr>
                  <w:tcW w:w="415" w:type="pct"/>
                  <w:tcBorders>
                    <w:tl2br w:val="nil"/>
                    <w:tr2bl w:val="nil"/>
                  </w:tcBorders>
                  <w:vAlign w:val="center"/>
                </w:tcPr>
                <w:p w14:paraId="72CBC59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颗粒物</w:t>
                  </w:r>
                </w:p>
              </w:tc>
              <w:tc>
                <w:tcPr>
                  <w:tcW w:w="486" w:type="pct"/>
                  <w:tcBorders>
                    <w:tl2br w:val="nil"/>
                    <w:tr2bl w:val="nil"/>
                  </w:tcBorders>
                  <w:vAlign w:val="center"/>
                </w:tcPr>
                <w:p w14:paraId="7DDAE59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62" w:type="pct"/>
                  <w:tcBorders>
                    <w:tl2br w:val="nil"/>
                    <w:tr2bl w:val="nil"/>
                  </w:tcBorders>
                  <w:vAlign w:val="center"/>
                </w:tcPr>
                <w:p w14:paraId="1AC72C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w:t>
                  </w:r>
                </w:p>
              </w:tc>
              <w:tc>
                <w:tcPr>
                  <w:tcW w:w="459" w:type="pct"/>
                  <w:tcBorders>
                    <w:tl2br w:val="nil"/>
                    <w:tr2bl w:val="nil"/>
                  </w:tcBorders>
                  <w:vAlign w:val="center"/>
                </w:tcPr>
                <w:p w14:paraId="6C1170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0.0417</w:t>
                  </w:r>
                </w:p>
              </w:tc>
              <w:tc>
                <w:tcPr>
                  <w:tcW w:w="468" w:type="pct"/>
                  <w:tcBorders>
                    <w:tl2br w:val="nil"/>
                    <w:tr2bl w:val="nil"/>
                  </w:tcBorders>
                  <w:vAlign w:val="center"/>
                </w:tcPr>
                <w:p w14:paraId="21AD00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339" w:type="pct"/>
                  <w:tcBorders>
                    <w:tl2br w:val="nil"/>
                    <w:tr2bl w:val="nil"/>
                  </w:tcBorders>
                  <w:vAlign w:val="center"/>
                </w:tcPr>
                <w:p w14:paraId="660366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95</w:t>
                  </w:r>
                </w:p>
              </w:tc>
              <w:tc>
                <w:tcPr>
                  <w:tcW w:w="464" w:type="pct"/>
                  <w:tcBorders>
                    <w:tl2br w:val="nil"/>
                    <w:tr2bl w:val="nil"/>
                  </w:tcBorders>
                  <w:vAlign w:val="center"/>
                </w:tcPr>
                <w:p w14:paraId="71675E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0.0145</w:t>
                  </w:r>
                </w:p>
              </w:tc>
              <w:tc>
                <w:tcPr>
                  <w:tcW w:w="450" w:type="pct"/>
                  <w:tcBorders>
                    <w:tl2br w:val="nil"/>
                    <w:tr2bl w:val="nil"/>
                  </w:tcBorders>
                  <w:vAlign w:val="center"/>
                </w:tcPr>
                <w:p w14:paraId="0B746C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0.006</w:t>
                  </w:r>
                </w:p>
              </w:tc>
              <w:tc>
                <w:tcPr>
                  <w:tcW w:w="486" w:type="pct"/>
                  <w:tcBorders>
                    <w:tl2br w:val="nil"/>
                    <w:tr2bl w:val="nil"/>
                  </w:tcBorders>
                  <w:vAlign w:val="center"/>
                </w:tcPr>
                <w:p w14:paraId="48A468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451" w:type="pct"/>
                  <w:tcBorders>
                    <w:tl2br w:val="nil"/>
                    <w:tr2bl w:val="nil"/>
                  </w:tcBorders>
                  <w:vAlign w:val="center"/>
                </w:tcPr>
                <w:p w14:paraId="06BCEFF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w:t>
                  </w:r>
                </w:p>
              </w:tc>
            </w:tr>
            <w:tr w14:paraId="24AB8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613" w:type="pct"/>
                  <w:tcBorders>
                    <w:tl2br w:val="nil"/>
                    <w:tr2bl w:val="nil"/>
                  </w:tcBorders>
                  <w:vAlign w:val="center"/>
                </w:tcPr>
                <w:p w14:paraId="6222D54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食堂（DA002）</w:t>
                  </w:r>
                </w:p>
              </w:tc>
              <w:tc>
                <w:tcPr>
                  <w:tcW w:w="415" w:type="pct"/>
                  <w:tcBorders>
                    <w:tl2br w:val="nil"/>
                    <w:tr2bl w:val="nil"/>
                  </w:tcBorders>
                  <w:vAlign w:val="center"/>
                </w:tcPr>
                <w:p w14:paraId="73BDC0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油烟</w:t>
                  </w:r>
                </w:p>
              </w:tc>
              <w:tc>
                <w:tcPr>
                  <w:tcW w:w="486" w:type="pct"/>
                  <w:tcBorders>
                    <w:tl2br w:val="nil"/>
                    <w:tr2bl w:val="nil"/>
                  </w:tcBorders>
                  <w:vAlign w:val="center"/>
                </w:tcPr>
                <w:p w14:paraId="48C595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240</w:t>
                  </w:r>
                </w:p>
              </w:tc>
              <w:tc>
                <w:tcPr>
                  <w:tcW w:w="362" w:type="pct"/>
                  <w:tcBorders>
                    <w:tl2br w:val="nil"/>
                    <w:tr2bl w:val="nil"/>
                  </w:tcBorders>
                  <w:vAlign w:val="center"/>
                </w:tcPr>
                <w:p w14:paraId="181F88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0.0113</w:t>
                  </w:r>
                </w:p>
              </w:tc>
              <w:tc>
                <w:tcPr>
                  <w:tcW w:w="459" w:type="pct"/>
                  <w:tcBorders>
                    <w:tl2br w:val="nil"/>
                    <w:tr2bl w:val="nil"/>
                  </w:tcBorders>
                  <w:vAlign w:val="center"/>
                </w:tcPr>
                <w:p w14:paraId="409D053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0.00941</w:t>
                  </w:r>
                </w:p>
              </w:tc>
              <w:tc>
                <w:tcPr>
                  <w:tcW w:w="468" w:type="pct"/>
                  <w:tcBorders>
                    <w:tl2br w:val="nil"/>
                    <w:tr2bl w:val="nil"/>
                  </w:tcBorders>
                  <w:vAlign w:val="center"/>
                </w:tcPr>
                <w:p w14:paraId="67FFA5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4.705</w:t>
                  </w:r>
                </w:p>
              </w:tc>
              <w:tc>
                <w:tcPr>
                  <w:tcW w:w="339" w:type="pct"/>
                  <w:tcBorders>
                    <w:tl2br w:val="nil"/>
                    <w:tr2bl w:val="nil"/>
                  </w:tcBorders>
                  <w:vAlign w:val="center"/>
                </w:tcPr>
                <w:p w14:paraId="20BDF3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464" w:type="pct"/>
                  <w:tcBorders>
                    <w:tl2br w:val="nil"/>
                    <w:tr2bl w:val="nil"/>
                  </w:tcBorders>
                  <w:vAlign w:val="center"/>
                </w:tcPr>
                <w:p w14:paraId="030F78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0.00283</w:t>
                  </w:r>
                </w:p>
              </w:tc>
              <w:tc>
                <w:tcPr>
                  <w:tcW w:w="450" w:type="pct"/>
                  <w:tcBorders>
                    <w:tl2br w:val="nil"/>
                    <w:tr2bl w:val="nil"/>
                  </w:tcBorders>
                  <w:vAlign w:val="center"/>
                </w:tcPr>
                <w:p w14:paraId="3D2818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0.00236</w:t>
                  </w:r>
                </w:p>
              </w:tc>
              <w:tc>
                <w:tcPr>
                  <w:tcW w:w="486" w:type="pct"/>
                  <w:tcBorders>
                    <w:tl2br w:val="nil"/>
                    <w:tr2bl w:val="nil"/>
                  </w:tcBorders>
                  <w:vAlign w:val="center"/>
                </w:tcPr>
                <w:p w14:paraId="547151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1.18</w:t>
                  </w:r>
                </w:p>
              </w:tc>
              <w:tc>
                <w:tcPr>
                  <w:tcW w:w="451" w:type="pct"/>
                  <w:tcBorders>
                    <w:tl2br w:val="nil"/>
                    <w:tr2bl w:val="nil"/>
                  </w:tcBorders>
                  <w:vAlign w:val="center"/>
                </w:tcPr>
                <w:p w14:paraId="6F983D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w:t>
                  </w:r>
                </w:p>
              </w:tc>
            </w:tr>
          </w:tbl>
          <w:p w14:paraId="757A2B5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sz w:val="24"/>
              </w:rPr>
            </w:pPr>
            <w:r>
              <w:rPr>
                <w:color w:val="auto"/>
                <w:sz w:val="24"/>
              </w:rPr>
              <w:t>②项目大气污染治理设施信息表见表4</w:t>
            </w:r>
            <w:r>
              <w:rPr>
                <w:rFonts w:hint="eastAsia"/>
                <w:color w:val="auto"/>
                <w:sz w:val="24"/>
              </w:rPr>
              <w:t>-</w:t>
            </w:r>
            <w:r>
              <w:rPr>
                <w:rFonts w:hint="eastAsia"/>
                <w:color w:val="auto"/>
                <w:sz w:val="24"/>
                <w:lang w:val="en-US" w:eastAsia="zh-CN"/>
              </w:rPr>
              <w:t>7</w:t>
            </w:r>
            <w:r>
              <w:rPr>
                <w:color w:val="auto"/>
                <w:sz w:val="24"/>
              </w:rPr>
              <w:t>。</w:t>
            </w:r>
          </w:p>
          <w:p w14:paraId="64FEEBFD">
            <w:pPr>
              <w:pStyle w:val="125"/>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b/>
                <w:bCs/>
                <w:color w:val="auto"/>
                <w:spacing w:val="5"/>
                <w:sz w:val="24"/>
                <w:szCs w:val="24"/>
              </w:rPr>
            </w:pPr>
            <w:r>
              <w:rPr>
                <w:rFonts w:hint="default" w:ascii="Times New Roman" w:hAnsi="Times New Roman" w:eastAsia="Times New Roman" w:cs="Times New Roman"/>
                <w:b/>
                <w:bCs/>
                <w:color w:val="auto"/>
                <w:spacing w:val="5"/>
                <w:sz w:val="24"/>
                <w:szCs w:val="24"/>
              </w:rPr>
              <w:t>表4-</w:t>
            </w:r>
            <w:r>
              <w:rPr>
                <w:rFonts w:hint="eastAsia" w:ascii="Times New Roman" w:hAnsi="Times New Roman" w:cs="Times New Roman"/>
                <w:b/>
                <w:bCs/>
                <w:color w:val="auto"/>
                <w:spacing w:val="5"/>
                <w:sz w:val="24"/>
                <w:szCs w:val="24"/>
                <w:lang w:val="en-US" w:eastAsia="zh-CN"/>
              </w:rPr>
              <w:t>7</w:t>
            </w:r>
            <w:r>
              <w:rPr>
                <w:rFonts w:hint="default" w:ascii="Times New Roman" w:hAnsi="Times New Roman" w:eastAsia="Times New Roman" w:cs="Times New Roman"/>
                <w:b/>
                <w:bCs/>
                <w:color w:val="auto"/>
                <w:spacing w:val="5"/>
                <w:sz w:val="24"/>
                <w:szCs w:val="24"/>
              </w:rPr>
              <w:t xml:space="preserve">   治理设施情况一览表</w:t>
            </w:r>
          </w:p>
          <w:tbl>
            <w:tblPr>
              <w:tblStyle w:val="126"/>
              <w:tblW w:w="7757" w:type="dxa"/>
              <w:tblInd w:w="-3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33"/>
              <w:gridCol w:w="1085"/>
              <w:gridCol w:w="2333"/>
              <w:gridCol w:w="887"/>
              <w:gridCol w:w="663"/>
              <w:gridCol w:w="700"/>
              <w:gridCol w:w="956"/>
            </w:tblGrid>
            <w:tr w14:paraId="021CDA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3" w:type="dxa"/>
                  <w:tcBorders>
                    <w:tl2br w:val="nil"/>
                    <w:tr2bl w:val="nil"/>
                  </w:tcBorders>
                  <w:noWrap w:val="0"/>
                  <w:vAlign w:val="center"/>
                </w:tcPr>
                <w:p w14:paraId="3F2C17AC">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7"/>
                      <w:sz w:val="21"/>
                      <w:szCs w:val="21"/>
                      <w:u w:val="none" w:color="auto"/>
                    </w:rPr>
                    <w:t>产排污环</w:t>
                  </w:r>
                  <w:r>
                    <w:rPr>
                      <w:rFonts w:hint="default" w:ascii="Times New Roman" w:hAnsi="Times New Roman" w:eastAsia="宋体" w:cs="Times New Roman"/>
                      <w:color w:val="auto"/>
                      <w:sz w:val="21"/>
                      <w:szCs w:val="21"/>
                      <w:u w:val="none" w:color="auto"/>
                    </w:rPr>
                    <w:t>节</w:t>
                  </w:r>
                </w:p>
              </w:tc>
              <w:tc>
                <w:tcPr>
                  <w:tcW w:w="1085" w:type="dxa"/>
                  <w:tcBorders>
                    <w:tl2br w:val="nil"/>
                    <w:tr2bl w:val="nil"/>
                  </w:tcBorders>
                  <w:noWrap w:val="0"/>
                  <w:vAlign w:val="center"/>
                </w:tcPr>
                <w:p w14:paraId="0547D598">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污染物</w:t>
                  </w:r>
                  <w:r>
                    <w:rPr>
                      <w:rFonts w:hint="default" w:ascii="Times New Roman" w:hAnsi="Times New Roman" w:eastAsia="宋体" w:cs="Times New Roman"/>
                      <w:color w:val="auto"/>
                      <w:spacing w:val="4"/>
                      <w:sz w:val="21"/>
                      <w:szCs w:val="21"/>
                      <w:u w:val="none" w:color="auto"/>
                    </w:rPr>
                    <w:t>种类</w:t>
                  </w:r>
                </w:p>
              </w:tc>
              <w:tc>
                <w:tcPr>
                  <w:tcW w:w="2333" w:type="dxa"/>
                  <w:tcBorders>
                    <w:tl2br w:val="nil"/>
                    <w:tr2bl w:val="nil"/>
                  </w:tcBorders>
                  <w:noWrap w:val="0"/>
                  <w:vAlign w:val="center"/>
                </w:tcPr>
                <w:p w14:paraId="765DB2C5">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治理设施</w:t>
                  </w:r>
                </w:p>
              </w:tc>
              <w:tc>
                <w:tcPr>
                  <w:tcW w:w="887" w:type="dxa"/>
                  <w:tcBorders>
                    <w:tl2br w:val="nil"/>
                    <w:tr2bl w:val="nil"/>
                  </w:tcBorders>
                  <w:noWrap w:val="0"/>
                  <w:vAlign w:val="center"/>
                </w:tcPr>
                <w:p w14:paraId="69890176">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2"/>
                      <w:sz w:val="21"/>
                      <w:szCs w:val="21"/>
                      <w:u w:val="none" w:color="auto"/>
                    </w:rPr>
                    <w:t>处理</w:t>
                  </w:r>
                  <w:r>
                    <w:rPr>
                      <w:rFonts w:hint="default" w:ascii="Times New Roman" w:hAnsi="Times New Roman" w:eastAsia="宋体" w:cs="Times New Roman"/>
                      <w:color w:val="auto"/>
                      <w:sz w:val="21"/>
                      <w:szCs w:val="21"/>
                      <w:u w:val="none" w:color="auto"/>
                    </w:rPr>
                    <w:t>能力</w:t>
                  </w:r>
                  <w:r>
                    <w:rPr>
                      <w:rFonts w:hint="default" w:ascii="Times New Roman" w:hAnsi="Times New Roman" w:eastAsia="宋体" w:cs="Times New Roman"/>
                      <w:color w:val="auto"/>
                      <w:position w:val="1"/>
                      <w:sz w:val="21"/>
                      <w:szCs w:val="21"/>
                      <w:u w:val="none" w:color="auto"/>
                    </w:rPr>
                    <w:t>m</w:t>
                  </w:r>
                  <w:r>
                    <w:rPr>
                      <w:rFonts w:hint="default" w:ascii="Times New Roman" w:hAnsi="Times New Roman" w:eastAsia="宋体" w:cs="Times New Roman"/>
                      <w:color w:val="auto"/>
                      <w:position w:val="1"/>
                      <w:sz w:val="21"/>
                      <w:szCs w:val="21"/>
                      <w:u w:val="none" w:color="auto"/>
                      <w:vertAlign w:val="superscript"/>
                      <w:lang w:val="en-US" w:eastAsia="zh-CN"/>
                    </w:rPr>
                    <w:t>3</w:t>
                  </w:r>
                  <w:r>
                    <w:rPr>
                      <w:rFonts w:hint="default" w:ascii="Times New Roman" w:hAnsi="Times New Roman" w:eastAsia="宋体" w:cs="Times New Roman"/>
                      <w:color w:val="auto"/>
                      <w:position w:val="1"/>
                      <w:sz w:val="21"/>
                      <w:szCs w:val="21"/>
                      <w:u w:val="none" w:color="auto"/>
                    </w:rPr>
                    <w:t>/h</w:t>
                  </w:r>
                </w:p>
              </w:tc>
              <w:tc>
                <w:tcPr>
                  <w:tcW w:w="663" w:type="dxa"/>
                  <w:tcBorders>
                    <w:tl2br w:val="nil"/>
                    <w:tr2bl w:val="nil"/>
                  </w:tcBorders>
                  <w:noWrap w:val="0"/>
                  <w:vAlign w:val="center"/>
                </w:tcPr>
                <w:p w14:paraId="0040FE71">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1"/>
                      <w:sz w:val="21"/>
                      <w:szCs w:val="21"/>
                      <w:u w:val="none" w:color="auto"/>
                    </w:rPr>
                    <w:t>收集</w:t>
                  </w:r>
                  <w:r>
                    <w:rPr>
                      <w:rFonts w:hint="default" w:ascii="Times New Roman" w:hAnsi="Times New Roman" w:eastAsia="宋体" w:cs="Times New Roman"/>
                      <w:color w:val="auto"/>
                      <w:spacing w:val="2"/>
                      <w:sz w:val="21"/>
                      <w:szCs w:val="21"/>
                      <w:u w:val="none" w:color="auto"/>
                    </w:rPr>
                    <w:t>效率</w:t>
                  </w:r>
                  <w:r>
                    <w:rPr>
                      <w:rFonts w:hint="default" w:ascii="Times New Roman" w:hAnsi="Times New Roman" w:eastAsia="宋体" w:cs="Times New Roman"/>
                      <w:color w:val="auto"/>
                      <w:spacing w:val="1"/>
                      <w:position w:val="2"/>
                      <w:sz w:val="21"/>
                      <w:szCs w:val="21"/>
                      <w:u w:val="none" w:color="auto"/>
                    </w:rPr>
                    <w:t>%</w:t>
                  </w:r>
                </w:p>
              </w:tc>
              <w:tc>
                <w:tcPr>
                  <w:tcW w:w="700" w:type="dxa"/>
                  <w:tcBorders>
                    <w:tl2br w:val="nil"/>
                    <w:tr2bl w:val="nil"/>
                  </w:tcBorders>
                  <w:noWrap w:val="0"/>
                  <w:vAlign w:val="center"/>
                </w:tcPr>
                <w:p w14:paraId="44C865AA">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3"/>
                      <w:sz w:val="21"/>
                      <w:szCs w:val="21"/>
                      <w:u w:val="none" w:color="auto"/>
                    </w:rPr>
                    <w:t>去除</w:t>
                  </w:r>
                  <w:r>
                    <w:rPr>
                      <w:rFonts w:hint="default" w:ascii="Times New Roman" w:hAnsi="Times New Roman" w:eastAsia="宋体" w:cs="Times New Roman"/>
                      <w:color w:val="auto"/>
                      <w:spacing w:val="2"/>
                      <w:sz w:val="21"/>
                      <w:szCs w:val="21"/>
                      <w:u w:val="none" w:color="auto"/>
                    </w:rPr>
                    <w:t>效率</w:t>
                  </w:r>
                  <w:r>
                    <w:rPr>
                      <w:rFonts w:hint="default" w:ascii="Times New Roman" w:hAnsi="Times New Roman" w:eastAsia="宋体" w:cs="Times New Roman"/>
                      <w:color w:val="auto"/>
                      <w:spacing w:val="1"/>
                      <w:position w:val="2"/>
                      <w:sz w:val="21"/>
                      <w:szCs w:val="21"/>
                      <w:u w:val="none" w:color="auto"/>
                    </w:rPr>
                    <w:t>%</w:t>
                  </w:r>
                </w:p>
              </w:tc>
              <w:tc>
                <w:tcPr>
                  <w:tcW w:w="956" w:type="dxa"/>
                  <w:tcBorders>
                    <w:tl2br w:val="nil"/>
                    <w:tr2bl w:val="nil"/>
                  </w:tcBorders>
                  <w:noWrap w:val="0"/>
                  <w:vAlign w:val="center"/>
                </w:tcPr>
                <w:p w14:paraId="6773C398">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pacing w:val="6"/>
                      <w:sz w:val="21"/>
                      <w:szCs w:val="21"/>
                      <w:u w:val="none" w:color="auto"/>
                    </w:rPr>
                    <w:t>是否为可</w:t>
                  </w:r>
                  <w:r>
                    <w:rPr>
                      <w:rFonts w:hint="default" w:ascii="Times New Roman" w:hAnsi="Times New Roman" w:eastAsia="宋体" w:cs="Times New Roman"/>
                      <w:color w:val="auto"/>
                      <w:spacing w:val="5"/>
                      <w:sz w:val="21"/>
                      <w:szCs w:val="21"/>
                      <w:u w:val="none" w:color="auto"/>
                    </w:rPr>
                    <w:t>行技术</w:t>
                  </w:r>
                </w:p>
              </w:tc>
            </w:tr>
            <w:tr w14:paraId="23DC3C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3" w:type="dxa"/>
                  <w:vMerge w:val="restart"/>
                  <w:tcBorders>
                    <w:tl2br w:val="nil"/>
                    <w:tr2bl w:val="nil"/>
                  </w:tcBorders>
                  <w:noWrap w:val="0"/>
                  <w:vAlign w:val="center"/>
                </w:tcPr>
                <w:p w14:paraId="4248BF79">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 w:bidi="ar-SA"/>
                    </w:rPr>
                  </w:pPr>
                  <w:r>
                    <w:rPr>
                      <w:rFonts w:hint="eastAsia" w:ascii="Times New Roman" w:hAnsi="Times New Roman" w:eastAsia="宋体" w:cs="Times New Roman"/>
                      <w:color w:val="auto"/>
                      <w:sz w:val="21"/>
                      <w:szCs w:val="21"/>
                      <w:u w:val="none" w:color="auto"/>
                      <w:lang w:val="en-US" w:eastAsia="zh-CN"/>
                    </w:rPr>
                    <w:t>蒸汽发生器废气</w:t>
                  </w:r>
                </w:p>
              </w:tc>
              <w:tc>
                <w:tcPr>
                  <w:tcW w:w="1085" w:type="dxa"/>
                  <w:tcBorders>
                    <w:bottom w:val="single" w:color="auto" w:sz="4" w:space="0"/>
                    <w:tl2br w:val="nil"/>
                    <w:tr2bl w:val="nil"/>
                  </w:tcBorders>
                  <w:noWrap w:val="0"/>
                  <w:vAlign w:val="center"/>
                </w:tcPr>
                <w:p w14:paraId="0C6C7B7F">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pacing w:val="4"/>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2333" w:type="dxa"/>
                  <w:vMerge w:val="restart"/>
                  <w:tcBorders>
                    <w:tl2br w:val="nil"/>
                    <w:tr2bl w:val="nil"/>
                  </w:tcBorders>
                  <w:noWrap w:val="0"/>
                  <w:vAlign w:val="center"/>
                </w:tcPr>
                <w:p w14:paraId="136CCF13">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低氮燃烧、</w:t>
                  </w:r>
                  <w:r>
                    <w:rPr>
                      <w:rFonts w:hint="default" w:ascii="Times New Roman" w:hAnsi="Times New Roman" w:eastAsia="宋体" w:cs="Times New Roman"/>
                      <w:color w:val="auto"/>
                      <w:sz w:val="21"/>
                      <w:szCs w:val="21"/>
                      <w:u w:val="none" w:color="auto"/>
                      <w:lang w:eastAsia="zh-CN"/>
                    </w:rPr>
                    <w:t>布袋</w:t>
                  </w:r>
                  <w:r>
                    <w:rPr>
                      <w:rFonts w:hint="default" w:ascii="Times New Roman" w:hAnsi="Times New Roman" w:eastAsia="宋体" w:cs="Times New Roman"/>
                      <w:color w:val="auto"/>
                      <w:sz w:val="21"/>
                      <w:szCs w:val="21"/>
                      <w:u w:val="none" w:color="auto"/>
                    </w:rPr>
                    <w:t>除尘器+</w:t>
                  </w:r>
                  <w:r>
                    <w:rPr>
                      <w:rFonts w:hint="default" w:ascii="Times New Roman" w:hAnsi="Times New Roman" w:eastAsia="宋体"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rPr>
                    <w:t>5m排气筒</w:t>
                  </w:r>
                  <w:r>
                    <w:rPr>
                      <w:rFonts w:hint="default" w:ascii="Times New Roman" w:hAnsi="Times New Roman" w:eastAsia="宋体" w:cs="Times New Roman"/>
                      <w:color w:val="auto"/>
                      <w:sz w:val="21"/>
                      <w:szCs w:val="21"/>
                      <w:u w:val="none" w:color="auto"/>
                      <w:lang w:val="en-US" w:eastAsia="zh-CN"/>
                    </w:rPr>
                    <w:t>高空</w:t>
                  </w:r>
                  <w:r>
                    <w:rPr>
                      <w:rFonts w:hint="default" w:ascii="Times New Roman" w:hAnsi="Times New Roman" w:eastAsia="宋体" w:cs="Times New Roman"/>
                      <w:color w:val="auto"/>
                      <w:sz w:val="21"/>
                      <w:szCs w:val="21"/>
                      <w:u w:val="none" w:color="auto"/>
                    </w:rPr>
                    <w:t>排放</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eastAsia="zh-CN"/>
                    </w:rPr>
                    <w:t>DA00</w:t>
                  </w:r>
                  <w:r>
                    <w:rPr>
                      <w:rFonts w:hint="default" w:ascii="Times New Roman" w:hAnsi="Times New Roman" w:eastAsia="宋体" w:cs="Times New Roman"/>
                      <w:color w:val="auto"/>
                      <w:sz w:val="21"/>
                      <w:szCs w:val="21"/>
                      <w:u w:val="none" w:color="auto"/>
                      <w:lang w:val="en-US" w:eastAsia="zh-CN"/>
                    </w:rPr>
                    <w:t>1）</w:t>
                  </w:r>
                </w:p>
              </w:tc>
              <w:tc>
                <w:tcPr>
                  <w:tcW w:w="887" w:type="dxa"/>
                  <w:tcBorders>
                    <w:bottom w:val="single" w:color="auto" w:sz="4" w:space="0"/>
                    <w:tl2br w:val="nil"/>
                    <w:tr2bl w:val="nil"/>
                  </w:tcBorders>
                  <w:noWrap w:val="0"/>
                  <w:vAlign w:val="center"/>
                </w:tcPr>
                <w:p w14:paraId="210B24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w:t>
                  </w:r>
                </w:p>
              </w:tc>
              <w:tc>
                <w:tcPr>
                  <w:tcW w:w="663" w:type="dxa"/>
                  <w:tcBorders>
                    <w:bottom w:val="single" w:color="auto" w:sz="4" w:space="0"/>
                    <w:tl2br w:val="nil"/>
                    <w:tr2bl w:val="nil"/>
                  </w:tcBorders>
                  <w:noWrap w:val="0"/>
                  <w:vAlign w:val="center"/>
                </w:tcPr>
                <w:p w14:paraId="121296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w:t>
                  </w:r>
                </w:p>
              </w:tc>
              <w:tc>
                <w:tcPr>
                  <w:tcW w:w="700" w:type="dxa"/>
                  <w:tcBorders>
                    <w:bottom w:val="single" w:color="auto" w:sz="4" w:space="0"/>
                    <w:tl2br w:val="nil"/>
                    <w:tr2bl w:val="nil"/>
                  </w:tcBorders>
                  <w:noWrap w:val="0"/>
                  <w:vAlign w:val="center"/>
                </w:tcPr>
                <w:p w14:paraId="1B6D09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w:t>
                  </w:r>
                </w:p>
              </w:tc>
              <w:tc>
                <w:tcPr>
                  <w:tcW w:w="956" w:type="dxa"/>
                  <w:tcBorders>
                    <w:bottom w:val="single" w:color="auto" w:sz="4" w:space="0"/>
                    <w:tl2br w:val="nil"/>
                    <w:tr2bl w:val="nil"/>
                  </w:tcBorders>
                  <w:noWrap w:val="0"/>
                  <w:vAlign w:val="center"/>
                </w:tcPr>
                <w:p w14:paraId="5F1F64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是</w:t>
                  </w:r>
                </w:p>
              </w:tc>
            </w:tr>
            <w:tr w14:paraId="6A9557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3" w:type="dxa"/>
                  <w:vMerge w:val="continue"/>
                  <w:tcBorders>
                    <w:tl2br w:val="nil"/>
                    <w:tr2bl w:val="nil"/>
                  </w:tcBorders>
                  <w:noWrap w:val="0"/>
                  <w:vAlign w:val="center"/>
                </w:tcPr>
                <w:p w14:paraId="38F59BB0">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1085" w:type="dxa"/>
                  <w:tcBorders>
                    <w:top w:val="single" w:color="auto" w:sz="4" w:space="0"/>
                    <w:bottom w:val="single" w:color="auto" w:sz="4" w:space="0"/>
                    <w:tl2br w:val="nil"/>
                    <w:tr2bl w:val="nil"/>
                  </w:tcBorders>
                  <w:noWrap w:val="0"/>
                  <w:vAlign w:val="center"/>
                </w:tcPr>
                <w:p w14:paraId="1DB67189">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X</w:t>
                  </w:r>
                </w:p>
              </w:tc>
              <w:tc>
                <w:tcPr>
                  <w:tcW w:w="2333" w:type="dxa"/>
                  <w:vMerge w:val="continue"/>
                  <w:tcBorders>
                    <w:tl2br w:val="nil"/>
                    <w:tr2bl w:val="nil"/>
                  </w:tcBorders>
                  <w:noWrap w:val="0"/>
                  <w:vAlign w:val="center"/>
                </w:tcPr>
                <w:p w14:paraId="14BE98C9">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887" w:type="dxa"/>
                  <w:tcBorders>
                    <w:top w:val="single" w:color="auto" w:sz="4" w:space="0"/>
                    <w:bottom w:val="single" w:color="auto" w:sz="4" w:space="0"/>
                    <w:tl2br w:val="nil"/>
                    <w:tr2bl w:val="nil"/>
                  </w:tcBorders>
                  <w:noWrap w:val="0"/>
                  <w:vAlign w:val="center"/>
                </w:tcPr>
                <w:p w14:paraId="6AA509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63" w:type="dxa"/>
                  <w:tcBorders>
                    <w:top w:val="single" w:color="auto" w:sz="4" w:space="0"/>
                    <w:bottom w:val="single" w:color="auto" w:sz="4" w:space="0"/>
                    <w:tl2br w:val="nil"/>
                    <w:tr2bl w:val="nil"/>
                  </w:tcBorders>
                  <w:noWrap w:val="0"/>
                  <w:vAlign w:val="center"/>
                </w:tcPr>
                <w:p w14:paraId="504757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700" w:type="dxa"/>
                  <w:tcBorders>
                    <w:top w:val="single" w:color="auto" w:sz="4" w:space="0"/>
                    <w:bottom w:val="single" w:color="auto" w:sz="4" w:space="0"/>
                    <w:tl2br w:val="nil"/>
                    <w:tr2bl w:val="nil"/>
                  </w:tcBorders>
                  <w:noWrap w:val="0"/>
                  <w:vAlign w:val="center"/>
                </w:tcPr>
                <w:p w14:paraId="2F24BDDA">
                  <w:pPr>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30</w:t>
                  </w:r>
                </w:p>
              </w:tc>
              <w:tc>
                <w:tcPr>
                  <w:tcW w:w="956" w:type="dxa"/>
                  <w:tcBorders>
                    <w:top w:val="single" w:color="auto" w:sz="4" w:space="0"/>
                    <w:bottom w:val="single" w:color="auto" w:sz="4" w:space="0"/>
                    <w:tl2br w:val="nil"/>
                    <w:tr2bl w:val="nil"/>
                  </w:tcBorders>
                  <w:noWrap w:val="0"/>
                  <w:vAlign w:val="center"/>
                </w:tcPr>
                <w:p w14:paraId="181B92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是</w:t>
                  </w:r>
                </w:p>
              </w:tc>
            </w:tr>
            <w:tr w14:paraId="0145AF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3" w:type="dxa"/>
                  <w:vMerge w:val="continue"/>
                  <w:tcBorders>
                    <w:tl2br w:val="nil"/>
                    <w:tr2bl w:val="nil"/>
                  </w:tcBorders>
                  <w:noWrap w:val="0"/>
                  <w:vAlign w:val="center"/>
                </w:tcPr>
                <w:p w14:paraId="4681B59F">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1085" w:type="dxa"/>
                  <w:tcBorders>
                    <w:top w:val="single" w:color="auto" w:sz="4" w:space="0"/>
                    <w:bottom w:val="single" w:color="auto" w:sz="4" w:space="0"/>
                    <w:tl2br w:val="nil"/>
                    <w:tr2bl w:val="nil"/>
                  </w:tcBorders>
                  <w:noWrap w:val="0"/>
                  <w:vAlign w:val="center"/>
                </w:tcPr>
                <w:p w14:paraId="1B87ABCB">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z w:val="21"/>
                      <w:szCs w:val="21"/>
                      <w:u w:val="none" w:color="auto"/>
                    </w:rPr>
                    <w:t>颗粒物</w:t>
                  </w:r>
                </w:p>
              </w:tc>
              <w:tc>
                <w:tcPr>
                  <w:tcW w:w="2333" w:type="dxa"/>
                  <w:vMerge w:val="continue"/>
                  <w:tcBorders>
                    <w:bottom w:val="single" w:color="auto" w:sz="4" w:space="0"/>
                    <w:tl2br w:val="nil"/>
                    <w:tr2bl w:val="nil"/>
                  </w:tcBorders>
                  <w:noWrap w:val="0"/>
                  <w:vAlign w:val="center"/>
                </w:tcPr>
                <w:p w14:paraId="664EA59F">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887" w:type="dxa"/>
                  <w:tcBorders>
                    <w:top w:val="single" w:color="auto" w:sz="4" w:space="0"/>
                    <w:bottom w:val="single" w:color="auto" w:sz="4" w:space="0"/>
                    <w:tl2br w:val="nil"/>
                    <w:tr2bl w:val="nil"/>
                  </w:tcBorders>
                  <w:noWrap w:val="0"/>
                  <w:vAlign w:val="center"/>
                </w:tcPr>
                <w:p w14:paraId="148AC4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63" w:type="dxa"/>
                  <w:tcBorders>
                    <w:top w:val="single" w:color="auto" w:sz="4" w:space="0"/>
                    <w:bottom w:val="single" w:color="auto" w:sz="4" w:space="0"/>
                    <w:tl2br w:val="nil"/>
                    <w:tr2bl w:val="nil"/>
                  </w:tcBorders>
                  <w:noWrap w:val="0"/>
                  <w:vAlign w:val="center"/>
                </w:tcPr>
                <w:p w14:paraId="5AFCB2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700" w:type="dxa"/>
                  <w:tcBorders>
                    <w:top w:val="single" w:color="auto" w:sz="4" w:space="0"/>
                    <w:bottom w:val="single" w:color="auto" w:sz="4" w:space="0"/>
                    <w:tl2br w:val="nil"/>
                    <w:tr2bl w:val="nil"/>
                  </w:tcBorders>
                  <w:noWrap w:val="0"/>
                  <w:vAlign w:val="center"/>
                </w:tcPr>
                <w:p w14:paraId="62C1568E">
                  <w:pPr>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99</w:t>
                  </w:r>
                </w:p>
              </w:tc>
              <w:tc>
                <w:tcPr>
                  <w:tcW w:w="956" w:type="dxa"/>
                  <w:tcBorders>
                    <w:top w:val="single" w:color="auto" w:sz="4" w:space="0"/>
                    <w:bottom w:val="single" w:color="auto" w:sz="4" w:space="0"/>
                    <w:tl2br w:val="nil"/>
                    <w:tr2bl w:val="nil"/>
                  </w:tcBorders>
                  <w:noWrap w:val="0"/>
                  <w:vAlign w:val="center"/>
                </w:tcPr>
                <w:p w14:paraId="46759B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是</w:t>
                  </w:r>
                </w:p>
              </w:tc>
            </w:tr>
            <w:tr w14:paraId="680149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3" w:type="dxa"/>
                  <w:vMerge w:val="restart"/>
                  <w:tcBorders>
                    <w:tl2br w:val="nil"/>
                    <w:tr2bl w:val="nil"/>
                  </w:tcBorders>
                  <w:noWrap w:val="0"/>
                  <w:vAlign w:val="center"/>
                </w:tcPr>
                <w:p w14:paraId="1650DBED">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热风炉废气</w:t>
                  </w:r>
                </w:p>
              </w:tc>
              <w:tc>
                <w:tcPr>
                  <w:tcW w:w="1085" w:type="dxa"/>
                  <w:tcBorders>
                    <w:top w:val="single" w:color="auto" w:sz="4" w:space="0"/>
                    <w:bottom w:val="single" w:color="auto" w:sz="4" w:space="0"/>
                    <w:tl2br w:val="nil"/>
                    <w:tr2bl w:val="nil"/>
                  </w:tcBorders>
                  <w:noWrap w:val="0"/>
                  <w:vAlign w:val="center"/>
                </w:tcPr>
                <w:p w14:paraId="37AE4723">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2333" w:type="dxa"/>
                  <w:vMerge w:val="restart"/>
                  <w:tcBorders>
                    <w:tl2br w:val="nil"/>
                    <w:tr2bl w:val="nil"/>
                  </w:tcBorders>
                  <w:noWrap w:val="0"/>
                  <w:vAlign w:val="center"/>
                </w:tcPr>
                <w:p w14:paraId="46C76D84">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低氮燃烧、</w:t>
                  </w:r>
                  <w:r>
                    <w:rPr>
                      <w:rFonts w:hint="eastAsia" w:cs="Times New Roman"/>
                      <w:color w:val="auto"/>
                      <w:sz w:val="21"/>
                      <w:szCs w:val="21"/>
                      <w:u w:val="none" w:color="auto"/>
                      <w:lang w:val="en-US" w:eastAsia="zh-CN"/>
                    </w:rPr>
                    <w:t>“布袋除尘+活性炭”</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rPr>
                    <w:t>5m排气筒</w:t>
                  </w:r>
                  <w:r>
                    <w:rPr>
                      <w:rFonts w:hint="default" w:ascii="Times New Roman" w:hAnsi="Times New Roman" w:eastAsia="宋体" w:cs="Times New Roman"/>
                      <w:color w:val="auto"/>
                      <w:sz w:val="21"/>
                      <w:szCs w:val="21"/>
                      <w:u w:val="none" w:color="auto"/>
                      <w:lang w:val="en-US" w:eastAsia="zh-CN"/>
                    </w:rPr>
                    <w:t>高空</w:t>
                  </w:r>
                  <w:r>
                    <w:rPr>
                      <w:rFonts w:hint="default" w:ascii="Times New Roman" w:hAnsi="Times New Roman" w:eastAsia="宋体" w:cs="Times New Roman"/>
                      <w:color w:val="auto"/>
                      <w:sz w:val="21"/>
                      <w:szCs w:val="21"/>
                      <w:u w:val="none" w:color="auto"/>
                    </w:rPr>
                    <w:t>排放</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eastAsia="zh-CN"/>
                    </w:rPr>
                    <w:t>DA00</w:t>
                  </w:r>
                  <w:r>
                    <w:rPr>
                      <w:rFonts w:hint="eastAsia" w:ascii="Times New Roman" w:hAnsi="Times New Roman" w:eastAsia="宋体"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lang w:val="en-US" w:eastAsia="zh-CN"/>
                    </w:rPr>
                    <w:t>）</w:t>
                  </w:r>
                </w:p>
              </w:tc>
              <w:tc>
                <w:tcPr>
                  <w:tcW w:w="887" w:type="dxa"/>
                  <w:tcBorders>
                    <w:top w:val="single" w:color="auto" w:sz="4" w:space="0"/>
                    <w:bottom w:val="single" w:color="auto" w:sz="4" w:space="0"/>
                    <w:tl2br w:val="nil"/>
                    <w:tr2bl w:val="nil"/>
                  </w:tcBorders>
                  <w:noWrap w:val="0"/>
                  <w:vAlign w:val="center"/>
                </w:tcPr>
                <w:p w14:paraId="0E7FC3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63" w:type="dxa"/>
                  <w:tcBorders>
                    <w:top w:val="single" w:color="auto" w:sz="4" w:space="0"/>
                    <w:bottom w:val="single" w:color="auto" w:sz="4" w:space="0"/>
                    <w:tl2br w:val="nil"/>
                    <w:tr2bl w:val="nil"/>
                  </w:tcBorders>
                  <w:noWrap w:val="0"/>
                  <w:vAlign w:val="center"/>
                </w:tcPr>
                <w:p w14:paraId="430599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700" w:type="dxa"/>
                  <w:tcBorders>
                    <w:top w:val="single" w:color="auto" w:sz="4" w:space="0"/>
                    <w:bottom w:val="single" w:color="auto" w:sz="4" w:space="0"/>
                    <w:tl2br w:val="nil"/>
                    <w:tr2bl w:val="nil"/>
                  </w:tcBorders>
                  <w:noWrap w:val="0"/>
                  <w:vAlign w:val="center"/>
                </w:tcPr>
                <w:p w14:paraId="101605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color="auto"/>
                      <w:lang w:val="en-US" w:eastAsia="zh-CN"/>
                    </w:rPr>
                  </w:pPr>
                  <w:r>
                    <w:rPr>
                      <w:rFonts w:hint="eastAsia" w:cs="Times New Roman"/>
                      <w:color w:val="auto"/>
                      <w:kern w:val="2"/>
                      <w:sz w:val="21"/>
                      <w:szCs w:val="21"/>
                      <w:u w:val="none" w:color="auto"/>
                      <w:lang w:val="en-US" w:eastAsia="zh-CN" w:bidi="ar-SA"/>
                    </w:rPr>
                    <w:t>90</w:t>
                  </w:r>
                </w:p>
              </w:tc>
              <w:tc>
                <w:tcPr>
                  <w:tcW w:w="956" w:type="dxa"/>
                  <w:tcBorders>
                    <w:top w:val="single" w:color="auto" w:sz="4" w:space="0"/>
                    <w:bottom w:val="single" w:color="auto" w:sz="4" w:space="0"/>
                    <w:tl2br w:val="nil"/>
                    <w:tr2bl w:val="nil"/>
                  </w:tcBorders>
                  <w:noWrap w:val="0"/>
                  <w:vAlign w:val="center"/>
                </w:tcPr>
                <w:p w14:paraId="1A0FB6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是</w:t>
                  </w:r>
                </w:p>
              </w:tc>
            </w:tr>
            <w:tr w14:paraId="5F4A44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3" w:type="dxa"/>
                  <w:vMerge w:val="continue"/>
                  <w:tcBorders>
                    <w:tl2br w:val="nil"/>
                    <w:tr2bl w:val="nil"/>
                  </w:tcBorders>
                  <w:noWrap w:val="0"/>
                  <w:vAlign w:val="center"/>
                </w:tcPr>
                <w:p w14:paraId="7CAC9ADD">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1085" w:type="dxa"/>
                  <w:tcBorders>
                    <w:top w:val="single" w:color="auto" w:sz="4" w:space="0"/>
                    <w:bottom w:val="single" w:color="auto" w:sz="4" w:space="0"/>
                    <w:tl2br w:val="nil"/>
                    <w:tr2bl w:val="nil"/>
                  </w:tcBorders>
                  <w:noWrap w:val="0"/>
                  <w:vAlign w:val="center"/>
                </w:tcPr>
                <w:p w14:paraId="5744989E">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X</w:t>
                  </w:r>
                </w:p>
              </w:tc>
              <w:tc>
                <w:tcPr>
                  <w:tcW w:w="2333" w:type="dxa"/>
                  <w:vMerge w:val="continue"/>
                  <w:tcBorders>
                    <w:tl2br w:val="nil"/>
                    <w:tr2bl w:val="nil"/>
                  </w:tcBorders>
                  <w:noWrap w:val="0"/>
                  <w:vAlign w:val="center"/>
                </w:tcPr>
                <w:p w14:paraId="2327298B">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887" w:type="dxa"/>
                  <w:tcBorders>
                    <w:top w:val="single" w:color="auto" w:sz="4" w:space="0"/>
                    <w:bottom w:val="single" w:color="auto" w:sz="4" w:space="0"/>
                    <w:tl2br w:val="nil"/>
                    <w:tr2bl w:val="nil"/>
                  </w:tcBorders>
                  <w:noWrap w:val="0"/>
                  <w:vAlign w:val="center"/>
                </w:tcPr>
                <w:p w14:paraId="5C7A8E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63" w:type="dxa"/>
                  <w:tcBorders>
                    <w:top w:val="single" w:color="auto" w:sz="4" w:space="0"/>
                    <w:bottom w:val="single" w:color="auto" w:sz="4" w:space="0"/>
                    <w:tl2br w:val="nil"/>
                    <w:tr2bl w:val="nil"/>
                  </w:tcBorders>
                  <w:noWrap w:val="0"/>
                  <w:vAlign w:val="center"/>
                </w:tcPr>
                <w:p w14:paraId="28DA8C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700" w:type="dxa"/>
                  <w:tcBorders>
                    <w:top w:val="single" w:color="auto" w:sz="4" w:space="0"/>
                    <w:bottom w:val="single" w:color="auto" w:sz="4" w:space="0"/>
                    <w:tl2br w:val="nil"/>
                    <w:tr2bl w:val="nil"/>
                  </w:tcBorders>
                  <w:noWrap w:val="0"/>
                  <w:vAlign w:val="center"/>
                </w:tcPr>
                <w:p w14:paraId="4E35F67D">
                  <w:pPr>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30</w:t>
                  </w:r>
                </w:p>
              </w:tc>
              <w:tc>
                <w:tcPr>
                  <w:tcW w:w="956" w:type="dxa"/>
                  <w:tcBorders>
                    <w:top w:val="single" w:color="auto" w:sz="4" w:space="0"/>
                    <w:bottom w:val="single" w:color="auto" w:sz="4" w:space="0"/>
                    <w:tl2br w:val="nil"/>
                    <w:tr2bl w:val="nil"/>
                  </w:tcBorders>
                  <w:noWrap w:val="0"/>
                  <w:vAlign w:val="center"/>
                </w:tcPr>
                <w:p w14:paraId="02C21C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是</w:t>
                  </w:r>
                </w:p>
              </w:tc>
            </w:tr>
            <w:tr w14:paraId="0E2589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3" w:type="dxa"/>
                  <w:vMerge w:val="continue"/>
                  <w:tcBorders>
                    <w:tl2br w:val="nil"/>
                    <w:tr2bl w:val="nil"/>
                  </w:tcBorders>
                  <w:noWrap w:val="0"/>
                  <w:vAlign w:val="center"/>
                </w:tcPr>
                <w:p w14:paraId="0E9F91D3">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1085" w:type="dxa"/>
                  <w:tcBorders>
                    <w:top w:val="single" w:color="auto" w:sz="4" w:space="0"/>
                    <w:bottom w:val="single" w:color="auto" w:sz="4" w:space="0"/>
                    <w:tl2br w:val="nil"/>
                    <w:tr2bl w:val="nil"/>
                  </w:tcBorders>
                  <w:noWrap w:val="0"/>
                  <w:vAlign w:val="center"/>
                </w:tcPr>
                <w:p w14:paraId="7A634BAF">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颗粒物</w:t>
                  </w:r>
                </w:p>
              </w:tc>
              <w:tc>
                <w:tcPr>
                  <w:tcW w:w="2333" w:type="dxa"/>
                  <w:vMerge w:val="continue"/>
                  <w:tcBorders>
                    <w:bottom w:val="single" w:color="auto" w:sz="4" w:space="0"/>
                    <w:tl2br w:val="nil"/>
                    <w:tr2bl w:val="nil"/>
                  </w:tcBorders>
                  <w:noWrap w:val="0"/>
                  <w:vAlign w:val="center"/>
                </w:tcPr>
                <w:p w14:paraId="71A47B38">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p>
              </w:tc>
              <w:tc>
                <w:tcPr>
                  <w:tcW w:w="887" w:type="dxa"/>
                  <w:tcBorders>
                    <w:top w:val="single" w:color="auto" w:sz="4" w:space="0"/>
                    <w:bottom w:val="single" w:color="auto" w:sz="4" w:space="0"/>
                    <w:tl2br w:val="nil"/>
                    <w:tr2bl w:val="nil"/>
                  </w:tcBorders>
                  <w:noWrap w:val="0"/>
                  <w:vAlign w:val="center"/>
                </w:tcPr>
                <w:p w14:paraId="69DB19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663" w:type="dxa"/>
                  <w:tcBorders>
                    <w:top w:val="single" w:color="auto" w:sz="4" w:space="0"/>
                    <w:bottom w:val="single" w:color="auto" w:sz="4" w:space="0"/>
                    <w:tl2br w:val="nil"/>
                    <w:tr2bl w:val="nil"/>
                  </w:tcBorders>
                  <w:noWrap w:val="0"/>
                  <w:vAlign w:val="center"/>
                </w:tcPr>
                <w:p w14:paraId="1E812E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700" w:type="dxa"/>
                  <w:tcBorders>
                    <w:top w:val="single" w:color="auto" w:sz="4" w:space="0"/>
                    <w:bottom w:val="single" w:color="auto" w:sz="4" w:space="0"/>
                    <w:tl2br w:val="nil"/>
                    <w:tr2bl w:val="nil"/>
                  </w:tcBorders>
                  <w:noWrap w:val="0"/>
                  <w:vAlign w:val="center"/>
                </w:tcPr>
                <w:p w14:paraId="0C9CF31E">
                  <w:pPr>
                    <w:snapToGrid w:val="0"/>
                    <w:spacing w:line="240" w:lineRule="auto"/>
                    <w:jc w:val="center"/>
                    <w:rPr>
                      <w:rFonts w:hint="default" w:ascii="Times New Roman" w:hAnsi="Times New Roman" w:eastAsia="宋体" w:cs="Times New Roman"/>
                      <w:color w:val="auto"/>
                      <w:kern w:val="0"/>
                      <w:sz w:val="21"/>
                      <w:szCs w:val="21"/>
                      <w:u w:val="none" w:color="auto"/>
                      <w:lang w:val="en-US" w:eastAsia="zh-CN"/>
                    </w:rPr>
                  </w:pPr>
                  <w:r>
                    <w:rPr>
                      <w:rFonts w:hint="default" w:ascii="Times New Roman" w:hAnsi="Times New Roman" w:eastAsia="宋体" w:cs="Times New Roman"/>
                      <w:color w:val="auto"/>
                      <w:kern w:val="0"/>
                      <w:sz w:val="21"/>
                      <w:szCs w:val="21"/>
                      <w:u w:val="none" w:color="auto"/>
                      <w:lang w:val="en-US" w:eastAsia="zh-CN"/>
                    </w:rPr>
                    <w:t>99</w:t>
                  </w:r>
                </w:p>
              </w:tc>
              <w:tc>
                <w:tcPr>
                  <w:tcW w:w="956" w:type="dxa"/>
                  <w:tcBorders>
                    <w:top w:val="single" w:color="auto" w:sz="4" w:space="0"/>
                    <w:bottom w:val="single" w:color="auto" w:sz="4" w:space="0"/>
                    <w:tl2br w:val="nil"/>
                    <w:tr2bl w:val="nil"/>
                  </w:tcBorders>
                  <w:noWrap w:val="0"/>
                  <w:vAlign w:val="center"/>
                </w:tcPr>
                <w:p w14:paraId="3FF1CB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是</w:t>
                  </w:r>
                </w:p>
              </w:tc>
            </w:tr>
            <w:tr w14:paraId="35D1E8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3" w:type="dxa"/>
                  <w:tcBorders>
                    <w:tl2br w:val="nil"/>
                    <w:tr2bl w:val="nil"/>
                  </w:tcBorders>
                  <w:noWrap w:val="0"/>
                  <w:vAlign w:val="center"/>
                </w:tcPr>
                <w:p w14:paraId="21AE7276">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粉碎粉尘</w:t>
                  </w:r>
                </w:p>
              </w:tc>
              <w:tc>
                <w:tcPr>
                  <w:tcW w:w="1085" w:type="dxa"/>
                  <w:tcBorders>
                    <w:top w:val="single" w:color="auto" w:sz="4" w:space="0"/>
                    <w:bottom w:val="single" w:color="auto" w:sz="4" w:space="0"/>
                    <w:tl2br w:val="nil"/>
                    <w:tr2bl w:val="nil"/>
                  </w:tcBorders>
                  <w:noWrap w:val="0"/>
                  <w:vAlign w:val="center"/>
                </w:tcPr>
                <w:p w14:paraId="5B72396E">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z w:val="21"/>
                      <w:szCs w:val="21"/>
                      <w:u w:val="none" w:color="auto"/>
                      <w:lang w:val="en-US" w:eastAsia="zh-CN"/>
                    </w:rPr>
                    <w:t>颗粒物</w:t>
                  </w:r>
                </w:p>
              </w:tc>
              <w:tc>
                <w:tcPr>
                  <w:tcW w:w="2333" w:type="dxa"/>
                  <w:tcBorders>
                    <w:top w:val="single" w:color="auto" w:sz="4" w:space="0"/>
                    <w:bottom w:val="single" w:color="auto" w:sz="4" w:space="0"/>
                    <w:tl2br w:val="nil"/>
                    <w:tr2bl w:val="nil"/>
                  </w:tcBorders>
                  <w:noWrap w:val="0"/>
                  <w:vAlign w:val="center"/>
                </w:tcPr>
                <w:p w14:paraId="678C6DBD">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布袋除尘器</w:t>
                  </w:r>
                </w:p>
              </w:tc>
              <w:tc>
                <w:tcPr>
                  <w:tcW w:w="887" w:type="dxa"/>
                  <w:tcBorders>
                    <w:top w:val="single" w:color="auto" w:sz="4" w:space="0"/>
                    <w:bottom w:val="single" w:color="auto" w:sz="4" w:space="0"/>
                    <w:tl2br w:val="nil"/>
                    <w:tr2bl w:val="nil"/>
                  </w:tcBorders>
                  <w:noWrap w:val="0"/>
                  <w:vAlign w:val="center"/>
                </w:tcPr>
                <w:p w14:paraId="7C8509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tc>
              <w:tc>
                <w:tcPr>
                  <w:tcW w:w="663" w:type="dxa"/>
                  <w:tcBorders>
                    <w:top w:val="single" w:color="auto" w:sz="4" w:space="0"/>
                    <w:bottom w:val="single" w:color="auto" w:sz="4" w:space="0"/>
                    <w:tl2br w:val="nil"/>
                    <w:tr2bl w:val="nil"/>
                  </w:tcBorders>
                  <w:noWrap w:val="0"/>
                  <w:vAlign w:val="center"/>
                </w:tcPr>
                <w:p w14:paraId="5E97E5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90</w:t>
                  </w:r>
                </w:p>
              </w:tc>
              <w:tc>
                <w:tcPr>
                  <w:tcW w:w="700" w:type="dxa"/>
                  <w:tcBorders>
                    <w:top w:val="single" w:color="auto" w:sz="4" w:space="0"/>
                    <w:bottom w:val="single" w:color="auto" w:sz="4" w:space="0"/>
                    <w:tl2br w:val="nil"/>
                    <w:tr2bl w:val="nil"/>
                  </w:tcBorders>
                  <w:noWrap w:val="0"/>
                  <w:vAlign w:val="center"/>
                </w:tcPr>
                <w:p w14:paraId="35D371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95</w:t>
                  </w:r>
                </w:p>
              </w:tc>
              <w:tc>
                <w:tcPr>
                  <w:tcW w:w="956" w:type="dxa"/>
                  <w:tcBorders>
                    <w:top w:val="single" w:color="auto" w:sz="4" w:space="0"/>
                    <w:bottom w:val="single" w:color="auto" w:sz="4" w:space="0"/>
                    <w:tl2br w:val="nil"/>
                    <w:tr2bl w:val="nil"/>
                  </w:tcBorders>
                  <w:noWrap w:val="0"/>
                  <w:vAlign w:val="center"/>
                </w:tcPr>
                <w:p w14:paraId="6BA67E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是</w:t>
                  </w:r>
                </w:p>
              </w:tc>
            </w:tr>
            <w:tr w14:paraId="0E2BC4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3" w:type="dxa"/>
                  <w:tcBorders>
                    <w:tl2br w:val="nil"/>
                    <w:tr2bl w:val="nil"/>
                  </w:tcBorders>
                  <w:noWrap w:val="0"/>
                  <w:vAlign w:val="center"/>
                </w:tcPr>
                <w:p w14:paraId="6B155F52">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食堂</w:t>
                  </w:r>
                </w:p>
              </w:tc>
              <w:tc>
                <w:tcPr>
                  <w:tcW w:w="1085" w:type="dxa"/>
                  <w:tcBorders>
                    <w:top w:val="single" w:color="auto" w:sz="4" w:space="0"/>
                    <w:tl2br w:val="nil"/>
                    <w:tr2bl w:val="nil"/>
                  </w:tcBorders>
                  <w:noWrap w:val="0"/>
                  <w:vAlign w:val="center"/>
                </w:tcPr>
                <w:p w14:paraId="68B302F2">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pacing w:val="5"/>
                      <w:sz w:val="21"/>
                      <w:szCs w:val="21"/>
                      <w:u w:val="none" w:color="auto"/>
                    </w:rPr>
                  </w:pPr>
                  <w:r>
                    <w:rPr>
                      <w:rFonts w:hint="default" w:ascii="Times New Roman" w:hAnsi="Times New Roman" w:eastAsia="宋体" w:cs="Times New Roman"/>
                      <w:color w:val="auto"/>
                      <w:sz w:val="21"/>
                      <w:szCs w:val="21"/>
                      <w:u w:val="none" w:color="auto"/>
                      <w:lang w:val="en-US" w:eastAsia="zh-CN"/>
                    </w:rPr>
                    <w:t>油烟</w:t>
                  </w:r>
                </w:p>
              </w:tc>
              <w:tc>
                <w:tcPr>
                  <w:tcW w:w="2333" w:type="dxa"/>
                  <w:tcBorders>
                    <w:top w:val="single" w:color="auto" w:sz="4" w:space="0"/>
                    <w:tl2br w:val="nil"/>
                    <w:tr2bl w:val="nil"/>
                  </w:tcBorders>
                  <w:noWrap w:val="0"/>
                  <w:vAlign w:val="center"/>
                </w:tcPr>
                <w:p w14:paraId="68F14C91">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highlight w:val="none"/>
                      <w:u w:val="none" w:color="auto"/>
                      <w:lang w:eastAsia="zh-CN"/>
                    </w:rPr>
                    <w:t>高效</w:t>
                  </w:r>
                  <w:r>
                    <w:rPr>
                      <w:rFonts w:hint="default" w:ascii="Times New Roman" w:hAnsi="Times New Roman" w:eastAsia="宋体" w:cs="Times New Roman"/>
                      <w:color w:val="auto"/>
                      <w:sz w:val="21"/>
                      <w:szCs w:val="21"/>
                      <w:highlight w:val="none"/>
                      <w:u w:val="none" w:color="auto"/>
                    </w:rPr>
                    <w:t>油烟净化器</w:t>
                  </w:r>
                  <w:r>
                    <w:rPr>
                      <w:rFonts w:hint="default" w:ascii="Times New Roman" w:hAnsi="Times New Roman" w:eastAsia="宋体" w:cs="Times New Roman"/>
                      <w:color w:val="auto"/>
                      <w:sz w:val="21"/>
                      <w:szCs w:val="21"/>
                      <w:highlight w:val="none"/>
                      <w:u w:val="none" w:color="auto"/>
                      <w:lang w:val="en-US" w:eastAsia="zh-CN"/>
                    </w:rPr>
                    <w:t>+</w:t>
                  </w:r>
                  <w:r>
                    <w:rPr>
                      <w:rFonts w:hint="default" w:ascii="Times New Roman" w:hAnsi="Times New Roman" w:eastAsia="宋体" w:cs="Times New Roman"/>
                      <w:color w:val="auto"/>
                      <w:sz w:val="21"/>
                      <w:szCs w:val="21"/>
                      <w:highlight w:val="none"/>
                      <w:u w:val="none" w:color="auto"/>
                    </w:rPr>
                    <w:t>专用排烟管道</w:t>
                  </w:r>
                  <w:r>
                    <w:rPr>
                      <w:rFonts w:hint="default" w:ascii="Times New Roman" w:hAnsi="Times New Roman" w:eastAsia="宋体" w:cs="Times New Roman"/>
                      <w:color w:val="auto"/>
                      <w:sz w:val="21"/>
                      <w:szCs w:val="21"/>
                      <w:u w:val="none" w:color="auto"/>
                      <w:lang w:val="en-US" w:eastAsia="zh-CN"/>
                    </w:rPr>
                    <w:t>高空</w:t>
                  </w:r>
                  <w:r>
                    <w:rPr>
                      <w:rFonts w:hint="default" w:ascii="Times New Roman" w:hAnsi="Times New Roman" w:eastAsia="宋体" w:cs="Times New Roman"/>
                      <w:color w:val="auto"/>
                      <w:sz w:val="21"/>
                      <w:szCs w:val="21"/>
                      <w:u w:val="none" w:color="auto"/>
                    </w:rPr>
                    <w:t>排放</w:t>
                  </w:r>
                  <w:r>
                    <w:rPr>
                      <w:rFonts w:hint="default"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eastAsia="zh-CN"/>
                    </w:rPr>
                    <w:t>DA00</w:t>
                  </w:r>
                  <w:r>
                    <w:rPr>
                      <w:rFonts w:hint="eastAsia" w:cs="Times New Roman"/>
                      <w:color w:val="auto"/>
                      <w:sz w:val="21"/>
                      <w:szCs w:val="21"/>
                      <w:u w:val="none" w:color="auto"/>
                      <w:lang w:val="en-US" w:eastAsia="zh-CN"/>
                    </w:rPr>
                    <w:t>3</w:t>
                  </w:r>
                  <w:r>
                    <w:rPr>
                      <w:rFonts w:hint="default" w:ascii="Times New Roman" w:hAnsi="Times New Roman" w:eastAsia="宋体" w:cs="Times New Roman"/>
                      <w:color w:val="auto"/>
                      <w:sz w:val="21"/>
                      <w:szCs w:val="21"/>
                      <w:u w:val="none" w:color="auto"/>
                      <w:lang w:val="en-US" w:eastAsia="zh-CN"/>
                    </w:rPr>
                    <w:t>）</w:t>
                  </w:r>
                </w:p>
              </w:tc>
              <w:tc>
                <w:tcPr>
                  <w:tcW w:w="887" w:type="dxa"/>
                  <w:tcBorders>
                    <w:top w:val="single" w:color="auto" w:sz="4" w:space="0"/>
                    <w:tl2br w:val="nil"/>
                    <w:tr2bl w:val="nil"/>
                  </w:tcBorders>
                  <w:noWrap w:val="0"/>
                  <w:vAlign w:val="center"/>
                </w:tcPr>
                <w:p w14:paraId="61C602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200</w:t>
                  </w:r>
                  <w:r>
                    <w:rPr>
                      <w:rFonts w:hint="eastAsia" w:ascii="Times New Roman" w:hAnsi="Times New Roman" w:eastAsia="宋体" w:cs="Times New Roman"/>
                      <w:color w:val="auto"/>
                      <w:sz w:val="21"/>
                      <w:szCs w:val="21"/>
                      <w:u w:val="none" w:color="auto"/>
                      <w:lang w:val="en-US" w:eastAsia="zh-CN"/>
                    </w:rPr>
                    <w:t>0</w:t>
                  </w:r>
                </w:p>
              </w:tc>
              <w:tc>
                <w:tcPr>
                  <w:tcW w:w="663" w:type="dxa"/>
                  <w:tcBorders>
                    <w:top w:val="single" w:color="auto" w:sz="4" w:space="0"/>
                    <w:tl2br w:val="nil"/>
                    <w:tr2bl w:val="nil"/>
                  </w:tcBorders>
                  <w:noWrap w:val="0"/>
                  <w:vAlign w:val="center"/>
                </w:tcPr>
                <w:p w14:paraId="2B0F5B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p>
              </w:tc>
              <w:tc>
                <w:tcPr>
                  <w:tcW w:w="700" w:type="dxa"/>
                  <w:tcBorders>
                    <w:top w:val="single" w:color="auto" w:sz="4" w:space="0"/>
                    <w:tl2br w:val="nil"/>
                    <w:tr2bl w:val="nil"/>
                  </w:tcBorders>
                  <w:noWrap w:val="0"/>
                  <w:vAlign w:val="center"/>
                </w:tcPr>
                <w:p w14:paraId="09EC9B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75</w:t>
                  </w:r>
                </w:p>
              </w:tc>
              <w:tc>
                <w:tcPr>
                  <w:tcW w:w="956" w:type="dxa"/>
                  <w:tcBorders>
                    <w:top w:val="single" w:color="auto" w:sz="4" w:space="0"/>
                    <w:tl2br w:val="nil"/>
                    <w:tr2bl w:val="nil"/>
                  </w:tcBorders>
                  <w:noWrap w:val="0"/>
                  <w:vAlign w:val="center"/>
                </w:tcPr>
                <w:p w14:paraId="184239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是</w:t>
                  </w:r>
                </w:p>
              </w:tc>
            </w:tr>
          </w:tbl>
          <w:p w14:paraId="215E4A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rPr>
            </w:pPr>
            <w:r>
              <w:rPr>
                <w:color w:val="auto"/>
                <w:sz w:val="24"/>
              </w:rPr>
              <w:t>③项目大气排放口基本情况表见表4</w:t>
            </w:r>
            <w:r>
              <w:rPr>
                <w:rFonts w:hint="eastAsia"/>
                <w:color w:val="auto"/>
                <w:sz w:val="24"/>
              </w:rPr>
              <w:t>-</w:t>
            </w:r>
            <w:r>
              <w:rPr>
                <w:rFonts w:hint="eastAsia"/>
                <w:color w:val="auto"/>
                <w:sz w:val="24"/>
                <w:lang w:val="en-US" w:eastAsia="zh-CN"/>
              </w:rPr>
              <w:t>8</w:t>
            </w:r>
            <w:r>
              <w:rPr>
                <w:color w:val="auto"/>
                <w:sz w:val="24"/>
              </w:rPr>
              <w:t>。</w:t>
            </w:r>
          </w:p>
          <w:p w14:paraId="28FF5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表4-</w:t>
            </w:r>
            <w:r>
              <w:rPr>
                <w:rFonts w:hint="eastAsia" w:cs="Times New Roman"/>
                <w:b/>
                <w:color w:val="auto"/>
                <w:sz w:val="24"/>
                <w:szCs w:val="24"/>
                <w:u w:val="none" w:color="auto"/>
                <w:lang w:val="en-US" w:eastAsia="zh-CN"/>
              </w:rPr>
              <w:t>8</w:t>
            </w:r>
            <w:r>
              <w:rPr>
                <w:rFonts w:hint="default" w:ascii="Times New Roman" w:hAnsi="Times New Roman" w:eastAsia="宋体" w:cs="Times New Roman"/>
                <w:b/>
                <w:color w:val="auto"/>
                <w:sz w:val="24"/>
                <w:szCs w:val="24"/>
                <w:u w:val="none" w:color="auto"/>
              </w:rPr>
              <w:t xml:space="preserve"> </w:t>
            </w:r>
            <w:r>
              <w:rPr>
                <w:rFonts w:hint="eastAsia" w:cs="Times New Roman"/>
                <w:b/>
                <w:color w:val="auto"/>
                <w:sz w:val="24"/>
                <w:szCs w:val="24"/>
                <w:u w:val="none" w:color="auto"/>
                <w:lang w:val="en-US" w:eastAsia="zh-CN"/>
              </w:rPr>
              <w:t xml:space="preserve">  </w:t>
            </w:r>
            <w:r>
              <w:rPr>
                <w:rFonts w:hint="default" w:ascii="Times New Roman" w:hAnsi="Times New Roman" w:eastAsia="宋体" w:cs="Times New Roman"/>
                <w:b/>
                <w:color w:val="auto"/>
                <w:sz w:val="24"/>
                <w:szCs w:val="24"/>
                <w:u w:val="none" w:color="auto"/>
              </w:rPr>
              <w:t>项目</w:t>
            </w:r>
            <w:r>
              <w:rPr>
                <w:rFonts w:hint="default" w:ascii="Times New Roman" w:hAnsi="Times New Roman" w:eastAsia="Times New Roman" w:cs="Times New Roman"/>
                <w:b/>
                <w:bCs/>
                <w:color w:val="auto"/>
                <w:spacing w:val="5"/>
                <w:sz w:val="24"/>
                <w:szCs w:val="24"/>
              </w:rPr>
              <w:t>排放口基本情况一览表</w:t>
            </w:r>
          </w:p>
          <w:tbl>
            <w:tblPr>
              <w:tblStyle w:val="32"/>
              <w:tblW w:w="7827" w:type="dxa"/>
              <w:tblInd w:w="-7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362"/>
              <w:gridCol w:w="898"/>
              <w:gridCol w:w="975"/>
              <w:gridCol w:w="712"/>
              <w:gridCol w:w="718"/>
              <w:gridCol w:w="807"/>
              <w:gridCol w:w="785"/>
              <w:gridCol w:w="682"/>
              <w:gridCol w:w="746"/>
              <w:gridCol w:w="1142"/>
            </w:tblGrid>
            <w:tr w14:paraId="5C436F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2" w:type="dxa"/>
                  <w:vMerge w:val="restart"/>
                  <w:tcBorders>
                    <w:tl2br w:val="nil"/>
                    <w:tr2bl w:val="nil"/>
                  </w:tcBorders>
                  <w:shd w:val="clear" w:color="auto" w:fill="auto"/>
                  <w:vAlign w:val="center"/>
                </w:tcPr>
                <w:p w14:paraId="032DFCB8">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编号</w:t>
                  </w:r>
                </w:p>
              </w:tc>
              <w:tc>
                <w:tcPr>
                  <w:tcW w:w="898" w:type="dxa"/>
                  <w:vMerge w:val="restart"/>
                  <w:tcBorders>
                    <w:tl2br w:val="nil"/>
                    <w:tr2bl w:val="nil"/>
                  </w:tcBorders>
                  <w:shd w:val="clear" w:color="auto" w:fill="auto"/>
                  <w:vAlign w:val="center"/>
                </w:tcPr>
                <w:p w14:paraId="06C91086">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污染物名称</w:t>
                  </w:r>
                </w:p>
              </w:tc>
              <w:tc>
                <w:tcPr>
                  <w:tcW w:w="975" w:type="dxa"/>
                  <w:vMerge w:val="restart"/>
                  <w:tcBorders>
                    <w:tl2br w:val="nil"/>
                    <w:tr2bl w:val="nil"/>
                  </w:tcBorders>
                  <w:shd w:val="clear" w:color="auto" w:fill="auto"/>
                  <w:vAlign w:val="center"/>
                </w:tcPr>
                <w:p w14:paraId="2965C930">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处理方式</w:t>
                  </w:r>
                </w:p>
              </w:tc>
              <w:tc>
                <w:tcPr>
                  <w:tcW w:w="3022" w:type="dxa"/>
                  <w:gridSpan w:val="4"/>
                  <w:tcBorders>
                    <w:tl2br w:val="nil"/>
                    <w:tr2bl w:val="nil"/>
                  </w:tcBorders>
                  <w:shd w:val="clear" w:color="auto" w:fill="auto"/>
                  <w:vAlign w:val="center"/>
                </w:tcPr>
                <w:p w14:paraId="4978DA45">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排放参数</w:t>
                  </w:r>
                </w:p>
              </w:tc>
              <w:tc>
                <w:tcPr>
                  <w:tcW w:w="682" w:type="dxa"/>
                  <w:vMerge w:val="restart"/>
                  <w:tcBorders>
                    <w:tl2br w:val="nil"/>
                    <w:tr2bl w:val="nil"/>
                  </w:tcBorders>
                  <w:shd w:val="clear" w:color="auto" w:fill="auto"/>
                  <w:vAlign w:val="center"/>
                </w:tcPr>
                <w:p w14:paraId="6D184CCA">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工作时间（h）</w:t>
                  </w:r>
                </w:p>
              </w:tc>
              <w:tc>
                <w:tcPr>
                  <w:tcW w:w="746" w:type="dxa"/>
                  <w:vMerge w:val="restart"/>
                  <w:tcBorders>
                    <w:tl2br w:val="nil"/>
                    <w:tr2bl w:val="nil"/>
                  </w:tcBorders>
                  <w:shd w:val="clear" w:color="auto" w:fill="auto"/>
                  <w:vAlign w:val="center"/>
                </w:tcPr>
                <w:p w14:paraId="2882DE67">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排气筒编号</w:t>
                  </w:r>
                </w:p>
              </w:tc>
              <w:tc>
                <w:tcPr>
                  <w:tcW w:w="1142" w:type="dxa"/>
                  <w:vMerge w:val="restart"/>
                  <w:tcBorders>
                    <w:tl2br w:val="nil"/>
                    <w:tr2bl w:val="nil"/>
                  </w:tcBorders>
                  <w:shd w:val="clear" w:color="auto" w:fill="auto"/>
                  <w:vAlign w:val="center"/>
                </w:tcPr>
                <w:p w14:paraId="0D23A664">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排气筒坐标</w:t>
                  </w:r>
                </w:p>
              </w:tc>
            </w:tr>
            <w:tr w14:paraId="2CEC8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362" w:type="dxa"/>
                  <w:vMerge w:val="continue"/>
                  <w:tcBorders>
                    <w:tl2br w:val="nil"/>
                    <w:tr2bl w:val="nil"/>
                  </w:tcBorders>
                  <w:shd w:val="clear" w:color="auto" w:fill="auto"/>
                  <w:vAlign w:val="center"/>
                </w:tcPr>
                <w:p w14:paraId="606AB464">
                  <w:pPr>
                    <w:widowControl/>
                    <w:spacing w:line="240" w:lineRule="atLeast"/>
                    <w:jc w:val="center"/>
                    <w:rPr>
                      <w:rFonts w:hint="default" w:ascii="Times New Roman" w:hAnsi="Times New Roman" w:eastAsia="宋体" w:cs="Times New Roman"/>
                      <w:color w:val="auto"/>
                      <w:sz w:val="21"/>
                      <w:szCs w:val="21"/>
                      <w:u w:val="none" w:color="auto"/>
                    </w:rPr>
                  </w:pPr>
                </w:p>
              </w:tc>
              <w:tc>
                <w:tcPr>
                  <w:tcW w:w="898" w:type="dxa"/>
                  <w:vMerge w:val="continue"/>
                  <w:tcBorders>
                    <w:tl2br w:val="nil"/>
                    <w:tr2bl w:val="nil"/>
                  </w:tcBorders>
                  <w:shd w:val="clear" w:color="auto" w:fill="auto"/>
                  <w:vAlign w:val="center"/>
                </w:tcPr>
                <w:p w14:paraId="024F7AA8">
                  <w:pPr>
                    <w:widowControl/>
                    <w:spacing w:line="240" w:lineRule="atLeast"/>
                    <w:jc w:val="center"/>
                    <w:rPr>
                      <w:rFonts w:hint="default" w:ascii="Times New Roman" w:hAnsi="Times New Roman" w:eastAsia="宋体" w:cs="Times New Roman"/>
                      <w:color w:val="auto"/>
                      <w:sz w:val="21"/>
                      <w:szCs w:val="21"/>
                      <w:u w:val="none" w:color="auto"/>
                    </w:rPr>
                  </w:pPr>
                </w:p>
              </w:tc>
              <w:tc>
                <w:tcPr>
                  <w:tcW w:w="975" w:type="dxa"/>
                  <w:vMerge w:val="continue"/>
                  <w:tcBorders>
                    <w:tl2br w:val="nil"/>
                    <w:tr2bl w:val="nil"/>
                  </w:tcBorders>
                  <w:shd w:val="clear" w:color="auto" w:fill="auto"/>
                  <w:vAlign w:val="center"/>
                </w:tcPr>
                <w:p w14:paraId="59B28E4D">
                  <w:pPr>
                    <w:widowControl/>
                    <w:spacing w:line="240" w:lineRule="atLeast"/>
                    <w:jc w:val="center"/>
                    <w:rPr>
                      <w:rFonts w:hint="default" w:ascii="Times New Roman" w:hAnsi="Times New Roman" w:eastAsia="宋体" w:cs="Times New Roman"/>
                      <w:color w:val="auto"/>
                      <w:sz w:val="21"/>
                      <w:szCs w:val="21"/>
                      <w:u w:val="none" w:color="auto"/>
                    </w:rPr>
                  </w:pPr>
                </w:p>
              </w:tc>
              <w:tc>
                <w:tcPr>
                  <w:tcW w:w="712" w:type="dxa"/>
                  <w:tcBorders>
                    <w:tl2br w:val="nil"/>
                    <w:tr2bl w:val="nil"/>
                  </w:tcBorders>
                  <w:shd w:val="clear" w:color="auto" w:fill="auto"/>
                  <w:vAlign w:val="center"/>
                </w:tcPr>
                <w:p w14:paraId="4980C475">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高度（m）</w:t>
                  </w:r>
                </w:p>
              </w:tc>
              <w:tc>
                <w:tcPr>
                  <w:tcW w:w="718" w:type="dxa"/>
                  <w:tcBorders>
                    <w:tl2br w:val="nil"/>
                    <w:tr2bl w:val="nil"/>
                  </w:tcBorders>
                  <w:shd w:val="clear" w:color="auto" w:fill="auto"/>
                  <w:vAlign w:val="center"/>
                </w:tcPr>
                <w:p w14:paraId="318020D6">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内径（m）</w:t>
                  </w:r>
                </w:p>
              </w:tc>
              <w:tc>
                <w:tcPr>
                  <w:tcW w:w="807" w:type="dxa"/>
                  <w:tcBorders>
                    <w:tl2br w:val="nil"/>
                    <w:tr2bl w:val="nil"/>
                  </w:tcBorders>
                  <w:shd w:val="clear" w:color="auto" w:fill="auto"/>
                  <w:vAlign w:val="center"/>
                </w:tcPr>
                <w:p w14:paraId="1AC64885">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风量（</w:t>
                  </w:r>
                  <w:r>
                    <w:rPr>
                      <w:rFonts w:hint="default" w:ascii="Times New Roman" w:hAnsi="Times New Roman" w:eastAsia="宋体" w:cs="Times New Roman"/>
                      <w:color w:val="auto"/>
                      <w:spacing w:val="4"/>
                      <w:sz w:val="21"/>
                      <w:szCs w:val="21"/>
                      <w:u w:val="none" w:color="auto"/>
                    </w:rPr>
                    <w:t>万m</w:t>
                  </w:r>
                  <w:r>
                    <w:rPr>
                      <w:rFonts w:hint="default" w:ascii="Times New Roman" w:hAnsi="Times New Roman" w:eastAsia="宋体" w:cs="Times New Roman"/>
                      <w:color w:val="auto"/>
                      <w:spacing w:val="4"/>
                      <w:sz w:val="21"/>
                      <w:szCs w:val="21"/>
                      <w:u w:val="none" w:color="auto"/>
                      <w:vertAlign w:val="superscript"/>
                    </w:rPr>
                    <w:t>3</w:t>
                  </w:r>
                  <w:r>
                    <w:rPr>
                      <w:rFonts w:hint="default" w:ascii="Times New Roman" w:hAnsi="Times New Roman" w:eastAsia="宋体" w:cs="Times New Roman"/>
                      <w:color w:val="auto"/>
                      <w:spacing w:val="4"/>
                      <w:sz w:val="21"/>
                      <w:szCs w:val="21"/>
                      <w:u w:val="none" w:color="auto"/>
                    </w:rPr>
                    <w:t>/a</w:t>
                  </w:r>
                  <w:r>
                    <w:rPr>
                      <w:rFonts w:hint="default" w:ascii="Times New Roman" w:hAnsi="Times New Roman" w:eastAsia="宋体" w:cs="Times New Roman"/>
                      <w:color w:val="auto"/>
                      <w:sz w:val="21"/>
                      <w:szCs w:val="21"/>
                      <w:u w:val="none" w:color="auto"/>
                    </w:rPr>
                    <w:t>）</w:t>
                  </w:r>
                </w:p>
              </w:tc>
              <w:tc>
                <w:tcPr>
                  <w:tcW w:w="785" w:type="dxa"/>
                  <w:tcBorders>
                    <w:tl2br w:val="nil"/>
                    <w:tr2bl w:val="nil"/>
                  </w:tcBorders>
                  <w:shd w:val="clear" w:color="auto" w:fill="auto"/>
                  <w:vAlign w:val="center"/>
                </w:tcPr>
                <w:p w14:paraId="6EE8C8C3">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排放温度（℃）</w:t>
                  </w:r>
                </w:p>
              </w:tc>
              <w:tc>
                <w:tcPr>
                  <w:tcW w:w="682" w:type="dxa"/>
                  <w:vMerge w:val="continue"/>
                  <w:tcBorders>
                    <w:tl2br w:val="nil"/>
                    <w:tr2bl w:val="nil"/>
                  </w:tcBorders>
                  <w:shd w:val="clear" w:color="auto" w:fill="auto"/>
                  <w:vAlign w:val="center"/>
                </w:tcPr>
                <w:p w14:paraId="16EB6F7D">
                  <w:pPr>
                    <w:widowControl/>
                    <w:spacing w:line="240" w:lineRule="atLeast"/>
                    <w:jc w:val="center"/>
                    <w:rPr>
                      <w:rFonts w:hint="default" w:ascii="Times New Roman" w:hAnsi="Times New Roman" w:eastAsia="宋体" w:cs="Times New Roman"/>
                      <w:color w:val="auto"/>
                      <w:sz w:val="21"/>
                      <w:szCs w:val="21"/>
                      <w:u w:val="none" w:color="auto"/>
                    </w:rPr>
                  </w:pPr>
                </w:p>
              </w:tc>
              <w:tc>
                <w:tcPr>
                  <w:tcW w:w="746" w:type="dxa"/>
                  <w:vMerge w:val="continue"/>
                  <w:tcBorders>
                    <w:tl2br w:val="nil"/>
                    <w:tr2bl w:val="nil"/>
                  </w:tcBorders>
                  <w:shd w:val="clear" w:color="auto" w:fill="auto"/>
                  <w:vAlign w:val="center"/>
                </w:tcPr>
                <w:p w14:paraId="408EAEF0">
                  <w:pPr>
                    <w:widowControl/>
                    <w:spacing w:line="240" w:lineRule="atLeast"/>
                    <w:jc w:val="center"/>
                    <w:rPr>
                      <w:rFonts w:hint="default" w:ascii="Times New Roman" w:hAnsi="Times New Roman" w:eastAsia="宋体" w:cs="Times New Roman"/>
                      <w:color w:val="auto"/>
                      <w:sz w:val="21"/>
                      <w:szCs w:val="21"/>
                      <w:u w:val="none" w:color="auto"/>
                    </w:rPr>
                  </w:pPr>
                </w:p>
              </w:tc>
              <w:tc>
                <w:tcPr>
                  <w:tcW w:w="1142" w:type="dxa"/>
                  <w:vMerge w:val="continue"/>
                  <w:tcBorders>
                    <w:tl2br w:val="nil"/>
                    <w:tr2bl w:val="nil"/>
                  </w:tcBorders>
                  <w:shd w:val="clear" w:color="auto" w:fill="auto"/>
                  <w:vAlign w:val="center"/>
                </w:tcPr>
                <w:p w14:paraId="511F5373">
                  <w:pPr>
                    <w:widowControl/>
                    <w:spacing w:line="240" w:lineRule="atLeast"/>
                    <w:jc w:val="center"/>
                    <w:rPr>
                      <w:rFonts w:hint="default" w:ascii="Times New Roman" w:hAnsi="Times New Roman" w:eastAsia="宋体" w:cs="Times New Roman"/>
                      <w:color w:val="auto"/>
                      <w:sz w:val="21"/>
                      <w:szCs w:val="21"/>
                      <w:u w:val="none" w:color="auto"/>
                    </w:rPr>
                  </w:pPr>
                </w:p>
              </w:tc>
            </w:tr>
            <w:tr w14:paraId="0D536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2" w:type="dxa"/>
                  <w:tcBorders>
                    <w:tl2br w:val="nil"/>
                    <w:tr2bl w:val="nil"/>
                  </w:tcBorders>
                  <w:shd w:val="clear" w:color="auto" w:fill="auto"/>
                  <w:vAlign w:val="center"/>
                </w:tcPr>
                <w:p w14:paraId="79970400">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898" w:type="dxa"/>
                  <w:tcBorders>
                    <w:tl2br w:val="nil"/>
                    <w:tr2bl w:val="nil"/>
                  </w:tcBorders>
                  <w:shd w:val="clear" w:color="auto" w:fill="auto"/>
                  <w:vAlign w:val="center"/>
                </w:tcPr>
                <w:p w14:paraId="3F252AD7">
                  <w:pPr>
                    <w:widowControl/>
                    <w:spacing w:line="240" w:lineRule="atLeast"/>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生物质燃烧废气</w:t>
                  </w:r>
                </w:p>
              </w:tc>
              <w:tc>
                <w:tcPr>
                  <w:tcW w:w="975" w:type="dxa"/>
                  <w:tcBorders>
                    <w:tl2br w:val="nil"/>
                    <w:tr2bl w:val="nil"/>
                  </w:tcBorders>
                  <w:shd w:val="clear" w:color="auto" w:fill="auto"/>
                  <w:vAlign w:val="center"/>
                </w:tcPr>
                <w:p w14:paraId="779E5407">
                  <w:pPr>
                    <w:widowControl/>
                    <w:spacing w:line="240" w:lineRule="atLeast"/>
                    <w:jc w:val="center"/>
                    <w:rPr>
                      <w:rFonts w:hint="default" w:cs="Times New Roman"/>
                      <w:color w:val="auto"/>
                      <w:sz w:val="21"/>
                      <w:szCs w:val="21"/>
                      <w:u w:val="none" w:color="auto"/>
                      <w:lang w:val="en-US" w:eastAsia="zh-CN"/>
                    </w:rPr>
                  </w:pPr>
                  <w:r>
                    <w:rPr>
                      <w:rFonts w:hint="default" w:cs="Times New Roman"/>
                      <w:color w:val="auto"/>
                      <w:sz w:val="21"/>
                      <w:szCs w:val="21"/>
                      <w:u w:val="none" w:color="auto"/>
                      <w:lang w:val="en-US" w:eastAsia="zh-CN"/>
                    </w:rPr>
                    <w:t>低氮燃烧、</w:t>
                  </w:r>
                  <w:r>
                    <w:rPr>
                      <w:rFonts w:hint="eastAsia" w:cs="Times New Roman"/>
                      <w:color w:val="auto"/>
                      <w:sz w:val="21"/>
                      <w:szCs w:val="21"/>
                      <w:u w:val="none" w:color="auto"/>
                      <w:lang w:val="en-US" w:eastAsia="zh-CN"/>
                    </w:rPr>
                    <w:t>布袋</w:t>
                  </w:r>
                  <w:r>
                    <w:rPr>
                      <w:rFonts w:hint="default" w:cs="Times New Roman"/>
                      <w:color w:val="auto"/>
                      <w:sz w:val="21"/>
                      <w:szCs w:val="21"/>
                      <w:u w:val="none" w:color="auto"/>
                      <w:lang w:val="en-US" w:eastAsia="zh-CN"/>
                    </w:rPr>
                    <w:t>除尘</w:t>
                  </w:r>
                </w:p>
              </w:tc>
              <w:tc>
                <w:tcPr>
                  <w:tcW w:w="712" w:type="dxa"/>
                  <w:tcBorders>
                    <w:tl2br w:val="nil"/>
                    <w:tr2bl w:val="nil"/>
                  </w:tcBorders>
                  <w:shd w:val="clear" w:color="auto" w:fill="auto"/>
                  <w:vAlign w:val="center"/>
                </w:tcPr>
                <w:p w14:paraId="50D94D4C">
                  <w:pPr>
                    <w:widowControl/>
                    <w:spacing w:line="240" w:lineRule="atLeast"/>
                    <w:jc w:val="center"/>
                    <w:rPr>
                      <w:rFonts w:hint="default"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lang w:val="en-US" w:eastAsia="zh-CN"/>
                    </w:rPr>
                    <w:t>5</w:t>
                  </w:r>
                </w:p>
              </w:tc>
              <w:tc>
                <w:tcPr>
                  <w:tcW w:w="718" w:type="dxa"/>
                  <w:tcBorders>
                    <w:tl2br w:val="nil"/>
                    <w:tr2bl w:val="nil"/>
                  </w:tcBorders>
                  <w:shd w:val="clear" w:color="auto" w:fill="auto"/>
                  <w:vAlign w:val="center"/>
                </w:tcPr>
                <w:p w14:paraId="4451EA0C">
                  <w:pPr>
                    <w:widowControl/>
                    <w:spacing w:line="240" w:lineRule="atLeast"/>
                    <w:jc w:val="center"/>
                    <w:rPr>
                      <w:rFonts w:hint="eastAsia"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0.</w:t>
                  </w:r>
                  <w:r>
                    <w:rPr>
                      <w:rFonts w:hint="eastAsia" w:ascii="Times New Roman" w:hAnsi="Times New Roman" w:eastAsia="宋体" w:cs="Times New Roman"/>
                      <w:color w:val="auto"/>
                      <w:sz w:val="21"/>
                      <w:szCs w:val="21"/>
                      <w:u w:val="none" w:color="auto"/>
                      <w:lang w:val="en-US" w:eastAsia="zh-CN"/>
                    </w:rPr>
                    <w:t>4</w:t>
                  </w:r>
                </w:p>
              </w:tc>
              <w:tc>
                <w:tcPr>
                  <w:tcW w:w="807" w:type="dxa"/>
                  <w:tcBorders>
                    <w:tl2br w:val="nil"/>
                    <w:tr2bl w:val="nil"/>
                  </w:tcBorders>
                  <w:shd w:val="clear" w:color="auto" w:fill="auto"/>
                  <w:vAlign w:val="center"/>
                </w:tcPr>
                <w:p w14:paraId="7246CE0C">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176.8</w:t>
                  </w:r>
                  <w:r>
                    <w:rPr>
                      <w:rFonts w:hint="eastAsia" w:ascii="Times New Roman" w:hAnsi="Times New Roman" w:eastAsia="宋体" w:cs="Times New Roman"/>
                      <w:i w:val="0"/>
                      <w:iCs w:val="0"/>
                      <w:color w:val="auto"/>
                      <w:kern w:val="0"/>
                      <w:sz w:val="21"/>
                      <w:szCs w:val="21"/>
                      <w:u w:val="none"/>
                      <w:lang w:val="en-US" w:eastAsia="zh-CN" w:bidi="ar"/>
                    </w:rPr>
                    <w:t>9</w:t>
                  </w:r>
                </w:p>
              </w:tc>
              <w:tc>
                <w:tcPr>
                  <w:tcW w:w="785" w:type="dxa"/>
                  <w:tcBorders>
                    <w:tl2br w:val="nil"/>
                    <w:tr2bl w:val="nil"/>
                  </w:tcBorders>
                  <w:shd w:val="clear" w:color="auto" w:fill="auto"/>
                  <w:vAlign w:val="center"/>
                </w:tcPr>
                <w:p w14:paraId="550D56BC">
                  <w:pPr>
                    <w:widowControl/>
                    <w:spacing w:line="240" w:lineRule="atLeast"/>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70</w:t>
                  </w:r>
                </w:p>
              </w:tc>
              <w:tc>
                <w:tcPr>
                  <w:tcW w:w="682" w:type="dxa"/>
                  <w:tcBorders>
                    <w:tl2br w:val="nil"/>
                    <w:tr2bl w:val="nil"/>
                  </w:tcBorders>
                  <w:shd w:val="clear" w:color="auto" w:fill="auto"/>
                  <w:vAlign w:val="center"/>
                </w:tcPr>
                <w:p w14:paraId="223A07C9">
                  <w:pPr>
                    <w:widowControl/>
                    <w:spacing w:line="240" w:lineRule="atLeast"/>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1440</w:t>
                  </w:r>
                </w:p>
              </w:tc>
              <w:tc>
                <w:tcPr>
                  <w:tcW w:w="746" w:type="dxa"/>
                  <w:tcBorders>
                    <w:tl2br w:val="nil"/>
                    <w:tr2bl w:val="nil"/>
                  </w:tcBorders>
                  <w:shd w:val="clear" w:color="auto" w:fill="auto"/>
                  <w:vAlign w:val="center"/>
                </w:tcPr>
                <w:p w14:paraId="5F345525">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DA001</w:t>
                  </w:r>
                </w:p>
              </w:tc>
              <w:tc>
                <w:tcPr>
                  <w:tcW w:w="1142" w:type="dxa"/>
                  <w:tcBorders>
                    <w:tl2br w:val="nil"/>
                    <w:tr2bl w:val="nil"/>
                  </w:tcBorders>
                  <w:shd w:val="clear" w:color="auto" w:fill="auto"/>
                  <w:vAlign w:val="center"/>
                </w:tcPr>
                <w:p w14:paraId="003DB936">
                  <w:pPr>
                    <w:widowControl/>
                    <w:spacing w:line="240" w:lineRule="atLeas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110.53174</w:t>
                  </w:r>
                </w:p>
                <w:p w14:paraId="32606CDD">
                  <w:pPr>
                    <w:widowControl/>
                    <w:spacing w:line="240" w:lineRule="atLeast"/>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27.41263</w:t>
                  </w:r>
                </w:p>
              </w:tc>
            </w:tr>
            <w:tr w14:paraId="2E1D24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2" w:type="dxa"/>
                  <w:tcBorders>
                    <w:tl2br w:val="nil"/>
                    <w:tr2bl w:val="nil"/>
                  </w:tcBorders>
                  <w:shd w:val="clear" w:color="auto" w:fill="auto"/>
                  <w:vAlign w:val="center"/>
                </w:tcPr>
                <w:p w14:paraId="298F8E0C">
                  <w:pPr>
                    <w:widowControl/>
                    <w:spacing w:line="240" w:lineRule="atLeast"/>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2</w:t>
                  </w:r>
                </w:p>
              </w:tc>
              <w:tc>
                <w:tcPr>
                  <w:tcW w:w="898" w:type="dxa"/>
                  <w:tcBorders>
                    <w:tl2br w:val="nil"/>
                    <w:tr2bl w:val="nil"/>
                  </w:tcBorders>
                  <w:shd w:val="clear" w:color="auto" w:fill="auto"/>
                  <w:vAlign w:val="center"/>
                </w:tcPr>
                <w:p w14:paraId="121E6B09">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eastAsia" w:cs="Times New Roman"/>
                      <w:color w:val="auto"/>
                      <w:sz w:val="21"/>
                      <w:szCs w:val="21"/>
                      <w:u w:val="none" w:color="auto"/>
                      <w:lang w:val="en-US" w:eastAsia="zh-CN"/>
                    </w:rPr>
                  </w:pPr>
                  <w:r>
                    <w:rPr>
                      <w:rFonts w:hint="eastAsia" w:cs="Times New Roman"/>
                      <w:color w:val="auto"/>
                      <w:sz w:val="21"/>
                      <w:szCs w:val="21"/>
                      <w:u w:val="single" w:color="auto"/>
                      <w:lang w:val="en-US" w:eastAsia="zh-CN"/>
                    </w:rPr>
                    <w:t>热风炉废气</w:t>
                  </w:r>
                </w:p>
              </w:tc>
              <w:tc>
                <w:tcPr>
                  <w:tcW w:w="975" w:type="dxa"/>
                  <w:tcBorders>
                    <w:tl2br w:val="nil"/>
                    <w:tr2bl w:val="nil"/>
                  </w:tcBorders>
                  <w:shd w:val="clear" w:color="auto" w:fill="auto"/>
                  <w:vAlign w:val="center"/>
                </w:tcPr>
                <w:p w14:paraId="69EA43FD">
                  <w:pPr>
                    <w:widowControl/>
                    <w:spacing w:line="240" w:lineRule="atLeast"/>
                    <w:jc w:val="center"/>
                    <w:rPr>
                      <w:rFonts w:hint="default" w:cs="Times New Roman"/>
                      <w:color w:val="auto"/>
                      <w:sz w:val="21"/>
                      <w:szCs w:val="21"/>
                      <w:u w:val="none" w:color="auto"/>
                      <w:lang w:val="en-US" w:eastAsia="zh-CN"/>
                    </w:rPr>
                  </w:pPr>
                  <w:r>
                    <w:rPr>
                      <w:rFonts w:hint="default" w:cs="Times New Roman"/>
                      <w:color w:val="auto"/>
                      <w:sz w:val="21"/>
                      <w:szCs w:val="21"/>
                      <w:u w:val="single" w:color="auto"/>
                      <w:lang w:val="en-US" w:eastAsia="zh-CN"/>
                    </w:rPr>
                    <w:t>低氮燃烧、</w:t>
                  </w:r>
                  <w:r>
                    <w:rPr>
                      <w:rFonts w:hint="eastAsia" w:cs="Times New Roman"/>
                      <w:color w:val="auto"/>
                      <w:sz w:val="21"/>
                      <w:szCs w:val="21"/>
                      <w:u w:val="single" w:color="auto"/>
                      <w:lang w:val="en-US" w:eastAsia="zh-CN"/>
                    </w:rPr>
                    <w:t>布袋</w:t>
                  </w:r>
                  <w:r>
                    <w:rPr>
                      <w:rFonts w:hint="default" w:cs="Times New Roman"/>
                      <w:color w:val="auto"/>
                      <w:sz w:val="21"/>
                      <w:szCs w:val="21"/>
                      <w:u w:val="single" w:color="auto"/>
                      <w:lang w:val="en-US" w:eastAsia="zh-CN"/>
                    </w:rPr>
                    <w:t>除尘</w:t>
                  </w:r>
                  <w:r>
                    <w:rPr>
                      <w:rFonts w:hint="eastAsia" w:cs="Times New Roman"/>
                      <w:color w:val="auto"/>
                      <w:sz w:val="21"/>
                      <w:szCs w:val="21"/>
                      <w:u w:val="single" w:color="auto"/>
                      <w:lang w:val="en-US" w:eastAsia="zh-CN"/>
                    </w:rPr>
                    <w:t>、活性炭</w:t>
                  </w:r>
                </w:p>
              </w:tc>
              <w:tc>
                <w:tcPr>
                  <w:tcW w:w="712" w:type="dxa"/>
                  <w:tcBorders>
                    <w:tl2br w:val="nil"/>
                    <w:tr2bl w:val="nil"/>
                  </w:tcBorders>
                  <w:shd w:val="clear" w:color="auto" w:fill="auto"/>
                  <w:vAlign w:val="center"/>
                </w:tcPr>
                <w:p w14:paraId="27C8E403">
                  <w:pPr>
                    <w:widowControl/>
                    <w:spacing w:line="240" w:lineRule="atLeast"/>
                    <w:jc w:val="center"/>
                    <w:rPr>
                      <w:rFonts w:hint="eastAsia" w:cs="Times New Roman"/>
                      <w:color w:val="auto"/>
                      <w:sz w:val="21"/>
                      <w:szCs w:val="21"/>
                      <w:u w:val="none" w:color="auto"/>
                      <w:lang w:val="en-US" w:eastAsia="zh-CN"/>
                    </w:rPr>
                  </w:pPr>
                  <w:r>
                    <w:rPr>
                      <w:rFonts w:hint="eastAsia" w:cs="Times New Roman"/>
                      <w:color w:val="auto"/>
                      <w:sz w:val="21"/>
                      <w:szCs w:val="21"/>
                      <w:u w:val="single" w:color="auto"/>
                      <w:lang w:val="en-US" w:eastAsia="zh-CN"/>
                    </w:rPr>
                    <w:t>1</w:t>
                  </w:r>
                  <w:r>
                    <w:rPr>
                      <w:rFonts w:hint="default" w:ascii="Times New Roman" w:hAnsi="Times New Roman" w:eastAsia="宋体" w:cs="Times New Roman"/>
                      <w:color w:val="auto"/>
                      <w:sz w:val="21"/>
                      <w:szCs w:val="21"/>
                      <w:u w:val="single" w:color="auto"/>
                      <w:lang w:val="en-US" w:eastAsia="zh-CN"/>
                    </w:rPr>
                    <w:t>5</w:t>
                  </w:r>
                </w:p>
              </w:tc>
              <w:tc>
                <w:tcPr>
                  <w:tcW w:w="718" w:type="dxa"/>
                  <w:tcBorders>
                    <w:tl2br w:val="nil"/>
                    <w:tr2bl w:val="nil"/>
                  </w:tcBorders>
                  <w:shd w:val="clear" w:color="auto" w:fill="auto"/>
                  <w:vAlign w:val="center"/>
                </w:tcPr>
                <w:p w14:paraId="641011F2">
                  <w:pPr>
                    <w:widowControl/>
                    <w:spacing w:line="240" w:lineRule="atLeast"/>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single" w:color="auto"/>
                    </w:rPr>
                    <w:t>0.</w:t>
                  </w:r>
                  <w:r>
                    <w:rPr>
                      <w:rFonts w:hint="eastAsia" w:cs="Times New Roman"/>
                      <w:color w:val="auto"/>
                      <w:sz w:val="21"/>
                      <w:szCs w:val="21"/>
                      <w:u w:val="single" w:color="auto"/>
                      <w:lang w:val="en-US" w:eastAsia="zh-CN"/>
                    </w:rPr>
                    <w:t>3</w:t>
                  </w:r>
                </w:p>
              </w:tc>
              <w:tc>
                <w:tcPr>
                  <w:tcW w:w="807" w:type="dxa"/>
                  <w:tcBorders>
                    <w:tl2br w:val="nil"/>
                    <w:tr2bl w:val="nil"/>
                  </w:tcBorders>
                  <w:shd w:val="clear" w:color="auto" w:fill="auto"/>
                  <w:vAlign w:val="center"/>
                </w:tcPr>
                <w:p w14:paraId="30A2F0E6">
                  <w:pPr>
                    <w:keepNext w:val="0"/>
                    <w:keepLines w:val="0"/>
                    <w:widowControl/>
                    <w:suppressLineNumbers w:val="0"/>
                    <w:jc w:val="center"/>
                    <w:textAlignment w:val="center"/>
                    <w:rPr>
                      <w:rFonts w:hint="eastAsia"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282.39</w:t>
                  </w:r>
                </w:p>
              </w:tc>
              <w:tc>
                <w:tcPr>
                  <w:tcW w:w="785" w:type="dxa"/>
                  <w:tcBorders>
                    <w:tl2br w:val="nil"/>
                    <w:tr2bl w:val="nil"/>
                  </w:tcBorders>
                  <w:shd w:val="clear" w:color="auto" w:fill="auto"/>
                  <w:vAlign w:val="center"/>
                </w:tcPr>
                <w:p w14:paraId="01E5CC8F">
                  <w:pPr>
                    <w:widowControl/>
                    <w:spacing w:line="240" w:lineRule="atLeast"/>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70</w:t>
                  </w:r>
                </w:p>
              </w:tc>
              <w:tc>
                <w:tcPr>
                  <w:tcW w:w="682" w:type="dxa"/>
                  <w:tcBorders>
                    <w:tl2br w:val="nil"/>
                    <w:tr2bl w:val="nil"/>
                  </w:tcBorders>
                  <w:shd w:val="clear" w:color="auto" w:fill="auto"/>
                  <w:vAlign w:val="center"/>
                </w:tcPr>
                <w:p w14:paraId="0D602C1A">
                  <w:pPr>
                    <w:widowControl/>
                    <w:spacing w:line="240" w:lineRule="atLeast"/>
                    <w:jc w:val="center"/>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1440</w:t>
                  </w:r>
                </w:p>
              </w:tc>
              <w:tc>
                <w:tcPr>
                  <w:tcW w:w="746" w:type="dxa"/>
                  <w:tcBorders>
                    <w:tl2br w:val="nil"/>
                    <w:tr2bl w:val="nil"/>
                  </w:tcBorders>
                  <w:shd w:val="clear" w:color="auto" w:fill="auto"/>
                  <w:vAlign w:val="center"/>
                </w:tcPr>
                <w:p w14:paraId="25FF3860">
                  <w:pPr>
                    <w:widowControl/>
                    <w:spacing w:line="240" w:lineRule="atLeast"/>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DA00</w:t>
                  </w:r>
                  <w:r>
                    <w:rPr>
                      <w:rFonts w:hint="eastAsia" w:cs="Times New Roman"/>
                      <w:color w:val="auto"/>
                      <w:sz w:val="21"/>
                      <w:szCs w:val="21"/>
                      <w:u w:val="none" w:color="auto"/>
                      <w:lang w:val="en-US" w:eastAsia="zh-CN"/>
                    </w:rPr>
                    <w:t>2</w:t>
                  </w:r>
                </w:p>
              </w:tc>
              <w:tc>
                <w:tcPr>
                  <w:tcW w:w="1142" w:type="dxa"/>
                  <w:tcBorders>
                    <w:tl2br w:val="nil"/>
                    <w:tr2bl w:val="nil"/>
                  </w:tcBorders>
                  <w:shd w:val="clear" w:color="auto" w:fill="auto"/>
                  <w:vAlign w:val="center"/>
                </w:tcPr>
                <w:p w14:paraId="25116AB5">
                  <w:pPr>
                    <w:widowControl/>
                    <w:spacing w:line="240" w:lineRule="atLeast"/>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110.53174</w:t>
                  </w:r>
                </w:p>
                <w:p w14:paraId="543DA701">
                  <w:pPr>
                    <w:widowControl/>
                    <w:spacing w:line="240" w:lineRule="atLeast"/>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27.41265</w:t>
                  </w:r>
                </w:p>
              </w:tc>
            </w:tr>
            <w:tr w14:paraId="24800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62" w:type="dxa"/>
                  <w:tcBorders>
                    <w:tl2br w:val="nil"/>
                    <w:tr2bl w:val="nil"/>
                  </w:tcBorders>
                  <w:shd w:val="clear" w:color="auto" w:fill="auto"/>
                  <w:vAlign w:val="center"/>
                </w:tcPr>
                <w:p w14:paraId="026A53E5">
                  <w:pPr>
                    <w:widowControl/>
                    <w:spacing w:line="240" w:lineRule="atLeast"/>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w:t>
                  </w:r>
                </w:p>
              </w:tc>
              <w:tc>
                <w:tcPr>
                  <w:tcW w:w="898" w:type="dxa"/>
                  <w:tcBorders>
                    <w:tl2br w:val="nil"/>
                    <w:tr2bl w:val="nil"/>
                  </w:tcBorders>
                  <w:shd w:val="clear" w:color="auto" w:fill="auto"/>
                  <w:vAlign w:val="center"/>
                </w:tcPr>
                <w:p w14:paraId="7AC167AA">
                  <w:pPr>
                    <w:widowControl/>
                    <w:spacing w:line="240" w:lineRule="atLeast"/>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食堂油烟</w:t>
                  </w:r>
                </w:p>
              </w:tc>
              <w:tc>
                <w:tcPr>
                  <w:tcW w:w="975" w:type="dxa"/>
                  <w:tcBorders>
                    <w:tl2br w:val="nil"/>
                    <w:tr2bl w:val="nil"/>
                  </w:tcBorders>
                  <w:shd w:val="clear" w:color="auto" w:fill="auto"/>
                  <w:vAlign w:val="center"/>
                </w:tcPr>
                <w:p w14:paraId="1F25FF59">
                  <w:pPr>
                    <w:widowControl/>
                    <w:spacing w:line="240" w:lineRule="atLeast"/>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高效</w:t>
                  </w:r>
                  <w:r>
                    <w:rPr>
                      <w:rFonts w:hint="default" w:cs="Times New Roman"/>
                      <w:color w:val="auto"/>
                      <w:sz w:val="21"/>
                      <w:szCs w:val="21"/>
                      <w:u w:val="none" w:color="auto"/>
                      <w:lang w:val="en-US" w:eastAsia="zh-CN"/>
                    </w:rPr>
                    <w:t>油烟净化器</w:t>
                  </w:r>
                </w:p>
              </w:tc>
              <w:tc>
                <w:tcPr>
                  <w:tcW w:w="712" w:type="dxa"/>
                  <w:tcBorders>
                    <w:tl2br w:val="nil"/>
                    <w:tr2bl w:val="nil"/>
                  </w:tcBorders>
                  <w:shd w:val="clear" w:color="auto" w:fill="auto"/>
                  <w:vAlign w:val="center"/>
                </w:tcPr>
                <w:p w14:paraId="06F0DFA3">
                  <w:pPr>
                    <w:widowControl/>
                    <w:spacing w:line="240" w:lineRule="atLeast"/>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718" w:type="dxa"/>
                  <w:tcBorders>
                    <w:tl2br w:val="nil"/>
                    <w:tr2bl w:val="nil"/>
                  </w:tcBorders>
                  <w:shd w:val="clear" w:color="auto" w:fill="auto"/>
                  <w:vAlign w:val="center"/>
                </w:tcPr>
                <w:p w14:paraId="31B04B5A">
                  <w:pPr>
                    <w:widowControl/>
                    <w:spacing w:line="240" w:lineRule="atLeast"/>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0.3</w:t>
                  </w:r>
                </w:p>
              </w:tc>
              <w:tc>
                <w:tcPr>
                  <w:tcW w:w="807" w:type="dxa"/>
                  <w:tcBorders>
                    <w:tl2br w:val="nil"/>
                    <w:tr2bl w:val="nil"/>
                  </w:tcBorders>
                  <w:shd w:val="clear" w:color="auto" w:fill="auto"/>
                  <w:vAlign w:val="center"/>
                </w:tcPr>
                <w:p w14:paraId="1DF2F684">
                  <w:pPr>
                    <w:widowControl/>
                    <w:spacing w:line="240" w:lineRule="atLeast"/>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240</w:t>
                  </w:r>
                </w:p>
              </w:tc>
              <w:tc>
                <w:tcPr>
                  <w:tcW w:w="785" w:type="dxa"/>
                  <w:tcBorders>
                    <w:tl2br w:val="nil"/>
                    <w:tr2bl w:val="nil"/>
                  </w:tcBorders>
                  <w:shd w:val="clear" w:color="auto" w:fill="auto"/>
                  <w:vAlign w:val="center"/>
                </w:tcPr>
                <w:p w14:paraId="64AFF06B">
                  <w:pPr>
                    <w:widowControl/>
                    <w:spacing w:line="240" w:lineRule="atLeast"/>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50</w:t>
                  </w:r>
                </w:p>
              </w:tc>
              <w:tc>
                <w:tcPr>
                  <w:tcW w:w="682" w:type="dxa"/>
                  <w:tcBorders>
                    <w:tl2br w:val="nil"/>
                    <w:tr2bl w:val="nil"/>
                  </w:tcBorders>
                  <w:shd w:val="clear" w:color="auto" w:fill="auto"/>
                  <w:vAlign w:val="center"/>
                </w:tcPr>
                <w:p w14:paraId="5D9B3A14">
                  <w:pPr>
                    <w:widowControl/>
                    <w:spacing w:line="240" w:lineRule="atLeast"/>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1200</w:t>
                  </w:r>
                </w:p>
              </w:tc>
              <w:tc>
                <w:tcPr>
                  <w:tcW w:w="746" w:type="dxa"/>
                  <w:tcBorders>
                    <w:tl2br w:val="nil"/>
                    <w:tr2bl w:val="nil"/>
                  </w:tcBorders>
                  <w:shd w:val="clear" w:color="auto" w:fill="auto"/>
                  <w:vAlign w:val="center"/>
                </w:tcPr>
                <w:p w14:paraId="56C2F7E0">
                  <w:pPr>
                    <w:widowControl/>
                    <w:spacing w:line="240" w:lineRule="atLeast"/>
                    <w:jc w:val="center"/>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DA00</w:t>
                  </w:r>
                  <w:r>
                    <w:rPr>
                      <w:rFonts w:hint="eastAsia" w:ascii="Times New Roman" w:hAnsi="Times New Roman" w:eastAsia="宋体" w:cs="Times New Roman"/>
                      <w:color w:val="auto"/>
                      <w:sz w:val="21"/>
                      <w:szCs w:val="21"/>
                      <w:u w:val="none" w:color="auto"/>
                      <w:lang w:val="en-US" w:eastAsia="zh-CN"/>
                    </w:rPr>
                    <w:t>3</w:t>
                  </w:r>
                </w:p>
              </w:tc>
              <w:tc>
                <w:tcPr>
                  <w:tcW w:w="1142" w:type="dxa"/>
                  <w:tcBorders>
                    <w:tl2br w:val="nil"/>
                    <w:tr2bl w:val="nil"/>
                  </w:tcBorders>
                  <w:shd w:val="clear" w:color="auto" w:fill="auto"/>
                  <w:vAlign w:val="center"/>
                </w:tcPr>
                <w:p w14:paraId="1CB9C208">
                  <w:pPr>
                    <w:widowControl/>
                    <w:spacing w:line="240" w:lineRule="atLeast"/>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110.53203</w:t>
                  </w:r>
                </w:p>
                <w:p w14:paraId="3F149926">
                  <w:pPr>
                    <w:widowControl/>
                    <w:spacing w:line="240" w:lineRule="atLeast"/>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27.41282</w:t>
                  </w:r>
                </w:p>
              </w:tc>
            </w:tr>
          </w:tbl>
          <w:p w14:paraId="2372D3B8">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u w:val="none" w:color="auto"/>
              </w:rPr>
            </w:pPr>
            <w:r>
              <w:rPr>
                <w:color w:val="auto"/>
                <w:sz w:val="24"/>
              </w:rPr>
              <w:t>④项目大气污染物排放量核算见表4</w:t>
            </w:r>
            <w:r>
              <w:rPr>
                <w:rFonts w:hint="eastAsia"/>
                <w:color w:val="auto"/>
                <w:sz w:val="24"/>
              </w:rPr>
              <w:t>-</w:t>
            </w:r>
            <w:r>
              <w:rPr>
                <w:rFonts w:hint="eastAsia"/>
                <w:color w:val="auto"/>
                <w:sz w:val="24"/>
                <w:lang w:val="en-US" w:eastAsia="zh-CN"/>
              </w:rPr>
              <w:t>9~表4-11</w:t>
            </w:r>
            <w:r>
              <w:rPr>
                <w:color w:val="auto"/>
                <w:sz w:val="24"/>
              </w:rPr>
              <w:t>。</w:t>
            </w:r>
          </w:p>
          <w:p w14:paraId="33AF43EE">
            <w:pPr>
              <w:spacing w:line="240" w:lineRule="auto"/>
              <w:jc w:val="center"/>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sz w:val="24"/>
                <w:szCs w:val="24"/>
                <w:u w:val="none" w:color="auto"/>
              </w:rPr>
              <w:t>表4-</w:t>
            </w:r>
            <w:r>
              <w:rPr>
                <w:rFonts w:hint="eastAsia" w:cs="Times New Roman"/>
                <w:b/>
                <w:color w:val="auto"/>
                <w:sz w:val="24"/>
                <w:szCs w:val="24"/>
                <w:u w:val="none" w:color="auto"/>
                <w:lang w:val="en-US" w:eastAsia="zh-CN"/>
              </w:rPr>
              <w:t>9</w:t>
            </w:r>
            <w:r>
              <w:rPr>
                <w:rFonts w:hint="eastAsia" w:ascii="Times New Roman" w:hAnsi="Times New Roman" w:eastAsia="宋体" w:cs="Times New Roman"/>
                <w:b/>
                <w:color w:val="auto"/>
                <w:sz w:val="24"/>
                <w:szCs w:val="24"/>
                <w:u w:val="none" w:color="auto"/>
                <w:lang w:val="en-US" w:eastAsia="zh-CN"/>
              </w:rPr>
              <w:t xml:space="preserve">  </w:t>
            </w:r>
            <w:r>
              <w:rPr>
                <w:rFonts w:hint="default" w:ascii="Times New Roman" w:hAnsi="Times New Roman" w:eastAsia="宋体" w:cs="Times New Roman"/>
                <w:b/>
                <w:color w:val="auto"/>
                <w:sz w:val="24"/>
                <w:szCs w:val="24"/>
                <w:u w:val="none" w:color="auto"/>
              </w:rPr>
              <w:t xml:space="preserve"> 项目大气污染物有组织排放量核算表</w:t>
            </w:r>
          </w:p>
          <w:tbl>
            <w:tblPr>
              <w:tblStyle w:val="32"/>
              <w:tblW w:w="78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 w:type="dxa"/>
                <w:bottom w:w="0" w:type="dxa"/>
                <w:right w:w="10" w:type="dxa"/>
              </w:tblCellMar>
            </w:tblPr>
            <w:tblGrid>
              <w:gridCol w:w="852"/>
              <w:gridCol w:w="1275"/>
              <w:gridCol w:w="1175"/>
              <w:gridCol w:w="1725"/>
              <w:gridCol w:w="1250"/>
              <w:gridCol w:w="1540"/>
            </w:tblGrid>
            <w:tr w14:paraId="20820B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397" w:hRule="atLeast"/>
                <w:jc w:val="center"/>
              </w:trPr>
              <w:tc>
                <w:tcPr>
                  <w:tcW w:w="852" w:type="dxa"/>
                  <w:tcBorders>
                    <w:top w:val="single" w:color="auto" w:sz="12" w:space="0"/>
                    <w:left w:val="single" w:color="auto" w:sz="12" w:space="0"/>
                    <w:bottom w:val="single" w:color="auto" w:sz="4" w:space="0"/>
                    <w:right w:val="single" w:color="auto" w:sz="4" w:space="0"/>
                    <w:tl2br w:val="nil"/>
                    <w:tr2bl w:val="nil"/>
                  </w:tcBorders>
                  <w:shd w:val="clear" w:color="auto" w:fill="auto"/>
                  <w:vAlign w:val="center"/>
                </w:tcPr>
                <w:p w14:paraId="60B502AF">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序号</w:t>
                  </w:r>
                </w:p>
              </w:tc>
              <w:tc>
                <w:tcPr>
                  <w:tcW w:w="1275" w:type="dxa"/>
                  <w:tcBorders>
                    <w:top w:val="single" w:color="auto" w:sz="12" w:space="0"/>
                    <w:left w:val="single" w:color="auto" w:sz="4" w:space="0"/>
                    <w:bottom w:val="single" w:color="auto" w:sz="4" w:space="0"/>
                    <w:right w:val="single" w:color="auto" w:sz="4" w:space="0"/>
                    <w:tl2br w:val="nil"/>
                    <w:tr2bl w:val="nil"/>
                  </w:tcBorders>
                  <w:shd w:val="clear" w:color="auto" w:fill="auto"/>
                  <w:vAlign w:val="center"/>
                </w:tcPr>
                <w:p w14:paraId="1F4526EB">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排放口编号</w:t>
                  </w:r>
                </w:p>
              </w:tc>
              <w:tc>
                <w:tcPr>
                  <w:tcW w:w="1175" w:type="dxa"/>
                  <w:tcBorders>
                    <w:top w:val="single" w:color="auto" w:sz="12" w:space="0"/>
                    <w:left w:val="single" w:color="auto" w:sz="4" w:space="0"/>
                    <w:bottom w:val="single" w:color="auto" w:sz="4" w:space="0"/>
                    <w:right w:val="single" w:color="auto" w:sz="4" w:space="0"/>
                    <w:tl2br w:val="nil"/>
                    <w:tr2bl w:val="nil"/>
                  </w:tcBorders>
                  <w:shd w:val="clear" w:color="auto" w:fill="auto"/>
                  <w:vAlign w:val="center"/>
                </w:tcPr>
                <w:p w14:paraId="56420579">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污染物</w:t>
                  </w:r>
                </w:p>
              </w:tc>
              <w:tc>
                <w:tcPr>
                  <w:tcW w:w="1725" w:type="dxa"/>
                  <w:tcBorders>
                    <w:top w:val="single" w:color="auto" w:sz="12" w:space="0"/>
                    <w:left w:val="single" w:color="auto" w:sz="4" w:space="0"/>
                    <w:bottom w:val="single" w:color="auto" w:sz="4" w:space="0"/>
                    <w:right w:val="single" w:color="auto" w:sz="4" w:space="0"/>
                    <w:tl2br w:val="nil"/>
                    <w:tr2bl w:val="nil"/>
                  </w:tcBorders>
                  <w:shd w:val="clear" w:color="auto" w:fill="auto"/>
                  <w:vAlign w:val="center"/>
                </w:tcPr>
                <w:p w14:paraId="19A712A3">
                  <w:pPr>
                    <w:pStyle w:val="94"/>
                    <w:spacing w:line="240" w:lineRule="atLeast"/>
                    <w:jc w:val="center"/>
                    <w:rPr>
                      <w:rFonts w:hint="eastAsia"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rPr>
                    <w:t>核算排放浓度/</w:t>
                  </w:r>
                  <w:r>
                    <w:rPr>
                      <w:rFonts w:hint="eastAsia" w:ascii="Times New Roman" w:hAnsi="Times New Roman" w:cs="Times New Roman"/>
                      <w:color w:val="auto"/>
                      <w:sz w:val="21"/>
                      <w:szCs w:val="21"/>
                      <w:u w:val="none" w:color="auto"/>
                      <w:lang w:val="en-US" w:eastAsia="zh-CN" w:bidi="en-US"/>
                    </w:rPr>
                    <w:t>（</w:t>
                  </w:r>
                  <w:r>
                    <w:rPr>
                      <w:rFonts w:hint="default" w:ascii="Times New Roman" w:hAnsi="Times New Roman" w:cs="Times New Roman"/>
                      <w:color w:val="auto"/>
                      <w:sz w:val="21"/>
                      <w:szCs w:val="21"/>
                      <w:u w:val="none" w:color="auto"/>
                      <w:lang w:val="en-US" w:eastAsia="en-US" w:bidi="en-US"/>
                    </w:rPr>
                    <w:t>mg/m</w:t>
                  </w:r>
                  <w:r>
                    <w:rPr>
                      <w:rFonts w:hint="default" w:ascii="Times New Roman" w:hAnsi="Times New Roman" w:cs="Times New Roman"/>
                      <w:color w:val="auto"/>
                      <w:sz w:val="21"/>
                      <w:szCs w:val="21"/>
                      <w:u w:val="none" w:color="auto"/>
                      <w:vertAlign w:val="superscript"/>
                      <w:lang w:val="en-US" w:eastAsia="en-US" w:bidi="en-US"/>
                    </w:rPr>
                    <w:t>3</w:t>
                  </w:r>
                  <w:r>
                    <w:rPr>
                      <w:rFonts w:hint="eastAsia" w:ascii="Times New Roman" w:hAnsi="Times New Roman" w:cs="Times New Roman"/>
                      <w:color w:val="auto"/>
                      <w:sz w:val="21"/>
                      <w:szCs w:val="21"/>
                      <w:u w:val="none" w:color="auto"/>
                      <w:lang w:val="en-US" w:eastAsia="zh-CN" w:bidi="en-US"/>
                    </w:rPr>
                    <w:t>）</w:t>
                  </w:r>
                </w:p>
              </w:tc>
              <w:tc>
                <w:tcPr>
                  <w:tcW w:w="1250" w:type="dxa"/>
                  <w:tcBorders>
                    <w:top w:val="single" w:color="auto" w:sz="12" w:space="0"/>
                    <w:left w:val="single" w:color="auto" w:sz="4" w:space="0"/>
                    <w:bottom w:val="single" w:color="auto" w:sz="4" w:space="0"/>
                    <w:right w:val="single" w:color="auto" w:sz="4" w:space="0"/>
                    <w:tl2br w:val="nil"/>
                    <w:tr2bl w:val="nil"/>
                  </w:tcBorders>
                  <w:shd w:val="clear" w:color="auto" w:fill="auto"/>
                  <w:vAlign w:val="center"/>
                </w:tcPr>
                <w:p w14:paraId="190D702A">
                  <w:pPr>
                    <w:pStyle w:val="94"/>
                    <w:spacing w:line="240" w:lineRule="atLeast"/>
                    <w:jc w:val="center"/>
                    <w:rPr>
                      <w:rFonts w:hint="eastAsia"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rPr>
                    <w:t>核算排放速率/</w:t>
                  </w:r>
                  <w:r>
                    <w:rPr>
                      <w:rFonts w:hint="eastAsia" w:ascii="Times New Roman" w:hAnsi="Times New Roman" w:cs="Times New Roman"/>
                      <w:color w:val="auto"/>
                      <w:sz w:val="21"/>
                      <w:szCs w:val="21"/>
                      <w:u w:val="none" w:color="auto"/>
                      <w:lang w:val="en-US" w:eastAsia="zh-CN" w:bidi="en-US"/>
                    </w:rPr>
                    <w:t>（</w:t>
                  </w:r>
                  <w:r>
                    <w:rPr>
                      <w:rFonts w:hint="default" w:ascii="Times New Roman" w:hAnsi="Times New Roman" w:cs="Times New Roman"/>
                      <w:color w:val="auto"/>
                      <w:sz w:val="21"/>
                      <w:szCs w:val="21"/>
                      <w:u w:val="none" w:color="auto"/>
                      <w:lang w:val="en-US" w:eastAsia="en-US" w:bidi="en-US"/>
                    </w:rPr>
                    <w:t>kg/h</w:t>
                  </w:r>
                  <w:r>
                    <w:rPr>
                      <w:rFonts w:hint="eastAsia" w:ascii="Times New Roman" w:hAnsi="Times New Roman" w:cs="Times New Roman"/>
                      <w:color w:val="auto"/>
                      <w:sz w:val="21"/>
                      <w:szCs w:val="21"/>
                      <w:u w:val="none" w:color="auto"/>
                      <w:lang w:val="en-US" w:eastAsia="zh-CN" w:bidi="en-US"/>
                    </w:rPr>
                    <w:t>）</w:t>
                  </w:r>
                </w:p>
              </w:tc>
              <w:tc>
                <w:tcPr>
                  <w:tcW w:w="1540" w:type="dxa"/>
                  <w:tcBorders>
                    <w:top w:val="single" w:color="auto" w:sz="12" w:space="0"/>
                    <w:left w:val="single" w:color="auto" w:sz="4" w:space="0"/>
                    <w:bottom w:val="single" w:color="auto" w:sz="4" w:space="0"/>
                    <w:right w:val="single" w:color="auto" w:sz="12" w:space="0"/>
                    <w:tl2br w:val="nil"/>
                    <w:tr2bl w:val="nil"/>
                  </w:tcBorders>
                  <w:shd w:val="clear" w:color="auto" w:fill="auto"/>
                  <w:vAlign w:val="center"/>
                </w:tcPr>
                <w:p w14:paraId="2455F8C3">
                  <w:pPr>
                    <w:pStyle w:val="94"/>
                    <w:spacing w:line="240" w:lineRule="atLeast"/>
                    <w:jc w:val="center"/>
                    <w:rPr>
                      <w:rFonts w:hint="eastAsia"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rPr>
                    <w:t>核算年排放量/</w:t>
                  </w:r>
                  <w:r>
                    <w:rPr>
                      <w:rFonts w:hint="eastAsia" w:ascii="Times New Roman" w:hAnsi="Times New Roman" w:cs="Times New Roman"/>
                      <w:color w:val="auto"/>
                      <w:sz w:val="21"/>
                      <w:szCs w:val="21"/>
                      <w:u w:val="none" w:color="auto"/>
                      <w:lang w:val="en-US" w:eastAsia="zh-CN" w:bidi="en-US"/>
                    </w:rPr>
                    <w:t>（</w:t>
                  </w:r>
                  <w:r>
                    <w:rPr>
                      <w:rFonts w:hint="default" w:ascii="Times New Roman" w:hAnsi="Times New Roman" w:cs="Times New Roman"/>
                      <w:color w:val="auto"/>
                      <w:sz w:val="21"/>
                      <w:szCs w:val="21"/>
                      <w:u w:val="none" w:color="auto"/>
                      <w:lang w:val="en-US" w:eastAsia="en-US" w:bidi="en-US"/>
                    </w:rPr>
                    <w:t>t/a</w:t>
                  </w:r>
                  <w:r>
                    <w:rPr>
                      <w:rFonts w:hint="eastAsia" w:ascii="Times New Roman" w:hAnsi="Times New Roman" w:cs="Times New Roman"/>
                      <w:color w:val="auto"/>
                      <w:sz w:val="21"/>
                      <w:szCs w:val="21"/>
                      <w:u w:val="none" w:color="auto"/>
                      <w:lang w:val="en-US" w:eastAsia="zh-CN" w:bidi="en-US"/>
                    </w:rPr>
                    <w:t>）</w:t>
                  </w:r>
                </w:p>
              </w:tc>
            </w:tr>
            <w:tr w14:paraId="0FCFCF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7817" w:type="dxa"/>
                  <w:gridSpan w:val="6"/>
                  <w:tcBorders>
                    <w:top w:val="single" w:color="auto" w:sz="4" w:space="0"/>
                    <w:left w:val="single" w:color="auto" w:sz="12" w:space="0"/>
                    <w:bottom w:val="single" w:color="auto" w:sz="4" w:space="0"/>
                    <w:right w:val="single" w:color="auto" w:sz="12" w:space="0"/>
                    <w:tl2br w:val="nil"/>
                    <w:tr2bl w:val="nil"/>
                  </w:tcBorders>
                  <w:shd w:val="clear" w:color="auto" w:fill="auto"/>
                  <w:vAlign w:val="center"/>
                </w:tcPr>
                <w:p w14:paraId="29E1D78E">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主要</w:t>
                  </w:r>
                  <w:r>
                    <w:rPr>
                      <w:rFonts w:hint="default" w:ascii="Times New Roman" w:hAnsi="Times New Roman" w:cs="Times New Roman"/>
                      <w:color w:val="auto"/>
                      <w:sz w:val="21"/>
                      <w:szCs w:val="21"/>
                      <w:u w:val="none" w:color="auto"/>
                      <w:lang w:val="en-US" w:eastAsia="zh-CN"/>
                    </w:rPr>
                    <w:t>排</w:t>
                  </w:r>
                  <w:r>
                    <w:rPr>
                      <w:rFonts w:hint="default" w:ascii="Times New Roman" w:hAnsi="Times New Roman" w:cs="Times New Roman"/>
                      <w:color w:val="auto"/>
                      <w:sz w:val="21"/>
                      <w:szCs w:val="21"/>
                      <w:u w:val="none" w:color="auto"/>
                    </w:rPr>
                    <w:t>放口</w:t>
                  </w:r>
                </w:p>
              </w:tc>
            </w:tr>
            <w:tr w14:paraId="42F52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852" w:type="dxa"/>
                  <w:tcBorders>
                    <w:top w:val="single" w:color="auto" w:sz="4" w:space="0"/>
                    <w:left w:val="single" w:color="auto" w:sz="12" w:space="0"/>
                    <w:bottom w:val="single" w:color="auto" w:sz="4" w:space="0"/>
                    <w:right w:val="single" w:color="auto" w:sz="4" w:space="0"/>
                    <w:tl2br w:val="nil"/>
                    <w:tr2bl w:val="nil"/>
                  </w:tcBorders>
                  <w:shd w:val="clear" w:color="auto" w:fill="auto"/>
                  <w:vAlign w:val="center"/>
                </w:tcPr>
                <w:p w14:paraId="7E6D3F84">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2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7FBD638">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1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AEA01C5">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72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1DF8154">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0B5F78A">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540" w:type="dxa"/>
                  <w:tcBorders>
                    <w:top w:val="single" w:color="auto" w:sz="4" w:space="0"/>
                    <w:left w:val="single" w:color="auto" w:sz="4" w:space="0"/>
                    <w:bottom w:val="single" w:color="auto" w:sz="4" w:space="0"/>
                    <w:right w:val="single" w:color="auto" w:sz="12" w:space="0"/>
                    <w:tl2br w:val="nil"/>
                    <w:tr2bl w:val="nil"/>
                  </w:tcBorders>
                  <w:shd w:val="clear" w:color="auto" w:fill="auto"/>
                  <w:vAlign w:val="center"/>
                </w:tcPr>
                <w:p w14:paraId="2194EB44">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r>
            <w:tr w14:paraId="6BF7E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2127" w:type="dxa"/>
                  <w:gridSpan w:val="2"/>
                  <w:tcBorders>
                    <w:top w:val="single" w:color="auto" w:sz="4" w:space="0"/>
                    <w:left w:val="single" w:color="auto" w:sz="12" w:space="0"/>
                    <w:bottom w:val="single" w:color="auto" w:sz="4" w:space="0"/>
                    <w:right w:val="single" w:color="auto" w:sz="4" w:space="0"/>
                    <w:tl2br w:val="nil"/>
                    <w:tr2bl w:val="nil"/>
                  </w:tcBorders>
                  <w:shd w:val="clear" w:color="auto" w:fill="auto"/>
                  <w:vAlign w:val="center"/>
                </w:tcPr>
                <w:p w14:paraId="52FD4EDE">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主要排放口合计</w:t>
                  </w:r>
                </w:p>
              </w:tc>
              <w:tc>
                <w:tcPr>
                  <w:tcW w:w="11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1EFDDF4">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72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E8F1310">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A0CD5C9">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540" w:type="dxa"/>
                  <w:tcBorders>
                    <w:top w:val="single" w:color="auto" w:sz="4" w:space="0"/>
                    <w:left w:val="single" w:color="auto" w:sz="4" w:space="0"/>
                    <w:bottom w:val="single" w:color="auto" w:sz="4" w:space="0"/>
                    <w:right w:val="single" w:color="auto" w:sz="12" w:space="0"/>
                    <w:tl2br w:val="nil"/>
                    <w:tr2bl w:val="nil"/>
                  </w:tcBorders>
                  <w:shd w:val="clear" w:color="auto" w:fill="auto"/>
                  <w:vAlign w:val="center"/>
                </w:tcPr>
                <w:p w14:paraId="0017ECCF">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r>
            <w:tr w14:paraId="1036F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397" w:hRule="atLeast"/>
                <w:jc w:val="center"/>
              </w:trPr>
              <w:tc>
                <w:tcPr>
                  <w:tcW w:w="7817" w:type="dxa"/>
                  <w:gridSpan w:val="6"/>
                  <w:tcBorders>
                    <w:top w:val="single" w:color="auto" w:sz="4" w:space="0"/>
                    <w:left w:val="single" w:color="auto" w:sz="12" w:space="0"/>
                    <w:bottom w:val="single" w:color="auto" w:sz="4" w:space="0"/>
                    <w:right w:val="single" w:color="auto" w:sz="12" w:space="0"/>
                    <w:tl2br w:val="nil"/>
                    <w:tr2bl w:val="nil"/>
                  </w:tcBorders>
                  <w:shd w:val="clear" w:color="auto" w:fill="auto"/>
                  <w:vAlign w:val="center"/>
                </w:tcPr>
                <w:p w14:paraId="71AD4F9A">
                  <w:pPr>
                    <w:pStyle w:val="94"/>
                    <w:spacing w:line="240" w:lineRule="atLeast"/>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一般</w:t>
                  </w:r>
                  <w:r>
                    <w:rPr>
                      <w:rFonts w:hint="default" w:ascii="Times New Roman" w:hAnsi="Times New Roman" w:cs="Times New Roman"/>
                      <w:color w:val="auto"/>
                      <w:sz w:val="21"/>
                      <w:szCs w:val="21"/>
                      <w:u w:val="none" w:color="auto"/>
                      <w:lang w:val="en-US" w:eastAsia="zh-CN"/>
                    </w:rPr>
                    <w:t>排</w:t>
                  </w:r>
                  <w:r>
                    <w:rPr>
                      <w:rFonts w:hint="default" w:ascii="Times New Roman" w:hAnsi="Times New Roman" w:cs="Times New Roman"/>
                      <w:color w:val="auto"/>
                      <w:sz w:val="21"/>
                      <w:szCs w:val="21"/>
                      <w:u w:val="none" w:color="auto"/>
                    </w:rPr>
                    <w:t>放口</w:t>
                  </w:r>
                </w:p>
              </w:tc>
            </w:tr>
            <w:tr w14:paraId="51B9F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397" w:hRule="atLeast"/>
                <w:jc w:val="center"/>
              </w:trPr>
              <w:tc>
                <w:tcPr>
                  <w:tcW w:w="852" w:type="dxa"/>
                  <w:vMerge w:val="restart"/>
                  <w:tcBorders>
                    <w:top w:val="single" w:color="auto" w:sz="4" w:space="0"/>
                    <w:left w:val="single" w:color="auto" w:sz="12" w:space="0"/>
                    <w:right w:val="single" w:color="auto" w:sz="4" w:space="0"/>
                    <w:tl2br w:val="nil"/>
                    <w:tr2bl w:val="nil"/>
                  </w:tcBorders>
                  <w:shd w:val="clear" w:color="auto" w:fill="auto"/>
                  <w:vAlign w:val="center"/>
                </w:tcPr>
                <w:p w14:paraId="2D3E0D80">
                  <w:pPr>
                    <w:pStyle w:val="94"/>
                    <w:spacing w:line="240" w:lineRule="atLeast"/>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w:t>
                  </w:r>
                </w:p>
              </w:tc>
              <w:tc>
                <w:tcPr>
                  <w:tcW w:w="1275" w:type="dxa"/>
                  <w:vMerge w:val="restart"/>
                  <w:tcBorders>
                    <w:top w:val="single" w:color="auto" w:sz="4" w:space="0"/>
                    <w:left w:val="single" w:color="auto" w:sz="4" w:space="0"/>
                    <w:right w:val="single" w:color="auto" w:sz="4" w:space="0"/>
                    <w:tl2br w:val="nil"/>
                    <w:tr2bl w:val="nil"/>
                  </w:tcBorders>
                  <w:shd w:val="clear" w:color="auto" w:fill="auto"/>
                  <w:vAlign w:val="center"/>
                </w:tcPr>
                <w:p w14:paraId="2A57AE82">
                  <w:pPr>
                    <w:pStyle w:val="94"/>
                    <w:spacing w:line="240" w:lineRule="atLeast"/>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DA001</w:t>
                  </w:r>
                </w:p>
              </w:tc>
              <w:tc>
                <w:tcPr>
                  <w:tcW w:w="11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2A30B06">
                  <w:pPr>
                    <w:autoSpaceDE w:val="0"/>
                    <w:autoSpaceDN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172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3330A11E">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i w:val="0"/>
                      <w:iCs w:val="0"/>
                      <w:color w:val="auto"/>
                      <w:kern w:val="0"/>
                      <w:sz w:val="21"/>
                      <w:szCs w:val="21"/>
                      <w:u w:val="single" w:color="auto"/>
                      <w:lang w:val="en-US" w:eastAsia="zh-CN" w:bidi="ar"/>
                    </w:rPr>
                    <w:t>272.43</w:t>
                  </w:r>
                  <w:r>
                    <w:rPr>
                      <w:rFonts w:hint="eastAsia" w:cs="Times New Roman"/>
                      <w:i w:val="0"/>
                      <w:iCs w:val="0"/>
                      <w:color w:val="auto"/>
                      <w:kern w:val="0"/>
                      <w:sz w:val="21"/>
                      <w:szCs w:val="21"/>
                      <w:u w:val="single" w:color="auto"/>
                      <w:lang w:val="en-US" w:eastAsia="zh-CN" w:bidi="ar"/>
                    </w:rPr>
                    <w:t>6</w:t>
                  </w:r>
                </w:p>
              </w:tc>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83F70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0.40</w:t>
                  </w:r>
                  <w:r>
                    <w:rPr>
                      <w:rFonts w:hint="eastAsia" w:cs="Times New Roman"/>
                      <w:i w:val="0"/>
                      <w:iCs w:val="0"/>
                      <w:color w:val="auto"/>
                      <w:kern w:val="0"/>
                      <w:sz w:val="21"/>
                      <w:szCs w:val="21"/>
                      <w:u w:val="single" w:color="auto"/>
                      <w:lang w:val="en-US" w:eastAsia="zh-CN" w:bidi="ar"/>
                    </w:rPr>
                    <w:t>2</w:t>
                  </w:r>
                </w:p>
              </w:tc>
              <w:tc>
                <w:tcPr>
                  <w:tcW w:w="1540" w:type="dxa"/>
                  <w:tcBorders>
                    <w:top w:val="single" w:color="auto" w:sz="4" w:space="0"/>
                    <w:left w:val="single" w:color="auto" w:sz="4" w:space="0"/>
                    <w:bottom w:val="single" w:color="auto" w:sz="4" w:space="0"/>
                    <w:right w:val="single" w:color="auto" w:sz="12" w:space="0"/>
                    <w:tl2br w:val="nil"/>
                    <w:tr2bl w:val="nil"/>
                  </w:tcBorders>
                  <w:shd w:val="clear" w:color="auto" w:fill="auto"/>
                  <w:vAlign w:val="center"/>
                </w:tcPr>
                <w:p w14:paraId="72858A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0.48</w:t>
                  </w:r>
                  <w:r>
                    <w:rPr>
                      <w:rFonts w:hint="eastAsia" w:cs="Times New Roman"/>
                      <w:i w:val="0"/>
                      <w:iCs w:val="0"/>
                      <w:color w:val="auto"/>
                      <w:kern w:val="0"/>
                      <w:sz w:val="21"/>
                      <w:szCs w:val="21"/>
                      <w:u w:val="single" w:color="auto"/>
                      <w:lang w:val="en-US" w:eastAsia="zh-CN" w:bidi="ar"/>
                    </w:rPr>
                    <w:t>2</w:t>
                  </w:r>
                </w:p>
              </w:tc>
            </w:tr>
            <w:tr w14:paraId="0C13B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852" w:type="dxa"/>
                  <w:vMerge w:val="continue"/>
                  <w:tcBorders>
                    <w:left w:val="single" w:color="auto" w:sz="12" w:space="0"/>
                    <w:right w:val="single" w:color="auto" w:sz="4" w:space="0"/>
                    <w:tl2br w:val="nil"/>
                    <w:tr2bl w:val="nil"/>
                  </w:tcBorders>
                  <w:shd w:val="clear" w:color="auto" w:fill="auto"/>
                  <w:vAlign w:val="center"/>
                </w:tcPr>
                <w:p w14:paraId="7347E27D">
                  <w:pPr>
                    <w:pStyle w:val="94"/>
                    <w:spacing w:line="240" w:lineRule="atLeast"/>
                    <w:jc w:val="center"/>
                    <w:rPr>
                      <w:rFonts w:hint="default" w:ascii="Times New Roman" w:hAnsi="Times New Roman" w:cs="Times New Roman"/>
                      <w:color w:val="auto"/>
                      <w:sz w:val="21"/>
                      <w:szCs w:val="21"/>
                      <w:u w:val="none" w:color="auto"/>
                      <w:lang w:val="en-US" w:eastAsia="zh-CN"/>
                    </w:rPr>
                  </w:pPr>
                </w:p>
              </w:tc>
              <w:tc>
                <w:tcPr>
                  <w:tcW w:w="1275" w:type="dxa"/>
                  <w:vMerge w:val="continue"/>
                  <w:tcBorders>
                    <w:left w:val="single" w:color="auto" w:sz="4" w:space="0"/>
                    <w:right w:val="single" w:color="auto" w:sz="4" w:space="0"/>
                    <w:tl2br w:val="nil"/>
                    <w:tr2bl w:val="nil"/>
                  </w:tcBorders>
                  <w:shd w:val="clear" w:color="auto" w:fill="auto"/>
                  <w:vAlign w:val="center"/>
                </w:tcPr>
                <w:p w14:paraId="7B76FF37">
                  <w:pPr>
                    <w:pStyle w:val="94"/>
                    <w:spacing w:line="240" w:lineRule="atLeast"/>
                    <w:jc w:val="center"/>
                    <w:rPr>
                      <w:rFonts w:hint="default" w:ascii="Times New Roman" w:hAnsi="Times New Roman" w:cs="Times New Roman"/>
                      <w:color w:val="auto"/>
                      <w:sz w:val="21"/>
                      <w:szCs w:val="21"/>
                      <w:u w:val="none" w:color="auto"/>
                      <w:lang w:val="en-US" w:eastAsia="zh-CN"/>
                    </w:rPr>
                  </w:pPr>
                </w:p>
              </w:tc>
              <w:tc>
                <w:tcPr>
                  <w:tcW w:w="11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928DF27">
                  <w:pPr>
                    <w:autoSpaceDE w:val="0"/>
                    <w:autoSpaceDN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X</w:t>
                  </w:r>
                </w:p>
              </w:tc>
              <w:tc>
                <w:tcPr>
                  <w:tcW w:w="172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5056F20">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i w:val="0"/>
                      <w:iCs w:val="0"/>
                      <w:color w:val="auto"/>
                      <w:kern w:val="0"/>
                      <w:sz w:val="21"/>
                      <w:szCs w:val="21"/>
                      <w:u w:val="single" w:color="auto"/>
                      <w:lang w:val="en-US" w:eastAsia="zh-CN" w:bidi="ar"/>
                    </w:rPr>
                    <w:t>114.423</w:t>
                  </w:r>
                </w:p>
              </w:tc>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16B17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0.16</w:t>
                  </w:r>
                  <w:r>
                    <w:rPr>
                      <w:rFonts w:hint="eastAsia" w:cs="Times New Roman"/>
                      <w:i w:val="0"/>
                      <w:iCs w:val="0"/>
                      <w:color w:val="auto"/>
                      <w:kern w:val="0"/>
                      <w:sz w:val="21"/>
                      <w:szCs w:val="21"/>
                      <w:u w:val="single" w:color="auto"/>
                      <w:lang w:val="en-US" w:eastAsia="zh-CN" w:bidi="ar"/>
                    </w:rPr>
                    <w:t>9</w:t>
                  </w:r>
                </w:p>
              </w:tc>
              <w:tc>
                <w:tcPr>
                  <w:tcW w:w="1540" w:type="dxa"/>
                  <w:tcBorders>
                    <w:top w:val="single" w:color="auto" w:sz="4" w:space="0"/>
                    <w:left w:val="single" w:color="auto" w:sz="4" w:space="0"/>
                    <w:bottom w:val="single" w:color="auto" w:sz="4" w:space="0"/>
                    <w:right w:val="single" w:color="auto" w:sz="12" w:space="0"/>
                    <w:tl2br w:val="nil"/>
                    <w:tr2bl w:val="nil"/>
                  </w:tcBorders>
                  <w:shd w:val="clear" w:color="auto" w:fill="auto"/>
                  <w:vAlign w:val="center"/>
                </w:tcPr>
                <w:p w14:paraId="3932FD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0.202</w:t>
                  </w:r>
                </w:p>
              </w:tc>
            </w:tr>
            <w:tr w14:paraId="7E46E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852" w:type="dxa"/>
                  <w:vMerge w:val="continue"/>
                  <w:tcBorders>
                    <w:left w:val="single" w:color="auto" w:sz="12" w:space="0"/>
                    <w:right w:val="single" w:color="auto" w:sz="4" w:space="0"/>
                    <w:tl2br w:val="nil"/>
                    <w:tr2bl w:val="nil"/>
                  </w:tcBorders>
                  <w:shd w:val="clear" w:color="auto" w:fill="auto"/>
                  <w:vAlign w:val="center"/>
                </w:tcPr>
                <w:p w14:paraId="09AB5670">
                  <w:pPr>
                    <w:pStyle w:val="94"/>
                    <w:spacing w:line="240" w:lineRule="atLeast"/>
                    <w:jc w:val="center"/>
                    <w:rPr>
                      <w:rFonts w:hint="default" w:ascii="Times New Roman" w:hAnsi="Times New Roman" w:cs="Times New Roman"/>
                      <w:color w:val="auto"/>
                      <w:sz w:val="21"/>
                      <w:szCs w:val="21"/>
                      <w:u w:val="none" w:color="auto"/>
                      <w:lang w:val="en-US" w:eastAsia="zh-CN"/>
                    </w:rPr>
                  </w:pPr>
                </w:p>
              </w:tc>
              <w:tc>
                <w:tcPr>
                  <w:tcW w:w="1275" w:type="dxa"/>
                  <w:vMerge w:val="continue"/>
                  <w:tcBorders>
                    <w:left w:val="single" w:color="auto" w:sz="4" w:space="0"/>
                    <w:right w:val="single" w:color="auto" w:sz="4" w:space="0"/>
                    <w:tl2br w:val="nil"/>
                    <w:tr2bl w:val="nil"/>
                  </w:tcBorders>
                  <w:shd w:val="clear" w:color="auto" w:fill="auto"/>
                  <w:vAlign w:val="center"/>
                </w:tcPr>
                <w:p w14:paraId="035E76A2">
                  <w:pPr>
                    <w:pStyle w:val="94"/>
                    <w:spacing w:line="240" w:lineRule="atLeast"/>
                    <w:jc w:val="center"/>
                    <w:rPr>
                      <w:rFonts w:hint="default" w:ascii="Times New Roman" w:hAnsi="Times New Roman" w:cs="Times New Roman"/>
                      <w:color w:val="auto"/>
                      <w:sz w:val="21"/>
                      <w:szCs w:val="21"/>
                      <w:u w:val="none" w:color="auto"/>
                      <w:lang w:val="en-US" w:eastAsia="zh-CN"/>
                    </w:rPr>
                  </w:pPr>
                </w:p>
              </w:tc>
              <w:tc>
                <w:tcPr>
                  <w:tcW w:w="11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EE862D9">
                  <w:pPr>
                    <w:autoSpaceDE w:val="0"/>
                    <w:autoSpaceDN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颗粒物</w:t>
                  </w:r>
                </w:p>
              </w:tc>
              <w:tc>
                <w:tcPr>
                  <w:tcW w:w="172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4D68E32">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i w:val="0"/>
                      <w:iCs w:val="0"/>
                      <w:color w:val="auto"/>
                      <w:kern w:val="0"/>
                      <w:sz w:val="21"/>
                      <w:szCs w:val="21"/>
                      <w:u w:val="single" w:color="auto"/>
                      <w:lang w:val="en-US" w:eastAsia="zh-CN" w:bidi="ar"/>
                    </w:rPr>
                    <w:t>0.801</w:t>
                  </w:r>
                </w:p>
              </w:tc>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96525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0.00118</w:t>
                  </w:r>
                </w:p>
              </w:tc>
              <w:tc>
                <w:tcPr>
                  <w:tcW w:w="1540" w:type="dxa"/>
                  <w:tcBorders>
                    <w:top w:val="single" w:color="auto" w:sz="4" w:space="0"/>
                    <w:left w:val="single" w:color="auto" w:sz="4" w:space="0"/>
                    <w:bottom w:val="single" w:color="auto" w:sz="4" w:space="0"/>
                    <w:right w:val="single" w:color="auto" w:sz="12" w:space="0"/>
                    <w:tl2br w:val="nil"/>
                    <w:tr2bl w:val="nil"/>
                  </w:tcBorders>
                  <w:shd w:val="clear" w:color="auto" w:fill="auto"/>
                  <w:vAlign w:val="center"/>
                </w:tcPr>
                <w:p w14:paraId="2B36E2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0.0014</w:t>
                  </w:r>
                  <w:r>
                    <w:rPr>
                      <w:rFonts w:hint="eastAsia" w:cs="Times New Roman"/>
                      <w:i w:val="0"/>
                      <w:iCs w:val="0"/>
                      <w:color w:val="auto"/>
                      <w:kern w:val="0"/>
                      <w:sz w:val="21"/>
                      <w:szCs w:val="21"/>
                      <w:u w:val="single" w:color="auto"/>
                      <w:lang w:val="en-US" w:eastAsia="zh-CN" w:bidi="ar"/>
                    </w:rPr>
                    <w:t>2</w:t>
                  </w:r>
                </w:p>
              </w:tc>
            </w:tr>
            <w:tr w14:paraId="4FE21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397" w:hRule="atLeast"/>
                <w:jc w:val="center"/>
              </w:trPr>
              <w:tc>
                <w:tcPr>
                  <w:tcW w:w="852" w:type="dxa"/>
                  <w:vMerge w:val="restart"/>
                  <w:tcBorders>
                    <w:left w:val="single" w:color="auto" w:sz="12" w:space="0"/>
                    <w:right w:val="single" w:color="auto" w:sz="4" w:space="0"/>
                    <w:tl2br w:val="nil"/>
                    <w:tr2bl w:val="nil"/>
                  </w:tcBorders>
                  <w:shd w:val="clear" w:color="auto" w:fill="auto"/>
                  <w:vAlign w:val="center"/>
                </w:tcPr>
                <w:p w14:paraId="191348D9">
                  <w:pPr>
                    <w:pStyle w:val="94"/>
                    <w:spacing w:line="240" w:lineRule="atLeast"/>
                    <w:jc w:val="center"/>
                    <w:rPr>
                      <w:rFonts w:hint="default" w:ascii="Times New Roman" w:hAnsi="Times New Roman" w:eastAsia="宋体" w:cs="Times New Roman"/>
                      <w:color w:val="auto"/>
                      <w:kern w:val="2"/>
                      <w:sz w:val="21"/>
                      <w:szCs w:val="21"/>
                      <w:u w:val="none" w:color="auto"/>
                      <w:shd w:val="clear" w:color="auto" w:fill="auto"/>
                      <w:lang w:val="en-US" w:eastAsia="zh-CN" w:bidi="zh-TW"/>
                    </w:rPr>
                  </w:pPr>
                  <w:r>
                    <w:rPr>
                      <w:rFonts w:hint="eastAsia" w:ascii="Times New Roman" w:hAnsi="Times New Roman" w:cs="Times New Roman"/>
                      <w:color w:val="auto"/>
                      <w:sz w:val="21"/>
                      <w:szCs w:val="21"/>
                      <w:u w:val="none" w:color="auto"/>
                      <w:lang w:val="en-US" w:eastAsia="zh-CN"/>
                    </w:rPr>
                    <w:t>2</w:t>
                  </w:r>
                </w:p>
              </w:tc>
              <w:tc>
                <w:tcPr>
                  <w:tcW w:w="1275" w:type="dxa"/>
                  <w:vMerge w:val="restart"/>
                  <w:tcBorders>
                    <w:left w:val="single" w:color="auto" w:sz="4" w:space="0"/>
                    <w:right w:val="single" w:color="auto" w:sz="4" w:space="0"/>
                    <w:tl2br w:val="nil"/>
                    <w:tr2bl w:val="nil"/>
                  </w:tcBorders>
                  <w:shd w:val="clear" w:color="auto" w:fill="auto"/>
                  <w:vAlign w:val="center"/>
                </w:tcPr>
                <w:p w14:paraId="073D733C">
                  <w:pPr>
                    <w:pStyle w:val="94"/>
                    <w:spacing w:line="240" w:lineRule="atLeast"/>
                    <w:jc w:val="center"/>
                    <w:rPr>
                      <w:rFonts w:hint="default" w:ascii="Times New Roman" w:hAnsi="Times New Roman" w:eastAsia="宋体" w:cs="Times New Roman"/>
                      <w:color w:val="auto"/>
                      <w:kern w:val="2"/>
                      <w:sz w:val="21"/>
                      <w:szCs w:val="21"/>
                      <w:u w:val="none" w:color="auto"/>
                      <w:shd w:val="clear" w:color="auto" w:fill="auto"/>
                      <w:lang w:val="en-US" w:eastAsia="zh-CN" w:bidi="zh-TW"/>
                    </w:rPr>
                  </w:pPr>
                  <w:r>
                    <w:rPr>
                      <w:rFonts w:hint="default" w:ascii="Times New Roman" w:hAnsi="Times New Roman" w:cs="Times New Roman"/>
                      <w:color w:val="auto"/>
                      <w:sz w:val="21"/>
                      <w:szCs w:val="21"/>
                      <w:u w:val="none" w:color="auto"/>
                      <w:lang w:val="en-US" w:eastAsia="zh-CN"/>
                    </w:rPr>
                    <w:t>DA00</w:t>
                  </w:r>
                  <w:r>
                    <w:rPr>
                      <w:rFonts w:hint="eastAsia" w:ascii="Times New Roman" w:hAnsi="Times New Roman" w:cs="Times New Roman"/>
                      <w:color w:val="auto"/>
                      <w:sz w:val="21"/>
                      <w:szCs w:val="21"/>
                      <w:u w:val="none" w:color="auto"/>
                      <w:lang w:val="en-US" w:eastAsia="zh-CN"/>
                    </w:rPr>
                    <w:t>2</w:t>
                  </w:r>
                </w:p>
              </w:tc>
              <w:tc>
                <w:tcPr>
                  <w:tcW w:w="11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87F3ADD">
                  <w:pPr>
                    <w:autoSpaceDE w:val="0"/>
                    <w:autoSpaceDN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172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3D10F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single" w:color="auto"/>
                      <w:lang w:val="en-US" w:eastAsia="zh-CN" w:bidi="ar"/>
                    </w:rPr>
                    <w:t>27.244</w:t>
                  </w:r>
                </w:p>
              </w:tc>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5FE778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single" w:color="auto"/>
                      <w:lang w:val="en-US" w:eastAsia="zh-CN" w:bidi="ar"/>
                    </w:rPr>
                    <w:t>0.0641</w:t>
                  </w:r>
                </w:p>
              </w:tc>
              <w:tc>
                <w:tcPr>
                  <w:tcW w:w="1540" w:type="dxa"/>
                  <w:tcBorders>
                    <w:top w:val="single" w:color="auto" w:sz="4" w:space="0"/>
                    <w:left w:val="single" w:color="auto" w:sz="4" w:space="0"/>
                    <w:bottom w:val="single" w:color="auto" w:sz="4" w:space="0"/>
                    <w:right w:val="single" w:color="auto" w:sz="12" w:space="0"/>
                    <w:tl2br w:val="nil"/>
                    <w:tr2bl w:val="nil"/>
                  </w:tcBorders>
                  <w:shd w:val="clear" w:color="auto" w:fill="auto"/>
                  <w:vAlign w:val="center"/>
                </w:tcPr>
                <w:p w14:paraId="7684CC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FF0000"/>
                      <w:kern w:val="0"/>
                      <w:sz w:val="21"/>
                      <w:szCs w:val="21"/>
                      <w:u w:val="single" w:color="auto"/>
                      <w:lang w:val="en-US" w:eastAsia="zh-CN" w:bidi="ar"/>
                    </w:rPr>
                    <w:t>0.0769</w:t>
                  </w:r>
                </w:p>
              </w:tc>
            </w:tr>
            <w:tr w14:paraId="678E8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852" w:type="dxa"/>
                  <w:vMerge w:val="continue"/>
                  <w:tcBorders>
                    <w:left w:val="single" w:color="auto" w:sz="12" w:space="0"/>
                    <w:right w:val="single" w:color="auto" w:sz="4" w:space="0"/>
                    <w:tl2br w:val="nil"/>
                    <w:tr2bl w:val="nil"/>
                  </w:tcBorders>
                  <w:shd w:val="clear" w:color="auto" w:fill="auto"/>
                  <w:vAlign w:val="center"/>
                </w:tcPr>
                <w:p w14:paraId="0B966A54">
                  <w:pPr>
                    <w:pStyle w:val="94"/>
                    <w:spacing w:line="240" w:lineRule="atLeast"/>
                    <w:jc w:val="center"/>
                    <w:rPr>
                      <w:rFonts w:hint="default" w:ascii="Times New Roman" w:hAnsi="Times New Roman" w:cs="Times New Roman"/>
                      <w:color w:val="auto"/>
                      <w:sz w:val="21"/>
                      <w:szCs w:val="21"/>
                      <w:u w:val="none" w:color="auto"/>
                      <w:lang w:val="en-US" w:eastAsia="zh-CN"/>
                    </w:rPr>
                  </w:pPr>
                </w:p>
              </w:tc>
              <w:tc>
                <w:tcPr>
                  <w:tcW w:w="1275" w:type="dxa"/>
                  <w:vMerge w:val="continue"/>
                  <w:tcBorders>
                    <w:left w:val="single" w:color="auto" w:sz="4" w:space="0"/>
                    <w:right w:val="single" w:color="auto" w:sz="4" w:space="0"/>
                    <w:tl2br w:val="nil"/>
                    <w:tr2bl w:val="nil"/>
                  </w:tcBorders>
                  <w:shd w:val="clear" w:color="auto" w:fill="auto"/>
                  <w:vAlign w:val="center"/>
                </w:tcPr>
                <w:p w14:paraId="23F6D4E5">
                  <w:pPr>
                    <w:pStyle w:val="94"/>
                    <w:spacing w:line="240" w:lineRule="atLeast"/>
                    <w:jc w:val="center"/>
                    <w:rPr>
                      <w:rFonts w:hint="default" w:ascii="Times New Roman" w:hAnsi="Times New Roman" w:cs="Times New Roman"/>
                      <w:color w:val="auto"/>
                      <w:sz w:val="21"/>
                      <w:szCs w:val="21"/>
                      <w:u w:val="none" w:color="auto"/>
                      <w:lang w:val="en-US" w:eastAsia="zh-CN"/>
                    </w:rPr>
                  </w:pPr>
                </w:p>
              </w:tc>
              <w:tc>
                <w:tcPr>
                  <w:tcW w:w="11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85F18C3">
                  <w:pPr>
                    <w:autoSpaceDE w:val="0"/>
                    <w:autoSpaceDN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X</w:t>
                  </w:r>
                </w:p>
              </w:tc>
              <w:tc>
                <w:tcPr>
                  <w:tcW w:w="172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4A369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114.423</w:t>
                  </w:r>
                </w:p>
              </w:tc>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DF4C54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0.269</w:t>
                  </w:r>
                </w:p>
              </w:tc>
              <w:tc>
                <w:tcPr>
                  <w:tcW w:w="1540" w:type="dxa"/>
                  <w:tcBorders>
                    <w:top w:val="single" w:color="auto" w:sz="4" w:space="0"/>
                    <w:left w:val="single" w:color="auto" w:sz="4" w:space="0"/>
                    <w:bottom w:val="single" w:color="auto" w:sz="4" w:space="0"/>
                    <w:right w:val="single" w:color="auto" w:sz="12" w:space="0"/>
                    <w:tl2br w:val="nil"/>
                    <w:tr2bl w:val="nil"/>
                  </w:tcBorders>
                  <w:shd w:val="clear" w:color="auto" w:fill="auto"/>
                  <w:vAlign w:val="center"/>
                </w:tcPr>
                <w:p w14:paraId="310D6F0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0.323</w:t>
                  </w:r>
                </w:p>
              </w:tc>
            </w:tr>
            <w:tr w14:paraId="1757D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852" w:type="dxa"/>
                  <w:vMerge w:val="continue"/>
                  <w:tcBorders>
                    <w:left w:val="single" w:color="auto" w:sz="12" w:space="0"/>
                    <w:right w:val="single" w:color="auto" w:sz="4" w:space="0"/>
                    <w:tl2br w:val="nil"/>
                    <w:tr2bl w:val="nil"/>
                  </w:tcBorders>
                  <w:shd w:val="clear" w:color="auto" w:fill="auto"/>
                  <w:vAlign w:val="center"/>
                </w:tcPr>
                <w:p w14:paraId="325FE300">
                  <w:pPr>
                    <w:pStyle w:val="94"/>
                    <w:spacing w:line="240" w:lineRule="atLeast"/>
                    <w:jc w:val="center"/>
                    <w:rPr>
                      <w:rFonts w:hint="default" w:ascii="Times New Roman" w:hAnsi="Times New Roman" w:cs="Times New Roman"/>
                      <w:color w:val="auto"/>
                      <w:sz w:val="21"/>
                      <w:szCs w:val="21"/>
                      <w:u w:val="none" w:color="auto"/>
                      <w:lang w:val="en-US" w:eastAsia="zh-CN"/>
                    </w:rPr>
                  </w:pPr>
                </w:p>
              </w:tc>
              <w:tc>
                <w:tcPr>
                  <w:tcW w:w="1275" w:type="dxa"/>
                  <w:vMerge w:val="continue"/>
                  <w:tcBorders>
                    <w:left w:val="single" w:color="auto" w:sz="4" w:space="0"/>
                    <w:right w:val="single" w:color="auto" w:sz="4" w:space="0"/>
                    <w:tl2br w:val="nil"/>
                    <w:tr2bl w:val="nil"/>
                  </w:tcBorders>
                  <w:shd w:val="clear" w:color="auto" w:fill="auto"/>
                  <w:vAlign w:val="center"/>
                </w:tcPr>
                <w:p w14:paraId="0FEF58A7">
                  <w:pPr>
                    <w:pStyle w:val="94"/>
                    <w:spacing w:line="240" w:lineRule="atLeast"/>
                    <w:jc w:val="center"/>
                    <w:rPr>
                      <w:rFonts w:hint="default" w:ascii="Times New Roman" w:hAnsi="Times New Roman" w:cs="Times New Roman"/>
                      <w:color w:val="auto"/>
                      <w:sz w:val="21"/>
                      <w:szCs w:val="21"/>
                      <w:u w:val="none" w:color="auto"/>
                      <w:lang w:val="en-US" w:eastAsia="zh-CN"/>
                    </w:rPr>
                  </w:pPr>
                </w:p>
              </w:tc>
              <w:tc>
                <w:tcPr>
                  <w:tcW w:w="117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335E4E4">
                  <w:pPr>
                    <w:autoSpaceDE w:val="0"/>
                    <w:autoSpaceDN w:val="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颗粒物</w:t>
                  </w:r>
                </w:p>
              </w:tc>
              <w:tc>
                <w:tcPr>
                  <w:tcW w:w="1725"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440051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0.801</w:t>
                  </w:r>
                </w:p>
              </w:tc>
              <w:tc>
                <w:tcPr>
                  <w:tcW w:w="1250" w:type="dxa"/>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13225B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0.0018</w:t>
                  </w:r>
                  <w:r>
                    <w:rPr>
                      <w:rFonts w:hint="eastAsia" w:cs="Times New Roman"/>
                      <w:i w:val="0"/>
                      <w:iCs w:val="0"/>
                      <w:color w:val="auto"/>
                      <w:kern w:val="0"/>
                      <w:sz w:val="21"/>
                      <w:szCs w:val="21"/>
                      <w:u w:val="single" w:color="auto"/>
                      <w:lang w:val="en-US" w:eastAsia="zh-CN" w:bidi="ar"/>
                    </w:rPr>
                    <w:t>9</w:t>
                  </w:r>
                </w:p>
              </w:tc>
              <w:tc>
                <w:tcPr>
                  <w:tcW w:w="1540" w:type="dxa"/>
                  <w:tcBorders>
                    <w:top w:val="single" w:color="auto" w:sz="4" w:space="0"/>
                    <w:left w:val="single" w:color="auto" w:sz="4" w:space="0"/>
                    <w:bottom w:val="single" w:color="auto" w:sz="4" w:space="0"/>
                    <w:right w:val="single" w:color="auto" w:sz="12" w:space="0"/>
                    <w:tl2br w:val="nil"/>
                    <w:tr2bl w:val="nil"/>
                  </w:tcBorders>
                  <w:shd w:val="clear" w:color="auto" w:fill="auto"/>
                  <w:vAlign w:val="center"/>
                </w:tcPr>
                <w:p w14:paraId="07E4D5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single" w:color="auto"/>
                      <w:lang w:val="en-US" w:eastAsia="zh-CN" w:bidi="ar"/>
                    </w:rPr>
                    <w:t>0.00226</w:t>
                  </w:r>
                </w:p>
              </w:tc>
            </w:tr>
            <w:tr w14:paraId="70248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 w:type="dxa"/>
                  <w:bottom w:w="0" w:type="dxa"/>
                  <w:right w:w="10" w:type="dxa"/>
                </w:tblCellMar>
              </w:tblPrEx>
              <w:trPr>
                <w:trHeight w:val="397" w:hRule="atLeast"/>
                <w:jc w:val="center"/>
              </w:trPr>
              <w:tc>
                <w:tcPr>
                  <w:tcW w:w="852" w:type="dxa"/>
                  <w:tcBorders>
                    <w:left w:val="single" w:color="auto" w:sz="12" w:space="0"/>
                    <w:bottom w:val="single" w:color="auto" w:sz="12" w:space="0"/>
                    <w:right w:val="single" w:color="auto" w:sz="4" w:space="0"/>
                    <w:tl2br w:val="nil"/>
                    <w:tr2bl w:val="nil"/>
                  </w:tcBorders>
                  <w:shd w:val="clear" w:color="auto" w:fill="auto"/>
                  <w:vAlign w:val="center"/>
                </w:tcPr>
                <w:p w14:paraId="502D228B">
                  <w:pPr>
                    <w:pStyle w:val="94"/>
                    <w:spacing w:line="240" w:lineRule="atLeast"/>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w:t>
                  </w:r>
                </w:p>
              </w:tc>
              <w:tc>
                <w:tcPr>
                  <w:tcW w:w="1275" w:type="dxa"/>
                  <w:tcBorders>
                    <w:left w:val="single" w:color="auto" w:sz="4" w:space="0"/>
                    <w:bottom w:val="single" w:color="auto" w:sz="12" w:space="0"/>
                    <w:right w:val="single" w:color="auto" w:sz="4" w:space="0"/>
                    <w:tl2br w:val="nil"/>
                    <w:tr2bl w:val="nil"/>
                  </w:tcBorders>
                  <w:shd w:val="clear" w:color="auto" w:fill="auto"/>
                  <w:vAlign w:val="center"/>
                </w:tcPr>
                <w:p w14:paraId="41C98553">
                  <w:pPr>
                    <w:pStyle w:val="94"/>
                    <w:spacing w:line="240" w:lineRule="atLeast"/>
                    <w:jc w:val="center"/>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DA00</w:t>
                  </w:r>
                  <w:r>
                    <w:rPr>
                      <w:rFonts w:hint="eastAsia" w:ascii="Times New Roman" w:hAnsi="Times New Roman" w:cs="Times New Roman"/>
                      <w:color w:val="auto"/>
                      <w:sz w:val="21"/>
                      <w:szCs w:val="21"/>
                      <w:u w:val="none" w:color="auto"/>
                      <w:lang w:val="en-US" w:eastAsia="zh-CN"/>
                    </w:rPr>
                    <w:t>3</w:t>
                  </w:r>
                </w:p>
              </w:tc>
              <w:tc>
                <w:tcPr>
                  <w:tcW w:w="1175" w:type="dxa"/>
                  <w:tcBorders>
                    <w:top w:val="single" w:color="auto" w:sz="4" w:space="0"/>
                    <w:left w:val="single" w:color="auto" w:sz="4" w:space="0"/>
                    <w:bottom w:val="single" w:color="auto" w:sz="12" w:space="0"/>
                    <w:right w:val="single" w:color="auto" w:sz="4" w:space="0"/>
                    <w:tl2br w:val="nil"/>
                    <w:tr2bl w:val="nil"/>
                  </w:tcBorders>
                  <w:shd w:val="clear" w:color="auto" w:fill="auto"/>
                  <w:vAlign w:val="center"/>
                </w:tcPr>
                <w:p w14:paraId="770DA350">
                  <w:pPr>
                    <w:autoSpaceDE w:val="0"/>
                    <w:autoSpaceDN w:val="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油烟</w:t>
                  </w:r>
                </w:p>
              </w:tc>
              <w:tc>
                <w:tcPr>
                  <w:tcW w:w="1725" w:type="dxa"/>
                  <w:tcBorders>
                    <w:top w:val="single" w:color="auto" w:sz="4" w:space="0"/>
                    <w:left w:val="single" w:color="auto" w:sz="4" w:space="0"/>
                    <w:bottom w:val="single" w:color="auto" w:sz="12" w:space="0"/>
                    <w:right w:val="single" w:color="auto" w:sz="4" w:space="0"/>
                    <w:tl2br w:val="nil"/>
                    <w:tr2bl w:val="nil"/>
                  </w:tcBorders>
                  <w:shd w:val="clear" w:color="auto" w:fill="auto"/>
                  <w:vAlign w:val="center"/>
                </w:tcPr>
                <w:p w14:paraId="249E0F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1.18</w:t>
                  </w:r>
                </w:p>
              </w:tc>
              <w:tc>
                <w:tcPr>
                  <w:tcW w:w="1250" w:type="dxa"/>
                  <w:tcBorders>
                    <w:top w:val="single" w:color="auto" w:sz="4" w:space="0"/>
                    <w:left w:val="single" w:color="auto" w:sz="4" w:space="0"/>
                    <w:bottom w:val="single" w:color="auto" w:sz="12" w:space="0"/>
                    <w:right w:val="single" w:color="auto" w:sz="4" w:space="0"/>
                    <w:tl2br w:val="nil"/>
                    <w:tr2bl w:val="nil"/>
                  </w:tcBorders>
                  <w:shd w:val="clear" w:color="auto" w:fill="auto"/>
                  <w:vAlign w:val="center"/>
                </w:tcPr>
                <w:p w14:paraId="4FBD33D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0.00236</w:t>
                  </w:r>
                </w:p>
              </w:tc>
              <w:tc>
                <w:tcPr>
                  <w:tcW w:w="1540" w:type="dxa"/>
                  <w:tcBorders>
                    <w:top w:val="single" w:color="auto" w:sz="4" w:space="0"/>
                    <w:left w:val="single" w:color="auto" w:sz="4" w:space="0"/>
                    <w:bottom w:val="single" w:color="auto" w:sz="12" w:space="0"/>
                    <w:right w:val="single" w:color="auto" w:sz="12" w:space="0"/>
                    <w:tl2br w:val="nil"/>
                    <w:tr2bl w:val="nil"/>
                  </w:tcBorders>
                  <w:shd w:val="clear" w:color="auto" w:fill="auto"/>
                  <w:vAlign w:val="center"/>
                </w:tcPr>
                <w:p w14:paraId="40992E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0.00283</w:t>
                  </w:r>
                </w:p>
              </w:tc>
            </w:tr>
          </w:tbl>
          <w:p w14:paraId="32A5EE4B">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b/>
                <w:color w:val="auto"/>
                <w:spacing w:val="-10"/>
                <w:sz w:val="24"/>
                <w:szCs w:val="21"/>
              </w:rPr>
            </w:pPr>
            <w:r>
              <w:rPr>
                <w:b/>
                <w:bCs/>
                <w:color w:val="auto"/>
                <w:sz w:val="24"/>
              </w:rPr>
              <w:t>表4</w:t>
            </w:r>
            <w:r>
              <w:rPr>
                <w:rFonts w:hint="eastAsia"/>
                <w:b/>
                <w:bCs/>
                <w:color w:val="auto"/>
                <w:sz w:val="24"/>
              </w:rPr>
              <w:t>-</w:t>
            </w:r>
            <w:r>
              <w:rPr>
                <w:rFonts w:hint="eastAsia"/>
                <w:b/>
                <w:bCs/>
                <w:color w:val="auto"/>
                <w:sz w:val="24"/>
                <w:lang w:val="en-US" w:eastAsia="zh-CN"/>
              </w:rPr>
              <w:t>10</w:t>
            </w:r>
            <w:r>
              <w:rPr>
                <w:rFonts w:hint="eastAsia"/>
                <w:b/>
                <w:bCs/>
                <w:color w:val="auto"/>
                <w:sz w:val="24"/>
              </w:rPr>
              <w:t xml:space="preserve">   </w:t>
            </w:r>
            <w:r>
              <w:rPr>
                <w:b/>
                <w:bCs/>
                <w:color w:val="auto"/>
                <w:sz w:val="24"/>
              </w:rPr>
              <w:t>大气污染物</w:t>
            </w:r>
            <w:r>
              <w:rPr>
                <w:rFonts w:hint="eastAsia"/>
                <w:b/>
                <w:bCs/>
                <w:color w:val="auto"/>
                <w:sz w:val="24"/>
                <w:lang w:val="en-US" w:eastAsia="zh-CN"/>
              </w:rPr>
              <w:t>无组织</w:t>
            </w:r>
            <w:r>
              <w:rPr>
                <w:b/>
                <w:bCs/>
                <w:color w:val="auto"/>
                <w:sz w:val="24"/>
              </w:rPr>
              <w:t>排放量核算表</w:t>
            </w:r>
          </w:p>
          <w:tbl>
            <w:tblPr>
              <w:tblStyle w:val="33"/>
              <w:tblW w:w="7777"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3"/>
              <w:gridCol w:w="912"/>
              <w:gridCol w:w="1438"/>
              <w:gridCol w:w="2537"/>
              <w:gridCol w:w="1125"/>
              <w:gridCol w:w="942"/>
            </w:tblGrid>
            <w:tr w14:paraId="733A9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3" w:type="dxa"/>
                  <w:vMerge w:val="restart"/>
                  <w:tcBorders>
                    <w:tl2br w:val="nil"/>
                    <w:tr2bl w:val="nil"/>
                  </w:tcBorders>
                  <w:noWrap w:val="0"/>
                  <w:vAlign w:val="center"/>
                </w:tcPr>
                <w:p w14:paraId="46E7C454">
                  <w:pPr>
                    <w:pStyle w:val="125"/>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cs="Times New Roman" w:eastAsiaTheme="minorEastAsia"/>
                      <w:b/>
                      <w:bCs/>
                      <w:color w:val="auto"/>
                      <w:spacing w:val="3"/>
                      <w:sz w:val="21"/>
                      <w:szCs w:val="21"/>
                      <w:lang w:val="en-US" w:eastAsia="zh-CN"/>
                    </w:rPr>
                  </w:pPr>
                  <w:r>
                    <w:rPr>
                      <w:rFonts w:hint="default" w:ascii="Times New Roman" w:hAnsi="Times New Roman" w:cs="Times New Roman" w:eastAsiaTheme="minorEastAsia"/>
                      <w:b/>
                      <w:bCs/>
                      <w:color w:val="auto"/>
                      <w:spacing w:val="3"/>
                      <w:sz w:val="21"/>
                      <w:szCs w:val="21"/>
                      <w:lang w:val="en-US" w:eastAsia="zh-CN"/>
                    </w:rPr>
                    <w:t>产物环节</w:t>
                  </w:r>
                </w:p>
              </w:tc>
              <w:tc>
                <w:tcPr>
                  <w:tcW w:w="912" w:type="dxa"/>
                  <w:vMerge w:val="restart"/>
                  <w:tcBorders>
                    <w:tl2br w:val="nil"/>
                    <w:tr2bl w:val="nil"/>
                  </w:tcBorders>
                  <w:noWrap w:val="0"/>
                  <w:vAlign w:val="center"/>
                </w:tcPr>
                <w:p w14:paraId="414E7F47">
                  <w:pPr>
                    <w:pStyle w:val="125"/>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cs="Times New Roman" w:eastAsiaTheme="minorEastAsia"/>
                      <w:b/>
                      <w:bCs/>
                      <w:color w:val="auto"/>
                      <w:spacing w:val="3"/>
                      <w:sz w:val="21"/>
                      <w:szCs w:val="21"/>
                      <w:lang w:val="en-US" w:eastAsia="zh-CN"/>
                    </w:rPr>
                  </w:pPr>
                  <w:r>
                    <w:rPr>
                      <w:rFonts w:hint="default" w:ascii="Times New Roman" w:hAnsi="Times New Roman" w:cs="Times New Roman" w:eastAsiaTheme="minorEastAsia"/>
                      <w:b/>
                      <w:bCs/>
                      <w:color w:val="auto"/>
                      <w:spacing w:val="3"/>
                      <w:sz w:val="21"/>
                      <w:szCs w:val="21"/>
                    </w:rPr>
                    <w:t>污染物</w:t>
                  </w:r>
                </w:p>
              </w:tc>
              <w:tc>
                <w:tcPr>
                  <w:tcW w:w="1438" w:type="dxa"/>
                  <w:vMerge w:val="restart"/>
                  <w:tcBorders>
                    <w:tl2br w:val="nil"/>
                    <w:tr2bl w:val="nil"/>
                  </w:tcBorders>
                  <w:noWrap w:val="0"/>
                  <w:vAlign w:val="center"/>
                </w:tcPr>
                <w:p w14:paraId="0907014E">
                  <w:pPr>
                    <w:pStyle w:val="125"/>
                    <w:keepNext w:val="0"/>
                    <w:keepLines w:val="0"/>
                    <w:pageBreakBefore w:val="0"/>
                    <w:widowControl w:val="0"/>
                    <w:kinsoku/>
                    <w:wordWrap/>
                    <w:overflowPunct/>
                    <w:topLinePunct w:val="0"/>
                    <w:autoSpaceDE/>
                    <w:autoSpaceDN/>
                    <w:bidi w:val="0"/>
                    <w:spacing w:line="240" w:lineRule="auto"/>
                    <w:ind w:left="0"/>
                    <w:jc w:val="center"/>
                    <w:textAlignment w:val="auto"/>
                    <w:rPr>
                      <w:rFonts w:hint="default" w:ascii="Times New Roman" w:hAnsi="Times New Roman" w:cs="Times New Roman" w:eastAsiaTheme="minorEastAsia"/>
                      <w:b/>
                      <w:color w:val="auto"/>
                      <w:spacing w:val="-10"/>
                      <w:sz w:val="21"/>
                      <w:szCs w:val="21"/>
                      <w:vertAlign w:val="baseline"/>
                    </w:rPr>
                  </w:pPr>
                  <w:r>
                    <w:rPr>
                      <w:rFonts w:hint="default" w:ascii="Times New Roman" w:hAnsi="Times New Roman" w:cs="Times New Roman" w:eastAsiaTheme="minorEastAsia"/>
                      <w:b/>
                      <w:bCs/>
                      <w:color w:val="auto"/>
                      <w:spacing w:val="5"/>
                      <w:sz w:val="21"/>
                      <w:szCs w:val="21"/>
                    </w:rPr>
                    <w:t>主要污</w:t>
                  </w:r>
                  <w:r>
                    <w:rPr>
                      <w:rFonts w:hint="default" w:ascii="Times New Roman" w:hAnsi="Times New Roman" w:cs="Times New Roman" w:eastAsiaTheme="minorEastAsia"/>
                      <w:b/>
                      <w:bCs/>
                      <w:color w:val="auto"/>
                      <w:spacing w:val="4"/>
                      <w:sz w:val="21"/>
                      <w:szCs w:val="21"/>
                    </w:rPr>
                    <w:t>染防治</w:t>
                  </w:r>
                  <w:r>
                    <w:rPr>
                      <w:rFonts w:hint="default" w:ascii="Times New Roman" w:hAnsi="Times New Roman" w:cs="Times New Roman" w:eastAsiaTheme="minorEastAsia"/>
                      <w:b/>
                      <w:bCs/>
                      <w:color w:val="auto"/>
                      <w:spacing w:val="3"/>
                      <w:sz w:val="21"/>
                      <w:szCs w:val="21"/>
                    </w:rPr>
                    <w:t>措施</w:t>
                  </w:r>
                </w:p>
              </w:tc>
              <w:tc>
                <w:tcPr>
                  <w:tcW w:w="3662" w:type="dxa"/>
                  <w:gridSpan w:val="2"/>
                  <w:tcBorders>
                    <w:tl2br w:val="nil"/>
                    <w:tr2bl w:val="nil"/>
                  </w:tcBorders>
                  <w:noWrap w:val="0"/>
                  <w:vAlign w:val="center"/>
                </w:tcPr>
                <w:p w14:paraId="1A019A47">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b/>
                      <w:color w:val="auto"/>
                      <w:spacing w:val="-10"/>
                      <w:sz w:val="21"/>
                      <w:szCs w:val="21"/>
                      <w:vertAlign w:val="baseline"/>
                    </w:rPr>
                  </w:pPr>
                  <w:r>
                    <w:rPr>
                      <w:rFonts w:hint="default" w:ascii="Times New Roman" w:hAnsi="Times New Roman" w:cs="Times New Roman" w:eastAsiaTheme="minorEastAsia"/>
                      <w:b/>
                      <w:bCs/>
                      <w:color w:val="auto"/>
                      <w:spacing w:val="7"/>
                      <w:sz w:val="21"/>
                      <w:szCs w:val="21"/>
                    </w:rPr>
                    <w:t>污染物排放标准</w:t>
                  </w:r>
                </w:p>
              </w:tc>
              <w:tc>
                <w:tcPr>
                  <w:tcW w:w="942" w:type="dxa"/>
                  <w:vMerge w:val="restart"/>
                  <w:tcBorders>
                    <w:tl2br w:val="nil"/>
                    <w:tr2bl w:val="nil"/>
                  </w:tcBorders>
                  <w:noWrap w:val="0"/>
                  <w:vAlign w:val="center"/>
                </w:tcPr>
                <w:p w14:paraId="3A277FC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b/>
                      <w:color w:val="auto"/>
                      <w:spacing w:val="-10"/>
                      <w:sz w:val="21"/>
                      <w:szCs w:val="21"/>
                      <w:vertAlign w:val="baseline"/>
                    </w:rPr>
                  </w:pPr>
                  <w:r>
                    <w:rPr>
                      <w:rFonts w:hint="default" w:ascii="Times New Roman" w:hAnsi="Times New Roman" w:cs="Times New Roman" w:eastAsiaTheme="minorEastAsia"/>
                      <w:b/>
                      <w:bCs/>
                      <w:color w:val="auto"/>
                      <w:spacing w:val="6"/>
                      <w:sz w:val="21"/>
                      <w:szCs w:val="21"/>
                    </w:rPr>
                    <w:t>年排放量</w:t>
                  </w:r>
                  <w:r>
                    <w:rPr>
                      <w:rFonts w:hint="default" w:ascii="Times New Roman" w:hAnsi="Times New Roman" w:cs="Times New Roman" w:eastAsiaTheme="minorEastAsia"/>
                      <w:b/>
                      <w:bCs/>
                      <w:color w:val="auto"/>
                      <w:spacing w:val="-1"/>
                      <w:sz w:val="21"/>
                      <w:szCs w:val="21"/>
                    </w:rPr>
                    <w:t>（t/a）</w:t>
                  </w:r>
                </w:p>
              </w:tc>
            </w:tr>
            <w:tr w14:paraId="26B95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3" w:type="dxa"/>
                  <w:vMerge w:val="continue"/>
                  <w:tcBorders>
                    <w:tl2br w:val="nil"/>
                    <w:tr2bl w:val="nil"/>
                  </w:tcBorders>
                  <w:noWrap w:val="0"/>
                  <w:vAlign w:val="center"/>
                </w:tcPr>
                <w:p w14:paraId="0AB1048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b/>
                      <w:color w:val="auto"/>
                      <w:spacing w:val="-10"/>
                      <w:sz w:val="21"/>
                      <w:szCs w:val="21"/>
                      <w:vertAlign w:val="baseline"/>
                    </w:rPr>
                  </w:pPr>
                </w:p>
              </w:tc>
              <w:tc>
                <w:tcPr>
                  <w:tcW w:w="912" w:type="dxa"/>
                  <w:vMerge w:val="continue"/>
                  <w:tcBorders>
                    <w:tl2br w:val="nil"/>
                    <w:tr2bl w:val="nil"/>
                  </w:tcBorders>
                  <w:noWrap w:val="0"/>
                  <w:vAlign w:val="center"/>
                </w:tcPr>
                <w:p w14:paraId="118C7727">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eastAsiaTheme="minorEastAsia"/>
                      <w:color w:val="auto"/>
                      <w:kern w:val="2"/>
                      <w:sz w:val="21"/>
                      <w:szCs w:val="21"/>
                      <w:lang w:val="en-US" w:eastAsia="zh-CN" w:bidi="ar-SA"/>
                    </w:rPr>
                  </w:pPr>
                </w:p>
              </w:tc>
              <w:tc>
                <w:tcPr>
                  <w:tcW w:w="1438" w:type="dxa"/>
                  <w:vMerge w:val="continue"/>
                  <w:tcBorders>
                    <w:tl2br w:val="nil"/>
                    <w:tr2bl w:val="nil"/>
                  </w:tcBorders>
                  <w:noWrap w:val="0"/>
                  <w:vAlign w:val="center"/>
                </w:tcPr>
                <w:p w14:paraId="48730C1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b/>
                      <w:color w:val="auto"/>
                      <w:spacing w:val="-10"/>
                      <w:sz w:val="21"/>
                      <w:szCs w:val="21"/>
                      <w:vertAlign w:val="baseline"/>
                    </w:rPr>
                  </w:pPr>
                </w:p>
              </w:tc>
              <w:tc>
                <w:tcPr>
                  <w:tcW w:w="2537" w:type="dxa"/>
                  <w:tcBorders>
                    <w:tl2br w:val="nil"/>
                    <w:tr2bl w:val="nil"/>
                  </w:tcBorders>
                  <w:noWrap w:val="0"/>
                  <w:vAlign w:val="center"/>
                </w:tcPr>
                <w:p w14:paraId="0F60B19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b/>
                      <w:color w:val="auto"/>
                      <w:spacing w:val="-10"/>
                      <w:sz w:val="21"/>
                      <w:szCs w:val="21"/>
                      <w:vertAlign w:val="baseline"/>
                      <w:lang w:val="en-US" w:eastAsia="zh-CN"/>
                    </w:rPr>
                  </w:pPr>
                  <w:r>
                    <w:rPr>
                      <w:rFonts w:hint="default" w:ascii="Times New Roman" w:hAnsi="Times New Roman" w:cs="Times New Roman" w:eastAsiaTheme="minorEastAsia"/>
                      <w:b/>
                      <w:color w:val="auto"/>
                      <w:spacing w:val="-10"/>
                      <w:sz w:val="21"/>
                      <w:szCs w:val="21"/>
                      <w:vertAlign w:val="baseline"/>
                      <w:lang w:val="en-US" w:eastAsia="zh-CN"/>
                    </w:rPr>
                    <w:t>标准名称</w:t>
                  </w:r>
                </w:p>
              </w:tc>
              <w:tc>
                <w:tcPr>
                  <w:tcW w:w="1125" w:type="dxa"/>
                  <w:tcBorders>
                    <w:tl2br w:val="nil"/>
                    <w:tr2bl w:val="nil"/>
                  </w:tcBorders>
                  <w:noWrap w:val="0"/>
                  <w:vAlign w:val="center"/>
                </w:tcPr>
                <w:p w14:paraId="40B581B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b/>
                      <w:color w:val="auto"/>
                      <w:spacing w:val="-10"/>
                      <w:sz w:val="21"/>
                      <w:szCs w:val="21"/>
                      <w:vertAlign w:val="baseline"/>
                      <w:lang w:val="en-US" w:eastAsia="zh-CN"/>
                    </w:rPr>
                  </w:pPr>
                  <w:r>
                    <w:rPr>
                      <w:rFonts w:hint="default" w:ascii="Times New Roman" w:hAnsi="Times New Roman" w:cs="Times New Roman" w:eastAsiaTheme="minorEastAsia"/>
                      <w:b/>
                      <w:color w:val="auto"/>
                      <w:spacing w:val="-10"/>
                      <w:sz w:val="21"/>
                      <w:szCs w:val="21"/>
                      <w:vertAlign w:val="baseline"/>
                      <w:lang w:val="en-US" w:eastAsia="zh-CN"/>
                    </w:rPr>
                    <w:t>浓度限值（mg/m</w:t>
                  </w:r>
                  <w:r>
                    <w:rPr>
                      <w:rFonts w:hint="default" w:ascii="Times New Roman" w:hAnsi="Times New Roman" w:cs="Times New Roman" w:eastAsiaTheme="minorEastAsia"/>
                      <w:b/>
                      <w:color w:val="auto"/>
                      <w:spacing w:val="-10"/>
                      <w:sz w:val="21"/>
                      <w:szCs w:val="21"/>
                      <w:vertAlign w:val="superscript"/>
                      <w:lang w:val="en-US" w:eastAsia="zh-CN"/>
                    </w:rPr>
                    <w:t>3</w:t>
                  </w:r>
                  <w:r>
                    <w:rPr>
                      <w:rFonts w:hint="default" w:ascii="Times New Roman" w:hAnsi="Times New Roman" w:cs="Times New Roman" w:eastAsiaTheme="minorEastAsia"/>
                      <w:b/>
                      <w:color w:val="auto"/>
                      <w:spacing w:val="-10"/>
                      <w:sz w:val="21"/>
                      <w:szCs w:val="21"/>
                      <w:vertAlign w:val="baseline"/>
                      <w:lang w:val="en-US" w:eastAsia="zh-CN"/>
                    </w:rPr>
                    <w:t>）</w:t>
                  </w:r>
                </w:p>
              </w:tc>
              <w:tc>
                <w:tcPr>
                  <w:tcW w:w="942" w:type="dxa"/>
                  <w:vMerge w:val="continue"/>
                  <w:tcBorders>
                    <w:tl2br w:val="nil"/>
                    <w:tr2bl w:val="nil"/>
                  </w:tcBorders>
                  <w:noWrap w:val="0"/>
                  <w:vAlign w:val="center"/>
                </w:tcPr>
                <w:p w14:paraId="6B6F155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b/>
                      <w:color w:val="auto"/>
                      <w:spacing w:val="-10"/>
                      <w:sz w:val="21"/>
                      <w:szCs w:val="21"/>
                      <w:vertAlign w:val="baseline"/>
                    </w:rPr>
                  </w:pPr>
                </w:p>
              </w:tc>
            </w:tr>
            <w:tr w14:paraId="78637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23" w:type="dxa"/>
                  <w:tcBorders>
                    <w:tl2br w:val="nil"/>
                    <w:tr2bl w:val="nil"/>
                  </w:tcBorders>
                  <w:noWrap w:val="0"/>
                  <w:vAlign w:val="center"/>
                </w:tcPr>
                <w:p w14:paraId="2E6B52E5">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lang w:val="en-US" w:eastAsia="zh" w:bidi="ar-SA"/>
                    </w:rPr>
                  </w:pPr>
                  <w:r>
                    <w:rPr>
                      <w:rFonts w:hint="default" w:ascii="Times New Roman" w:hAnsi="Times New Roman" w:cs="Times New Roman" w:eastAsiaTheme="minorEastAsia"/>
                      <w:color w:val="auto"/>
                      <w:sz w:val="21"/>
                      <w:szCs w:val="21"/>
                      <w:lang w:val="en-US" w:eastAsia="zh-CN"/>
                    </w:rPr>
                    <w:t>粉碎</w:t>
                  </w:r>
                </w:p>
              </w:tc>
              <w:tc>
                <w:tcPr>
                  <w:tcW w:w="912" w:type="dxa"/>
                  <w:tcBorders>
                    <w:tl2br w:val="nil"/>
                    <w:tr2bl w:val="nil"/>
                  </w:tcBorders>
                  <w:noWrap w:val="0"/>
                  <w:vAlign w:val="center"/>
                </w:tcPr>
                <w:p w14:paraId="061E6988">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5"/>
                      <w:sz w:val="21"/>
                      <w:szCs w:val="21"/>
                      <w:lang w:val="en-US" w:eastAsia="zh-CN"/>
                    </w:rPr>
                    <w:t>颗粒物</w:t>
                  </w:r>
                </w:p>
              </w:tc>
              <w:tc>
                <w:tcPr>
                  <w:tcW w:w="1438" w:type="dxa"/>
                  <w:tcBorders>
                    <w:tl2br w:val="nil"/>
                    <w:tr2bl w:val="nil"/>
                  </w:tcBorders>
                  <w:noWrap w:val="0"/>
                  <w:vAlign w:val="center"/>
                </w:tcPr>
                <w:p w14:paraId="71515658">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color w:val="auto"/>
                      <w:spacing w:val="-10"/>
                      <w:sz w:val="21"/>
                      <w:szCs w:val="21"/>
                      <w:vertAlign w:val="baseline"/>
                    </w:rPr>
                  </w:pPr>
                  <w:r>
                    <w:rPr>
                      <w:rFonts w:hint="default" w:ascii="Times New Roman" w:hAnsi="Times New Roman" w:cs="Times New Roman" w:eastAsiaTheme="minorEastAsia"/>
                      <w:color w:val="auto"/>
                      <w:sz w:val="21"/>
                      <w:szCs w:val="21"/>
                      <w:u w:val="none" w:color="auto"/>
                      <w:lang w:val="en-US" w:eastAsia="zh-CN"/>
                    </w:rPr>
                    <w:t>布袋除尘器</w:t>
                  </w:r>
                </w:p>
              </w:tc>
              <w:tc>
                <w:tcPr>
                  <w:tcW w:w="2537" w:type="dxa"/>
                  <w:tcBorders>
                    <w:tl2br w:val="nil"/>
                    <w:tr2bl w:val="nil"/>
                  </w:tcBorders>
                  <w:noWrap w:val="0"/>
                  <w:vAlign w:val="center"/>
                </w:tcPr>
                <w:p w14:paraId="36B4D4C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color w:val="auto"/>
                      <w:spacing w:val="6"/>
                      <w:sz w:val="21"/>
                      <w:szCs w:val="21"/>
                    </w:rPr>
                  </w:pPr>
                  <w:r>
                    <w:rPr>
                      <w:rFonts w:hint="default" w:ascii="Times New Roman" w:hAnsi="Times New Roman" w:cs="Times New Roman" w:eastAsiaTheme="minorEastAsia"/>
                      <w:color w:val="auto"/>
                      <w:spacing w:val="6"/>
                      <w:sz w:val="21"/>
                      <w:szCs w:val="21"/>
                    </w:rPr>
                    <w:t>《大气污染物综合排放标准》（GB16297-1996）</w:t>
                  </w:r>
                </w:p>
              </w:tc>
              <w:tc>
                <w:tcPr>
                  <w:tcW w:w="1125" w:type="dxa"/>
                  <w:tcBorders>
                    <w:tl2br w:val="nil"/>
                    <w:tr2bl w:val="nil"/>
                  </w:tcBorders>
                  <w:noWrap w:val="0"/>
                  <w:vAlign w:val="center"/>
                </w:tcPr>
                <w:p w14:paraId="1FF31AB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b/>
                      <w:color w:val="auto"/>
                      <w:spacing w:val="-10"/>
                      <w:sz w:val="21"/>
                      <w:szCs w:val="21"/>
                      <w:vertAlign w:val="baseline"/>
                    </w:rPr>
                  </w:pPr>
                  <w:r>
                    <w:rPr>
                      <w:rFonts w:hint="default" w:ascii="Times New Roman" w:hAnsi="Times New Roman" w:cs="Times New Roman" w:eastAsiaTheme="minorEastAsia"/>
                      <w:color w:val="auto"/>
                      <w:spacing w:val="0"/>
                      <w:w w:val="100"/>
                      <w:position w:val="0"/>
                      <w:sz w:val="21"/>
                      <w:szCs w:val="21"/>
                    </w:rPr>
                    <w:t>4.0</w:t>
                  </w:r>
                </w:p>
              </w:tc>
              <w:tc>
                <w:tcPr>
                  <w:tcW w:w="942" w:type="dxa"/>
                  <w:tcBorders>
                    <w:tl2br w:val="nil"/>
                    <w:tr2bl w:val="nil"/>
                  </w:tcBorders>
                  <w:noWrap w:val="0"/>
                  <w:vAlign w:val="center"/>
                </w:tcPr>
                <w:p w14:paraId="3E7F1FD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cs="Times New Roman" w:eastAsiaTheme="minorEastAsia"/>
                      <w:color w:val="auto"/>
                      <w:spacing w:val="6"/>
                      <w:sz w:val="21"/>
                      <w:szCs w:val="21"/>
                    </w:rPr>
                  </w:pPr>
                  <w:r>
                    <w:rPr>
                      <w:rFonts w:hint="default" w:ascii="Times New Roman" w:hAnsi="Times New Roman" w:cs="Times New Roman" w:eastAsiaTheme="minorEastAsia"/>
                      <w:color w:val="auto"/>
                      <w:sz w:val="21"/>
                      <w:szCs w:val="21"/>
                      <w:highlight w:val="none"/>
                      <w:lang w:val="en-US" w:eastAsia="zh-CN"/>
                    </w:rPr>
                    <w:t>0.0145</w:t>
                  </w:r>
                </w:p>
              </w:tc>
            </w:tr>
          </w:tbl>
          <w:p w14:paraId="42D6F84F">
            <w:pPr>
              <w:keepNext/>
              <w:keepLines w:val="0"/>
              <w:pageBreakBefore w:val="0"/>
              <w:widowControl w:val="0"/>
              <w:kinsoku/>
              <w:wordWrap/>
              <w:overflowPunct/>
              <w:topLinePunct w:val="0"/>
              <w:autoSpaceDE w:val="0"/>
              <w:autoSpaceDN w:val="0"/>
              <w:bidi w:val="0"/>
              <w:adjustRightInd/>
              <w:snapToGrid/>
              <w:spacing w:before="157" w:beforeLines="50"/>
              <w:jc w:val="center"/>
              <w:textAlignment w:val="auto"/>
              <w:rPr>
                <w:rFonts w:hint="eastAsia" w:ascii="Times New Roman" w:hAnsi="Times New Roman" w:eastAsia="宋体" w:cs="Times New Roman"/>
                <w:b/>
                <w:bCs/>
                <w:color w:val="auto"/>
                <w:sz w:val="24"/>
              </w:rPr>
            </w:pPr>
            <w:r>
              <w:rPr>
                <w:rFonts w:ascii="Times New Roman" w:hAnsi="Times New Roman" w:eastAsia="宋体" w:cs="Times New Roman"/>
                <w:b/>
                <w:bCs/>
                <w:color w:val="auto"/>
                <w:sz w:val="24"/>
              </w:rPr>
              <w:t>表4-</w:t>
            </w:r>
            <w:r>
              <w:rPr>
                <w:rFonts w:hint="eastAsia" w:cs="Times New Roman"/>
                <w:b/>
                <w:bCs/>
                <w:color w:val="auto"/>
                <w:sz w:val="24"/>
                <w:lang w:val="en-US" w:eastAsia="zh-CN"/>
              </w:rPr>
              <w:t>11</w:t>
            </w:r>
            <w:r>
              <w:rPr>
                <w:rFonts w:ascii="Times New Roman" w:hAnsi="Times New Roman" w:eastAsia="宋体" w:cs="Times New Roman"/>
                <w:b/>
                <w:bCs/>
                <w:color w:val="auto"/>
                <w:sz w:val="24"/>
              </w:rPr>
              <w:t xml:space="preserve">   大气污染物年排放量核算表</w:t>
            </w:r>
          </w:p>
          <w:tbl>
            <w:tblPr>
              <w:tblStyle w:val="33"/>
              <w:tblW w:w="7779"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3066"/>
              <w:gridCol w:w="2766"/>
            </w:tblGrid>
            <w:tr w14:paraId="0EC56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rPr>
              <w:tc>
                <w:tcPr>
                  <w:tcW w:w="1947" w:type="dxa"/>
                  <w:tcBorders>
                    <w:tl2br w:val="nil"/>
                    <w:tr2bl w:val="nil"/>
                  </w:tcBorders>
                  <w:noWrap w:val="0"/>
                  <w:vAlign w:val="center"/>
                </w:tcPr>
                <w:p w14:paraId="0414CA32">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序号</w:t>
                  </w:r>
                </w:p>
              </w:tc>
              <w:tc>
                <w:tcPr>
                  <w:tcW w:w="3066" w:type="dxa"/>
                  <w:tcBorders>
                    <w:tl2br w:val="nil"/>
                    <w:tr2bl w:val="nil"/>
                  </w:tcBorders>
                  <w:noWrap w:val="0"/>
                  <w:vAlign w:val="center"/>
                </w:tcPr>
                <w:p w14:paraId="695F9E21">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污染物</w:t>
                  </w:r>
                </w:p>
              </w:tc>
              <w:tc>
                <w:tcPr>
                  <w:tcW w:w="2766" w:type="dxa"/>
                  <w:tcBorders>
                    <w:tl2br w:val="nil"/>
                    <w:tr2bl w:val="nil"/>
                  </w:tcBorders>
                  <w:noWrap w:val="0"/>
                  <w:vAlign w:val="center"/>
                </w:tcPr>
                <w:p w14:paraId="3313869C">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年排放量（t/a）</w:t>
                  </w:r>
                </w:p>
              </w:tc>
            </w:tr>
            <w:tr w14:paraId="11C8B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tcBorders>
                    <w:tl2br w:val="nil"/>
                    <w:tr2bl w:val="nil"/>
                  </w:tcBorders>
                  <w:noWrap w:val="0"/>
                  <w:vAlign w:val="center"/>
                </w:tcPr>
                <w:p w14:paraId="529A305B">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3066" w:type="dxa"/>
                  <w:tcBorders>
                    <w:tl2br w:val="nil"/>
                    <w:tr2bl w:val="nil"/>
                  </w:tcBorders>
                  <w:noWrap w:val="0"/>
                  <w:vAlign w:val="center"/>
                </w:tcPr>
                <w:p w14:paraId="0E6C1B67">
                  <w:pPr>
                    <w:autoSpaceDE w:val="0"/>
                    <w:autoSpaceDN w:val="0"/>
                    <w:jc w:val="center"/>
                    <w:rPr>
                      <w:rFonts w:hint="eastAsia"/>
                      <w:color w:val="auto"/>
                      <w:kern w:val="2"/>
                      <w:sz w:val="21"/>
                      <w:szCs w:val="21"/>
                      <w:lang w:val="en-US" w:eastAsia="zh-CN" w:bidi="ar-SA"/>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2766" w:type="dxa"/>
                  <w:tcBorders>
                    <w:tl2br w:val="nil"/>
                    <w:tr2bl w:val="nil"/>
                  </w:tcBorders>
                  <w:noWrap w:val="0"/>
                  <w:vAlign w:val="center"/>
                </w:tcPr>
                <w:p w14:paraId="14C61FD1">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u w:val="single"/>
                      <w:lang w:val="en-US" w:eastAsia="zh-CN"/>
                    </w:rPr>
                  </w:pPr>
                  <w:r>
                    <w:rPr>
                      <w:rFonts w:hint="eastAsia" w:cs="Times New Roman"/>
                      <w:color w:val="FF0000"/>
                      <w:spacing w:val="6"/>
                      <w:sz w:val="21"/>
                      <w:szCs w:val="21"/>
                      <w:u w:val="single"/>
                      <w:lang w:val="en-US" w:eastAsia="zh-CN"/>
                    </w:rPr>
                    <w:t>0.559</w:t>
                  </w:r>
                </w:p>
              </w:tc>
            </w:tr>
            <w:tr w14:paraId="5B7F0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tcBorders>
                    <w:tl2br w:val="nil"/>
                    <w:tr2bl w:val="nil"/>
                  </w:tcBorders>
                  <w:noWrap w:val="0"/>
                  <w:vAlign w:val="center"/>
                </w:tcPr>
                <w:p w14:paraId="5209AAC2">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3066" w:type="dxa"/>
                  <w:tcBorders>
                    <w:tl2br w:val="nil"/>
                    <w:tr2bl w:val="nil"/>
                  </w:tcBorders>
                  <w:noWrap w:val="0"/>
                  <w:vAlign w:val="center"/>
                </w:tcPr>
                <w:p w14:paraId="3800C5FC">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X</w:t>
                  </w:r>
                </w:p>
              </w:tc>
              <w:tc>
                <w:tcPr>
                  <w:tcW w:w="2766" w:type="dxa"/>
                  <w:tcBorders>
                    <w:tl2br w:val="nil"/>
                    <w:tr2bl w:val="nil"/>
                  </w:tcBorders>
                  <w:noWrap w:val="0"/>
                  <w:vAlign w:val="center"/>
                </w:tcPr>
                <w:p w14:paraId="2F754C37">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u w:val="single"/>
                      <w:lang w:val="en-US" w:eastAsia="zh-CN"/>
                    </w:rPr>
                  </w:pPr>
                  <w:r>
                    <w:rPr>
                      <w:rFonts w:hint="eastAsia" w:cs="Times New Roman"/>
                      <w:color w:val="auto"/>
                      <w:spacing w:val="6"/>
                      <w:sz w:val="21"/>
                      <w:szCs w:val="21"/>
                      <w:u w:val="single"/>
                      <w:lang w:val="en-US" w:eastAsia="zh-CN"/>
                    </w:rPr>
                    <w:t>0.526</w:t>
                  </w:r>
                </w:p>
              </w:tc>
            </w:tr>
            <w:tr w14:paraId="66EA4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tcBorders>
                    <w:tl2br w:val="nil"/>
                    <w:tr2bl w:val="nil"/>
                  </w:tcBorders>
                  <w:noWrap w:val="0"/>
                  <w:vAlign w:val="center"/>
                </w:tcPr>
                <w:p w14:paraId="7C199AAA">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3066" w:type="dxa"/>
                  <w:tcBorders>
                    <w:tl2br w:val="nil"/>
                    <w:tr2bl w:val="nil"/>
                  </w:tcBorders>
                  <w:noWrap w:val="0"/>
                  <w:vAlign w:val="center"/>
                </w:tcPr>
                <w:p w14:paraId="3FB3D7DD">
                  <w:pPr>
                    <w:autoSpaceDE w:val="0"/>
                    <w:autoSpaceDN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u w:val="none" w:color="auto"/>
                    </w:rPr>
                    <w:t>颗粒物</w:t>
                  </w:r>
                </w:p>
              </w:tc>
              <w:tc>
                <w:tcPr>
                  <w:tcW w:w="2766" w:type="dxa"/>
                  <w:tcBorders>
                    <w:tl2br w:val="nil"/>
                    <w:tr2bl w:val="nil"/>
                  </w:tcBorders>
                  <w:noWrap w:val="0"/>
                  <w:vAlign w:val="center"/>
                </w:tcPr>
                <w:p w14:paraId="2E694430">
                  <w:pPr>
                    <w:keepNext w:val="0"/>
                    <w:keepLines w:val="0"/>
                    <w:widowControl/>
                    <w:suppressLineNumbers w:val="0"/>
                    <w:jc w:val="center"/>
                    <w:textAlignment w:val="center"/>
                    <w:rPr>
                      <w:rFonts w:hint="default" w:ascii="Times New Roman" w:hAnsi="Times New Roman" w:eastAsia="宋体" w:cs="Times New Roman"/>
                      <w:color w:val="auto"/>
                      <w:spacing w:val="6"/>
                      <w:sz w:val="21"/>
                      <w:szCs w:val="21"/>
                      <w:u w:val="single"/>
                      <w:lang w:val="en-US" w:eastAsia="zh-CN"/>
                    </w:rPr>
                  </w:pPr>
                  <w:r>
                    <w:rPr>
                      <w:rFonts w:hint="eastAsia" w:cs="Times New Roman"/>
                      <w:color w:val="auto"/>
                      <w:spacing w:val="6"/>
                      <w:sz w:val="21"/>
                      <w:szCs w:val="21"/>
                      <w:u w:val="single"/>
                      <w:lang w:val="en-US" w:eastAsia="zh-CN"/>
                    </w:rPr>
                    <w:t>0.00368</w:t>
                  </w:r>
                </w:p>
              </w:tc>
            </w:tr>
            <w:tr w14:paraId="0C79D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47" w:type="dxa"/>
                  <w:tcBorders>
                    <w:tl2br w:val="nil"/>
                    <w:tr2bl w:val="nil"/>
                  </w:tcBorders>
                  <w:noWrap w:val="0"/>
                  <w:vAlign w:val="center"/>
                </w:tcPr>
                <w:p w14:paraId="21DBC52B">
                  <w:pPr>
                    <w:pStyle w:val="125"/>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3066" w:type="dxa"/>
                  <w:tcBorders>
                    <w:tl2br w:val="nil"/>
                    <w:tr2bl w:val="nil"/>
                  </w:tcBorders>
                  <w:noWrap w:val="0"/>
                  <w:vAlign w:val="center"/>
                </w:tcPr>
                <w:p w14:paraId="18E4CC2C">
                  <w:pPr>
                    <w:autoSpaceDE w:val="0"/>
                    <w:autoSpaceDN w:val="0"/>
                    <w:jc w:val="center"/>
                    <w:rPr>
                      <w:rFonts w:hint="eastAsia"/>
                      <w:color w:val="auto"/>
                      <w:kern w:val="2"/>
                      <w:sz w:val="21"/>
                      <w:szCs w:val="21"/>
                      <w:lang w:val="en-US" w:eastAsia="zh-CN" w:bidi="ar-SA"/>
                    </w:rPr>
                  </w:pPr>
                  <w:r>
                    <w:rPr>
                      <w:rFonts w:hint="eastAsia" w:ascii="Times New Roman" w:hAnsi="Times New Roman" w:eastAsia="宋体" w:cs="Times New Roman"/>
                      <w:color w:val="auto"/>
                      <w:sz w:val="21"/>
                      <w:szCs w:val="21"/>
                      <w:u w:val="none" w:color="auto"/>
                      <w:lang w:val="en-US" w:eastAsia="zh-CN"/>
                    </w:rPr>
                    <w:t>油烟</w:t>
                  </w:r>
                </w:p>
              </w:tc>
              <w:tc>
                <w:tcPr>
                  <w:tcW w:w="2766" w:type="dxa"/>
                  <w:tcBorders>
                    <w:tl2br w:val="nil"/>
                    <w:tr2bl w:val="nil"/>
                  </w:tcBorders>
                  <w:noWrap w:val="0"/>
                  <w:vAlign w:val="center"/>
                </w:tcPr>
                <w:p w14:paraId="6FBD8459">
                  <w:pPr>
                    <w:keepNext w:val="0"/>
                    <w:keepLines w:val="0"/>
                    <w:widowControl/>
                    <w:suppressLineNumbers w:val="0"/>
                    <w:jc w:val="center"/>
                    <w:textAlignment w:val="center"/>
                    <w:rPr>
                      <w:rFonts w:hint="eastAsia" w:ascii="Times New Roman" w:hAnsi="Times New Roman" w:eastAsia="宋体" w:cs="Times New Roman"/>
                      <w:color w:val="auto"/>
                      <w:spacing w:val="6"/>
                      <w:sz w:val="21"/>
                      <w:szCs w:val="21"/>
                    </w:rPr>
                  </w:pPr>
                  <w:r>
                    <w:rPr>
                      <w:rFonts w:hint="eastAsia" w:ascii="Times New Roman" w:hAnsi="Times New Roman" w:eastAsia="宋体" w:cs="Times New Roman"/>
                      <w:i w:val="0"/>
                      <w:iCs w:val="0"/>
                      <w:color w:val="auto"/>
                      <w:kern w:val="0"/>
                      <w:sz w:val="21"/>
                      <w:szCs w:val="21"/>
                      <w:u w:val="none"/>
                      <w:lang w:val="en-US" w:eastAsia="zh-CN" w:bidi="ar"/>
                    </w:rPr>
                    <w:t>0.00283</w:t>
                  </w:r>
                </w:p>
              </w:tc>
            </w:tr>
          </w:tbl>
          <w:p w14:paraId="7B373B47">
            <w:pPr>
              <w:pStyle w:val="82"/>
              <w:keepNext w:val="0"/>
              <w:keepLines w:val="0"/>
              <w:pageBreakBefore w:val="0"/>
              <w:widowControl w:val="0"/>
              <w:kinsoku/>
              <w:wordWrap/>
              <w:overflowPunct/>
              <w:topLinePunct w:val="0"/>
              <w:autoSpaceDE/>
              <w:autoSpaceDN/>
              <w:bidi w:val="0"/>
              <w:adjustRightInd/>
              <w:snapToGrid/>
              <w:spacing w:before="157" w:beforeLines="50"/>
              <w:ind w:firstLine="482"/>
              <w:textAlignment w:val="auto"/>
              <w:rPr>
                <w:rFonts w:hint="default" w:ascii="Times New Roman" w:hAnsi="Times New Roman" w:cs="Times New Roman"/>
                <w:color w:val="auto"/>
              </w:rPr>
            </w:pPr>
            <w:r>
              <w:rPr>
                <w:rFonts w:hint="eastAsia" w:cs="Times New Roman"/>
                <w:b/>
                <w:color w:val="auto"/>
                <w:szCs w:val="24"/>
                <w:highlight w:val="none"/>
                <w:lang w:val="en-US" w:eastAsia="zh-CN"/>
              </w:rPr>
              <w:t>（3）</w:t>
            </w:r>
            <w:r>
              <w:rPr>
                <w:rFonts w:hint="default" w:ascii="Times New Roman" w:hAnsi="Times New Roman" w:cs="Times New Roman"/>
                <w:b/>
                <w:color w:val="auto"/>
                <w:szCs w:val="24"/>
                <w:highlight w:val="none"/>
              </w:rPr>
              <w:t>废气治理设施可行性</w:t>
            </w:r>
          </w:p>
          <w:p w14:paraId="10A5BF5F">
            <w:pPr>
              <w:pStyle w:val="10"/>
              <w:spacing w:before="0" w:after="0" w:line="360" w:lineRule="auto"/>
              <w:ind w:right="0" w:firstLine="480" w:firstLineChars="200"/>
              <w:rPr>
                <w:rFonts w:hint="default" w:ascii="Times New Roman" w:hAnsi="Times New Roman" w:eastAsia="宋体" w:cs="Times New Roman"/>
                <w:color w:val="auto"/>
                <w:kern w:val="2"/>
                <w:sz w:val="24"/>
                <w:szCs w:val="24"/>
                <w:u w:val="single"/>
                <w:vertAlign w:val="baseline"/>
                <w:lang w:val="en-US" w:eastAsia="zh-CN" w:bidi="ar-SA"/>
              </w:rPr>
            </w:pPr>
            <w:r>
              <w:rPr>
                <w:rFonts w:hint="default" w:ascii="Times New Roman" w:hAnsi="Times New Roman" w:eastAsia="宋体" w:cs="Times New Roman"/>
                <w:color w:val="auto"/>
                <w:kern w:val="2"/>
                <w:sz w:val="24"/>
                <w:szCs w:val="24"/>
                <w:u w:val="none"/>
                <w:vertAlign w:val="baseline"/>
                <w:lang w:val="en-US" w:eastAsia="zh-CN" w:bidi="ar-SA"/>
              </w:rPr>
              <w:t>根据对食堂</w:t>
            </w:r>
            <w:r>
              <w:rPr>
                <w:rFonts w:hint="eastAsia" w:ascii="Times New Roman" w:hAnsi="Times New Roman" w:eastAsia="宋体" w:cs="Times New Roman"/>
                <w:color w:val="auto"/>
                <w:kern w:val="2"/>
                <w:sz w:val="24"/>
                <w:szCs w:val="24"/>
                <w:u w:val="none"/>
                <w:vertAlign w:val="baseline"/>
                <w:lang w:val="en-US" w:eastAsia="zh-CN" w:bidi="ar-SA"/>
              </w:rPr>
              <w:t>采用</w:t>
            </w:r>
            <w:r>
              <w:rPr>
                <w:rFonts w:hint="default" w:ascii="Times New Roman" w:hAnsi="Times New Roman" w:eastAsia="宋体" w:cs="Times New Roman"/>
                <w:color w:val="auto"/>
                <w:kern w:val="2"/>
                <w:sz w:val="24"/>
                <w:szCs w:val="24"/>
                <w:u w:val="none"/>
                <w:vertAlign w:val="baseline"/>
                <w:lang w:val="en-US" w:eastAsia="zh-CN" w:bidi="ar-SA"/>
              </w:rPr>
              <w:t>经油烟净化器处理</w:t>
            </w:r>
            <w:r>
              <w:rPr>
                <w:rFonts w:hint="eastAsia" w:ascii="Times New Roman" w:hAnsi="Times New Roman" w:eastAsia="宋体" w:cs="Times New Roman"/>
                <w:color w:val="auto"/>
                <w:kern w:val="2"/>
                <w:sz w:val="24"/>
                <w:szCs w:val="24"/>
                <w:u w:val="none"/>
                <w:vertAlign w:val="baseline"/>
                <w:lang w:val="en-US" w:eastAsia="zh-CN" w:bidi="ar-SA"/>
              </w:rPr>
              <w:t>为</w:t>
            </w:r>
            <w:r>
              <w:rPr>
                <w:rFonts w:hint="default" w:ascii="Times New Roman" w:hAnsi="Times New Roman" w:eastAsia="宋体" w:cs="Times New Roman"/>
                <w:color w:val="auto"/>
                <w:kern w:val="2"/>
                <w:sz w:val="24"/>
                <w:szCs w:val="24"/>
                <w:u w:val="none"/>
                <w:vertAlign w:val="baseline"/>
                <w:lang w:val="en-US" w:eastAsia="zh-CN" w:bidi="ar-SA"/>
              </w:rPr>
              <w:t>可行</w:t>
            </w:r>
            <w:r>
              <w:rPr>
                <w:rFonts w:hint="eastAsia" w:ascii="Times New Roman" w:hAnsi="Times New Roman" w:eastAsia="宋体" w:cs="Times New Roman"/>
                <w:color w:val="auto"/>
                <w:kern w:val="2"/>
                <w:sz w:val="24"/>
                <w:szCs w:val="24"/>
                <w:u w:val="none"/>
                <w:vertAlign w:val="baseline"/>
                <w:lang w:val="en-US" w:eastAsia="zh-CN" w:bidi="ar-SA"/>
              </w:rPr>
              <w:t>技术</w:t>
            </w:r>
            <w:r>
              <w:rPr>
                <w:rFonts w:hint="default" w:ascii="Times New Roman" w:hAnsi="Times New Roman" w:eastAsia="宋体" w:cs="Times New Roman"/>
                <w:color w:val="auto"/>
                <w:kern w:val="2"/>
                <w:sz w:val="24"/>
                <w:szCs w:val="24"/>
                <w:u w:val="none"/>
                <w:vertAlign w:val="baseline"/>
                <w:lang w:val="en-US" w:eastAsia="zh-CN" w:bidi="ar-SA"/>
              </w:rPr>
              <w:t>。</w:t>
            </w:r>
          </w:p>
          <w:p w14:paraId="62855F3D">
            <w:pPr>
              <w:pStyle w:val="8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kern w:val="2"/>
                <w:sz w:val="24"/>
                <w:szCs w:val="24"/>
                <w:u w:val="none"/>
                <w:lang w:eastAsia="zh-CN"/>
              </w:rPr>
            </w:pPr>
            <w:r>
              <w:rPr>
                <w:rFonts w:hint="default" w:ascii="Times New Roman" w:hAnsi="Times New Roman" w:eastAsia="宋体" w:cs="Times New Roman"/>
                <w:color w:val="auto"/>
                <w:kern w:val="2"/>
                <w:sz w:val="24"/>
                <w:szCs w:val="24"/>
                <w:u w:val="none"/>
                <w:lang w:eastAsia="zh-CN"/>
              </w:rPr>
              <w:t>项目使用</w:t>
            </w:r>
            <w:r>
              <w:rPr>
                <w:rFonts w:hint="eastAsia" w:cs="Times New Roman"/>
                <w:color w:val="auto"/>
                <w:kern w:val="2"/>
                <w:sz w:val="24"/>
                <w:szCs w:val="24"/>
                <w:u w:val="none"/>
                <w:lang w:val="en-US" w:eastAsia="zh-CN"/>
              </w:rPr>
              <w:t>生物质蒸汽发生器</w:t>
            </w:r>
            <w:r>
              <w:rPr>
                <w:rFonts w:hint="eastAsia" w:cs="Times New Roman"/>
                <w:color w:val="auto"/>
                <w:kern w:val="2"/>
                <w:sz w:val="24"/>
                <w:szCs w:val="24"/>
                <w:u w:val="none" w:color="auto"/>
                <w:lang w:val="en-US" w:eastAsia="zh-CN" w:bidi="ar-SA"/>
              </w:rPr>
              <w:t>、生物质热风炉过程中</w:t>
            </w:r>
            <w:r>
              <w:rPr>
                <w:rFonts w:hint="eastAsia" w:cs="Times New Roman"/>
                <w:color w:val="auto"/>
                <w:kern w:val="2"/>
                <w:sz w:val="24"/>
                <w:szCs w:val="24"/>
                <w:u w:val="none"/>
                <w:lang w:eastAsia="zh-CN"/>
              </w:rPr>
              <w:t>，</w:t>
            </w:r>
            <w:r>
              <w:rPr>
                <w:rFonts w:hint="eastAsia" w:ascii="Times New Roman" w:hAnsi="Times New Roman" w:eastAsia="宋体" w:cs="Times New Roman"/>
                <w:color w:val="auto"/>
                <w:kern w:val="2"/>
                <w:sz w:val="24"/>
                <w:szCs w:val="24"/>
                <w:u w:val="none"/>
                <w:lang w:val="en-US" w:eastAsia="zh-CN" w:bidi="ar-SA"/>
              </w:rPr>
              <w:t>使燃料燃烧充分，从而降低氮氧化物的产生，</w:t>
            </w:r>
            <w:r>
              <w:rPr>
                <w:rFonts w:hint="eastAsia" w:cs="Times New Roman"/>
                <w:color w:val="auto"/>
                <w:kern w:val="2"/>
                <w:sz w:val="24"/>
                <w:szCs w:val="24"/>
                <w:u w:val="none"/>
                <w:lang w:val="en-US" w:eastAsia="zh-CN"/>
              </w:rPr>
              <w:t>生物质蒸汽发生器废气中</w:t>
            </w:r>
            <w:r>
              <w:rPr>
                <w:rFonts w:hint="eastAsia" w:ascii="Times New Roman" w:hAnsi="Times New Roman" w:eastAsia="宋体" w:cs="Times New Roman"/>
                <w:color w:val="auto"/>
                <w:kern w:val="2"/>
                <w:sz w:val="24"/>
                <w:szCs w:val="24"/>
                <w:u w:val="none"/>
                <w:lang w:val="en-US" w:eastAsia="zh-CN" w:bidi="ar-SA"/>
              </w:rPr>
              <w:t>颗粒物</w:t>
            </w:r>
            <w:r>
              <w:rPr>
                <w:rFonts w:hint="default" w:ascii="Times New Roman" w:hAnsi="Times New Roman" w:eastAsia="宋体" w:cs="Times New Roman"/>
                <w:color w:val="auto"/>
                <w:kern w:val="2"/>
                <w:sz w:val="24"/>
                <w:szCs w:val="24"/>
                <w:u w:val="none"/>
                <w:lang w:eastAsia="zh-CN"/>
              </w:rPr>
              <w:t>采用</w:t>
            </w:r>
            <w:r>
              <w:rPr>
                <w:rFonts w:hint="eastAsia" w:ascii="Times New Roman" w:hAnsi="Times New Roman" w:eastAsia="宋体" w:cs="Times New Roman"/>
                <w:color w:val="auto"/>
                <w:kern w:val="2"/>
                <w:sz w:val="24"/>
                <w:szCs w:val="24"/>
                <w:u w:val="none"/>
                <w:lang w:eastAsia="zh-CN"/>
              </w:rPr>
              <w:t>布袋</w:t>
            </w:r>
            <w:r>
              <w:rPr>
                <w:rFonts w:hint="default" w:ascii="Times New Roman" w:hAnsi="Times New Roman" w:eastAsia="宋体" w:cs="Times New Roman"/>
                <w:color w:val="auto"/>
                <w:kern w:val="2"/>
                <w:sz w:val="24"/>
                <w:szCs w:val="24"/>
                <w:u w:val="none"/>
                <w:lang w:eastAsia="zh-CN"/>
              </w:rPr>
              <w:t>除尘</w:t>
            </w:r>
            <w:r>
              <w:rPr>
                <w:rFonts w:hint="eastAsia" w:cs="Times New Roman"/>
                <w:color w:val="auto"/>
                <w:kern w:val="2"/>
                <w:sz w:val="24"/>
                <w:szCs w:val="24"/>
                <w:u w:val="none"/>
                <w:lang w:eastAsia="zh-CN"/>
              </w:rPr>
              <w:t>、</w:t>
            </w:r>
            <w:r>
              <w:rPr>
                <w:rFonts w:hint="eastAsia" w:cs="Times New Roman"/>
                <w:color w:val="auto"/>
                <w:kern w:val="2"/>
                <w:sz w:val="24"/>
                <w:szCs w:val="24"/>
                <w:u w:val="none"/>
                <w:lang w:val="en-US" w:eastAsia="zh-CN"/>
              </w:rPr>
              <w:t>热风炉废</w:t>
            </w:r>
            <w:r>
              <w:rPr>
                <w:rFonts w:hint="eastAsia" w:ascii="Times New Roman" w:hAnsi="Times New Roman" w:eastAsia="宋体" w:cs="Times New Roman"/>
                <w:color w:val="auto"/>
                <w:kern w:val="2"/>
                <w:sz w:val="24"/>
                <w:szCs w:val="24"/>
                <w:u w:val="none"/>
                <w:lang w:val="en-US" w:eastAsia="zh-CN" w:bidi="ar-SA"/>
              </w:rPr>
              <w:t>气</w:t>
            </w:r>
            <w:r>
              <w:rPr>
                <w:rFonts w:hint="eastAsia" w:cs="Times New Roman"/>
                <w:color w:val="auto"/>
                <w:kern w:val="2"/>
                <w:sz w:val="24"/>
                <w:szCs w:val="24"/>
                <w:u w:val="none"/>
                <w:lang w:val="en-US" w:eastAsia="zh-CN" w:bidi="ar-SA"/>
              </w:rPr>
              <w:t>采用</w:t>
            </w:r>
            <w:r>
              <w:rPr>
                <w:rFonts w:hint="eastAsia" w:ascii="Times New Roman" w:hAnsi="Times New Roman" w:eastAsia="宋体" w:cs="Times New Roman"/>
                <w:color w:val="auto"/>
                <w:kern w:val="2"/>
                <w:sz w:val="24"/>
                <w:szCs w:val="24"/>
                <w:u w:val="none"/>
                <w:lang w:val="en-US" w:eastAsia="zh-CN" w:bidi="ar-SA"/>
              </w:rPr>
              <w:t>布袋除尘+</w:t>
            </w:r>
            <w:r>
              <w:rPr>
                <w:rFonts w:hint="eastAsia" w:cs="Times New Roman"/>
                <w:color w:val="auto"/>
                <w:kern w:val="2"/>
                <w:sz w:val="24"/>
                <w:szCs w:val="24"/>
                <w:u w:val="none"/>
                <w:lang w:val="en-US" w:eastAsia="zh-CN" w:bidi="ar-SA"/>
              </w:rPr>
              <w:t>活性炭</w:t>
            </w:r>
            <w:r>
              <w:rPr>
                <w:rFonts w:hint="eastAsia" w:ascii="Times New Roman" w:hAnsi="Times New Roman" w:eastAsia="宋体" w:cs="Times New Roman"/>
                <w:color w:val="auto"/>
                <w:kern w:val="2"/>
                <w:sz w:val="24"/>
                <w:szCs w:val="24"/>
                <w:u w:val="none"/>
                <w:lang w:val="en-US" w:eastAsia="zh-CN" w:bidi="ar-SA"/>
              </w:rPr>
              <w:t>处理</w:t>
            </w:r>
            <w:r>
              <w:rPr>
                <w:rFonts w:hint="eastAsia" w:cs="Times New Roman"/>
                <w:color w:val="auto"/>
                <w:kern w:val="2"/>
                <w:sz w:val="24"/>
                <w:szCs w:val="24"/>
                <w:u w:val="none"/>
                <w:lang w:val="en-US" w:eastAsia="zh-CN" w:bidi="ar-SA"/>
              </w:rPr>
              <w:t>。</w:t>
            </w:r>
            <w:r>
              <w:rPr>
                <w:rFonts w:hint="eastAsia" w:ascii="Times New Roman" w:hAnsi="Times New Roman" w:eastAsia="宋体" w:cs="Times New Roman"/>
                <w:color w:val="FF0000"/>
                <w:sz w:val="24"/>
                <w:lang w:val="en-US" w:eastAsia="zh-CN"/>
              </w:rPr>
              <w:t>本次评价要求</w:t>
            </w:r>
            <w:r>
              <w:rPr>
                <w:rFonts w:hint="eastAsia" w:ascii="Times New Roman" w:hAnsi="Times New Roman" w:eastAsia="宋体" w:cs="Times New Roman"/>
                <w:color w:val="FF0000"/>
                <w:sz w:val="24"/>
                <w:lang w:eastAsia="zh-CN"/>
              </w:rPr>
              <w:t>活性炭的</w:t>
            </w:r>
            <w:r>
              <w:rPr>
                <w:rFonts w:hint="default" w:ascii="Times New Roman" w:hAnsi="Times New Roman" w:eastAsia="宋体" w:cs="Times New Roman"/>
                <w:color w:val="FF0000"/>
                <w:sz w:val="24"/>
              </w:rPr>
              <w:t>碘值不</w:t>
            </w:r>
            <w:r>
              <w:rPr>
                <w:rFonts w:hint="eastAsia" w:ascii="Times New Roman" w:hAnsi="Times New Roman" w:eastAsia="宋体" w:cs="Times New Roman"/>
                <w:color w:val="FF0000"/>
                <w:sz w:val="24"/>
                <w:lang w:val="en-US" w:eastAsia="zh-CN"/>
              </w:rPr>
              <w:t>得</w:t>
            </w:r>
            <w:r>
              <w:rPr>
                <w:rFonts w:hint="default" w:ascii="Times New Roman" w:hAnsi="Times New Roman" w:eastAsia="宋体" w:cs="Times New Roman"/>
                <w:color w:val="FF0000"/>
                <w:sz w:val="24"/>
              </w:rPr>
              <w:t>低于800mg/g</w:t>
            </w:r>
            <w:r>
              <w:rPr>
                <w:rFonts w:hint="eastAsia" w:ascii="Times New Roman" w:hAnsi="Times New Roman" w:eastAsia="宋体" w:cs="Times New Roman"/>
                <w:color w:val="FF0000"/>
                <w:sz w:val="24"/>
                <w:lang w:eastAsia="zh-CN"/>
              </w:rPr>
              <w:t>，</w:t>
            </w:r>
            <w:r>
              <w:rPr>
                <w:rFonts w:hint="default" w:ascii="Times New Roman" w:hAnsi="Times New Roman" w:eastAsia="宋体" w:cs="Times New Roman"/>
                <w:color w:val="FF0000"/>
                <w:sz w:val="24"/>
              </w:rPr>
              <w:t>比表面积不</w:t>
            </w:r>
            <w:r>
              <w:rPr>
                <w:rFonts w:hint="eastAsia" w:ascii="Times New Roman" w:hAnsi="Times New Roman" w:eastAsia="宋体" w:cs="Times New Roman"/>
                <w:color w:val="FF0000"/>
                <w:sz w:val="24"/>
                <w:lang w:val="en-US" w:eastAsia="zh-CN"/>
              </w:rPr>
              <w:t>得</w:t>
            </w:r>
            <w:r>
              <w:rPr>
                <w:rFonts w:hint="default" w:ascii="Times New Roman" w:hAnsi="Times New Roman" w:eastAsia="宋体" w:cs="Times New Roman"/>
                <w:color w:val="FF0000"/>
                <w:sz w:val="24"/>
              </w:rPr>
              <w:t>低于850m</w:t>
            </w:r>
            <w:r>
              <w:rPr>
                <w:rFonts w:hint="eastAsia" w:ascii="Times New Roman" w:hAnsi="Times New Roman" w:eastAsia="宋体" w:cs="Times New Roman"/>
                <w:color w:val="FF0000"/>
                <w:sz w:val="24"/>
                <w:vertAlign w:val="superscript"/>
                <w:lang w:val="en-US" w:eastAsia="zh-CN"/>
              </w:rPr>
              <w:t>2</w:t>
            </w:r>
            <w:r>
              <w:rPr>
                <w:rFonts w:hint="default" w:ascii="Times New Roman" w:hAnsi="Times New Roman" w:eastAsia="宋体" w:cs="Times New Roman"/>
                <w:color w:val="FF0000"/>
                <w:sz w:val="24"/>
              </w:rPr>
              <w:t>/g‌</w:t>
            </w:r>
            <w:r>
              <w:rPr>
                <w:rFonts w:hint="eastAsia" w:ascii="Times New Roman" w:hAnsi="Times New Roman" w:eastAsia="宋体" w:cs="Times New Roman"/>
                <w:color w:val="FF0000"/>
                <w:sz w:val="24"/>
                <w:lang w:eastAsia="zh-CN"/>
              </w:rPr>
              <w:t>。</w:t>
            </w:r>
            <w:r>
              <w:rPr>
                <w:rFonts w:hint="eastAsia" w:cs="Times New Roman"/>
                <w:color w:val="auto"/>
                <w:kern w:val="2"/>
                <w:sz w:val="24"/>
                <w:szCs w:val="24"/>
                <w:u w:val="none"/>
                <w:lang w:val="en-US" w:eastAsia="zh-CN"/>
              </w:rPr>
              <w:t>参照</w:t>
            </w:r>
            <w:r>
              <w:rPr>
                <w:rFonts w:hint="eastAsia" w:ascii="Times New Roman" w:hAnsi="Times New Roman" w:eastAsia="宋体" w:cs="Times New Roman"/>
                <w:color w:val="auto"/>
                <w:kern w:val="2"/>
                <w:sz w:val="24"/>
                <w:szCs w:val="24"/>
                <w:u w:val="none"/>
                <w:lang w:eastAsia="zh-CN"/>
              </w:rPr>
              <w:t>《排污许可证申请与核发技术规范 锅炉》（HJ953-2018）</w:t>
            </w:r>
            <w:r>
              <w:rPr>
                <w:rFonts w:hint="eastAsia" w:cs="Times New Roman"/>
                <w:color w:val="auto"/>
                <w:kern w:val="2"/>
                <w:sz w:val="24"/>
                <w:szCs w:val="24"/>
                <w:u w:val="none"/>
                <w:lang w:eastAsia="zh-CN"/>
              </w:rPr>
              <w:t>、《排污许可证申请与核发技术规范工业炉窑》（HJ1121-2020），</w:t>
            </w:r>
            <w:r>
              <w:rPr>
                <w:rFonts w:hint="eastAsia" w:cs="Times New Roman"/>
                <w:color w:val="auto"/>
                <w:kern w:val="2"/>
                <w:sz w:val="24"/>
                <w:szCs w:val="24"/>
                <w:u w:val="none"/>
                <w:lang w:val="en-US" w:eastAsia="zh-CN"/>
              </w:rPr>
              <w:t>属于规范</w:t>
            </w:r>
            <w:r>
              <w:rPr>
                <w:rFonts w:hint="eastAsia" w:ascii="Times New Roman" w:hAnsi="Times New Roman" w:eastAsia="宋体" w:cs="Times New Roman"/>
                <w:color w:val="auto"/>
                <w:kern w:val="2"/>
                <w:sz w:val="24"/>
                <w:szCs w:val="24"/>
                <w:u w:val="none"/>
                <w:lang w:eastAsia="zh-CN"/>
              </w:rPr>
              <w:t>中</w:t>
            </w:r>
            <w:r>
              <w:rPr>
                <w:rFonts w:hint="eastAsia" w:cs="Times New Roman"/>
                <w:color w:val="auto"/>
                <w:kern w:val="2"/>
                <w:sz w:val="24"/>
                <w:szCs w:val="24"/>
                <w:u w:val="none"/>
                <w:lang w:eastAsia="zh-CN"/>
              </w:rPr>
              <w:t>的</w:t>
            </w:r>
            <w:r>
              <w:rPr>
                <w:rFonts w:hint="eastAsia" w:ascii="Times New Roman" w:hAnsi="Times New Roman" w:eastAsia="宋体" w:cs="Times New Roman"/>
                <w:color w:val="auto"/>
                <w:kern w:val="2"/>
                <w:sz w:val="24"/>
                <w:szCs w:val="24"/>
                <w:u w:val="none"/>
                <w:lang w:eastAsia="zh-CN"/>
              </w:rPr>
              <w:t>可行技术。</w:t>
            </w:r>
          </w:p>
          <w:p w14:paraId="1E04B37E">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项目废气排放口布设于生产车间西侧、位于厂区偏中部位置，远离项目周边居民及崇实书院等保护目标；项目选址的下风向（项目所在地常年主导风向为东</w:t>
            </w:r>
            <w:r>
              <w:rPr>
                <w:rFonts w:hint="default" w:ascii="Times New Roman" w:hAnsi="Times New Roman" w:eastAsia="宋体" w:cs="Times New Roman"/>
                <w:color w:val="auto"/>
                <w:sz w:val="24"/>
                <w:lang w:val="en-US" w:eastAsia="zh-CN"/>
              </w:rPr>
              <w:t>北风</w:t>
            </w:r>
            <w:r>
              <w:rPr>
                <w:rFonts w:hint="eastAsia" w:ascii="Times New Roman" w:hAnsi="Times New Roman" w:eastAsia="宋体" w:cs="Times New Roman"/>
                <w:color w:val="auto"/>
                <w:sz w:val="24"/>
                <w:lang w:val="en-US" w:eastAsia="zh-CN"/>
              </w:rPr>
              <w:t>）主要分布农用地，项目运营期废气排放对周边保护目标影响较小。</w:t>
            </w:r>
          </w:p>
          <w:p w14:paraId="5583337A">
            <w:pPr>
              <w:pStyle w:val="82"/>
              <w:ind w:left="420" w:leftChars="200" w:firstLine="0" w:firstLineChars="0"/>
              <w:rPr>
                <w:rFonts w:hint="default" w:ascii="Times New Roman" w:hAnsi="Times New Roman" w:cs="Times New Roman"/>
                <w:b/>
                <w:color w:val="auto"/>
                <w:szCs w:val="24"/>
              </w:rPr>
            </w:pPr>
            <w:r>
              <w:rPr>
                <w:rFonts w:hint="eastAsia" w:cs="Times New Roman"/>
                <w:b/>
                <w:color w:val="auto"/>
                <w:szCs w:val="24"/>
                <w:lang w:val="en-US" w:eastAsia="zh-CN"/>
              </w:rPr>
              <w:t>（4）</w:t>
            </w:r>
            <w:r>
              <w:rPr>
                <w:rFonts w:hint="default" w:ascii="Times New Roman" w:hAnsi="Times New Roman" w:cs="Times New Roman"/>
                <w:b/>
                <w:color w:val="auto"/>
                <w:szCs w:val="24"/>
              </w:rPr>
              <w:t>废气环境监测计划</w:t>
            </w:r>
          </w:p>
          <w:p w14:paraId="51E4028D">
            <w:pPr>
              <w:pStyle w:val="82"/>
              <w:rPr>
                <w:rFonts w:hint="default" w:ascii="Times New Roman" w:hAnsi="Times New Roman" w:cs="Times New Roman"/>
                <w:bCs/>
                <w:color w:val="auto"/>
                <w:szCs w:val="24"/>
              </w:rPr>
            </w:pPr>
            <w:r>
              <w:rPr>
                <w:rFonts w:hint="eastAsia" w:cs="Times New Roman"/>
                <w:bCs/>
                <w:color w:val="auto"/>
                <w:szCs w:val="24"/>
                <w:lang w:val="en-US" w:eastAsia="zh-CN"/>
              </w:rPr>
              <w:t>参照</w:t>
            </w:r>
            <w:r>
              <w:rPr>
                <w:rFonts w:hint="default" w:ascii="Times New Roman" w:hAnsi="Times New Roman" w:cs="Times New Roman"/>
                <w:bCs/>
                <w:color w:val="auto"/>
                <w:szCs w:val="24"/>
              </w:rPr>
              <w:t>《排污单位自行监测技术指南</w:t>
            </w:r>
            <w:r>
              <w:rPr>
                <w:rFonts w:hint="default" w:ascii="Times New Roman" w:hAnsi="Times New Roman" w:cs="Times New Roman"/>
                <w:bCs/>
                <w:color w:val="auto"/>
                <w:szCs w:val="24"/>
                <w:lang w:val="en-US" w:eastAsia="zh-CN"/>
              </w:rPr>
              <w:t xml:space="preserve"> </w:t>
            </w:r>
            <w:r>
              <w:rPr>
                <w:rFonts w:hint="default" w:ascii="Times New Roman" w:hAnsi="Times New Roman" w:cs="Times New Roman"/>
                <w:bCs/>
                <w:color w:val="auto"/>
                <w:szCs w:val="24"/>
              </w:rPr>
              <w:t>火力发电及锅炉》（HJ820-2017），对本企业开展自行监测计划，监测内容及频次建议如下表所示：</w:t>
            </w:r>
          </w:p>
          <w:p w14:paraId="3050AD16">
            <w:pPr>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表4-</w:t>
            </w:r>
            <w:r>
              <w:rPr>
                <w:rFonts w:hint="eastAsia" w:cs="Times New Roman"/>
                <w:b/>
                <w:bCs/>
                <w:color w:val="auto"/>
                <w:sz w:val="24"/>
                <w:szCs w:val="24"/>
                <w:highlight w:val="none"/>
                <w:lang w:val="en-US" w:eastAsia="zh-CN"/>
              </w:rPr>
              <w:t>12</w:t>
            </w:r>
            <w:r>
              <w:rPr>
                <w:rFonts w:hint="default" w:ascii="Times New Roman" w:hAnsi="Times New Roman" w:cs="Times New Roman"/>
                <w:b/>
                <w:bCs/>
                <w:color w:val="auto"/>
                <w:sz w:val="24"/>
                <w:szCs w:val="24"/>
                <w:highlight w:val="none"/>
              </w:rPr>
              <w:t xml:space="preserve"> </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项目</w:t>
            </w:r>
            <w:r>
              <w:rPr>
                <w:rFonts w:hint="default" w:ascii="Times New Roman" w:hAnsi="Times New Roman" w:cs="Times New Roman"/>
                <w:b/>
                <w:bCs/>
                <w:color w:val="auto"/>
                <w:sz w:val="24"/>
                <w:szCs w:val="24"/>
                <w:highlight w:val="none"/>
                <w:lang w:eastAsia="zh-CN"/>
              </w:rPr>
              <w:t>废</w:t>
            </w:r>
            <w:r>
              <w:rPr>
                <w:rFonts w:hint="eastAsia" w:ascii="Times New Roman" w:hAnsi="Times New Roman" w:cs="Times New Roman"/>
                <w:b/>
                <w:bCs/>
                <w:color w:val="auto"/>
                <w:sz w:val="24"/>
                <w:szCs w:val="24"/>
                <w:highlight w:val="none"/>
                <w:lang w:eastAsia="zh-CN"/>
              </w:rPr>
              <w:t>气</w:t>
            </w:r>
            <w:r>
              <w:rPr>
                <w:rFonts w:hint="default" w:ascii="Times New Roman" w:hAnsi="Times New Roman" w:cs="Times New Roman"/>
                <w:b/>
                <w:bCs/>
                <w:color w:val="auto"/>
                <w:sz w:val="24"/>
                <w:szCs w:val="24"/>
                <w:highlight w:val="none"/>
              </w:rPr>
              <w:t>环境监测计划</w:t>
            </w:r>
          </w:p>
          <w:tbl>
            <w:tblPr>
              <w:tblStyle w:val="33"/>
              <w:tblW w:w="77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197"/>
              <w:gridCol w:w="1112"/>
              <w:gridCol w:w="3263"/>
              <w:gridCol w:w="873"/>
            </w:tblGrid>
            <w:tr w14:paraId="089FC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tcBorders>
                    <w:tl2br w:val="nil"/>
                    <w:tr2bl w:val="nil"/>
                  </w:tcBorders>
                  <w:vAlign w:val="center"/>
                </w:tcPr>
                <w:p w14:paraId="6E084155">
                  <w:pPr>
                    <w:pStyle w:val="10"/>
                    <w:spacing w:before="0" w:after="0" w:line="240" w:lineRule="auto"/>
                    <w:ind w:right="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监测点位</w:t>
                  </w:r>
                </w:p>
              </w:tc>
              <w:tc>
                <w:tcPr>
                  <w:tcW w:w="771" w:type="pct"/>
                  <w:tcBorders>
                    <w:tl2br w:val="nil"/>
                    <w:tr2bl w:val="nil"/>
                  </w:tcBorders>
                  <w:vAlign w:val="center"/>
                </w:tcPr>
                <w:p w14:paraId="3F794876">
                  <w:pPr>
                    <w:pStyle w:val="10"/>
                    <w:spacing w:before="0" w:after="0" w:line="240" w:lineRule="auto"/>
                    <w:ind w:right="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监测项目</w:t>
                  </w:r>
                </w:p>
              </w:tc>
              <w:tc>
                <w:tcPr>
                  <w:tcW w:w="716" w:type="pct"/>
                  <w:tcBorders>
                    <w:tl2br w:val="nil"/>
                    <w:tr2bl w:val="nil"/>
                  </w:tcBorders>
                  <w:vAlign w:val="center"/>
                </w:tcPr>
                <w:p w14:paraId="405E1D26">
                  <w:pPr>
                    <w:pStyle w:val="10"/>
                    <w:spacing w:before="0" w:after="0" w:line="240" w:lineRule="auto"/>
                    <w:ind w:right="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监测频次</w:t>
                  </w:r>
                </w:p>
              </w:tc>
              <w:tc>
                <w:tcPr>
                  <w:tcW w:w="2102" w:type="pct"/>
                  <w:tcBorders>
                    <w:tl2br w:val="nil"/>
                    <w:tr2bl w:val="nil"/>
                  </w:tcBorders>
                  <w:vAlign w:val="center"/>
                </w:tcPr>
                <w:p w14:paraId="26737C6C">
                  <w:pPr>
                    <w:pStyle w:val="10"/>
                    <w:spacing w:before="0" w:after="0" w:line="240" w:lineRule="auto"/>
                    <w:ind w:right="0"/>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执行标准</w:t>
                  </w:r>
                </w:p>
              </w:tc>
              <w:tc>
                <w:tcPr>
                  <w:tcW w:w="562" w:type="pct"/>
                  <w:tcBorders>
                    <w:tl2br w:val="nil"/>
                    <w:tr2bl w:val="nil"/>
                  </w:tcBorders>
                  <w:vAlign w:val="center"/>
                </w:tcPr>
                <w:p w14:paraId="56A2F39C">
                  <w:pPr>
                    <w:pStyle w:val="10"/>
                    <w:spacing w:before="0" w:after="0" w:line="240" w:lineRule="auto"/>
                    <w:ind w:right="0" w:rightChars="0"/>
                    <w:jc w:val="center"/>
                    <w:rPr>
                      <w:rFonts w:hint="default" w:ascii="Times New Roman" w:hAnsi="Times New Roman" w:cs="Times New Roman"/>
                      <w:b/>
                      <w:bCs/>
                      <w:color w:val="auto"/>
                      <w:sz w:val="21"/>
                      <w:szCs w:val="21"/>
                      <w:highlight w:val="none"/>
                      <w:u w:val="single"/>
                    </w:rPr>
                  </w:pPr>
                  <w:r>
                    <w:rPr>
                      <w:rFonts w:hint="eastAsia" w:cs="Times New Roman"/>
                      <w:b/>
                      <w:bCs/>
                      <w:color w:val="auto"/>
                      <w:sz w:val="21"/>
                      <w:szCs w:val="21"/>
                      <w:highlight w:val="none"/>
                      <w:u w:val="single"/>
                      <w:lang w:val="en-US" w:eastAsia="zh-CN"/>
                    </w:rPr>
                    <w:t>备注</w:t>
                  </w:r>
                </w:p>
              </w:tc>
            </w:tr>
            <w:tr w14:paraId="23F5BE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tcBorders>
                    <w:tl2br w:val="nil"/>
                    <w:tr2bl w:val="nil"/>
                  </w:tcBorders>
                  <w:vAlign w:val="center"/>
                </w:tcPr>
                <w:p w14:paraId="409BFB11">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single"/>
                      <w:lang w:eastAsia="zh-CN"/>
                    </w:rPr>
                  </w:pPr>
                  <w:r>
                    <w:rPr>
                      <w:rFonts w:hint="eastAsia" w:ascii="Times New Roman" w:hAnsi="Times New Roman" w:eastAsia="宋体" w:cs="Times New Roman"/>
                      <w:color w:val="auto"/>
                      <w:sz w:val="21"/>
                      <w:szCs w:val="21"/>
                      <w:u w:val="single" w:color="auto"/>
                      <w:lang w:val="en-US" w:eastAsia="zh-CN"/>
                    </w:rPr>
                    <w:t>蒸汽发生器废气（DA0</w:t>
                  </w:r>
                  <w:r>
                    <w:rPr>
                      <w:rFonts w:hint="eastAsia" w:ascii="Times New Roman" w:hAnsi="Times New Roman" w:cs="Times New Roman"/>
                      <w:color w:val="auto"/>
                      <w:sz w:val="21"/>
                      <w:szCs w:val="21"/>
                      <w:u w:val="single" w:color="auto"/>
                      <w:lang w:val="en-US" w:eastAsia="zh-CN"/>
                    </w:rPr>
                    <w:t>01）</w:t>
                  </w:r>
                </w:p>
              </w:tc>
              <w:tc>
                <w:tcPr>
                  <w:tcW w:w="771" w:type="pct"/>
                  <w:tcBorders>
                    <w:tl2br w:val="nil"/>
                    <w:tr2bl w:val="nil"/>
                  </w:tcBorders>
                  <w:vAlign w:val="center"/>
                </w:tcPr>
                <w:p w14:paraId="6EDFBF50">
                  <w:pPr>
                    <w:pStyle w:val="10"/>
                    <w:spacing w:before="0" w:after="0" w:line="240" w:lineRule="auto"/>
                    <w:ind w:right="0"/>
                    <w:jc w:val="center"/>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color w:val="auto"/>
                      <w:sz w:val="21"/>
                      <w:szCs w:val="21"/>
                      <w:highlight w:val="none"/>
                      <w:u w:val="single"/>
                      <w:lang w:eastAsia="zh-CN"/>
                    </w:rPr>
                    <w:t>二氧化硫、氮氧化物、颗粒物</w:t>
                  </w:r>
                </w:p>
              </w:tc>
              <w:tc>
                <w:tcPr>
                  <w:tcW w:w="716" w:type="pct"/>
                  <w:tcBorders>
                    <w:tl2br w:val="nil"/>
                    <w:tr2bl w:val="nil"/>
                  </w:tcBorders>
                  <w:vAlign w:val="center"/>
                </w:tcPr>
                <w:p w14:paraId="692A927C">
                  <w:pPr>
                    <w:pStyle w:val="10"/>
                    <w:spacing w:before="0" w:after="0" w:line="240" w:lineRule="auto"/>
                    <w:ind w:right="0"/>
                    <w:jc w:val="center"/>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cs="Times New Roman"/>
                      <w:color w:val="auto"/>
                      <w:sz w:val="21"/>
                      <w:szCs w:val="21"/>
                      <w:highlight w:val="none"/>
                      <w:u w:val="single"/>
                    </w:rPr>
                    <w:t>1次/</w:t>
                  </w:r>
                  <w:r>
                    <w:rPr>
                      <w:rFonts w:hint="default" w:ascii="Times New Roman" w:hAnsi="Times New Roman" w:cs="Times New Roman"/>
                      <w:color w:val="auto"/>
                      <w:sz w:val="21"/>
                      <w:szCs w:val="21"/>
                      <w:highlight w:val="none"/>
                      <w:u w:val="single"/>
                      <w:lang w:eastAsia="zh-CN"/>
                    </w:rPr>
                    <w:t>月</w:t>
                  </w:r>
                </w:p>
              </w:tc>
              <w:tc>
                <w:tcPr>
                  <w:tcW w:w="2102" w:type="pct"/>
                  <w:tcBorders>
                    <w:tl2br w:val="nil"/>
                    <w:tr2bl w:val="nil"/>
                  </w:tcBorders>
                  <w:vAlign w:val="center"/>
                </w:tcPr>
                <w:p w14:paraId="64CF3FB2">
                  <w:pPr>
                    <w:pStyle w:val="10"/>
                    <w:spacing w:before="0" w:after="0" w:line="240" w:lineRule="auto"/>
                    <w:ind w:right="0"/>
                    <w:jc w:val="center"/>
                    <w:rPr>
                      <w:rFonts w:hint="default" w:ascii="Times New Roman" w:hAnsi="Times New Roman" w:eastAsia="宋体" w:cs="Times New Roman"/>
                      <w:color w:val="auto"/>
                      <w:sz w:val="21"/>
                      <w:szCs w:val="21"/>
                      <w:highlight w:val="none"/>
                      <w:u w:val="single"/>
                      <w:lang w:eastAsia="zh-CN"/>
                    </w:rPr>
                  </w:pPr>
                  <w:r>
                    <w:rPr>
                      <w:rFonts w:hint="eastAsia" w:cs="Times New Roman"/>
                      <w:color w:val="auto"/>
                      <w:sz w:val="21"/>
                      <w:szCs w:val="21"/>
                      <w:highlight w:val="none"/>
                      <w:u w:val="single"/>
                      <w:lang w:eastAsia="zh-CN"/>
                    </w:rPr>
                    <w:t>《</w:t>
                  </w:r>
                  <w:r>
                    <w:rPr>
                      <w:rFonts w:hint="default" w:ascii="Times New Roman" w:hAnsi="Times New Roman" w:cs="Times New Roman"/>
                      <w:color w:val="auto"/>
                      <w:sz w:val="21"/>
                      <w:szCs w:val="21"/>
                      <w:highlight w:val="none"/>
                      <w:u w:val="single"/>
                    </w:rPr>
                    <w:t>锅炉大气污染物排放标准》（GB13271-2014）中</w:t>
                  </w:r>
                  <w:r>
                    <w:rPr>
                      <w:rFonts w:hint="default" w:ascii="Times New Roman" w:hAnsi="Times New Roman" w:cs="Times New Roman"/>
                      <w:color w:val="auto"/>
                      <w:sz w:val="21"/>
                      <w:szCs w:val="21"/>
                      <w:highlight w:val="none"/>
                      <w:u w:val="single"/>
                      <w:lang w:eastAsia="zh-CN"/>
                    </w:rPr>
                    <w:t>燃煤标准</w:t>
                  </w:r>
                </w:p>
              </w:tc>
              <w:tc>
                <w:tcPr>
                  <w:tcW w:w="562" w:type="pct"/>
                  <w:vMerge w:val="restart"/>
                  <w:tcBorders>
                    <w:tl2br w:val="nil"/>
                    <w:tr2bl w:val="nil"/>
                  </w:tcBorders>
                  <w:vAlign w:val="center"/>
                </w:tcPr>
                <w:p w14:paraId="20E3F498">
                  <w:pPr>
                    <w:pStyle w:val="10"/>
                    <w:spacing w:before="0" w:after="0" w:line="240" w:lineRule="auto"/>
                    <w:ind w:right="0" w:rightChars="0"/>
                    <w:jc w:val="center"/>
                    <w:rPr>
                      <w:rFonts w:hint="eastAsia" w:cs="Times New Roman"/>
                      <w:color w:val="auto"/>
                      <w:sz w:val="21"/>
                      <w:szCs w:val="21"/>
                      <w:highlight w:val="none"/>
                      <w:u w:val="single"/>
                      <w:lang w:eastAsia="zh-CN"/>
                    </w:rPr>
                  </w:pPr>
                  <w:r>
                    <w:rPr>
                      <w:rFonts w:hint="eastAsia" w:cs="Times New Roman"/>
                      <w:color w:val="auto"/>
                      <w:sz w:val="21"/>
                      <w:szCs w:val="21"/>
                      <w:u w:val="single"/>
                      <w:lang w:val="en-US" w:eastAsia="zh-CN"/>
                    </w:rPr>
                    <w:t>仅生产期间进行监测</w:t>
                  </w:r>
                </w:p>
              </w:tc>
            </w:tr>
            <w:tr w14:paraId="1005D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tcBorders>
                    <w:tl2br w:val="nil"/>
                    <w:tr2bl w:val="nil"/>
                  </w:tcBorders>
                  <w:vAlign w:val="center"/>
                </w:tcPr>
                <w:p w14:paraId="30D92E70">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eastAsia" w:cs="Times New Roman"/>
                      <w:color w:val="auto"/>
                      <w:sz w:val="21"/>
                      <w:szCs w:val="21"/>
                      <w:highlight w:val="none"/>
                      <w:u w:val="single" w:color="auto"/>
                      <w:lang w:eastAsia="zh-CN"/>
                    </w:rPr>
                  </w:pPr>
                  <w:r>
                    <w:rPr>
                      <w:rFonts w:hint="eastAsia" w:cs="Times New Roman"/>
                      <w:color w:val="auto"/>
                      <w:sz w:val="21"/>
                      <w:szCs w:val="21"/>
                      <w:u w:val="single" w:color="auto"/>
                      <w:lang w:val="en-US" w:eastAsia="zh-CN"/>
                    </w:rPr>
                    <w:t>热风炉废气</w:t>
                  </w:r>
                  <w:r>
                    <w:rPr>
                      <w:rFonts w:hint="eastAsia" w:ascii="Times New Roman" w:hAnsi="Times New Roman" w:eastAsia="宋体" w:cs="Times New Roman"/>
                      <w:color w:val="auto"/>
                      <w:sz w:val="21"/>
                      <w:szCs w:val="21"/>
                      <w:u w:val="single" w:color="auto"/>
                      <w:lang w:val="en-US" w:eastAsia="zh-CN"/>
                    </w:rPr>
                    <w:t>（DA0</w:t>
                  </w:r>
                  <w:r>
                    <w:rPr>
                      <w:rFonts w:hint="eastAsia" w:ascii="Times New Roman" w:hAnsi="Times New Roman" w:cs="Times New Roman"/>
                      <w:color w:val="auto"/>
                      <w:sz w:val="21"/>
                      <w:szCs w:val="21"/>
                      <w:u w:val="single" w:color="auto"/>
                      <w:lang w:val="en-US" w:eastAsia="zh-CN"/>
                    </w:rPr>
                    <w:t>02）</w:t>
                  </w:r>
                </w:p>
              </w:tc>
              <w:tc>
                <w:tcPr>
                  <w:tcW w:w="771" w:type="pct"/>
                  <w:tcBorders>
                    <w:tl2br w:val="nil"/>
                    <w:tr2bl w:val="nil"/>
                  </w:tcBorders>
                  <w:vAlign w:val="center"/>
                </w:tcPr>
                <w:p w14:paraId="2A1A2BA1">
                  <w:pPr>
                    <w:pStyle w:val="10"/>
                    <w:spacing w:before="0" w:after="0" w:line="240" w:lineRule="auto"/>
                    <w:ind w:right="0"/>
                    <w:jc w:val="center"/>
                    <w:rPr>
                      <w:rFonts w:hint="default" w:ascii="Times New Roman" w:hAnsi="Times New Roman" w:eastAsia="宋体" w:cs="Times New Roman"/>
                      <w:color w:val="auto"/>
                      <w:sz w:val="21"/>
                      <w:szCs w:val="21"/>
                      <w:highlight w:val="none"/>
                      <w:u w:val="single" w:color="auto"/>
                      <w:lang w:eastAsia="zh-CN"/>
                    </w:rPr>
                  </w:pPr>
                  <w:r>
                    <w:rPr>
                      <w:rFonts w:hint="default" w:ascii="Times New Roman" w:hAnsi="Times New Roman" w:eastAsia="宋体" w:cs="Times New Roman"/>
                      <w:color w:val="auto"/>
                      <w:sz w:val="21"/>
                      <w:szCs w:val="21"/>
                      <w:highlight w:val="none"/>
                      <w:u w:val="single" w:color="auto"/>
                      <w:lang w:eastAsia="zh-CN"/>
                    </w:rPr>
                    <w:t>二氧化硫、氮氧化物、颗粒物</w:t>
                  </w:r>
                </w:p>
              </w:tc>
              <w:tc>
                <w:tcPr>
                  <w:tcW w:w="716" w:type="pct"/>
                  <w:tcBorders>
                    <w:tl2br w:val="nil"/>
                    <w:tr2bl w:val="nil"/>
                  </w:tcBorders>
                  <w:vAlign w:val="center"/>
                </w:tcPr>
                <w:p w14:paraId="07ACD532">
                  <w:pPr>
                    <w:pStyle w:val="10"/>
                    <w:spacing w:before="0" w:after="0" w:line="240" w:lineRule="auto"/>
                    <w:ind w:right="0"/>
                    <w:jc w:val="center"/>
                    <w:rPr>
                      <w:rFonts w:hint="default" w:ascii="Times New Roman" w:hAnsi="Times New Roman" w:cs="Times New Roman"/>
                      <w:color w:val="auto"/>
                      <w:sz w:val="21"/>
                      <w:szCs w:val="21"/>
                      <w:highlight w:val="none"/>
                      <w:u w:val="single" w:color="auto"/>
                    </w:rPr>
                  </w:pPr>
                  <w:r>
                    <w:rPr>
                      <w:rFonts w:hint="default" w:ascii="Times New Roman" w:hAnsi="Times New Roman" w:cs="Times New Roman"/>
                      <w:color w:val="auto"/>
                      <w:sz w:val="21"/>
                      <w:szCs w:val="21"/>
                      <w:highlight w:val="none"/>
                      <w:u w:val="single" w:color="auto"/>
                    </w:rPr>
                    <w:t>1次/年</w:t>
                  </w:r>
                </w:p>
              </w:tc>
              <w:tc>
                <w:tcPr>
                  <w:tcW w:w="2102" w:type="pct"/>
                  <w:tcBorders>
                    <w:tl2br w:val="nil"/>
                    <w:tr2bl w:val="nil"/>
                  </w:tcBorders>
                  <w:vAlign w:val="center"/>
                </w:tcPr>
                <w:p w14:paraId="563DA037">
                  <w:pPr>
                    <w:pStyle w:val="10"/>
                    <w:spacing w:before="0" w:after="0" w:line="240" w:lineRule="auto"/>
                    <w:ind w:right="0"/>
                    <w:jc w:val="center"/>
                    <w:rPr>
                      <w:rFonts w:hint="eastAsia" w:ascii="Times New Roman" w:hAnsi="Times New Roman" w:eastAsia="宋体" w:cs="Times New Roman"/>
                      <w:color w:val="auto"/>
                      <w:sz w:val="21"/>
                      <w:szCs w:val="21"/>
                      <w:u w:val="single" w:color="auto"/>
                      <w:lang w:eastAsia="zh-CN"/>
                    </w:rPr>
                  </w:pPr>
                  <w:r>
                    <w:rPr>
                      <w:rFonts w:hint="eastAsia" w:ascii="Times New Roman" w:hAnsi="Times New Roman" w:eastAsia="宋体" w:cs="Times New Roman"/>
                      <w:color w:val="FF0000"/>
                      <w:sz w:val="21"/>
                      <w:szCs w:val="21"/>
                      <w:u w:val="single"/>
                      <w:lang w:val="en-US" w:eastAsia="zh-CN"/>
                    </w:rPr>
                    <w:t>参照执行</w:t>
                  </w:r>
                  <w:r>
                    <w:rPr>
                      <w:rFonts w:ascii="Times New Roman" w:hAnsi="Times New Roman" w:eastAsia="宋体" w:cs="Times New Roman"/>
                      <w:color w:val="FF0000"/>
                      <w:sz w:val="21"/>
                      <w:szCs w:val="21"/>
                      <w:u w:val="single"/>
                    </w:rPr>
                    <w:t>《湖南省工业炉窑大气污染综合治理实施方案》</w:t>
                  </w:r>
                  <w:r>
                    <w:rPr>
                      <w:rFonts w:hint="default" w:ascii="Times New Roman" w:hAnsi="Times New Roman" w:eastAsia="宋体" w:cs="Times New Roman"/>
                      <w:color w:val="FF0000"/>
                      <w:sz w:val="21"/>
                      <w:szCs w:val="21"/>
                      <w:u w:val="single"/>
                      <w:lang w:val="en-US" w:eastAsia="zh-CN"/>
                    </w:rPr>
                    <w:t>中现阶段长沙市、株洲市、湘潭市以及常德市、岳阳市、益阳市等传输通道城市</w:t>
                  </w:r>
                  <w:r>
                    <w:rPr>
                      <w:rFonts w:hint="eastAsia" w:ascii="Times New Roman" w:hAnsi="Times New Roman" w:eastAsia="宋体" w:cs="Times New Roman"/>
                      <w:color w:val="FF0000"/>
                      <w:sz w:val="21"/>
                      <w:szCs w:val="21"/>
                      <w:u w:val="single"/>
                      <w:lang w:val="en-US" w:eastAsia="zh-CN"/>
                    </w:rPr>
                    <w:t>“</w:t>
                  </w:r>
                  <w:r>
                    <w:rPr>
                      <w:rFonts w:hint="default" w:ascii="Times New Roman" w:hAnsi="Times New Roman" w:eastAsia="宋体" w:cs="Times New Roman"/>
                      <w:color w:val="FF0000"/>
                      <w:sz w:val="21"/>
                      <w:szCs w:val="21"/>
                      <w:u w:val="single"/>
                      <w:lang w:val="en-US" w:eastAsia="zh-CN"/>
                    </w:rPr>
                    <w:t>暂未制订行业排放标准的工业炉窑</w:t>
                  </w:r>
                  <w:r>
                    <w:rPr>
                      <w:rFonts w:hint="eastAsia" w:ascii="Times New Roman" w:hAnsi="Times New Roman" w:eastAsia="宋体" w:cs="Times New Roman"/>
                      <w:color w:val="FF0000"/>
                      <w:sz w:val="21"/>
                      <w:szCs w:val="21"/>
                      <w:u w:val="single"/>
                      <w:lang w:val="en-US" w:eastAsia="zh-CN"/>
                    </w:rPr>
                    <w:t>”的排放</w:t>
                  </w:r>
                  <w:r>
                    <w:rPr>
                      <w:rFonts w:hint="default" w:ascii="Times New Roman" w:hAnsi="Times New Roman" w:eastAsia="宋体" w:cs="Times New Roman"/>
                      <w:color w:val="FF0000"/>
                      <w:sz w:val="21"/>
                      <w:szCs w:val="21"/>
                      <w:u w:val="single"/>
                      <w:lang w:val="en-US" w:eastAsia="zh-CN"/>
                    </w:rPr>
                    <w:t>限值</w:t>
                  </w:r>
                </w:p>
              </w:tc>
              <w:tc>
                <w:tcPr>
                  <w:tcW w:w="562" w:type="pct"/>
                  <w:vMerge w:val="continue"/>
                  <w:tcBorders>
                    <w:tl2br w:val="nil"/>
                    <w:tr2bl w:val="nil"/>
                  </w:tcBorders>
                  <w:vAlign w:val="center"/>
                </w:tcPr>
                <w:p w14:paraId="24BDBF58">
                  <w:pPr>
                    <w:pStyle w:val="10"/>
                    <w:spacing w:before="0" w:after="0" w:line="240" w:lineRule="auto"/>
                    <w:ind w:right="0"/>
                    <w:jc w:val="center"/>
                    <w:rPr>
                      <w:rFonts w:ascii="Times New Roman" w:hAnsi="Times New Roman" w:eastAsia="宋体" w:cs="Times New Roman"/>
                      <w:color w:val="auto"/>
                      <w:sz w:val="21"/>
                      <w:szCs w:val="21"/>
                      <w:u w:val="single" w:color="auto"/>
                    </w:rPr>
                  </w:pPr>
                </w:p>
              </w:tc>
            </w:tr>
            <w:tr w14:paraId="49D19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46" w:type="pct"/>
                  <w:vMerge w:val="restart"/>
                  <w:tcBorders>
                    <w:tl2br w:val="nil"/>
                    <w:tr2bl w:val="nil"/>
                  </w:tcBorders>
                  <w:vAlign w:val="center"/>
                </w:tcPr>
                <w:p w14:paraId="4A159A75">
                  <w:pPr>
                    <w:pStyle w:val="10"/>
                    <w:spacing w:before="0" w:after="0" w:line="240" w:lineRule="auto"/>
                    <w:ind w:right="0"/>
                    <w:jc w:val="center"/>
                    <w:rPr>
                      <w:rFonts w:hint="default" w:cs="Times New Roman"/>
                      <w:color w:val="auto"/>
                      <w:sz w:val="21"/>
                      <w:szCs w:val="21"/>
                      <w:highlight w:val="none"/>
                      <w:u w:val="single" w:color="auto"/>
                      <w:lang w:val="en-US" w:eastAsia="zh-CN"/>
                    </w:rPr>
                  </w:pPr>
                  <w:r>
                    <w:rPr>
                      <w:rFonts w:hint="eastAsia" w:cs="Times New Roman"/>
                      <w:color w:val="auto"/>
                      <w:sz w:val="21"/>
                      <w:szCs w:val="21"/>
                      <w:highlight w:val="none"/>
                      <w:u w:val="single" w:color="auto"/>
                      <w:lang w:val="en-US" w:eastAsia="zh-CN"/>
                    </w:rPr>
                    <w:t>厂界</w:t>
                  </w:r>
                </w:p>
              </w:tc>
              <w:tc>
                <w:tcPr>
                  <w:tcW w:w="771" w:type="pct"/>
                  <w:tcBorders>
                    <w:tl2br w:val="nil"/>
                    <w:tr2bl w:val="nil"/>
                  </w:tcBorders>
                  <w:vAlign w:val="center"/>
                </w:tcPr>
                <w:p w14:paraId="5080BBEA">
                  <w:pPr>
                    <w:pStyle w:val="10"/>
                    <w:spacing w:before="0" w:after="0" w:line="240" w:lineRule="auto"/>
                    <w:ind w:right="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颗粒物</w:t>
                  </w:r>
                </w:p>
              </w:tc>
              <w:tc>
                <w:tcPr>
                  <w:tcW w:w="716" w:type="pct"/>
                  <w:tcBorders>
                    <w:tl2br w:val="nil"/>
                    <w:tr2bl w:val="nil"/>
                  </w:tcBorders>
                  <w:vAlign w:val="center"/>
                </w:tcPr>
                <w:p w14:paraId="0EC82F21">
                  <w:pPr>
                    <w:pStyle w:val="10"/>
                    <w:spacing w:before="0" w:after="0" w:line="240" w:lineRule="auto"/>
                    <w:ind w:right="0"/>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lang w:val="en-US" w:eastAsia="zh-CN"/>
                    </w:rPr>
                    <w:t>1次/季</w:t>
                  </w:r>
                </w:p>
              </w:tc>
              <w:tc>
                <w:tcPr>
                  <w:tcW w:w="2102" w:type="pct"/>
                  <w:tcBorders>
                    <w:tl2br w:val="nil"/>
                    <w:tr2bl w:val="nil"/>
                  </w:tcBorders>
                  <w:vAlign w:val="center"/>
                </w:tcPr>
                <w:p w14:paraId="3FD6280E">
                  <w:pPr>
                    <w:pStyle w:val="10"/>
                    <w:spacing w:before="0" w:after="0" w:line="240" w:lineRule="auto"/>
                    <w:ind w:right="0"/>
                    <w:jc w:val="center"/>
                    <w:rPr>
                      <w:rFonts w:hint="eastAsia" w:ascii="Times New Roman" w:hAnsi="Times New Roman" w:eastAsia="宋体" w:cs="Times New Roman"/>
                      <w:color w:val="auto"/>
                      <w:sz w:val="21"/>
                      <w:szCs w:val="21"/>
                      <w:u w:val="single" w:color="auto"/>
                      <w:lang w:eastAsia="zh-CN"/>
                    </w:rPr>
                  </w:pPr>
                  <w:r>
                    <w:rPr>
                      <w:rFonts w:ascii="Times New Roman" w:hAnsi="Times New Roman" w:eastAsia="宋体" w:cs="Times New Roman"/>
                      <w:color w:val="auto"/>
                      <w:sz w:val="21"/>
                      <w:szCs w:val="21"/>
                      <w:u w:val="single" w:color="auto"/>
                    </w:rPr>
                    <w:t>《大气污染物综合排放标准》（GB16297-1996）</w:t>
                  </w:r>
                </w:p>
              </w:tc>
              <w:tc>
                <w:tcPr>
                  <w:tcW w:w="562" w:type="pct"/>
                  <w:vMerge w:val="continue"/>
                  <w:tcBorders>
                    <w:tl2br w:val="nil"/>
                    <w:tr2bl w:val="nil"/>
                  </w:tcBorders>
                  <w:vAlign w:val="center"/>
                </w:tcPr>
                <w:p w14:paraId="1658E48B">
                  <w:pPr>
                    <w:pStyle w:val="10"/>
                    <w:spacing w:before="0" w:after="0" w:line="240" w:lineRule="auto"/>
                    <w:ind w:right="0"/>
                    <w:jc w:val="center"/>
                    <w:rPr>
                      <w:rFonts w:ascii="Times New Roman" w:hAnsi="Times New Roman" w:eastAsia="宋体" w:cs="Times New Roman"/>
                      <w:color w:val="auto"/>
                      <w:sz w:val="21"/>
                      <w:szCs w:val="21"/>
                      <w:u w:val="single" w:color="auto"/>
                    </w:rPr>
                  </w:pPr>
                </w:p>
              </w:tc>
            </w:tr>
            <w:tr w14:paraId="6FA57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6" w:type="pct"/>
                  <w:vMerge w:val="continue"/>
                  <w:tcBorders>
                    <w:tl2br w:val="nil"/>
                    <w:tr2bl w:val="nil"/>
                  </w:tcBorders>
                  <w:vAlign w:val="center"/>
                </w:tcPr>
                <w:p w14:paraId="1004A37C">
                  <w:pPr>
                    <w:pStyle w:val="10"/>
                    <w:spacing w:before="0" w:after="0" w:line="240" w:lineRule="auto"/>
                    <w:ind w:right="0"/>
                    <w:jc w:val="center"/>
                    <w:rPr>
                      <w:rFonts w:hint="eastAsia" w:cs="Times New Roman"/>
                      <w:color w:val="auto"/>
                      <w:sz w:val="21"/>
                      <w:szCs w:val="21"/>
                      <w:highlight w:val="none"/>
                      <w:u w:val="single" w:color="auto"/>
                      <w:lang w:val="en-US" w:eastAsia="zh-CN"/>
                    </w:rPr>
                  </w:pPr>
                </w:p>
              </w:tc>
              <w:tc>
                <w:tcPr>
                  <w:tcW w:w="771" w:type="pct"/>
                  <w:tcBorders>
                    <w:tl2br w:val="nil"/>
                    <w:tr2bl w:val="nil"/>
                  </w:tcBorders>
                  <w:vAlign w:val="center"/>
                </w:tcPr>
                <w:p w14:paraId="0DA5EB05">
                  <w:pPr>
                    <w:pStyle w:val="10"/>
                    <w:spacing w:before="0" w:after="0" w:line="240" w:lineRule="auto"/>
                    <w:ind w:right="0"/>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eastAsia="宋体" w:cs="Times New Roman"/>
                      <w:color w:val="auto"/>
                      <w:sz w:val="21"/>
                      <w:szCs w:val="21"/>
                      <w:u w:val="single" w:color="auto"/>
                    </w:rPr>
                    <w:t>臭气浓度</w:t>
                  </w:r>
                </w:p>
              </w:tc>
              <w:tc>
                <w:tcPr>
                  <w:tcW w:w="716" w:type="pct"/>
                  <w:tcBorders>
                    <w:tl2br w:val="nil"/>
                    <w:tr2bl w:val="nil"/>
                  </w:tcBorders>
                  <w:vAlign w:val="center"/>
                </w:tcPr>
                <w:p w14:paraId="61ECD2BB">
                  <w:pPr>
                    <w:pStyle w:val="10"/>
                    <w:spacing w:before="0" w:after="0" w:line="240" w:lineRule="auto"/>
                    <w:ind w:right="0"/>
                    <w:jc w:val="center"/>
                    <w:rPr>
                      <w:rFonts w:hint="eastAsia" w:ascii="Times New Roman" w:hAnsi="Times New Roman" w:eastAsia="宋体" w:cs="Times New Roman"/>
                      <w:color w:val="auto"/>
                      <w:sz w:val="21"/>
                      <w:szCs w:val="21"/>
                      <w:u w:val="single" w:color="auto"/>
                      <w:lang w:val="en-US" w:eastAsia="zh-CN"/>
                    </w:rPr>
                  </w:pPr>
                  <w:r>
                    <w:rPr>
                      <w:rFonts w:ascii="Times New Roman" w:hAnsi="Times New Roman" w:eastAsia="宋体" w:cs="Times New Roman"/>
                      <w:color w:val="auto"/>
                      <w:sz w:val="21"/>
                      <w:szCs w:val="21"/>
                      <w:u w:val="single" w:color="auto"/>
                    </w:rPr>
                    <w:t>1次/</w:t>
                  </w:r>
                  <w:r>
                    <w:rPr>
                      <w:rFonts w:hint="eastAsia" w:ascii="Times New Roman" w:hAnsi="Times New Roman" w:eastAsia="宋体" w:cs="Times New Roman"/>
                      <w:color w:val="auto"/>
                      <w:sz w:val="21"/>
                      <w:szCs w:val="21"/>
                      <w:u w:val="single" w:color="auto"/>
                    </w:rPr>
                    <w:t>年</w:t>
                  </w:r>
                </w:p>
              </w:tc>
              <w:tc>
                <w:tcPr>
                  <w:tcW w:w="2102" w:type="pct"/>
                  <w:tcBorders>
                    <w:tl2br w:val="nil"/>
                    <w:tr2bl w:val="nil"/>
                  </w:tcBorders>
                  <w:vAlign w:val="center"/>
                </w:tcPr>
                <w:p w14:paraId="3AEF8CCB">
                  <w:pPr>
                    <w:pStyle w:val="10"/>
                    <w:spacing w:before="0" w:after="0" w:line="240" w:lineRule="auto"/>
                    <w:ind w:right="0"/>
                    <w:jc w:val="center"/>
                    <w:rPr>
                      <w:rFonts w:ascii="Times New Roman" w:hAnsi="Times New Roman" w:eastAsia="宋体" w:cs="Times New Roman"/>
                      <w:color w:val="auto"/>
                      <w:sz w:val="21"/>
                      <w:szCs w:val="21"/>
                      <w:u w:val="single" w:color="auto"/>
                    </w:rPr>
                  </w:pPr>
                  <w:r>
                    <w:rPr>
                      <w:rFonts w:ascii="Times New Roman" w:hAnsi="Times New Roman" w:eastAsia="宋体" w:cs="Times New Roman"/>
                      <w:color w:val="auto"/>
                      <w:sz w:val="21"/>
                      <w:szCs w:val="21"/>
                      <w:u w:val="single" w:color="auto"/>
                    </w:rPr>
                    <w:t>《恶臭污染物排放标准》</w:t>
                  </w:r>
                  <w:r>
                    <w:rPr>
                      <w:rFonts w:hint="eastAsia" w:ascii="Times New Roman" w:hAnsi="Times New Roman" w:eastAsia="宋体" w:cs="Times New Roman"/>
                      <w:color w:val="auto"/>
                      <w:sz w:val="21"/>
                      <w:szCs w:val="21"/>
                      <w:u w:val="single" w:color="auto"/>
                    </w:rPr>
                    <w:t>（</w:t>
                  </w:r>
                  <w:r>
                    <w:rPr>
                      <w:rFonts w:ascii="Times New Roman" w:hAnsi="Times New Roman" w:eastAsia="宋体" w:cs="Times New Roman"/>
                      <w:color w:val="auto"/>
                      <w:sz w:val="21"/>
                      <w:szCs w:val="21"/>
                      <w:u w:val="single" w:color="auto"/>
                    </w:rPr>
                    <w:t>GB14554-93</w:t>
                  </w:r>
                  <w:r>
                    <w:rPr>
                      <w:rFonts w:hint="eastAsia" w:ascii="Times New Roman" w:hAnsi="Times New Roman" w:eastAsia="宋体" w:cs="Times New Roman"/>
                      <w:color w:val="auto"/>
                      <w:sz w:val="21"/>
                      <w:szCs w:val="21"/>
                      <w:u w:val="single" w:color="auto"/>
                    </w:rPr>
                    <w:t>）</w:t>
                  </w:r>
                  <w:r>
                    <w:rPr>
                      <w:rFonts w:ascii="Times New Roman" w:hAnsi="Times New Roman" w:eastAsia="宋体" w:cs="Times New Roman"/>
                      <w:color w:val="auto"/>
                      <w:sz w:val="21"/>
                      <w:szCs w:val="21"/>
                      <w:u w:val="single" w:color="auto"/>
                    </w:rPr>
                    <w:t>表</w:t>
                  </w:r>
                  <w:r>
                    <w:rPr>
                      <w:rFonts w:hint="eastAsia" w:ascii="Times New Roman" w:hAnsi="Times New Roman" w:eastAsia="宋体" w:cs="Times New Roman"/>
                      <w:color w:val="auto"/>
                      <w:sz w:val="21"/>
                      <w:szCs w:val="21"/>
                      <w:u w:val="single" w:color="auto"/>
                    </w:rPr>
                    <w:t>1</w:t>
                  </w:r>
                  <w:r>
                    <w:rPr>
                      <w:rFonts w:ascii="Times New Roman" w:hAnsi="Times New Roman" w:eastAsia="宋体" w:cs="Times New Roman"/>
                      <w:color w:val="auto"/>
                      <w:sz w:val="21"/>
                      <w:szCs w:val="21"/>
                      <w:u w:val="single" w:color="auto"/>
                    </w:rPr>
                    <w:t>标准限值</w:t>
                  </w:r>
                </w:p>
              </w:tc>
              <w:tc>
                <w:tcPr>
                  <w:tcW w:w="562" w:type="pct"/>
                  <w:vMerge w:val="continue"/>
                  <w:tcBorders>
                    <w:tl2br w:val="nil"/>
                    <w:tr2bl w:val="nil"/>
                  </w:tcBorders>
                  <w:vAlign w:val="center"/>
                </w:tcPr>
                <w:p w14:paraId="63D2B2C2">
                  <w:pPr>
                    <w:pStyle w:val="10"/>
                    <w:spacing w:before="0" w:after="0" w:line="240" w:lineRule="auto"/>
                    <w:ind w:right="0"/>
                    <w:jc w:val="center"/>
                    <w:rPr>
                      <w:rFonts w:ascii="Times New Roman" w:hAnsi="Times New Roman" w:eastAsia="宋体" w:cs="Times New Roman"/>
                      <w:color w:val="auto"/>
                      <w:sz w:val="21"/>
                      <w:szCs w:val="21"/>
                      <w:u w:val="single" w:color="auto"/>
                    </w:rPr>
                  </w:pPr>
                </w:p>
              </w:tc>
            </w:tr>
          </w:tbl>
          <w:p w14:paraId="024DA0EE">
            <w:pPr>
              <w:pStyle w:val="13"/>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360" w:lineRule="auto"/>
              <w:ind w:leftChars="200"/>
              <w:textAlignment w:val="auto"/>
              <w:rPr>
                <w:rFonts w:hint="default" w:ascii="Times New Roman" w:hAnsi="Times New Roman" w:cs="Times New Roman"/>
                <w:b/>
                <w:bCs/>
                <w:color w:val="auto"/>
                <w:kern w:val="44"/>
                <w:szCs w:val="24"/>
                <w:lang w:val="en-US" w:eastAsia="zh-CN"/>
              </w:rPr>
            </w:pPr>
            <w:r>
              <w:rPr>
                <w:rFonts w:hint="eastAsia" w:cs="Times New Roman"/>
                <w:b/>
                <w:bCs/>
                <w:color w:val="auto"/>
                <w:kern w:val="44"/>
                <w:szCs w:val="24"/>
                <w:lang w:val="en-US" w:eastAsia="zh-CN"/>
              </w:rPr>
              <w:t>3</w:t>
            </w:r>
            <w:r>
              <w:rPr>
                <w:rFonts w:hint="default" w:ascii="Times New Roman" w:hAnsi="Times New Roman" w:cs="Times New Roman"/>
                <w:b/>
                <w:bCs/>
                <w:color w:val="auto"/>
                <w:kern w:val="44"/>
                <w:szCs w:val="24"/>
                <w:lang w:val="en-US" w:eastAsia="zh-CN"/>
              </w:rPr>
              <w:t>、噪声污染源分析</w:t>
            </w:r>
          </w:p>
          <w:p w14:paraId="054B980F">
            <w:pPr>
              <w:spacing w:line="360" w:lineRule="auto"/>
              <w:ind w:firstLine="482" w:firstLineChars="200"/>
              <w:rPr>
                <w:b/>
                <w:color w:val="auto"/>
                <w:sz w:val="24"/>
                <w:szCs w:val="22"/>
              </w:rPr>
            </w:pPr>
            <w:r>
              <w:rPr>
                <w:rFonts w:hint="eastAsia"/>
                <w:b/>
                <w:color w:val="auto"/>
                <w:sz w:val="24"/>
                <w:szCs w:val="22"/>
              </w:rPr>
              <w:t>3.1</w:t>
            </w:r>
            <w:r>
              <w:rPr>
                <w:b/>
                <w:color w:val="auto"/>
                <w:sz w:val="24"/>
                <w:szCs w:val="22"/>
              </w:rPr>
              <w:t>噪声源强</w:t>
            </w:r>
          </w:p>
          <w:p w14:paraId="7B55AAB3">
            <w:pPr>
              <w:spacing w:line="360" w:lineRule="auto"/>
              <w:ind w:firstLine="480" w:firstLineChars="200"/>
              <w:jc w:val="left"/>
              <w:rPr>
                <w:rFonts w:hint="eastAsia" w:ascii="Times New Roman" w:hAnsi="Times New Roman" w:eastAsia="宋体" w:cs="宋体"/>
                <w:color w:val="auto"/>
                <w:sz w:val="24"/>
              </w:rPr>
            </w:pPr>
            <w:r>
              <w:rPr>
                <w:rFonts w:hint="eastAsia" w:ascii="Times New Roman" w:hAnsi="Times New Roman" w:eastAsia="宋体" w:cs="宋体"/>
                <w:color w:val="auto"/>
                <w:sz w:val="24"/>
              </w:rPr>
              <w:t>本项目</w:t>
            </w:r>
            <w:r>
              <w:rPr>
                <w:rFonts w:hint="eastAsia" w:cs="宋体"/>
                <w:color w:val="auto"/>
                <w:sz w:val="24"/>
                <w:lang w:val="en-US" w:eastAsia="zh-CN"/>
              </w:rPr>
              <w:t>运营期</w:t>
            </w:r>
            <w:r>
              <w:rPr>
                <w:rFonts w:hint="eastAsia" w:ascii="Times New Roman" w:hAnsi="Times New Roman" w:eastAsia="宋体" w:cs="宋体"/>
                <w:color w:val="auto"/>
                <w:sz w:val="24"/>
              </w:rPr>
              <w:t>噪声主要</w:t>
            </w:r>
            <w:r>
              <w:rPr>
                <w:rFonts w:hint="eastAsia" w:cs="宋体"/>
                <w:color w:val="auto"/>
                <w:sz w:val="24"/>
                <w:lang w:eastAsia="zh-CN"/>
              </w:rPr>
              <w:t>来自</w:t>
            </w:r>
            <w:r>
              <w:rPr>
                <w:rFonts w:hint="eastAsia" w:cs="宋体"/>
                <w:color w:val="auto"/>
                <w:sz w:val="24"/>
                <w:lang w:val="en-US" w:eastAsia="zh-CN"/>
              </w:rPr>
              <w:t>清洗机、脱皮机、粉碎机、筛分机、切片机</w:t>
            </w:r>
            <w:r>
              <w:rPr>
                <w:rFonts w:hint="eastAsia" w:ascii="Times New Roman" w:hAnsi="Times New Roman" w:eastAsia="宋体" w:cs="宋体"/>
                <w:color w:val="auto"/>
                <w:sz w:val="24"/>
                <w:lang w:eastAsia="zh-CN"/>
              </w:rPr>
              <w:t>、</w:t>
            </w:r>
            <w:r>
              <w:rPr>
                <w:rFonts w:hint="eastAsia" w:cs="宋体"/>
                <w:color w:val="auto"/>
                <w:sz w:val="24"/>
                <w:lang w:val="en-US" w:eastAsia="zh-CN"/>
              </w:rPr>
              <w:t>切药机、</w:t>
            </w:r>
            <w:r>
              <w:rPr>
                <w:rFonts w:hint="eastAsia" w:ascii="Times New Roman" w:hAnsi="Times New Roman" w:eastAsia="宋体" w:cs="宋体"/>
                <w:color w:val="auto"/>
                <w:sz w:val="24"/>
              </w:rPr>
              <w:t>废气治理设施风机等运转设备在运行时产生的噪声，噪声源强约在</w:t>
            </w:r>
            <w:r>
              <w:rPr>
                <w:rFonts w:hint="eastAsia" w:cs="宋体"/>
                <w:color w:val="auto"/>
                <w:sz w:val="24"/>
                <w:lang w:val="en-US" w:eastAsia="zh-CN"/>
              </w:rPr>
              <w:t>7</w:t>
            </w:r>
            <w:r>
              <w:rPr>
                <w:rFonts w:hint="eastAsia" w:ascii="Times New Roman" w:hAnsi="Times New Roman" w:eastAsia="宋体" w:cs="宋体"/>
                <w:color w:val="auto"/>
                <w:sz w:val="24"/>
              </w:rPr>
              <w:t>0</w:t>
            </w:r>
            <w:r>
              <w:rPr>
                <w:rFonts w:hint="eastAsia" w:ascii="Times New Roman" w:hAnsi="Times New Roman" w:eastAsia="宋体" w:cs="宋体"/>
                <w:color w:val="auto"/>
                <w:sz w:val="24"/>
                <w:lang w:val="en-US" w:eastAsia="zh-CN"/>
              </w:rPr>
              <w:t>~</w:t>
            </w:r>
            <w:r>
              <w:rPr>
                <w:rFonts w:hint="eastAsia" w:cs="宋体"/>
                <w:color w:val="auto"/>
                <w:sz w:val="24"/>
                <w:lang w:val="en-US" w:eastAsia="zh-CN"/>
              </w:rPr>
              <w:t>9</w:t>
            </w:r>
            <w:r>
              <w:rPr>
                <w:rFonts w:hint="eastAsia" w:ascii="Times New Roman" w:hAnsi="Times New Roman" w:eastAsia="宋体" w:cs="宋体"/>
                <w:color w:val="auto"/>
                <w:sz w:val="24"/>
              </w:rPr>
              <w:t>5dB</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A</w:t>
            </w:r>
            <w:r>
              <w:rPr>
                <w:rFonts w:hint="eastAsia" w:ascii="Times New Roman" w:hAnsi="Times New Roman" w:eastAsia="宋体" w:cs="宋体"/>
                <w:color w:val="auto"/>
                <w:sz w:val="24"/>
                <w:lang w:eastAsia="zh-CN"/>
              </w:rPr>
              <w:t>）。</w:t>
            </w:r>
            <w:r>
              <w:rPr>
                <w:rFonts w:hint="eastAsia" w:ascii="Times New Roman" w:hAnsi="Times New Roman" w:eastAsia="宋体" w:cs="宋体"/>
                <w:color w:val="auto"/>
                <w:sz w:val="24"/>
              </w:rPr>
              <w:t>项目主要噪声设备及排放情况见下表。</w:t>
            </w:r>
          </w:p>
          <w:p w14:paraId="05F7CA98">
            <w:pPr>
              <w:keepNext w:val="0"/>
              <w:keepLines w:val="0"/>
              <w:pageBreakBefore w:val="0"/>
              <w:widowControl w:val="0"/>
              <w:kinsoku/>
              <w:wordWrap/>
              <w:overflowPunct/>
              <w:topLinePunct w:val="0"/>
              <w:autoSpaceDE w:val="0"/>
              <w:autoSpaceDN w:val="0"/>
              <w:bidi w:val="0"/>
              <w:adjustRightInd/>
              <w:snapToGrid/>
              <w:jc w:val="center"/>
              <w:textAlignment w:val="auto"/>
              <w:rPr>
                <w:b/>
                <w:bCs/>
                <w:color w:val="auto"/>
                <w:sz w:val="24"/>
              </w:rPr>
            </w:pPr>
            <w:r>
              <w:rPr>
                <w:b/>
                <w:bCs/>
                <w:color w:val="auto"/>
                <w:sz w:val="24"/>
              </w:rPr>
              <w:t>表4</w:t>
            </w:r>
            <w:r>
              <w:rPr>
                <w:rFonts w:hint="eastAsia"/>
                <w:b/>
                <w:bCs/>
                <w:color w:val="auto"/>
                <w:sz w:val="24"/>
              </w:rPr>
              <w:t>-1</w:t>
            </w:r>
            <w:r>
              <w:rPr>
                <w:rFonts w:hint="eastAsia"/>
                <w:b/>
                <w:bCs/>
                <w:color w:val="auto"/>
                <w:sz w:val="24"/>
                <w:lang w:val="en-US" w:eastAsia="zh-CN"/>
              </w:rPr>
              <w:t>3</w:t>
            </w:r>
            <w:r>
              <w:rPr>
                <w:rFonts w:hint="eastAsia"/>
                <w:b/>
                <w:bCs/>
                <w:color w:val="auto"/>
                <w:sz w:val="24"/>
              </w:rPr>
              <w:t xml:space="preserve">   </w:t>
            </w:r>
            <w:bookmarkStart w:id="17" w:name="OLE_LINK139"/>
            <w:r>
              <w:rPr>
                <w:rFonts w:hint="eastAsia"/>
                <w:b/>
                <w:bCs/>
                <w:color w:val="auto"/>
                <w:sz w:val="24"/>
              </w:rPr>
              <w:t>噪声污染源强调查清单（室内声源）</w:t>
            </w:r>
            <w:bookmarkEnd w:id="17"/>
          </w:p>
          <w:tbl>
            <w:tblPr>
              <w:tblStyle w:val="32"/>
              <w:tblW w:w="77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79"/>
              <w:gridCol w:w="742"/>
              <w:gridCol w:w="675"/>
              <w:gridCol w:w="958"/>
              <w:gridCol w:w="434"/>
              <w:gridCol w:w="414"/>
              <w:gridCol w:w="389"/>
              <w:gridCol w:w="414"/>
              <w:gridCol w:w="414"/>
              <w:gridCol w:w="403"/>
              <w:gridCol w:w="425"/>
              <w:gridCol w:w="425"/>
              <w:gridCol w:w="414"/>
              <w:gridCol w:w="414"/>
              <w:gridCol w:w="471"/>
              <w:gridCol w:w="366"/>
            </w:tblGrid>
            <w:tr w14:paraId="1052E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44" w:type="pct"/>
                  <w:vMerge w:val="restart"/>
                  <w:shd w:val="clear" w:color="auto" w:fill="auto"/>
                  <w:noWrap w:val="0"/>
                  <w:vAlign w:val="center"/>
                </w:tcPr>
                <w:p w14:paraId="649CF5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序号</w:t>
                  </w:r>
                </w:p>
              </w:tc>
              <w:tc>
                <w:tcPr>
                  <w:tcW w:w="479" w:type="pct"/>
                  <w:vMerge w:val="restart"/>
                  <w:shd w:val="clear" w:color="auto" w:fill="auto"/>
                  <w:noWrap w:val="0"/>
                  <w:vAlign w:val="center"/>
                </w:tcPr>
                <w:p w14:paraId="6E347F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声源名称</w:t>
                  </w:r>
                </w:p>
              </w:tc>
              <w:tc>
                <w:tcPr>
                  <w:tcW w:w="436" w:type="pct"/>
                  <w:shd w:val="clear" w:color="auto" w:fill="auto"/>
                  <w:noWrap w:val="0"/>
                  <w:vAlign w:val="center"/>
                </w:tcPr>
                <w:p w14:paraId="216018A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声源源强</w:t>
                  </w:r>
                </w:p>
              </w:tc>
              <w:tc>
                <w:tcPr>
                  <w:tcW w:w="619" w:type="pct"/>
                  <w:vMerge w:val="restart"/>
                  <w:shd w:val="clear" w:color="auto" w:fill="auto"/>
                  <w:noWrap w:val="0"/>
                  <w:vAlign w:val="center"/>
                </w:tcPr>
                <w:p w14:paraId="115464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声源控制措施</w:t>
                  </w:r>
                </w:p>
              </w:tc>
              <w:tc>
                <w:tcPr>
                  <w:tcW w:w="799" w:type="pct"/>
                  <w:gridSpan w:val="3"/>
                  <w:shd w:val="clear" w:color="auto" w:fill="auto"/>
                  <w:noWrap w:val="0"/>
                  <w:vAlign w:val="center"/>
                </w:tcPr>
                <w:p w14:paraId="0DCAD7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空间相对位置/m</w:t>
                  </w:r>
                </w:p>
              </w:tc>
              <w:tc>
                <w:tcPr>
                  <w:tcW w:w="1070" w:type="pct"/>
                  <w:gridSpan w:val="4"/>
                  <w:shd w:val="clear" w:color="auto" w:fill="auto"/>
                  <w:noWrap w:val="0"/>
                  <w:vAlign w:val="center"/>
                </w:tcPr>
                <w:p w14:paraId="7B939897">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距室内边界距离/m</w:t>
                  </w:r>
                </w:p>
              </w:tc>
              <w:tc>
                <w:tcPr>
                  <w:tcW w:w="1114" w:type="pct"/>
                  <w:gridSpan w:val="4"/>
                  <w:shd w:val="clear" w:color="auto" w:fill="auto"/>
                  <w:noWrap w:val="0"/>
                  <w:vAlign w:val="center"/>
                </w:tcPr>
                <w:p w14:paraId="1C49D01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室内边界声级/dB（A）</w:t>
                  </w:r>
                </w:p>
              </w:tc>
              <w:tc>
                <w:tcPr>
                  <w:tcW w:w="236" w:type="pct"/>
                  <w:vMerge w:val="restart"/>
                  <w:shd w:val="clear" w:color="auto" w:fill="auto"/>
                  <w:noWrap w:val="0"/>
                  <w:vAlign w:val="center"/>
                </w:tcPr>
                <w:p w14:paraId="468636A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运行时段</w:t>
                  </w:r>
                </w:p>
              </w:tc>
            </w:tr>
            <w:tr w14:paraId="588A6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Merge w:val="continue"/>
                  <w:shd w:val="clear" w:color="auto" w:fill="auto"/>
                  <w:noWrap w:val="0"/>
                  <w:tcMar>
                    <w:top w:w="0" w:type="dxa"/>
                    <w:left w:w="0" w:type="dxa"/>
                    <w:bottom w:w="0" w:type="dxa"/>
                    <w:right w:w="0" w:type="dxa"/>
                  </w:tcMar>
                  <w:vAlign w:val="center"/>
                </w:tcPr>
                <w:p w14:paraId="5EC4633D">
                  <w:pPr>
                    <w:jc w:val="center"/>
                    <w:rPr>
                      <w:rFonts w:hint="default" w:ascii="Times New Roman" w:hAnsi="Times New Roman" w:eastAsia="宋体" w:cs="Times New Roman"/>
                      <w:color w:val="auto"/>
                      <w:sz w:val="21"/>
                      <w:szCs w:val="21"/>
                    </w:rPr>
                  </w:pPr>
                </w:p>
              </w:tc>
              <w:tc>
                <w:tcPr>
                  <w:tcW w:w="479" w:type="pct"/>
                  <w:vMerge w:val="continue"/>
                  <w:shd w:val="clear" w:color="auto" w:fill="auto"/>
                  <w:noWrap w:val="0"/>
                  <w:tcMar>
                    <w:top w:w="0" w:type="dxa"/>
                    <w:left w:w="0" w:type="dxa"/>
                    <w:bottom w:w="0" w:type="dxa"/>
                    <w:right w:w="0" w:type="dxa"/>
                  </w:tcMar>
                  <w:vAlign w:val="center"/>
                </w:tcPr>
                <w:p w14:paraId="282B9FB0">
                  <w:pPr>
                    <w:jc w:val="center"/>
                    <w:rPr>
                      <w:rFonts w:hint="default" w:ascii="Times New Roman" w:hAnsi="Times New Roman" w:eastAsia="宋体" w:cs="Times New Roman"/>
                      <w:color w:val="auto"/>
                      <w:sz w:val="21"/>
                      <w:szCs w:val="21"/>
                    </w:rPr>
                  </w:pPr>
                </w:p>
              </w:tc>
              <w:tc>
                <w:tcPr>
                  <w:tcW w:w="436" w:type="pct"/>
                  <w:shd w:val="clear" w:color="auto" w:fill="auto"/>
                  <w:noWrap w:val="0"/>
                  <w:tcMar>
                    <w:top w:w="0" w:type="dxa"/>
                    <w:left w:w="0" w:type="dxa"/>
                    <w:bottom w:w="0" w:type="dxa"/>
                    <w:right w:w="0" w:type="dxa"/>
                  </w:tcMar>
                  <w:vAlign w:val="center"/>
                </w:tcPr>
                <w:p w14:paraId="6363380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声功率级/dB（A）</w:t>
                  </w:r>
                </w:p>
              </w:tc>
              <w:tc>
                <w:tcPr>
                  <w:tcW w:w="619" w:type="pct"/>
                  <w:vMerge w:val="continue"/>
                  <w:shd w:val="clear" w:color="auto" w:fill="auto"/>
                  <w:noWrap w:val="0"/>
                  <w:tcMar>
                    <w:top w:w="0" w:type="dxa"/>
                    <w:left w:w="0" w:type="dxa"/>
                    <w:bottom w:w="0" w:type="dxa"/>
                    <w:right w:w="0" w:type="dxa"/>
                  </w:tcMar>
                  <w:vAlign w:val="center"/>
                </w:tcPr>
                <w:p w14:paraId="327F18EE">
                  <w:pPr>
                    <w:jc w:val="center"/>
                    <w:rPr>
                      <w:rFonts w:hint="default" w:ascii="Times New Roman" w:hAnsi="Times New Roman" w:eastAsia="宋体" w:cs="Times New Roman"/>
                      <w:color w:val="auto"/>
                      <w:sz w:val="21"/>
                      <w:szCs w:val="21"/>
                    </w:rPr>
                  </w:pPr>
                </w:p>
              </w:tc>
              <w:tc>
                <w:tcPr>
                  <w:tcW w:w="280" w:type="pct"/>
                  <w:shd w:val="clear" w:color="auto" w:fill="auto"/>
                  <w:noWrap w:val="0"/>
                  <w:tcMar>
                    <w:top w:w="0" w:type="dxa"/>
                    <w:left w:w="0" w:type="dxa"/>
                    <w:bottom w:w="0" w:type="dxa"/>
                    <w:right w:w="0" w:type="dxa"/>
                  </w:tcMar>
                  <w:vAlign w:val="center"/>
                </w:tcPr>
                <w:p w14:paraId="65B86C5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267" w:type="pct"/>
                  <w:shd w:val="clear" w:color="auto" w:fill="auto"/>
                  <w:noWrap w:val="0"/>
                  <w:tcMar>
                    <w:top w:w="0" w:type="dxa"/>
                    <w:left w:w="0" w:type="dxa"/>
                    <w:bottom w:w="0" w:type="dxa"/>
                    <w:right w:w="0" w:type="dxa"/>
                  </w:tcMar>
                  <w:vAlign w:val="center"/>
                </w:tcPr>
                <w:p w14:paraId="0B024A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251" w:type="pct"/>
                  <w:shd w:val="clear" w:color="auto" w:fill="auto"/>
                  <w:noWrap w:val="0"/>
                  <w:tcMar>
                    <w:top w:w="0" w:type="dxa"/>
                    <w:left w:w="0" w:type="dxa"/>
                    <w:bottom w:w="0" w:type="dxa"/>
                    <w:right w:w="0" w:type="dxa"/>
                  </w:tcMar>
                  <w:vAlign w:val="center"/>
                </w:tcPr>
                <w:p w14:paraId="0F751D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267" w:type="pct"/>
                  <w:shd w:val="clear" w:color="auto" w:fill="auto"/>
                  <w:noWrap w:val="0"/>
                  <w:tcMar>
                    <w:top w:w="0" w:type="dxa"/>
                    <w:left w:w="0" w:type="dxa"/>
                    <w:bottom w:w="0" w:type="dxa"/>
                    <w:right w:w="0" w:type="dxa"/>
                  </w:tcMar>
                  <w:vAlign w:val="center"/>
                </w:tcPr>
                <w:p w14:paraId="58366E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267" w:type="pct"/>
                  <w:shd w:val="clear" w:color="auto" w:fill="auto"/>
                  <w:noWrap w:val="0"/>
                  <w:tcMar>
                    <w:top w:w="0" w:type="dxa"/>
                    <w:left w:w="0" w:type="dxa"/>
                    <w:bottom w:w="0" w:type="dxa"/>
                    <w:right w:w="0" w:type="dxa"/>
                  </w:tcMar>
                  <w:vAlign w:val="center"/>
                </w:tcPr>
                <w:p w14:paraId="0C3197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260" w:type="pct"/>
                  <w:shd w:val="clear" w:color="auto" w:fill="auto"/>
                  <w:noWrap w:val="0"/>
                  <w:tcMar>
                    <w:top w:w="0" w:type="dxa"/>
                    <w:left w:w="0" w:type="dxa"/>
                    <w:bottom w:w="0" w:type="dxa"/>
                    <w:right w:w="0" w:type="dxa"/>
                  </w:tcMar>
                  <w:vAlign w:val="center"/>
                </w:tcPr>
                <w:p w14:paraId="5FCE62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w:t>
                  </w:r>
                </w:p>
              </w:tc>
              <w:tc>
                <w:tcPr>
                  <w:tcW w:w="274" w:type="pct"/>
                  <w:shd w:val="clear" w:color="auto" w:fill="auto"/>
                  <w:noWrap w:val="0"/>
                  <w:tcMar>
                    <w:top w:w="0" w:type="dxa"/>
                    <w:left w:w="0" w:type="dxa"/>
                    <w:bottom w:w="0" w:type="dxa"/>
                    <w:right w:w="0" w:type="dxa"/>
                  </w:tcMar>
                  <w:vAlign w:val="center"/>
                </w:tcPr>
                <w:p w14:paraId="608DBA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274" w:type="pct"/>
                  <w:shd w:val="clear" w:color="auto" w:fill="auto"/>
                  <w:noWrap w:val="0"/>
                  <w:tcMar>
                    <w:top w:w="0" w:type="dxa"/>
                    <w:left w:w="0" w:type="dxa"/>
                    <w:bottom w:w="0" w:type="dxa"/>
                    <w:right w:w="0" w:type="dxa"/>
                  </w:tcMar>
                  <w:vAlign w:val="center"/>
                </w:tcPr>
                <w:p w14:paraId="2E1449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267" w:type="pct"/>
                  <w:shd w:val="clear" w:color="auto" w:fill="auto"/>
                  <w:noWrap w:val="0"/>
                  <w:tcMar>
                    <w:top w:w="0" w:type="dxa"/>
                    <w:left w:w="0" w:type="dxa"/>
                    <w:bottom w:w="0" w:type="dxa"/>
                    <w:right w:w="0" w:type="dxa"/>
                  </w:tcMar>
                  <w:vAlign w:val="center"/>
                </w:tcPr>
                <w:p w14:paraId="2AFA5A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267" w:type="pct"/>
                  <w:shd w:val="clear" w:color="auto" w:fill="auto"/>
                  <w:noWrap w:val="0"/>
                  <w:tcMar>
                    <w:top w:w="0" w:type="dxa"/>
                    <w:left w:w="0" w:type="dxa"/>
                    <w:bottom w:w="0" w:type="dxa"/>
                    <w:right w:w="0" w:type="dxa"/>
                  </w:tcMar>
                  <w:vAlign w:val="center"/>
                </w:tcPr>
                <w:p w14:paraId="09C200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w:t>
                  </w:r>
                </w:p>
              </w:tc>
              <w:tc>
                <w:tcPr>
                  <w:tcW w:w="304" w:type="pct"/>
                  <w:shd w:val="clear" w:color="auto" w:fill="auto"/>
                  <w:noWrap w:val="0"/>
                  <w:tcMar>
                    <w:top w:w="0" w:type="dxa"/>
                    <w:left w:w="0" w:type="dxa"/>
                    <w:bottom w:w="0" w:type="dxa"/>
                    <w:right w:w="0" w:type="dxa"/>
                  </w:tcMar>
                  <w:vAlign w:val="center"/>
                </w:tcPr>
                <w:p w14:paraId="07C74B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236" w:type="pct"/>
                  <w:vMerge w:val="continue"/>
                  <w:shd w:val="clear" w:color="auto" w:fill="auto"/>
                  <w:noWrap w:val="0"/>
                  <w:tcMar>
                    <w:top w:w="0" w:type="dxa"/>
                    <w:left w:w="0" w:type="dxa"/>
                    <w:bottom w:w="0" w:type="dxa"/>
                    <w:right w:w="0" w:type="dxa"/>
                  </w:tcMar>
                  <w:vAlign w:val="center"/>
                </w:tcPr>
                <w:p w14:paraId="3D239D2C">
                  <w:pPr>
                    <w:jc w:val="center"/>
                    <w:rPr>
                      <w:rFonts w:hint="default" w:ascii="Times New Roman" w:hAnsi="Times New Roman" w:eastAsia="宋体" w:cs="Times New Roman"/>
                      <w:color w:val="auto"/>
                      <w:sz w:val="21"/>
                      <w:szCs w:val="21"/>
                    </w:rPr>
                  </w:pPr>
                </w:p>
              </w:tc>
            </w:tr>
            <w:tr w14:paraId="397D4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1B473C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79" w:type="pct"/>
                  <w:shd w:val="clear" w:color="auto" w:fill="auto"/>
                  <w:noWrap w:val="0"/>
                  <w:tcMar>
                    <w:top w:w="0" w:type="dxa"/>
                    <w:left w:w="0" w:type="dxa"/>
                    <w:bottom w:w="0" w:type="dxa"/>
                    <w:right w:w="0" w:type="dxa"/>
                  </w:tcMar>
                  <w:vAlign w:val="center"/>
                </w:tcPr>
                <w:p w14:paraId="500C41C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清洗机1</w:t>
                  </w:r>
                </w:p>
              </w:tc>
              <w:tc>
                <w:tcPr>
                  <w:tcW w:w="436" w:type="pct"/>
                  <w:shd w:val="clear" w:color="auto" w:fill="auto"/>
                  <w:noWrap w:val="0"/>
                  <w:tcMar>
                    <w:top w:w="0" w:type="dxa"/>
                    <w:left w:w="0" w:type="dxa"/>
                    <w:bottom w:w="0" w:type="dxa"/>
                    <w:right w:w="0" w:type="dxa"/>
                  </w:tcMar>
                  <w:vAlign w:val="center"/>
                </w:tcPr>
                <w:p w14:paraId="7DE4D7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2B0A6A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763286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-26.2</w:t>
                  </w:r>
                </w:p>
              </w:tc>
              <w:tc>
                <w:tcPr>
                  <w:tcW w:w="267" w:type="pct"/>
                  <w:shd w:val="clear" w:color="auto" w:fill="auto"/>
                  <w:noWrap w:val="0"/>
                  <w:tcMar>
                    <w:top w:w="0" w:type="dxa"/>
                    <w:left w:w="0" w:type="dxa"/>
                    <w:bottom w:w="0" w:type="dxa"/>
                    <w:right w:w="0" w:type="dxa"/>
                  </w:tcMar>
                  <w:vAlign w:val="center"/>
                </w:tcPr>
                <w:p w14:paraId="0D851A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w:t>
                  </w:r>
                </w:p>
              </w:tc>
              <w:tc>
                <w:tcPr>
                  <w:tcW w:w="251" w:type="pct"/>
                  <w:shd w:val="clear" w:color="auto" w:fill="auto"/>
                  <w:noWrap w:val="0"/>
                  <w:tcMar>
                    <w:top w:w="0" w:type="dxa"/>
                    <w:left w:w="0" w:type="dxa"/>
                    <w:bottom w:w="0" w:type="dxa"/>
                    <w:right w:w="0" w:type="dxa"/>
                  </w:tcMar>
                  <w:vAlign w:val="center"/>
                </w:tcPr>
                <w:p w14:paraId="2799FF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3D9F50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267" w:type="pct"/>
                  <w:shd w:val="clear" w:color="auto" w:fill="auto"/>
                  <w:noWrap w:val="0"/>
                  <w:tcMar>
                    <w:top w:w="0" w:type="dxa"/>
                    <w:left w:w="0" w:type="dxa"/>
                    <w:bottom w:w="0" w:type="dxa"/>
                    <w:right w:w="0" w:type="dxa"/>
                  </w:tcMar>
                  <w:vAlign w:val="center"/>
                </w:tcPr>
                <w:p w14:paraId="34F874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15.5</w:t>
                  </w:r>
                </w:p>
              </w:tc>
              <w:tc>
                <w:tcPr>
                  <w:tcW w:w="260" w:type="pct"/>
                  <w:shd w:val="clear" w:color="auto" w:fill="auto"/>
                  <w:noWrap w:val="0"/>
                  <w:tcMar>
                    <w:top w:w="0" w:type="dxa"/>
                    <w:left w:w="0" w:type="dxa"/>
                    <w:bottom w:w="0" w:type="dxa"/>
                    <w:right w:w="0" w:type="dxa"/>
                  </w:tcMar>
                  <w:vAlign w:val="center"/>
                </w:tcPr>
                <w:p w14:paraId="584602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74" w:type="pct"/>
                  <w:shd w:val="clear" w:color="auto" w:fill="auto"/>
                  <w:noWrap w:val="0"/>
                  <w:tcMar>
                    <w:top w:w="0" w:type="dxa"/>
                    <w:left w:w="0" w:type="dxa"/>
                    <w:bottom w:w="0" w:type="dxa"/>
                    <w:right w:w="0" w:type="dxa"/>
                  </w:tcMar>
                  <w:vAlign w:val="center"/>
                </w:tcPr>
                <w:p w14:paraId="333DDC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w:t>
                  </w:r>
                </w:p>
              </w:tc>
              <w:tc>
                <w:tcPr>
                  <w:tcW w:w="274" w:type="pct"/>
                  <w:shd w:val="clear" w:color="auto" w:fill="auto"/>
                  <w:noWrap w:val="0"/>
                  <w:tcMar>
                    <w:top w:w="0" w:type="dxa"/>
                    <w:left w:w="0" w:type="dxa"/>
                    <w:bottom w:w="0" w:type="dxa"/>
                    <w:right w:w="0" w:type="dxa"/>
                  </w:tcMar>
                  <w:vAlign w:val="center"/>
                </w:tcPr>
                <w:p w14:paraId="236AC8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71.0</w:t>
                  </w:r>
                </w:p>
              </w:tc>
              <w:tc>
                <w:tcPr>
                  <w:tcW w:w="267" w:type="pct"/>
                  <w:shd w:val="clear" w:color="auto" w:fill="auto"/>
                  <w:noWrap w:val="0"/>
                  <w:tcMar>
                    <w:top w:w="0" w:type="dxa"/>
                    <w:left w:w="0" w:type="dxa"/>
                    <w:bottom w:w="0" w:type="dxa"/>
                    <w:right w:w="0" w:type="dxa"/>
                  </w:tcMar>
                  <w:vAlign w:val="center"/>
                </w:tcPr>
                <w:p w14:paraId="24CBCC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71.0</w:t>
                  </w:r>
                </w:p>
              </w:tc>
              <w:tc>
                <w:tcPr>
                  <w:tcW w:w="267" w:type="pct"/>
                  <w:shd w:val="clear" w:color="auto" w:fill="auto"/>
                  <w:noWrap w:val="0"/>
                  <w:tcMar>
                    <w:top w:w="0" w:type="dxa"/>
                    <w:left w:w="0" w:type="dxa"/>
                    <w:bottom w:w="0" w:type="dxa"/>
                    <w:right w:w="0" w:type="dxa"/>
                  </w:tcMar>
                  <w:vAlign w:val="center"/>
                </w:tcPr>
                <w:p w14:paraId="374DC3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71.8</w:t>
                  </w:r>
                </w:p>
              </w:tc>
              <w:tc>
                <w:tcPr>
                  <w:tcW w:w="304" w:type="pct"/>
                  <w:shd w:val="clear" w:color="auto" w:fill="auto"/>
                  <w:noWrap w:val="0"/>
                  <w:tcMar>
                    <w:top w:w="0" w:type="dxa"/>
                    <w:left w:w="0" w:type="dxa"/>
                    <w:bottom w:w="0" w:type="dxa"/>
                    <w:right w:w="0" w:type="dxa"/>
                  </w:tcMar>
                  <w:vAlign w:val="center"/>
                </w:tcPr>
                <w:p w14:paraId="70C4C6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71.0</w:t>
                  </w:r>
                </w:p>
              </w:tc>
              <w:tc>
                <w:tcPr>
                  <w:tcW w:w="236" w:type="pct"/>
                  <w:shd w:val="clear" w:color="auto" w:fill="auto"/>
                  <w:noWrap w:val="0"/>
                  <w:tcMar>
                    <w:top w:w="0" w:type="dxa"/>
                    <w:left w:w="0" w:type="dxa"/>
                    <w:bottom w:w="0" w:type="dxa"/>
                    <w:right w:w="0" w:type="dxa"/>
                  </w:tcMar>
                  <w:vAlign w:val="center"/>
                </w:tcPr>
                <w:p w14:paraId="79B09D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57842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313408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79" w:type="pct"/>
                  <w:shd w:val="clear" w:color="auto" w:fill="auto"/>
                  <w:noWrap w:val="0"/>
                  <w:tcMar>
                    <w:top w:w="0" w:type="dxa"/>
                    <w:left w:w="0" w:type="dxa"/>
                    <w:bottom w:w="0" w:type="dxa"/>
                    <w:right w:w="0" w:type="dxa"/>
                  </w:tcMar>
                  <w:vAlign w:val="center"/>
                </w:tcPr>
                <w:p w14:paraId="3D0F585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清洗机2</w:t>
                  </w:r>
                </w:p>
              </w:tc>
              <w:tc>
                <w:tcPr>
                  <w:tcW w:w="436" w:type="pct"/>
                  <w:shd w:val="clear" w:color="auto" w:fill="auto"/>
                  <w:noWrap w:val="0"/>
                  <w:tcMar>
                    <w:top w:w="0" w:type="dxa"/>
                    <w:left w:w="0" w:type="dxa"/>
                    <w:bottom w:w="0" w:type="dxa"/>
                    <w:right w:w="0" w:type="dxa"/>
                  </w:tcMar>
                  <w:vAlign w:val="center"/>
                </w:tcPr>
                <w:p w14:paraId="02C360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026D28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2EFD7B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-31.5</w:t>
                  </w:r>
                </w:p>
              </w:tc>
              <w:tc>
                <w:tcPr>
                  <w:tcW w:w="267" w:type="pct"/>
                  <w:shd w:val="clear" w:color="auto" w:fill="auto"/>
                  <w:noWrap w:val="0"/>
                  <w:tcMar>
                    <w:top w:w="0" w:type="dxa"/>
                    <w:left w:w="0" w:type="dxa"/>
                    <w:bottom w:w="0" w:type="dxa"/>
                    <w:right w:w="0" w:type="dxa"/>
                  </w:tcMar>
                  <w:vAlign w:val="center"/>
                </w:tcPr>
                <w:p w14:paraId="02B4C9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w:t>
                  </w:r>
                </w:p>
              </w:tc>
              <w:tc>
                <w:tcPr>
                  <w:tcW w:w="251" w:type="pct"/>
                  <w:shd w:val="clear" w:color="auto" w:fill="auto"/>
                  <w:noWrap w:val="0"/>
                  <w:tcMar>
                    <w:top w:w="0" w:type="dxa"/>
                    <w:left w:w="0" w:type="dxa"/>
                    <w:bottom w:w="0" w:type="dxa"/>
                    <w:right w:w="0" w:type="dxa"/>
                  </w:tcMar>
                  <w:vAlign w:val="center"/>
                </w:tcPr>
                <w:p w14:paraId="208746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407B13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267" w:type="pct"/>
                  <w:shd w:val="clear" w:color="auto" w:fill="auto"/>
                  <w:noWrap w:val="0"/>
                  <w:tcMar>
                    <w:top w:w="0" w:type="dxa"/>
                    <w:left w:w="0" w:type="dxa"/>
                    <w:bottom w:w="0" w:type="dxa"/>
                    <w:right w:w="0" w:type="dxa"/>
                  </w:tcMar>
                  <w:vAlign w:val="center"/>
                </w:tcPr>
                <w:p w14:paraId="1B99A8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w:t>
                  </w:r>
                </w:p>
              </w:tc>
              <w:tc>
                <w:tcPr>
                  <w:tcW w:w="260" w:type="pct"/>
                  <w:shd w:val="clear" w:color="auto" w:fill="auto"/>
                  <w:noWrap w:val="0"/>
                  <w:tcMar>
                    <w:top w:w="0" w:type="dxa"/>
                    <w:left w:w="0" w:type="dxa"/>
                    <w:bottom w:w="0" w:type="dxa"/>
                    <w:right w:w="0" w:type="dxa"/>
                  </w:tcMar>
                  <w:vAlign w:val="center"/>
                </w:tcPr>
                <w:p w14:paraId="01DF7B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74" w:type="pct"/>
                  <w:shd w:val="clear" w:color="auto" w:fill="auto"/>
                  <w:noWrap w:val="0"/>
                  <w:tcMar>
                    <w:top w:w="0" w:type="dxa"/>
                    <w:left w:w="0" w:type="dxa"/>
                    <w:bottom w:w="0" w:type="dxa"/>
                    <w:right w:w="0" w:type="dxa"/>
                  </w:tcMar>
                  <w:vAlign w:val="center"/>
                </w:tcPr>
                <w:p w14:paraId="42AA69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13.9</w:t>
                  </w:r>
                </w:p>
              </w:tc>
              <w:tc>
                <w:tcPr>
                  <w:tcW w:w="274" w:type="pct"/>
                  <w:shd w:val="clear" w:color="auto" w:fill="auto"/>
                  <w:noWrap w:val="0"/>
                  <w:tcMar>
                    <w:top w:w="0" w:type="dxa"/>
                    <w:left w:w="0" w:type="dxa"/>
                    <w:bottom w:w="0" w:type="dxa"/>
                    <w:right w:w="0" w:type="dxa"/>
                  </w:tcMar>
                  <w:vAlign w:val="center"/>
                </w:tcPr>
                <w:p w14:paraId="496BAE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71.0</w:t>
                  </w:r>
                </w:p>
              </w:tc>
              <w:tc>
                <w:tcPr>
                  <w:tcW w:w="267" w:type="pct"/>
                  <w:shd w:val="clear" w:color="auto" w:fill="auto"/>
                  <w:noWrap w:val="0"/>
                  <w:tcMar>
                    <w:top w:w="0" w:type="dxa"/>
                    <w:left w:w="0" w:type="dxa"/>
                    <w:bottom w:w="0" w:type="dxa"/>
                    <w:right w:w="0" w:type="dxa"/>
                  </w:tcMar>
                  <w:vAlign w:val="center"/>
                </w:tcPr>
                <w:p w14:paraId="1A7616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71.0</w:t>
                  </w:r>
                </w:p>
              </w:tc>
              <w:tc>
                <w:tcPr>
                  <w:tcW w:w="267" w:type="pct"/>
                  <w:shd w:val="clear" w:color="auto" w:fill="auto"/>
                  <w:noWrap w:val="0"/>
                  <w:tcMar>
                    <w:top w:w="0" w:type="dxa"/>
                    <w:left w:w="0" w:type="dxa"/>
                    <w:bottom w:w="0" w:type="dxa"/>
                    <w:right w:w="0" w:type="dxa"/>
                  </w:tcMar>
                  <w:vAlign w:val="center"/>
                </w:tcPr>
                <w:p w14:paraId="4632DD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72.8</w:t>
                  </w:r>
                </w:p>
              </w:tc>
              <w:tc>
                <w:tcPr>
                  <w:tcW w:w="304" w:type="pct"/>
                  <w:shd w:val="clear" w:color="auto" w:fill="auto"/>
                  <w:noWrap w:val="0"/>
                  <w:tcMar>
                    <w:top w:w="0" w:type="dxa"/>
                    <w:left w:w="0" w:type="dxa"/>
                    <w:bottom w:w="0" w:type="dxa"/>
                    <w:right w:w="0" w:type="dxa"/>
                  </w:tcMar>
                  <w:vAlign w:val="center"/>
                </w:tcPr>
                <w:p w14:paraId="1707F4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71.0</w:t>
                  </w:r>
                </w:p>
              </w:tc>
              <w:tc>
                <w:tcPr>
                  <w:tcW w:w="236" w:type="pct"/>
                  <w:shd w:val="clear" w:color="auto" w:fill="auto"/>
                  <w:noWrap w:val="0"/>
                  <w:tcMar>
                    <w:top w:w="0" w:type="dxa"/>
                    <w:left w:w="0" w:type="dxa"/>
                    <w:bottom w:w="0" w:type="dxa"/>
                    <w:right w:w="0" w:type="dxa"/>
                  </w:tcMar>
                  <w:vAlign w:val="center"/>
                </w:tcPr>
                <w:p w14:paraId="624786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384FE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593CD3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479" w:type="pct"/>
                  <w:shd w:val="clear" w:color="auto" w:fill="auto"/>
                  <w:noWrap w:val="0"/>
                  <w:tcMar>
                    <w:top w:w="0" w:type="dxa"/>
                    <w:left w:w="0" w:type="dxa"/>
                    <w:bottom w:w="0" w:type="dxa"/>
                    <w:right w:w="0" w:type="dxa"/>
                  </w:tcMar>
                  <w:vAlign w:val="center"/>
                </w:tcPr>
                <w:p w14:paraId="1515A62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玉竹切片机1</w:t>
                  </w:r>
                </w:p>
              </w:tc>
              <w:tc>
                <w:tcPr>
                  <w:tcW w:w="436" w:type="pct"/>
                  <w:shd w:val="clear" w:color="auto" w:fill="auto"/>
                  <w:noWrap w:val="0"/>
                  <w:tcMar>
                    <w:top w:w="0" w:type="dxa"/>
                    <w:left w:w="0" w:type="dxa"/>
                    <w:bottom w:w="0" w:type="dxa"/>
                    <w:right w:w="0" w:type="dxa"/>
                  </w:tcMar>
                  <w:vAlign w:val="center"/>
                </w:tcPr>
                <w:p w14:paraId="06B886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2B3968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41E9DF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267" w:type="pct"/>
                  <w:shd w:val="clear" w:color="auto" w:fill="auto"/>
                  <w:noWrap w:val="0"/>
                  <w:tcMar>
                    <w:top w:w="0" w:type="dxa"/>
                    <w:left w:w="0" w:type="dxa"/>
                    <w:bottom w:w="0" w:type="dxa"/>
                    <w:right w:w="0" w:type="dxa"/>
                  </w:tcMar>
                  <w:vAlign w:val="center"/>
                </w:tcPr>
                <w:p w14:paraId="29EE12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w:t>
                  </w:r>
                </w:p>
              </w:tc>
              <w:tc>
                <w:tcPr>
                  <w:tcW w:w="251" w:type="pct"/>
                  <w:shd w:val="clear" w:color="auto" w:fill="auto"/>
                  <w:noWrap w:val="0"/>
                  <w:tcMar>
                    <w:top w:w="0" w:type="dxa"/>
                    <w:left w:w="0" w:type="dxa"/>
                    <w:bottom w:w="0" w:type="dxa"/>
                    <w:right w:w="0" w:type="dxa"/>
                  </w:tcMar>
                  <w:vAlign w:val="center"/>
                </w:tcPr>
                <w:p w14:paraId="78A6D9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1F0C6A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w:t>
                  </w:r>
                </w:p>
              </w:tc>
              <w:tc>
                <w:tcPr>
                  <w:tcW w:w="267" w:type="pct"/>
                  <w:shd w:val="clear" w:color="auto" w:fill="auto"/>
                  <w:noWrap w:val="0"/>
                  <w:tcMar>
                    <w:top w:w="0" w:type="dxa"/>
                    <w:left w:w="0" w:type="dxa"/>
                    <w:bottom w:w="0" w:type="dxa"/>
                    <w:right w:w="0" w:type="dxa"/>
                  </w:tcMar>
                  <w:vAlign w:val="center"/>
                </w:tcPr>
                <w:p w14:paraId="67D47D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27.5</w:t>
                  </w:r>
                </w:p>
              </w:tc>
              <w:tc>
                <w:tcPr>
                  <w:tcW w:w="260" w:type="pct"/>
                  <w:shd w:val="clear" w:color="auto" w:fill="auto"/>
                  <w:noWrap w:val="0"/>
                  <w:tcMar>
                    <w:top w:w="0" w:type="dxa"/>
                    <w:left w:w="0" w:type="dxa"/>
                    <w:bottom w:w="0" w:type="dxa"/>
                    <w:right w:w="0" w:type="dxa"/>
                  </w:tcMar>
                  <w:vAlign w:val="center"/>
                </w:tcPr>
                <w:p w14:paraId="5F935A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274" w:type="pct"/>
                  <w:shd w:val="clear" w:color="auto" w:fill="auto"/>
                  <w:noWrap w:val="0"/>
                  <w:tcMar>
                    <w:top w:w="0" w:type="dxa"/>
                    <w:left w:w="0" w:type="dxa"/>
                    <w:bottom w:w="0" w:type="dxa"/>
                    <w:right w:w="0" w:type="dxa"/>
                  </w:tcMar>
                  <w:vAlign w:val="center"/>
                </w:tcPr>
                <w:p w14:paraId="3E071F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16.3</w:t>
                  </w:r>
                </w:p>
              </w:tc>
              <w:tc>
                <w:tcPr>
                  <w:tcW w:w="274" w:type="pct"/>
                  <w:shd w:val="clear" w:color="auto" w:fill="auto"/>
                  <w:noWrap w:val="0"/>
                  <w:tcMar>
                    <w:top w:w="0" w:type="dxa"/>
                    <w:left w:w="0" w:type="dxa"/>
                    <w:bottom w:w="0" w:type="dxa"/>
                    <w:right w:w="0" w:type="dxa"/>
                  </w:tcMar>
                  <w:vAlign w:val="center"/>
                </w:tcPr>
                <w:p w14:paraId="342E0C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52B6F1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52E0C1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68.2</w:t>
                  </w:r>
                </w:p>
              </w:tc>
              <w:tc>
                <w:tcPr>
                  <w:tcW w:w="304" w:type="pct"/>
                  <w:shd w:val="clear" w:color="auto" w:fill="auto"/>
                  <w:noWrap w:val="0"/>
                  <w:tcMar>
                    <w:top w:w="0" w:type="dxa"/>
                    <w:left w:w="0" w:type="dxa"/>
                    <w:bottom w:w="0" w:type="dxa"/>
                    <w:right w:w="0" w:type="dxa"/>
                  </w:tcMar>
                  <w:vAlign w:val="center"/>
                </w:tcPr>
                <w:p w14:paraId="644E4A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05477C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28136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61C4A9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479" w:type="pct"/>
                  <w:shd w:val="clear" w:color="auto" w:fill="auto"/>
                  <w:noWrap w:val="0"/>
                  <w:tcMar>
                    <w:top w:w="0" w:type="dxa"/>
                    <w:left w:w="0" w:type="dxa"/>
                    <w:bottom w:w="0" w:type="dxa"/>
                    <w:right w:w="0" w:type="dxa"/>
                  </w:tcMar>
                  <w:vAlign w:val="center"/>
                </w:tcPr>
                <w:p w14:paraId="58D3D35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玉竹切片机</w:t>
                  </w:r>
                </w:p>
              </w:tc>
              <w:tc>
                <w:tcPr>
                  <w:tcW w:w="436" w:type="pct"/>
                  <w:shd w:val="clear" w:color="auto" w:fill="auto"/>
                  <w:noWrap w:val="0"/>
                  <w:tcMar>
                    <w:top w:w="0" w:type="dxa"/>
                    <w:left w:w="0" w:type="dxa"/>
                    <w:bottom w:w="0" w:type="dxa"/>
                    <w:right w:w="0" w:type="dxa"/>
                  </w:tcMar>
                  <w:vAlign w:val="center"/>
                </w:tcPr>
                <w:p w14:paraId="1F628B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1BC0F1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4B82E4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267" w:type="pct"/>
                  <w:shd w:val="clear" w:color="auto" w:fill="auto"/>
                  <w:noWrap w:val="0"/>
                  <w:tcMar>
                    <w:top w:w="0" w:type="dxa"/>
                    <w:left w:w="0" w:type="dxa"/>
                    <w:bottom w:w="0" w:type="dxa"/>
                    <w:right w:w="0" w:type="dxa"/>
                  </w:tcMar>
                  <w:vAlign w:val="center"/>
                </w:tcPr>
                <w:p w14:paraId="450908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251" w:type="pct"/>
                  <w:shd w:val="clear" w:color="auto" w:fill="auto"/>
                  <w:noWrap w:val="0"/>
                  <w:tcMar>
                    <w:top w:w="0" w:type="dxa"/>
                    <w:left w:w="0" w:type="dxa"/>
                    <w:bottom w:w="0" w:type="dxa"/>
                    <w:right w:w="0" w:type="dxa"/>
                  </w:tcMar>
                  <w:vAlign w:val="center"/>
                </w:tcPr>
                <w:p w14:paraId="60DE60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7FFF79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21.0</w:t>
                  </w:r>
                </w:p>
              </w:tc>
              <w:tc>
                <w:tcPr>
                  <w:tcW w:w="267" w:type="pct"/>
                  <w:shd w:val="clear" w:color="auto" w:fill="auto"/>
                  <w:noWrap w:val="0"/>
                  <w:tcMar>
                    <w:top w:w="0" w:type="dxa"/>
                    <w:left w:w="0" w:type="dxa"/>
                    <w:bottom w:w="0" w:type="dxa"/>
                    <w:right w:w="0" w:type="dxa"/>
                  </w:tcMar>
                  <w:vAlign w:val="center"/>
                </w:tcPr>
                <w:p w14:paraId="7FDC9E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27.7</w:t>
                  </w:r>
                </w:p>
              </w:tc>
              <w:tc>
                <w:tcPr>
                  <w:tcW w:w="260" w:type="pct"/>
                  <w:shd w:val="clear" w:color="auto" w:fill="auto"/>
                  <w:noWrap w:val="0"/>
                  <w:tcMar>
                    <w:top w:w="0" w:type="dxa"/>
                    <w:left w:w="0" w:type="dxa"/>
                    <w:bottom w:w="0" w:type="dxa"/>
                    <w:right w:w="0" w:type="dxa"/>
                  </w:tcMar>
                  <w:vAlign w:val="center"/>
                </w:tcPr>
                <w:p w14:paraId="3FFE2E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274" w:type="pct"/>
                  <w:shd w:val="clear" w:color="auto" w:fill="auto"/>
                  <w:noWrap w:val="0"/>
                  <w:tcMar>
                    <w:top w:w="0" w:type="dxa"/>
                    <w:left w:w="0" w:type="dxa"/>
                    <w:bottom w:w="0" w:type="dxa"/>
                    <w:right w:w="0" w:type="dxa"/>
                  </w:tcMar>
                  <w:vAlign w:val="center"/>
                </w:tcPr>
                <w:p w14:paraId="4CF031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16.2</w:t>
                  </w:r>
                </w:p>
              </w:tc>
              <w:tc>
                <w:tcPr>
                  <w:tcW w:w="274" w:type="pct"/>
                  <w:shd w:val="clear" w:color="auto" w:fill="auto"/>
                  <w:noWrap w:val="0"/>
                  <w:tcMar>
                    <w:top w:w="0" w:type="dxa"/>
                    <w:left w:w="0" w:type="dxa"/>
                    <w:bottom w:w="0" w:type="dxa"/>
                    <w:right w:w="0" w:type="dxa"/>
                  </w:tcMar>
                  <w:vAlign w:val="center"/>
                </w:tcPr>
                <w:p w14:paraId="02140DB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551946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3CAFA4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66.7</w:t>
                  </w:r>
                </w:p>
              </w:tc>
              <w:tc>
                <w:tcPr>
                  <w:tcW w:w="304" w:type="pct"/>
                  <w:shd w:val="clear" w:color="auto" w:fill="auto"/>
                  <w:noWrap w:val="0"/>
                  <w:tcMar>
                    <w:top w:w="0" w:type="dxa"/>
                    <w:left w:w="0" w:type="dxa"/>
                    <w:bottom w:w="0" w:type="dxa"/>
                    <w:right w:w="0" w:type="dxa"/>
                  </w:tcMar>
                  <w:vAlign w:val="center"/>
                </w:tcPr>
                <w:p w14:paraId="0800E5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2B91A1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27663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0EBAB2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479" w:type="pct"/>
                  <w:shd w:val="clear" w:color="auto" w:fill="auto"/>
                  <w:noWrap w:val="0"/>
                  <w:tcMar>
                    <w:top w:w="0" w:type="dxa"/>
                    <w:left w:w="0" w:type="dxa"/>
                    <w:bottom w:w="0" w:type="dxa"/>
                    <w:right w:w="0" w:type="dxa"/>
                  </w:tcMar>
                  <w:vAlign w:val="center"/>
                </w:tcPr>
                <w:p w14:paraId="7FC80F3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玉竹切片机3</w:t>
                  </w:r>
                </w:p>
              </w:tc>
              <w:tc>
                <w:tcPr>
                  <w:tcW w:w="436" w:type="pct"/>
                  <w:shd w:val="clear" w:color="auto" w:fill="auto"/>
                  <w:noWrap w:val="0"/>
                  <w:tcMar>
                    <w:top w:w="0" w:type="dxa"/>
                    <w:left w:w="0" w:type="dxa"/>
                    <w:bottom w:w="0" w:type="dxa"/>
                    <w:right w:w="0" w:type="dxa"/>
                  </w:tcMar>
                  <w:vAlign w:val="center"/>
                </w:tcPr>
                <w:p w14:paraId="4B57FC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28BC51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2BE9FF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w:t>
                  </w:r>
                </w:p>
              </w:tc>
              <w:tc>
                <w:tcPr>
                  <w:tcW w:w="267" w:type="pct"/>
                  <w:shd w:val="clear" w:color="auto" w:fill="auto"/>
                  <w:noWrap w:val="0"/>
                  <w:tcMar>
                    <w:top w:w="0" w:type="dxa"/>
                    <w:left w:w="0" w:type="dxa"/>
                    <w:bottom w:w="0" w:type="dxa"/>
                    <w:right w:w="0" w:type="dxa"/>
                  </w:tcMar>
                  <w:vAlign w:val="center"/>
                </w:tcPr>
                <w:p w14:paraId="1B9754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w:t>
                  </w:r>
                </w:p>
              </w:tc>
              <w:tc>
                <w:tcPr>
                  <w:tcW w:w="251" w:type="pct"/>
                  <w:shd w:val="clear" w:color="auto" w:fill="auto"/>
                  <w:noWrap w:val="0"/>
                  <w:tcMar>
                    <w:top w:w="0" w:type="dxa"/>
                    <w:left w:w="0" w:type="dxa"/>
                    <w:bottom w:w="0" w:type="dxa"/>
                    <w:right w:w="0" w:type="dxa"/>
                  </w:tcMar>
                  <w:vAlign w:val="center"/>
                </w:tcPr>
                <w:p w14:paraId="109FC3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496075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19.7</w:t>
                  </w:r>
                </w:p>
              </w:tc>
              <w:tc>
                <w:tcPr>
                  <w:tcW w:w="267" w:type="pct"/>
                  <w:shd w:val="clear" w:color="auto" w:fill="auto"/>
                  <w:noWrap w:val="0"/>
                  <w:tcMar>
                    <w:top w:w="0" w:type="dxa"/>
                    <w:left w:w="0" w:type="dxa"/>
                    <w:bottom w:w="0" w:type="dxa"/>
                    <w:right w:w="0" w:type="dxa"/>
                  </w:tcMar>
                  <w:vAlign w:val="center"/>
                </w:tcPr>
                <w:p w14:paraId="12BE3D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27.7</w:t>
                  </w:r>
                </w:p>
              </w:tc>
              <w:tc>
                <w:tcPr>
                  <w:tcW w:w="260" w:type="pct"/>
                  <w:shd w:val="clear" w:color="auto" w:fill="auto"/>
                  <w:noWrap w:val="0"/>
                  <w:tcMar>
                    <w:top w:w="0" w:type="dxa"/>
                    <w:left w:w="0" w:type="dxa"/>
                    <w:bottom w:w="0" w:type="dxa"/>
                    <w:right w:w="0" w:type="dxa"/>
                  </w:tcMar>
                  <w:vAlign w:val="center"/>
                </w:tcPr>
                <w:p w14:paraId="717F36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274" w:type="pct"/>
                  <w:shd w:val="clear" w:color="auto" w:fill="auto"/>
                  <w:noWrap w:val="0"/>
                  <w:tcMar>
                    <w:top w:w="0" w:type="dxa"/>
                    <w:left w:w="0" w:type="dxa"/>
                    <w:bottom w:w="0" w:type="dxa"/>
                    <w:right w:w="0" w:type="dxa"/>
                  </w:tcMar>
                  <w:vAlign w:val="center"/>
                </w:tcPr>
                <w:p w14:paraId="3B0509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16.2</w:t>
                  </w:r>
                </w:p>
              </w:tc>
              <w:tc>
                <w:tcPr>
                  <w:tcW w:w="274" w:type="pct"/>
                  <w:shd w:val="clear" w:color="auto" w:fill="auto"/>
                  <w:noWrap w:val="0"/>
                  <w:tcMar>
                    <w:top w:w="0" w:type="dxa"/>
                    <w:left w:w="0" w:type="dxa"/>
                    <w:bottom w:w="0" w:type="dxa"/>
                    <w:right w:w="0" w:type="dxa"/>
                  </w:tcMar>
                  <w:vAlign w:val="center"/>
                </w:tcPr>
                <w:p w14:paraId="5726E2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6D0D7B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344B3C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66.3</w:t>
                  </w:r>
                </w:p>
              </w:tc>
              <w:tc>
                <w:tcPr>
                  <w:tcW w:w="304" w:type="pct"/>
                  <w:shd w:val="clear" w:color="auto" w:fill="auto"/>
                  <w:noWrap w:val="0"/>
                  <w:tcMar>
                    <w:top w:w="0" w:type="dxa"/>
                    <w:left w:w="0" w:type="dxa"/>
                    <w:bottom w:w="0" w:type="dxa"/>
                    <w:right w:w="0" w:type="dxa"/>
                  </w:tcMar>
                  <w:vAlign w:val="center"/>
                </w:tcPr>
                <w:p w14:paraId="4A4A03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7932BA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6693D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0C0C4F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479" w:type="pct"/>
                  <w:shd w:val="clear" w:color="auto" w:fill="auto"/>
                  <w:noWrap w:val="0"/>
                  <w:tcMar>
                    <w:top w:w="0" w:type="dxa"/>
                    <w:left w:w="0" w:type="dxa"/>
                    <w:bottom w:w="0" w:type="dxa"/>
                    <w:right w:w="0" w:type="dxa"/>
                  </w:tcMar>
                  <w:vAlign w:val="center"/>
                </w:tcPr>
                <w:p w14:paraId="63BCFF1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玉竹切片机4</w:t>
                  </w:r>
                </w:p>
              </w:tc>
              <w:tc>
                <w:tcPr>
                  <w:tcW w:w="436" w:type="pct"/>
                  <w:shd w:val="clear" w:color="auto" w:fill="auto"/>
                  <w:noWrap w:val="0"/>
                  <w:tcMar>
                    <w:top w:w="0" w:type="dxa"/>
                    <w:left w:w="0" w:type="dxa"/>
                    <w:bottom w:w="0" w:type="dxa"/>
                    <w:right w:w="0" w:type="dxa"/>
                  </w:tcMar>
                  <w:vAlign w:val="center"/>
                </w:tcPr>
                <w:p w14:paraId="0B1963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494DAD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0A141C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267" w:type="pct"/>
                  <w:shd w:val="clear" w:color="auto" w:fill="auto"/>
                  <w:noWrap w:val="0"/>
                  <w:tcMar>
                    <w:top w:w="0" w:type="dxa"/>
                    <w:left w:w="0" w:type="dxa"/>
                    <w:bottom w:w="0" w:type="dxa"/>
                    <w:right w:w="0" w:type="dxa"/>
                  </w:tcMar>
                  <w:vAlign w:val="center"/>
                </w:tcPr>
                <w:p w14:paraId="523211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-13.1</w:t>
                  </w:r>
                </w:p>
              </w:tc>
              <w:tc>
                <w:tcPr>
                  <w:tcW w:w="251" w:type="pct"/>
                  <w:shd w:val="clear" w:color="auto" w:fill="auto"/>
                  <w:noWrap w:val="0"/>
                  <w:tcMar>
                    <w:top w:w="0" w:type="dxa"/>
                    <w:left w:w="0" w:type="dxa"/>
                    <w:bottom w:w="0" w:type="dxa"/>
                    <w:right w:w="0" w:type="dxa"/>
                  </w:tcMar>
                  <w:vAlign w:val="center"/>
                </w:tcPr>
                <w:p w14:paraId="1B1E09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136440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w:t>
                  </w:r>
                </w:p>
              </w:tc>
              <w:tc>
                <w:tcPr>
                  <w:tcW w:w="267" w:type="pct"/>
                  <w:shd w:val="clear" w:color="auto" w:fill="auto"/>
                  <w:noWrap w:val="0"/>
                  <w:tcMar>
                    <w:top w:w="0" w:type="dxa"/>
                    <w:left w:w="0" w:type="dxa"/>
                    <w:bottom w:w="0" w:type="dxa"/>
                    <w:right w:w="0" w:type="dxa"/>
                  </w:tcMar>
                  <w:vAlign w:val="center"/>
                </w:tcPr>
                <w:p w14:paraId="0A83B98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w:t>
                  </w:r>
                </w:p>
              </w:tc>
              <w:tc>
                <w:tcPr>
                  <w:tcW w:w="260" w:type="pct"/>
                  <w:shd w:val="clear" w:color="auto" w:fill="auto"/>
                  <w:noWrap w:val="0"/>
                  <w:tcMar>
                    <w:top w:w="0" w:type="dxa"/>
                    <w:left w:w="0" w:type="dxa"/>
                    <w:bottom w:w="0" w:type="dxa"/>
                    <w:right w:w="0" w:type="dxa"/>
                  </w:tcMar>
                  <w:vAlign w:val="center"/>
                </w:tcPr>
                <w:p w14:paraId="56023D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w:t>
                  </w:r>
                </w:p>
              </w:tc>
              <w:tc>
                <w:tcPr>
                  <w:tcW w:w="274" w:type="pct"/>
                  <w:shd w:val="clear" w:color="auto" w:fill="auto"/>
                  <w:noWrap w:val="0"/>
                  <w:tcMar>
                    <w:top w:w="0" w:type="dxa"/>
                    <w:left w:w="0" w:type="dxa"/>
                    <w:bottom w:w="0" w:type="dxa"/>
                    <w:right w:w="0" w:type="dxa"/>
                  </w:tcMar>
                  <w:vAlign w:val="center"/>
                </w:tcPr>
                <w:p w14:paraId="2061F8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16.3</w:t>
                  </w:r>
                </w:p>
              </w:tc>
              <w:tc>
                <w:tcPr>
                  <w:tcW w:w="274" w:type="pct"/>
                  <w:shd w:val="clear" w:color="auto" w:fill="auto"/>
                  <w:noWrap w:val="0"/>
                  <w:tcMar>
                    <w:top w:w="0" w:type="dxa"/>
                    <w:left w:w="0" w:type="dxa"/>
                    <w:bottom w:w="0" w:type="dxa"/>
                    <w:right w:w="0" w:type="dxa"/>
                  </w:tcMar>
                  <w:vAlign w:val="center"/>
                </w:tcPr>
                <w:p w14:paraId="4ED436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75A3A3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3727AF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66.1</w:t>
                  </w:r>
                </w:p>
              </w:tc>
              <w:tc>
                <w:tcPr>
                  <w:tcW w:w="304" w:type="pct"/>
                  <w:shd w:val="clear" w:color="auto" w:fill="auto"/>
                  <w:noWrap w:val="0"/>
                  <w:tcMar>
                    <w:top w:w="0" w:type="dxa"/>
                    <w:left w:w="0" w:type="dxa"/>
                    <w:bottom w:w="0" w:type="dxa"/>
                    <w:right w:w="0" w:type="dxa"/>
                  </w:tcMar>
                  <w:vAlign w:val="center"/>
                </w:tcPr>
                <w:p w14:paraId="143272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0A3577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535344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0A4223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479" w:type="pct"/>
                  <w:shd w:val="clear" w:color="auto" w:fill="auto"/>
                  <w:noWrap w:val="0"/>
                  <w:tcMar>
                    <w:top w:w="0" w:type="dxa"/>
                    <w:left w:w="0" w:type="dxa"/>
                    <w:bottom w:w="0" w:type="dxa"/>
                    <w:right w:w="0" w:type="dxa"/>
                  </w:tcMar>
                  <w:vAlign w:val="center"/>
                </w:tcPr>
                <w:p w14:paraId="1801350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玉竹切片机5</w:t>
                  </w:r>
                </w:p>
              </w:tc>
              <w:tc>
                <w:tcPr>
                  <w:tcW w:w="436" w:type="pct"/>
                  <w:shd w:val="clear" w:color="auto" w:fill="auto"/>
                  <w:noWrap w:val="0"/>
                  <w:tcMar>
                    <w:top w:w="0" w:type="dxa"/>
                    <w:left w:w="0" w:type="dxa"/>
                    <w:bottom w:w="0" w:type="dxa"/>
                    <w:right w:w="0" w:type="dxa"/>
                  </w:tcMar>
                  <w:vAlign w:val="center"/>
                </w:tcPr>
                <w:p w14:paraId="4050B1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0CCE95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1F83D2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267" w:type="pct"/>
                  <w:shd w:val="clear" w:color="auto" w:fill="auto"/>
                  <w:noWrap w:val="0"/>
                  <w:tcMar>
                    <w:top w:w="0" w:type="dxa"/>
                    <w:left w:w="0" w:type="dxa"/>
                    <w:bottom w:w="0" w:type="dxa"/>
                    <w:right w:w="0" w:type="dxa"/>
                  </w:tcMar>
                  <w:vAlign w:val="center"/>
                </w:tcPr>
                <w:p w14:paraId="2DCA33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w:t>
                  </w:r>
                </w:p>
              </w:tc>
              <w:tc>
                <w:tcPr>
                  <w:tcW w:w="251" w:type="pct"/>
                  <w:shd w:val="clear" w:color="auto" w:fill="auto"/>
                  <w:noWrap w:val="0"/>
                  <w:tcMar>
                    <w:top w:w="0" w:type="dxa"/>
                    <w:left w:w="0" w:type="dxa"/>
                    <w:bottom w:w="0" w:type="dxa"/>
                    <w:right w:w="0" w:type="dxa"/>
                  </w:tcMar>
                  <w:vAlign w:val="center"/>
                </w:tcPr>
                <w:p w14:paraId="640C9E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7E35C6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w:t>
                  </w:r>
                </w:p>
              </w:tc>
              <w:tc>
                <w:tcPr>
                  <w:tcW w:w="267" w:type="pct"/>
                  <w:shd w:val="clear" w:color="auto" w:fill="auto"/>
                  <w:noWrap w:val="0"/>
                  <w:tcMar>
                    <w:top w:w="0" w:type="dxa"/>
                    <w:left w:w="0" w:type="dxa"/>
                    <w:bottom w:w="0" w:type="dxa"/>
                    <w:right w:w="0" w:type="dxa"/>
                  </w:tcMar>
                  <w:vAlign w:val="center"/>
                </w:tcPr>
                <w:p w14:paraId="68E01F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24.7</w:t>
                  </w:r>
                </w:p>
              </w:tc>
              <w:tc>
                <w:tcPr>
                  <w:tcW w:w="260" w:type="pct"/>
                  <w:shd w:val="clear" w:color="auto" w:fill="auto"/>
                  <w:noWrap w:val="0"/>
                  <w:tcMar>
                    <w:top w:w="0" w:type="dxa"/>
                    <w:left w:w="0" w:type="dxa"/>
                    <w:bottom w:w="0" w:type="dxa"/>
                    <w:right w:w="0" w:type="dxa"/>
                  </w:tcMar>
                  <w:vAlign w:val="center"/>
                </w:tcPr>
                <w:p w14:paraId="5FF814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274" w:type="pct"/>
                  <w:shd w:val="clear" w:color="auto" w:fill="auto"/>
                  <w:noWrap w:val="0"/>
                  <w:tcMar>
                    <w:top w:w="0" w:type="dxa"/>
                    <w:left w:w="0" w:type="dxa"/>
                    <w:bottom w:w="0" w:type="dxa"/>
                    <w:right w:w="0" w:type="dxa"/>
                  </w:tcMar>
                  <w:vAlign w:val="center"/>
                </w:tcPr>
                <w:p w14:paraId="36665A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19.2</w:t>
                  </w:r>
                </w:p>
              </w:tc>
              <w:tc>
                <w:tcPr>
                  <w:tcW w:w="274" w:type="pct"/>
                  <w:shd w:val="clear" w:color="auto" w:fill="auto"/>
                  <w:noWrap w:val="0"/>
                  <w:tcMar>
                    <w:top w:w="0" w:type="dxa"/>
                    <w:left w:w="0" w:type="dxa"/>
                    <w:bottom w:w="0" w:type="dxa"/>
                    <w:right w:w="0" w:type="dxa"/>
                  </w:tcMar>
                  <w:vAlign w:val="center"/>
                </w:tcPr>
                <w:p w14:paraId="298E19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65A122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5BBC10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66.1</w:t>
                  </w:r>
                </w:p>
              </w:tc>
              <w:tc>
                <w:tcPr>
                  <w:tcW w:w="304" w:type="pct"/>
                  <w:shd w:val="clear" w:color="auto" w:fill="auto"/>
                  <w:noWrap w:val="0"/>
                  <w:tcMar>
                    <w:top w:w="0" w:type="dxa"/>
                    <w:left w:w="0" w:type="dxa"/>
                    <w:bottom w:w="0" w:type="dxa"/>
                    <w:right w:w="0" w:type="dxa"/>
                  </w:tcMar>
                  <w:vAlign w:val="center"/>
                </w:tcPr>
                <w:p w14:paraId="76BD1B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1BDA7C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241C4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3AFF6F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479" w:type="pct"/>
                  <w:shd w:val="clear" w:color="auto" w:fill="auto"/>
                  <w:noWrap w:val="0"/>
                  <w:tcMar>
                    <w:top w:w="0" w:type="dxa"/>
                    <w:left w:w="0" w:type="dxa"/>
                    <w:bottom w:w="0" w:type="dxa"/>
                    <w:right w:w="0" w:type="dxa"/>
                  </w:tcMar>
                  <w:vAlign w:val="center"/>
                </w:tcPr>
                <w:p w14:paraId="0DEB7B4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玉竹切片机6</w:t>
                  </w:r>
                </w:p>
              </w:tc>
              <w:tc>
                <w:tcPr>
                  <w:tcW w:w="436" w:type="pct"/>
                  <w:shd w:val="clear" w:color="auto" w:fill="auto"/>
                  <w:noWrap w:val="0"/>
                  <w:tcMar>
                    <w:top w:w="0" w:type="dxa"/>
                    <w:left w:w="0" w:type="dxa"/>
                    <w:bottom w:w="0" w:type="dxa"/>
                    <w:right w:w="0" w:type="dxa"/>
                  </w:tcMar>
                  <w:vAlign w:val="center"/>
                </w:tcPr>
                <w:p w14:paraId="0AE4F1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41A013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3FA01A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67" w:type="pct"/>
                  <w:shd w:val="clear" w:color="auto" w:fill="auto"/>
                  <w:noWrap w:val="0"/>
                  <w:tcMar>
                    <w:top w:w="0" w:type="dxa"/>
                    <w:left w:w="0" w:type="dxa"/>
                    <w:bottom w:w="0" w:type="dxa"/>
                    <w:right w:w="0" w:type="dxa"/>
                  </w:tcMar>
                  <w:vAlign w:val="center"/>
                </w:tcPr>
                <w:p w14:paraId="6DCB22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-16.2</w:t>
                  </w:r>
                </w:p>
              </w:tc>
              <w:tc>
                <w:tcPr>
                  <w:tcW w:w="251" w:type="pct"/>
                  <w:shd w:val="clear" w:color="auto" w:fill="auto"/>
                  <w:noWrap w:val="0"/>
                  <w:tcMar>
                    <w:top w:w="0" w:type="dxa"/>
                    <w:left w:w="0" w:type="dxa"/>
                    <w:bottom w:w="0" w:type="dxa"/>
                    <w:right w:w="0" w:type="dxa"/>
                  </w:tcMar>
                  <w:vAlign w:val="center"/>
                </w:tcPr>
                <w:p w14:paraId="392898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0DD782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19.7</w:t>
                  </w:r>
                </w:p>
              </w:tc>
              <w:tc>
                <w:tcPr>
                  <w:tcW w:w="267" w:type="pct"/>
                  <w:shd w:val="clear" w:color="auto" w:fill="auto"/>
                  <w:noWrap w:val="0"/>
                  <w:tcMar>
                    <w:top w:w="0" w:type="dxa"/>
                    <w:left w:w="0" w:type="dxa"/>
                    <w:bottom w:w="0" w:type="dxa"/>
                    <w:right w:w="0" w:type="dxa"/>
                  </w:tcMar>
                  <w:vAlign w:val="center"/>
                </w:tcPr>
                <w:p w14:paraId="56CFD1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24.7</w:t>
                  </w:r>
                </w:p>
              </w:tc>
              <w:tc>
                <w:tcPr>
                  <w:tcW w:w="260" w:type="pct"/>
                  <w:shd w:val="clear" w:color="auto" w:fill="auto"/>
                  <w:noWrap w:val="0"/>
                  <w:tcMar>
                    <w:top w:w="0" w:type="dxa"/>
                    <w:left w:w="0" w:type="dxa"/>
                    <w:bottom w:w="0" w:type="dxa"/>
                    <w:right w:w="0" w:type="dxa"/>
                  </w:tcMar>
                  <w:vAlign w:val="center"/>
                </w:tcPr>
                <w:p w14:paraId="251CFA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w:t>
                  </w:r>
                </w:p>
              </w:tc>
              <w:tc>
                <w:tcPr>
                  <w:tcW w:w="274" w:type="pct"/>
                  <w:shd w:val="clear" w:color="auto" w:fill="auto"/>
                  <w:noWrap w:val="0"/>
                  <w:tcMar>
                    <w:top w:w="0" w:type="dxa"/>
                    <w:left w:w="0" w:type="dxa"/>
                    <w:bottom w:w="0" w:type="dxa"/>
                    <w:right w:w="0" w:type="dxa"/>
                  </w:tcMar>
                  <w:vAlign w:val="center"/>
                </w:tcPr>
                <w:p w14:paraId="5C2358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19.1</w:t>
                  </w:r>
                </w:p>
              </w:tc>
              <w:tc>
                <w:tcPr>
                  <w:tcW w:w="274" w:type="pct"/>
                  <w:shd w:val="clear" w:color="auto" w:fill="auto"/>
                  <w:noWrap w:val="0"/>
                  <w:tcMar>
                    <w:top w:w="0" w:type="dxa"/>
                    <w:left w:w="0" w:type="dxa"/>
                    <w:bottom w:w="0" w:type="dxa"/>
                    <w:right w:w="0" w:type="dxa"/>
                  </w:tcMar>
                  <w:vAlign w:val="center"/>
                </w:tcPr>
                <w:p w14:paraId="6BC388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6C2AD8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3D0A6B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66.3</w:t>
                  </w:r>
                </w:p>
              </w:tc>
              <w:tc>
                <w:tcPr>
                  <w:tcW w:w="304" w:type="pct"/>
                  <w:shd w:val="clear" w:color="auto" w:fill="auto"/>
                  <w:noWrap w:val="0"/>
                  <w:tcMar>
                    <w:top w:w="0" w:type="dxa"/>
                    <w:left w:w="0" w:type="dxa"/>
                    <w:bottom w:w="0" w:type="dxa"/>
                    <w:right w:w="0" w:type="dxa"/>
                  </w:tcMar>
                  <w:vAlign w:val="center"/>
                </w:tcPr>
                <w:p w14:paraId="433CA5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491A75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3940C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5FF77B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479" w:type="pct"/>
                  <w:shd w:val="clear" w:color="auto" w:fill="auto"/>
                  <w:noWrap w:val="0"/>
                  <w:tcMar>
                    <w:top w:w="0" w:type="dxa"/>
                    <w:left w:w="0" w:type="dxa"/>
                    <w:bottom w:w="0" w:type="dxa"/>
                    <w:right w:w="0" w:type="dxa"/>
                  </w:tcMar>
                  <w:vAlign w:val="center"/>
                </w:tcPr>
                <w:p w14:paraId="264DCEA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玉竹切片机7</w:t>
                  </w:r>
                </w:p>
              </w:tc>
              <w:tc>
                <w:tcPr>
                  <w:tcW w:w="436" w:type="pct"/>
                  <w:shd w:val="clear" w:color="auto" w:fill="auto"/>
                  <w:noWrap w:val="0"/>
                  <w:tcMar>
                    <w:top w:w="0" w:type="dxa"/>
                    <w:left w:w="0" w:type="dxa"/>
                    <w:bottom w:w="0" w:type="dxa"/>
                    <w:right w:w="0" w:type="dxa"/>
                  </w:tcMar>
                  <w:vAlign w:val="center"/>
                </w:tcPr>
                <w:p w14:paraId="2FB8A8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7101F0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6486FD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267" w:type="pct"/>
                  <w:shd w:val="clear" w:color="auto" w:fill="auto"/>
                  <w:noWrap w:val="0"/>
                  <w:tcMar>
                    <w:top w:w="0" w:type="dxa"/>
                    <w:left w:w="0" w:type="dxa"/>
                    <w:bottom w:w="0" w:type="dxa"/>
                    <w:right w:w="0" w:type="dxa"/>
                  </w:tcMar>
                  <w:vAlign w:val="center"/>
                </w:tcPr>
                <w:p w14:paraId="7A7D44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w:t>
                  </w:r>
                </w:p>
              </w:tc>
              <w:tc>
                <w:tcPr>
                  <w:tcW w:w="251" w:type="pct"/>
                  <w:shd w:val="clear" w:color="auto" w:fill="auto"/>
                  <w:noWrap w:val="0"/>
                  <w:tcMar>
                    <w:top w:w="0" w:type="dxa"/>
                    <w:left w:w="0" w:type="dxa"/>
                    <w:bottom w:w="0" w:type="dxa"/>
                    <w:right w:w="0" w:type="dxa"/>
                  </w:tcMar>
                  <w:vAlign w:val="center"/>
                </w:tcPr>
                <w:p w14:paraId="5D845D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5DCDAE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21.0</w:t>
                  </w:r>
                </w:p>
              </w:tc>
              <w:tc>
                <w:tcPr>
                  <w:tcW w:w="267" w:type="pct"/>
                  <w:shd w:val="clear" w:color="auto" w:fill="auto"/>
                  <w:noWrap w:val="0"/>
                  <w:tcMar>
                    <w:top w:w="0" w:type="dxa"/>
                    <w:left w:w="0" w:type="dxa"/>
                    <w:bottom w:w="0" w:type="dxa"/>
                    <w:right w:w="0" w:type="dxa"/>
                  </w:tcMar>
                  <w:vAlign w:val="center"/>
                </w:tcPr>
                <w:p w14:paraId="6298E1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260" w:type="pct"/>
                  <w:shd w:val="clear" w:color="auto" w:fill="auto"/>
                  <w:noWrap w:val="0"/>
                  <w:tcMar>
                    <w:top w:w="0" w:type="dxa"/>
                    <w:left w:w="0" w:type="dxa"/>
                    <w:bottom w:w="0" w:type="dxa"/>
                    <w:right w:w="0" w:type="dxa"/>
                  </w:tcMar>
                  <w:vAlign w:val="center"/>
                </w:tcPr>
                <w:p w14:paraId="5CED30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w:t>
                  </w:r>
                </w:p>
              </w:tc>
              <w:tc>
                <w:tcPr>
                  <w:tcW w:w="274" w:type="pct"/>
                  <w:shd w:val="clear" w:color="auto" w:fill="auto"/>
                  <w:noWrap w:val="0"/>
                  <w:tcMar>
                    <w:top w:w="0" w:type="dxa"/>
                    <w:left w:w="0" w:type="dxa"/>
                    <w:bottom w:w="0" w:type="dxa"/>
                    <w:right w:w="0" w:type="dxa"/>
                  </w:tcMar>
                  <w:vAlign w:val="center"/>
                </w:tcPr>
                <w:p w14:paraId="70ED11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18.9</w:t>
                  </w:r>
                </w:p>
              </w:tc>
              <w:tc>
                <w:tcPr>
                  <w:tcW w:w="274" w:type="pct"/>
                  <w:shd w:val="clear" w:color="auto" w:fill="auto"/>
                  <w:noWrap w:val="0"/>
                  <w:tcMar>
                    <w:top w:w="0" w:type="dxa"/>
                    <w:left w:w="0" w:type="dxa"/>
                    <w:bottom w:w="0" w:type="dxa"/>
                    <w:right w:w="0" w:type="dxa"/>
                  </w:tcMar>
                  <w:vAlign w:val="center"/>
                </w:tcPr>
                <w:p w14:paraId="36446F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49859B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1EB59DE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66.7</w:t>
                  </w:r>
                </w:p>
              </w:tc>
              <w:tc>
                <w:tcPr>
                  <w:tcW w:w="304" w:type="pct"/>
                  <w:shd w:val="clear" w:color="auto" w:fill="auto"/>
                  <w:noWrap w:val="0"/>
                  <w:tcMar>
                    <w:top w:w="0" w:type="dxa"/>
                    <w:left w:w="0" w:type="dxa"/>
                    <w:bottom w:w="0" w:type="dxa"/>
                    <w:right w:w="0" w:type="dxa"/>
                  </w:tcMar>
                  <w:vAlign w:val="center"/>
                </w:tcPr>
                <w:p w14:paraId="44D774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297289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21678A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6B4399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79" w:type="pct"/>
                  <w:shd w:val="clear" w:color="auto" w:fill="auto"/>
                  <w:noWrap w:val="0"/>
                  <w:tcMar>
                    <w:top w:w="0" w:type="dxa"/>
                    <w:left w:w="0" w:type="dxa"/>
                    <w:bottom w:w="0" w:type="dxa"/>
                    <w:right w:w="0" w:type="dxa"/>
                  </w:tcMar>
                  <w:vAlign w:val="center"/>
                </w:tcPr>
                <w:p w14:paraId="29C7627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玉竹切片机8</w:t>
                  </w:r>
                </w:p>
              </w:tc>
              <w:tc>
                <w:tcPr>
                  <w:tcW w:w="436" w:type="pct"/>
                  <w:shd w:val="clear" w:color="auto" w:fill="auto"/>
                  <w:noWrap w:val="0"/>
                  <w:tcMar>
                    <w:top w:w="0" w:type="dxa"/>
                    <w:left w:w="0" w:type="dxa"/>
                    <w:bottom w:w="0" w:type="dxa"/>
                    <w:right w:w="0" w:type="dxa"/>
                  </w:tcMar>
                  <w:vAlign w:val="center"/>
                </w:tcPr>
                <w:p w14:paraId="60FFC0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3B90DB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49D439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267" w:type="pct"/>
                  <w:shd w:val="clear" w:color="auto" w:fill="auto"/>
                  <w:noWrap w:val="0"/>
                  <w:tcMar>
                    <w:top w:w="0" w:type="dxa"/>
                    <w:left w:w="0" w:type="dxa"/>
                    <w:bottom w:w="0" w:type="dxa"/>
                    <w:right w:w="0" w:type="dxa"/>
                  </w:tcMar>
                  <w:vAlign w:val="center"/>
                </w:tcPr>
                <w:p w14:paraId="12EDE0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-16.9</w:t>
                  </w:r>
                </w:p>
              </w:tc>
              <w:tc>
                <w:tcPr>
                  <w:tcW w:w="251" w:type="pct"/>
                  <w:shd w:val="clear" w:color="auto" w:fill="auto"/>
                  <w:noWrap w:val="0"/>
                  <w:tcMar>
                    <w:top w:w="0" w:type="dxa"/>
                    <w:left w:w="0" w:type="dxa"/>
                    <w:bottom w:w="0" w:type="dxa"/>
                    <w:right w:w="0" w:type="dxa"/>
                  </w:tcMar>
                  <w:vAlign w:val="center"/>
                </w:tcPr>
                <w:p w14:paraId="6D1F1E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39E958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22.6</w:t>
                  </w:r>
                </w:p>
              </w:tc>
              <w:tc>
                <w:tcPr>
                  <w:tcW w:w="267" w:type="pct"/>
                  <w:shd w:val="clear" w:color="auto" w:fill="auto"/>
                  <w:noWrap w:val="0"/>
                  <w:tcMar>
                    <w:top w:w="0" w:type="dxa"/>
                    <w:left w:w="0" w:type="dxa"/>
                    <w:bottom w:w="0" w:type="dxa"/>
                    <w:right w:w="0" w:type="dxa"/>
                  </w:tcMar>
                  <w:vAlign w:val="center"/>
                </w:tcPr>
                <w:p w14:paraId="1AD49F7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25.2</w:t>
                  </w:r>
                </w:p>
              </w:tc>
              <w:tc>
                <w:tcPr>
                  <w:tcW w:w="260" w:type="pct"/>
                  <w:shd w:val="clear" w:color="auto" w:fill="auto"/>
                  <w:noWrap w:val="0"/>
                  <w:tcMar>
                    <w:top w:w="0" w:type="dxa"/>
                    <w:left w:w="0" w:type="dxa"/>
                    <w:bottom w:w="0" w:type="dxa"/>
                    <w:right w:w="0" w:type="dxa"/>
                  </w:tcMar>
                  <w:vAlign w:val="center"/>
                </w:tcPr>
                <w:p w14:paraId="64F6E5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274" w:type="pct"/>
                  <w:shd w:val="clear" w:color="auto" w:fill="auto"/>
                  <w:noWrap w:val="0"/>
                  <w:tcMar>
                    <w:top w:w="0" w:type="dxa"/>
                    <w:left w:w="0" w:type="dxa"/>
                    <w:bottom w:w="0" w:type="dxa"/>
                    <w:right w:w="0" w:type="dxa"/>
                  </w:tcMar>
                  <w:vAlign w:val="center"/>
                </w:tcPr>
                <w:p w14:paraId="7E9DB4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18.6</w:t>
                  </w:r>
                </w:p>
              </w:tc>
              <w:tc>
                <w:tcPr>
                  <w:tcW w:w="274" w:type="pct"/>
                  <w:shd w:val="clear" w:color="auto" w:fill="auto"/>
                  <w:noWrap w:val="0"/>
                  <w:tcMar>
                    <w:top w:w="0" w:type="dxa"/>
                    <w:left w:w="0" w:type="dxa"/>
                    <w:bottom w:w="0" w:type="dxa"/>
                    <w:right w:w="0" w:type="dxa"/>
                  </w:tcMar>
                  <w:vAlign w:val="center"/>
                </w:tcPr>
                <w:p w14:paraId="05617E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666DA6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73F4ED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68.7</w:t>
                  </w:r>
                </w:p>
              </w:tc>
              <w:tc>
                <w:tcPr>
                  <w:tcW w:w="304" w:type="pct"/>
                  <w:shd w:val="clear" w:color="auto" w:fill="auto"/>
                  <w:noWrap w:val="0"/>
                  <w:tcMar>
                    <w:top w:w="0" w:type="dxa"/>
                    <w:left w:w="0" w:type="dxa"/>
                    <w:bottom w:w="0" w:type="dxa"/>
                    <w:right w:w="0" w:type="dxa"/>
                  </w:tcMar>
                  <w:vAlign w:val="center"/>
                </w:tcPr>
                <w:p w14:paraId="5D9DE6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72DD29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58409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71D89D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479" w:type="pct"/>
                  <w:shd w:val="clear" w:color="auto" w:fill="auto"/>
                  <w:noWrap w:val="0"/>
                  <w:tcMar>
                    <w:top w:w="0" w:type="dxa"/>
                    <w:left w:w="0" w:type="dxa"/>
                    <w:bottom w:w="0" w:type="dxa"/>
                    <w:right w:w="0" w:type="dxa"/>
                  </w:tcMar>
                  <w:vAlign w:val="center"/>
                </w:tcPr>
                <w:p w14:paraId="79FE5A0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切药机1</w:t>
                  </w:r>
                </w:p>
              </w:tc>
              <w:tc>
                <w:tcPr>
                  <w:tcW w:w="436" w:type="pct"/>
                  <w:shd w:val="clear" w:color="auto" w:fill="auto"/>
                  <w:noWrap w:val="0"/>
                  <w:tcMar>
                    <w:top w:w="0" w:type="dxa"/>
                    <w:left w:w="0" w:type="dxa"/>
                    <w:bottom w:w="0" w:type="dxa"/>
                    <w:right w:w="0" w:type="dxa"/>
                  </w:tcMar>
                  <w:vAlign w:val="center"/>
                </w:tcPr>
                <w:p w14:paraId="13C9A6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26C49F1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3BB5CD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267" w:type="pct"/>
                  <w:shd w:val="clear" w:color="auto" w:fill="auto"/>
                  <w:noWrap w:val="0"/>
                  <w:tcMar>
                    <w:top w:w="0" w:type="dxa"/>
                    <w:left w:w="0" w:type="dxa"/>
                    <w:bottom w:w="0" w:type="dxa"/>
                    <w:right w:w="0" w:type="dxa"/>
                  </w:tcMar>
                  <w:vAlign w:val="center"/>
                </w:tcPr>
                <w:p w14:paraId="4BB9C0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w:t>
                  </w:r>
                </w:p>
              </w:tc>
              <w:tc>
                <w:tcPr>
                  <w:tcW w:w="251" w:type="pct"/>
                  <w:shd w:val="clear" w:color="auto" w:fill="auto"/>
                  <w:noWrap w:val="0"/>
                  <w:tcMar>
                    <w:top w:w="0" w:type="dxa"/>
                    <w:left w:w="0" w:type="dxa"/>
                    <w:bottom w:w="0" w:type="dxa"/>
                    <w:right w:w="0" w:type="dxa"/>
                  </w:tcMar>
                  <w:vAlign w:val="center"/>
                </w:tcPr>
                <w:p w14:paraId="57F530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267" w:type="pct"/>
                  <w:shd w:val="clear" w:color="auto" w:fill="auto"/>
                  <w:noWrap w:val="0"/>
                  <w:tcMar>
                    <w:top w:w="0" w:type="dxa"/>
                    <w:left w:w="0" w:type="dxa"/>
                    <w:bottom w:w="0" w:type="dxa"/>
                    <w:right w:w="0" w:type="dxa"/>
                  </w:tcMar>
                  <w:vAlign w:val="center"/>
                </w:tcPr>
                <w:p w14:paraId="0A2330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20.5</w:t>
                  </w:r>
                </w:p>
              </w:tc>
              <w:tc>
                <w:tcPr>
                  <w:tcW w:w="267" w:type="pct"/>
                  <w:shd w:val="clear" w:color="auto" w:fill="auto"/>
                  <w:noWrap w:val="0"/>
                  <w:tcMar>
                    <w:top w:w="0" w:type="dxa"/>
                    <w:left w:w="0" w:type="dxa"/>
                    <w:bottom w:w="0" w:type="dxa"/>
                    <w:right w:w="0" w:type="dxa"/>
                  </w:tcMar>
                  <w:vAlign w:val="center"/>
                </w:tcPr>
                <w:p w14:paraId="5428FA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20.7</w:t>
                  </w:r>
                </w:p>
              </w:tc>
              <w:tc>
                <w:tcPr>
                  <w:tcW w:w="260" w:type="pct"/>
                  <w:shd w:val="clear" w:color="auto" w:fill="auto"/>
                  <w:noWrap w:val="0"/>
                  <w:tcMar>
                    <w:top w:w="0" w:type="dxa"/>
                    <w:left w:w="0" w:type="dxa"/>
                    <w:bottom w:w="0" w:type="dxa"/>
                    <w:right w:w="0" w:type="dxa"/>
                  </w:tcMar>
                  <w:vAlign w:val="center"/>
                </w:tcPr>
                <w:p w14:paraId="268495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274" w:type="pct"/>
                  <w:shd w:val="clear" w:color="auto" w:fill="auto"/>
                  <w:noWrap w:val="0"/>
                  <w:tcMar>
                    <w:top w:w="0" w:type="dxa"/>
                    <w:left w:w="0" w:type="dxa"/>
                    <w:bottom w:w="0" w:type="dxa"/>
                    <w:right w:w="0" w:type="dxa"/>
                  </w:tcMar>
                  <w:vAlign w:val="center"/>
                </w:tcPr>
                <w:p w14:paraId="4A4F32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23.1</w:t>
                  </w:r>
                </w:p>
              </w:tc>
              <w:tc>
                <w:tcPr>
                  <w:tcW w:w="274" w:type="pct"/>
                  <w:shd w:val="clear" w:color="auto" w:fill="auto"/>
                  <w:noWrap w:val="0"/>
                  <w:tcMar>
                    <w:top w:w="0" w:type="dxa"/>
                    <w:left w:w="0" w:type="dxa"/>
                    <w:bottom w:w="0" w:type="dxa"/>
                    <w:right w:w="0" w:type="dxa"/>
                  </w:tcMar>
                  <w:vAlign w:val="center"/>
                </w:tcPr>
                <w:p w14:paraId="30EA47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0D9EDE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058494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66.6</w:t>
                  </w:r>
                </w:p>
              </w:tc>
              <w:tc>
                <w:tcPr>
                  <w:tcW w:w="304" w:type="pct"/>
                  <w:shd w:val="clear" w:color="auto" w:fill="auto"/>
                  <w:noWrap w:val="0"/>
                  <w:tcMar>
                    <w:top w:w="0" w:type="dxa"/>
                    <w:left w:w="0" w:type="dxa"/>
                    <w:bottom w:w="0" w:type="dxa"/>
                    <w:right w:w="0" w:type="dxa"/>
                  </w:tcMar>
                  <w:vAlign w:val="center"/>
                </w:tcPr>
                <w:p w14:paraId="1A0B1F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3D58A21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5BA907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335F3A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479" w:type="pct"/>
                  <w:shd w:val="clear" w:color="auto" w:fill="auto"/>
                  <w:noWrap w:val="0"/>
                  <w:tcMar>
                    <w:top w:w="0" w:type="dxa"/>
                    <w:left w:w="0" w:type="dxa"/>
                    <w:bottom w:w="0" w:type="dxa"/>
                    <w:right w:w="0" w:type="dxa"/>
                  </w:tcMar>
                  <w:vAlign w:val="center"/>
                </w:tcPr>
                <w:p w14:paraId="7539EAF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切药机2</w:t>
                  </w:r>
                </w:p>
              </w:tc>
              <w:tc>
                <w:tcPr>
                  <w:tcW w:w="436" w:type="pct"/>
                  <w:shd w:val="clear" w:color="auto" w:fill="auto"/>
                  <w:noWrap w:val="0"/>
                  <w:tcMar>
                    <w:top w:w="0" w:type="dxa"/>
                    <w:left w:w="0" w:type="dxa"/>
                    <w:bottom w:w="0" w:type="dxa"/>
                    <w:right w:w="0" w:type="dxa"/>
                  </w:tcMar>
                  <w:vAlign w:val="center"/>
                </w:tcPr>
                <w:p w14:paraId="23B2C1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10E5F7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500FB0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67" w:type="pct"/>
                  <w:shd w:val="clear" w:color="auto" w:fill="auto"/>
                  <w:noWrap w:val="0"/>
                  <w:tcMar>
                    <w:top w:w="0" w:type="dxa"/>
                    <w:left w:w="0" w:type="dxa"/>
                    <w:bottom w:w="0" w:type="dxa"/>
                    <w:right w:w="0" w:type="dxa"/>
                  </w:tcMar>
                  <w:vAlign w:val="center"/>
                </w:tcPr>
                <w:p w14:paraId="3E2479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-23.5</w:t>
                  </w:r>
                </w:p>
              </w:tc>
              <w:tc>
                <w:tcPr>
                  <w:tcW w:w="251" w:type="pct"/>
                  <w:shd w:val="clear" w:color="auto" w:fill="auto"/>
                  <w:noWrap w:val="0"/>
                  <w:tcMar>
                    <w:top w:w="0" w:type="dxa"/>
                    <w:left w:w="0" w:type="dxa"/>
                    <w:bottom w:w="0" w:type="dxa"/>
                    <w:right w:w="0" w:type="dxa"/>
                  </w:tcMar>
                  <w:vAlign w:val="center"/>
                </w:tcPr>
                <w:p w14:paraId="26FE97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267" w:type="pct"/>
                  <w:shd w:val="clear" w:color="auto" w:fill="auto"/>
                  <w:noWrap w:val="0"/>
                  <w:tcMar>
                    <w:top w:w="0" w:type="dxa"/>
                    <w:left w:w="0" w:type="dxa"/>
                    <w:bottom w:w="0" w:type="dxa"/>
                    <w:right w:w="0" w:type="dxa"/>
                  </w:tcMar>
                  <w:vAlign w:val="center"/>
                </w:tcPr>
                <w:p w14:paraId="16F9C7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20.6</w:t>
                  </w:r>
                </w:p>
              </w:tc>
              <w:tc>
                <w:tcPr>
                  <w:tcW w:w="267" w:type="pct"/>
                  <w:shd w:val="clear" w:color="auto" w:fill="auto"/>
                  <w:noWrap w:val="0"/>
                  <w:tcMar>
                    <w:top w:w="0" w:type="dxa"/>
                    <w:left w:w="0" w:type="dxa"/>
                    <w:bottom w:w="0" w:type="dxa"/>
                    <w:right w:w="0" w:type="dxa"/>
                  </w:tcMar>
                  <w:vAlign w:val="center"/>
                </w:tcPr>
                <w:p w14:paraId="7F9B6C6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w:t>
                  </w:r>
                </w:p>
              </w:tc>
              <w:tc>
                <w:tcPr>
                  <w:tcW w:w="260" w:type="pct"/>
                  <w:shd w:val="clear" w:color="auto" w:fill="auto"/>
                  <w:noWrap w:val="0"/>
                  <w:tcMar>
                    <w:top w:w="0" w:type="dxa"/>
                    <w:left w:w="0" w:type="dxa"/>
                    <w:bottom w:w="0" w:type="dxa"/>
                    <w:right w:w="0" w:type="dxa"/>
                  </w:tcMar>
                  <w:vAlign w:val="center"/>
                </w:tcPr>
                <w:p w14:paraId="16BC4A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w:t>
                  </w:r>
                </w:p>
              </w:tc>
              <w:tc>
                <w:tcPr>
                  <w:tcW w:w="274" w:type="pct"/>
                  <w:shd w:val="clear" w:color="auto" w:fill="auto"/>
                  <w:noWrap w:val="0"/>
                  <w:tcMar>
                    <w:top w:w="0" w:type="dxa"/>
                    <w:left w:w="0" w:type="dxa"/>
                    <w:bottom w:w="0" w:type="dxa"/>
                    <w:right w:w="0" w:type="dxa"/>
                  </w:tcMar>
                  <w:vAlign w:val="center"/>
                </w:tcPr>
                <w:p w14:paraId="31578C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26.6</w:t>
                  </w:r>
                </w:p>
              </w:tc>
              <w:tc>
                <w:tcPr>
                  <w:tcW w:w="274" w:type="pct"/>
                  <w:shd w:val="clear" w:color="auto" w:fill="auto"/>
                  <w:noWrap w:val="0"/>
                  <w:tcMar>
                    <w:top w:w="0" w:type="dxa"/>
                    <w:left w:w="0" w:type="dxa"/>
                    <w:bottom w:w="0" w:type="dxa"/>
                    <w:right w:w="0" w:type="dxa"/>
                  </w:tcMar>
                  <w:vAlign w:val="center"/>
                </w:tcPr>
                <w:p w14:paraId="0B2F33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2A6A9C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532385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66.7</w:t>
                  </w:r>
                </w:p>
              </w:tc>
              <w:tc>
                <w:tcPr>
                  <w:tcW w:w="304" w:type="pct"/>
                  <w:shd w:val="clear" w:color="auto" w:fill="auto"/>
                  <w:noWrap w:val="0"/>
                  <w:tcMar>
                    <w:top w:w="0" w:type="dxa"/>
                    <w:left w:w="0" w:type="dxa"/>
                    <w:bottom w:w="0" w:type="dxa"/>
                    <w:right w:w="0" w:type="dxa"/>
                  </w:tcMar>
                  <w:vAlign w:val="center"/>
                </w:tcPr>
                <w:p w14:paraId="3E52E8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55A89E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44047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6B9372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479" w:type="pct"/>
                  <w:shd w:val="clear" w:color="auto" w:fill="auto"/>
                  <w:noWrap w:val="0"/>
                  <w:tcMar>
                    <w:top w:w="0" w:type="dxa"/>
                    <w:left w:w="0" w:type="dxa"/>
                    <w:bottom w:w="0" w:type="dxa"/>
                    <w:right w:w="0" w:type="dxa"/>
                  </w:tcMar>
                  <w:vAlign w:val="center"/>
                </w:tcPr>
                <w:p w14:paraId="0311CA5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切药机3</w:t>
                  </w:r>
                </w:p>
              </w:tc>
              <w:tc>
                <w:tcPr>
                  <w:tcW w:w="436" w:type="pct"/>
                  <w:shd w:val="clear" w:color="auto" w:fill="auto"/>
                  <w:noWrap w:val="0"/>
                  <w:tcMar>
                    <w:top w:w="0" w:type="dxa"/>
                    <w:left w:w="0" w:type="dxa"/>
                    <w:bottom w:w="0" w:type="dxa"/>
                    <w:right w:w="0" w:type="dxa"/>
                  </w:tcMar>
                  <w:vAlign w:val="center"/>
                </w:tcPr>
                <w:p w14:paraId="3BEA08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619" w:type="pct"/>
                  <w:shd w:val="clear" w:color="auto" w:fill="auto"/>
                  <w:noWrap w:val="0"/>
                  <w:tcMar>
                    <w:top w:w="0" w:type="dxa"/>
                    <w:left w:w="0" w:type="dxa"/>
                    <w:bottom w:w="0" w:type="dxa"/>
                    <w:right w:w="0" w:type="dxa"/>
                  </w:tcMar>
                  <w:vAlign w:val="center"/>
                </w:tcPr>
                <w:p w14:paraId="612AD7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64484B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w:t>
                  </w:r>
                </w:p>
              </w:tc>
              <w:tc>
                <w:tcPr>
                  <w:tcW w:w="267" w:type="pct"/>
                  <w:shd w:val="clear" w:color="auto" w:fill="auto"/>
                  <w:noWrap w:val="0"/>
                  <w:tcMar>
                    <w:top w:w="0" w:type="dxa"/>
                    <w:left w:w="0" w:type="dxa"/>
                    <w:bottom w:w="0" w:type="dxa"/>
                    <w:right w:w="0" w:type="dxa"/>
                  </w:tcMar>
                  <w:vAlign w:val="center"/>
                </w:tcPr>
                <w:p w14:paraId="47D5D5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-27.6</w:t>
                  </w:r>
                </w:p>
              </w:tc>
              <w:tc>
                <w:tcPr>
                  <w:tcW w:w="251" w:type="pct"/>
                  <w:shd w:val="clear" w:color="auto" w:fill="auto"/>
                  <w:noWrap w:val="0"/>
                  <w:tcMar>
                    <w:top w:w="0" w:type="dxa"/>
                    <w:left w:w="0" w:type="dxa"/>
                    <w:bottom w:w="0" w:type="dxa"/>
                    <w:right w:w="0" w:type="dxa"/>
                  </w:tcMar>
                  <w:vAlign w:val="center"/>
                </w:tcPr>
                <w:p w14:paraId="1D7989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267" w:type="pct"/>
                  <w:shd w:val="clear" w:color="auto" w:fill="auto"/>
                  <w:noWrap w:val="0"/>
                  <w:tcMar>
                    <w:top w:w="0" w:type="dxa"/>
                    <w:left w:w="0" w:type="dxa"/>
                    <w:bottom w:w="0" w:type="dxa"/>
                    <w:right w:w="0" w:type="dxa"/>
                  </w:tcMar>
                  <w:vAlign w:val="center"/>
                </w:tcPr>
                <w:p w14:paraId="292710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20.7</w:t>
                  </w:r>
                </w:p>
              </w:tc>
              <w:tc>
                <w:tcPr>
                  <w:tcW w:w="267" w:type="pct"/>
                  <w:shd w:val="clear" w:color="auto" w:fill="auto"/>
                  <w:noWrap w:val="0"/>
                  <w:tcMar>
                    <w:top w:w="0" w:type="dxa"/>
                    <w:left w:w="0" w:type="dxa"/>
                    <w:bottom w:w="0" w:type="dxa"/>
                    <w:right w:w="0" w:type="dxa"/>
                  </w:tcMar>
                  <w:vAlign w:val="center"/>
                </w:tcPr>
                <w:p w14:paraId="7F3399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12.8</w:t>
                  </w:r>
                </w:p>
              </w:tc>
              <w:tc>
                <w:tcPr>
                  <w:tcW w:w="260" w:type="pct"/>
                  <w:shd w:val="clear" w:color="auto" w:fill="auto"/>
                  <w:noWrap w:val="0"/>
                  <w:tcMar>
                    <w:top w:w="0" w:type="dxa"/>
                    <w:left w:w="0" w:type="dxa"/>
                    <w:bottom w:w="0" w:type="dxa"/>
                    <w:right w:w="0" w:type="dxa"/>
                  </w:tcMar>
                  <w:vAlign w:val="center"/>
                </w:tcPr>
                <w:p w14:paraId="515943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274" w:type="pct"/>
                  <w:shd w:val="clear" w:color="auto" w:fill="auto"/>
                  <w:noWrap w:val="0"/>
                  <w:tcMar>
                    <w:top w:w="0" w:type="dxa"/>
                    <w:left w:w="0" w:type="dxa"/>
                    <w:bottom w:w="0" w:type="dxa"/>
                    <w:right w:w="0" w:type="dxa"/>
                  </w:tcMar>
                  <w:vAlign w:val="center"/>
                </w:tcPr>
                <w:p w14:paraId="054C2CC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31.0</w:t>
                  </w:r>
                </w:p>
              </w:tc>
              <w:tc>
                <w:tcPr>
                  <w:tcW w:w="274" w:type="pct"/>
                  <w:shd w:val="clear" w:color="auto" w:fill="auto"/>
                  <w:noWrap w:val="0"/>
                  <w:tcMar>
                    <w:top w:w="0" w:type="dxa"/>
                    <w:left w:w="0" w:type="dxa"/>
                    <w:bottom w:w="0" w:type="dxa"/>
                    <w:right w:w="0" w:type="dxa"/>
                  </w:tcMar>
                  <w:vAlign w:val="center"/>
                </w:tcPr>
                <w:p w14:paraId="44E35E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5C7D6B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54B0A7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66.8</w:t>
                  </w:r>
                </w:p>
              </w:tc>
              <w:tc>
                <w:tcPr>
                  <w:tcW w:w="304" w:type="pct"/>
                  <w:shd w:val="clear" w:color="auto" w:fill="auto"/>
                  <w:noWrap w:val="0"/>
                  <w:tcMar>
                    <w:top w:w="0" w:type="dxa"/>
                    <w:left w:w="0" w:type="dxa"/>
                    <w:bottom w:w="0" w:type="dxa"/>
                    <w:right w:w="0" w:type="dxa"/>
                  </w:tcMar>
                  <w:vAlign w:val="center"/>
                </w:tcPr>
                <w:p w14:paraId="01EEA0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2E7EBA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5A29C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41742F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479" w:type="pct"/>
                  <w:shd w:val="clear" w:color="auto" w:fill="auto"/>
                  <w:noWrap w:val="0"/>
                  <w:tcMar>
                    <w:top w:w="0" w:type="dxa"/>
                    <w:left w:w="0" w:type="dxa"/>
                    <w:bottom w:w="0" w:type="dxa"/>
                    <w:right w:w="0" w:type="dxa"/>
                  </w:tcMar>
                  <w:vAlign w:val="center"/>
                </w:tcPr>
                <w:p w14:paraId="00EA370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脱皮机</w:t>
                  </w:r>
                </w:p>
              </w:tc>
              <w:tc>
                <w:tcPr>
                  <w:tcW w:w="436" w:type="pct"/>
                  <w:shd w:val="clear" w:color="auto" w:fill="auto"/>
                  <w:noWrap w:val="0"/>
                  <w:tcMar>
                    <w:top w:w="0" w:type="dxa"/>
                    <w:left w:w="0" w:type="dxa"/>
                    <w:bottom w:w="0" w:type="dxa"/>
                    <w:right w:w="0" w:type="dxa"/>
                  </w:tcMar>
                  <w:vAlign w:val="center"/>
                </w:tcPr>
                <w:p w14:paraId="2112D7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619" w:type="pct"/>
                  <w:shd w:val="clear" w:color="auto" w:fill="auto"/>
                  <w:noWrap w:val="0"/>
                  <w:tcMar>
                    <w:top w:w="0" w:type="dxa"/>
                    <w:left w:w="0" w:type="dxa"/>
                    <w:bottom w:w="0" w:type="dxa"/>
                    <w:right w:w="0" w:type="dxa"/>
                  </w:tcMar>
                  <w:vAlign w:val="center"/>
                </w:tcPr>
                <w:p w14:paraId="65191B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5A7EB2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267" w:type="pct"/>
                  <w:shd w:val="clear" w:color="auto" w:fill="auto"/>
                  <w:noWrap w:val="0"/>
                  <w:tcMar>
                    <w:top w:w="0" w:type="dxa"/>
                    <w:left w:w="0" w:type="dxa"/>
                    <w:bottom w:w="0" w:type="dxa"/>
                    <w:right w:w="0" w:type="dxa"/>
                  </w:tcMar>
                  <w:vAlign w:val="center"/>
                </w:tcPr>
                <w:p w14:paraId="11CAEC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14.2</w:t>
                  </w:r>
                </w:p>
              </w:tc>
              <w:tc>
                <w:tcPr>
                  <w:tcW w:w="251" w:type="pct"/>
                  <w:shd w:val="clear" w:color="auto" w:fill="auto"/>
                  <w:noWrap w:val="0"/>
                  <w:tcMar>
                    <w:top w:w="0" w:type="dxa"/>
                    <w:left w:w="0" w:type="dxa"/>
                    <w:bottom w:w="0" w:type="dxa"/>
                    <w:right w:w="0" w:type="dxa"/>
                  </w:tcMar>
                  <w:vAlign w:val="center"/>
                </w:tcPr>
                <w:p w14:paraId="1D4587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56E17B8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267" w:type="pct"/>
                  <w:shd w:val="clear" w:color="auto" w:fill="auto"/>
                  <w:noWrap w:val="0"/>
                  <w:tcMar>
                    <w:top w:w="0" w:type="dxa"/>
                    <w:left w:w="0" w:type="dxa"/>
                    <w:bottom w:w="0" w:type="dxa"/>
                    <w:right w:w="0" w:type="dxa"/>
                  </w:tcMar>
                  <w:vAlign w:val="center"/>
                </w:tcPr>
                <w:p w14:paraId="7DBC4A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12.8</w:t>
                  </w:r>
                </w:p>
              </w:tc>
              <w:tc>
                <w:tcPr>
                  <w:tcW w:w="260" w:type="pct"/>
                  <w:shd w:val="clear" w:color="auto" w:fill="auto"/>
                  <w:noWrap w:val="0"/>
                  <w:tcMar>
                    <w:top w:w="0" w:type="dxa"/>
                    <w:left w:w="0" w:type="dxa"/>
                    <w:bottom w:w="0" w:type="dxa"/>
                    <w:right w:w="0" w:type="dxa"/>
                  </w:tcMar>
                  <w:vAlign w:val="center"/>
                </w:tcPr>
                <w:p w14:paraId="48F396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274" w:type="pct"/>
                  <w:shd w:val="clear" w:color="auto" w:fill="auto"/>
                  <w:noWrap w:val="0"/>
                  <w:tcMar>
                    <w:top w:w="0" w:type="dxa"/>
                    <w:left w:w="0" w:type="dxa"/>
                    <w:bottom w:w="0" w:type="dxa"/>
                    <w:right w:w="0" w:type="dxa"/>
                  </w:tcMar>
                  <w:vAlign w:val="center"/>
                </w:tcPr>
                <w:p w14:paraId="6D5068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w:t>
                  </w:r>
                </w:p>
              </w:tc>
              <w:tc>
                <w:tcPr>
                  <w:tcW w:w="274" w:type="pct"/>
                  <w:shd w:val="clear" w:color="auto" w:fill="auto"/>
                  <w:noWrap w:val="0"/>
                  <w:tcMar>
                    <w:top w:w="0" w:type="dxa"/>
                    <w:left w:w="0" w:type="dxa"/>
                    <w:bottom w:w="0" w:type="dxa"/>
                    <w:right w:w="0" w:type="dxa"/>
                  </w:tcMar>
                  <w:vAlign w:val="center"/>
                </w:tcPr>
                <w:p w14:paraId="0D4A58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71.1</w:t>
                  </w:r>
                </w:p>
              </w:tc>
              <w:tc>
                <w:tcPr>
                  <w:tcW w:w="267" w:type="pct"/>
                  <w:shd w:val="clear" w:color="auto" w:fill="auto"/>
                  <w:noWrap w:val="0"/>
                  <w:tcMar>
                    <w:top w:w="0" w:type="dxa"/>
                    <w:left w:w="0" w:type="dxa"/>
                    <w:bottom w:w="0" w:type="dxa"/>
                    <w:right w:w="0" w:type="dxa"/>
                  </w:tcMar>
                  <w:vAlign w:val="center"/>
                </w:tcPr>
                <w:p w14:paraId="3CF0E0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71.0</w:t>
                  </w:r>
                </w:p>
              </w:tc>
              <w:tc>
                <w:tcPr>
                  <w:tcW w:w="267" w:type="pct"/>
                  <w:shd w:val="clear" w:color="auto" w:fill="auto"/>
                  <w:noWrap w:val="0"/>
                  <w:tcMar>
                    <w:top w:w="0" w:type="dxa"/>
                    <w:left w:w="0" w:type="dxa"/>
                    <w:bottom w:w="0" w:type="dxa"/>
                    <w:right w:w="0" w:type="dxa"/>
                  </w:tcMar>
                  <w:vAlign w:val="center"/>
                </w:tcPr>
                <w:p w14:paraId="745D59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71.0</w:t>
                  </w:r>
                </w:p>
              </w:tc>
              <w:tc>
                <w:tcPr>
                  <w:tcW w:w="304" w:type="pct"/>
                  <w:shd w:val="clear" w:color="auto" w:fill="auto"/>
                  <w:noWrap w:val="0"/>
                  <w:tcMar>
                    <w:top w:w="0" w:type="dxa"/>
                    <w:left w:w="0" w:type="dxa"/>
                    <w:bottom w:w="0" w:type="dxa"/>
                    <w:right w:w="0" w:type="dxa"/>
                  </w:tcMar>
                  <w:vAlign w:val="center"/>
                </w:tcPr>
                <w:p w14:paraId="0AC56A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71.0</w:t>
                  </w:r>
                </w:p>
              </w:tc>
              <w:tc>
                <w:tcPr>
                  <w:tcW w:w="236" w:type="pct"/>
                  <w:shd w:val="clear" w:color="auto" w:fill="auto"/>
                  <w:noWrap w:val="0"/>
                  <w:tcMar>
                    <w:top w:w="0" w:type="dxa"/>
                    <w:left w:w="0" w:type="dxa"/>
                    <w:bottom w:w="0" w:type="dxa"/>
                    <w:right w:w="0" w:type="dxa"/>
                  </w:tcMar>
                  <w:vAlign w:val="center"/>
                </w:tcPr>
                <w:p w14:paraId="26A2EE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0AA5A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36AEF3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79" w:type="pct"/>
                  <w:shd w:val="clear" w:color="auto" w:fill="auto"/>
                  <w:noWrap w:val="0"/>
                  <w:tcMar>
                    <w:top w:w="0" w:type="dxa"/>
                    <w:left w:w="0" w:type="dxa"/>
                    <w:bottom w:w="0" w:type="dxa"/>
                    <w:right w:w="0" w:type="dxa"/>
                  </w:tcMar>
                  <w:vAlign w:val="center"/>
                </w:tcPr>
                <w:p w14:paraId="4DDB9D3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筛药机</w:t>
                  </w:r>
                </w:p>
              </w:tc>
              <w:tc>
                <w:tcPr>
                  <w:tcW w:w="436" w:type="pct"/>
                  <w:shd w:val="clear" w:color="auto" w:fill="auto"/>
                  <w:noWrap w:val="0"/>
                  <w:tcMar>
                    <w:top w:w="0" w:type="dxa"/>
                    <w:left w:w="0" w:type="dxa"/>
                    <w:bottom w:w="0" w:type="dxa"/>
                    <w:right w:w="0" w:type="dxa"/>
                  </w:tcMar>
                  <w:vAlign w:val="center"/>
                </w:tcPr>
                <w:p w14:paraId="4014F1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619" w:type="pct"/>
                  <w:shd w:val="clear" w:color="auto" w:fill="auto"/>
                  <w:noWrap w:val="0"/>
                  <w:tcMar>
                    <w:top w:w="0" w:type="dxa"/>
                    <w:left w:w="0" w:type="dxa"/>
                    <w:bottom w:w="0" w:type="dxa"/>
                    <w:right w:w="0" w:type="dxa"/>
                  </w:tcMar>
                  <w:vAlign w:val="center"/>
                </w:tcPr>
                <w:p w14:paraId="7D716A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59FCC6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11.3</w:t>
                  </w:r>
                </w:p>
              </w:tc>
              <w:tc>
                <w:tcPr>
                  <w:tcW w:w="267" w:type="pct"/>
                  <w:shd w:val="clear" w:color="auto" w:fill="auto"/>
                  <w:noWrap w:val="0"/>
                  <w:tcMar>
                    <w:top w:w="0" w:type="dxa"/>
                    <w:left w:w="0" w:type="dxa"/>
                    <w:bottom w:w="0" w:type="dxa"/>
                    <w:right w:w="0" w:type="dxa"/>
                  </w:tcMar>
                  <w:vAlign w:val="center"/>
                </w:tcPr>
                <w:p w14:paraId="316D58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-15.8</w:t>
                  </w:r>
                </w:p>
              </w:tc>
              <w:tc>
                <w:tcPr>
                  <w:tcW w:w="251" w:type="pct"/>
                  <w:shd w:val="clear" w:color="auto" w:fill="auto"/>
                  <w:noWrap w:val="0"/>
                  <w:tcMar>
                    <w:top w:w="0" w:type="dxa"/>
                    <w:left w:w="0" w:type="dxa"/>
                    <w:bottom w:w="0" w:type="dxa"/>
                    <w:right w:w="0" w:type="dxa"/>
                  </w:tcMar>
                  <w:vAlign w:val="center"/>
                </w:tcPr>
                <w:p w14:paraId="5A98D4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267" w:type="pct"/>
                  <w:shd w:val="clear" w:color="auto" w:fill="auto"/>
                  <w:noWrap w:val="0"/>
                  <w:tcMar>
                    <w:top w:w="0" w:type="dxa"/>
                    <w:left w:w="0" w:type="dxa"/>
                    <w:bottom w:w="0" w:type="dxa"/>
                    <w:right w:w="0" w:type="dxa"/>
                  </w:tcMar>
                  <w:vAlign w:val="center"/>
                </w:tcPr>
                <w:p w14:paraId="69375A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w:t>
                  </w:r>
                </w:p>
              </w:tc>
              <w:tc>
                <w:tcPr>
                  <w:tcW w:w="267" w:type="pct"/>
                  <w:shd w:val="clear" w:color="auto" w:fill="auto"/>
                  <w:noWrap w:val="0"/>
                  <w:tcMar>
                    <w:top w:w="0" w:type="dxa"/>
                    <w:left w:w="0" w:type="dxa"/>
                    <w:bottom w:w="0" w:type="dxa"/>
                    <w:right w:w="0" w:type="dxa"/>
                  </w:tcMar>
                  <w:vAlign w:val="center"/>
                </w:tcPr>
                <w:p w14:paraId="6366D3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19.1</w:t>
                  </w:r>
                </w:p>
              </w:tc>
              <w:tc>
                <w:tcPr>
                  <w:tcW w:w="260" w:type="pct"/>
                  <w:shd w:val="clear" w:color="auto" w:fill="auto"/>
                  <w:noWrap w:val="0"/>
                  <w:tcMar>
                    <w:top w:w="0" w:type="dxa"/>
                    <w:left w:w="0" w:type="dxa"/>
                    <w:bottom w:w="0" w:type="dxa"/>
                    <w:right w:w="0" w:type="dxa"/>
                  </w:tcMar>
                  <w:vAlign w:val="center"/>
                </w:tcPr>
                <w:p w14:paraId="364BBE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w:t>
                  </w:r>
                </w:p>
              </w:tc>
              <w:tc>
                <w:tcPr>
                  <w:tcW w:w="274" w:type="pct"/>
                  <w:shd w:val="clear" w:color="auto" w:fill="auto"/>
                  <w:noWrap w:val="0"/>
                  <w:tcMar>
                    <w:top w:w="0" w:type="dxa"/>
                    <w:left w:w="0" w:type="dxa"/>
                    <w:bottom w:w="0" w:type="dxa"/>
                    <w:right w:w="0" w:type="dxa"/>
                  </w:tcMar>
                  <w:vAlign w:val="center"/>
                </w:tcPr>
                <w:p w14:paraId="593662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274" w:type="pct"/>
                  <w:shd w:val="clear" w:color="auto" w:fill="auto"/>
                  <w:noWrap w:val="0"/>
                  <w:tcMar>
                    <w:top w:w="0" w:type="dxa"/>
                    <w:left w:w="0" w:type="dxa"/>
                    <w:bottom w:w="0" w:type="dxa"/>
                    <w:right w:w="0" w:type="dxa"/>
                  </w:tcMar>
                  <w:vAlign w:val="center"/>
                </w:tcPr>
                <w:p w14:paraId="3F067F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66.2</w:t>
                  </w:r>
                </w:p>
              </w:tc>
              <w:tc>
                <w:tcPr>
                  <w:tcW w:w="267" w:type="pct"/>
                  <w:shd w:val="clear" w:color="auto" w:fill="auto"/>
                  <w:noWrap w:val="0"/>
                  <w:tcMar>
                    <w:top w:w="0" w:type="dxa"/>
                    <w:left w:w="0" w:type="dxa"/>
                    <w:bottom w:w="0" w:type="dxa"/>
                    <w:right w:w="0" w:type="dxa"/>
                  </w:tcMar>
                  <w:vAlign w:val="center"/>
                </w:tcPr>
                <w:p w14:paraId="261E7C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061F9D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304" w:type="pct"/>
                  <w:shd w:val="clear" w:color="auto" w:fill="auto"/>
                  <w:noWrap w:val="0"/>
                  <w:tcMar>
                    <w:top w:w="0" w:type="dxa"/>
                    <w:left w:w="0" w:type="dxa"/>
                    <w:bottom w:w="0" w:type="dxa"/>
                    <w:right w:w="0" w:type="dxa"/>
                  </w:tcMar>
                  <w:vAlign w:val="center"/>
                </w:tcPr>
                <w:p w14:paraId="06F932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6D789A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24E7E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459436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479" w:type="pct"/>
                  <w:shd w:val="clear" w:color="auto" w:fill="auto"/>
                  <w:noWrap w:val="0"/>
                  <w:tcMar>
                    <w:top w:w="0" w:type="dxa"/>
                    <w:left w:w="0" w:type="dxa"/>
                    <w:bottom w:w="0" w:type="dxa"/>
                    <w:right w:w="0" w:type="dxa"/>
                  </w:tcMar>
                  <w:vAlign w:val="center"/>
                </w:tcPr>
                <w:p w14:paraId="7D4655D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筛选机1</w:t>
                  </w:r>
                </w:p>
              </w:tc>
              <w:tc>
                <w:tcPr>
                  <w:tcW w:w="436" w:type="pct"/>
                  <w:shd w:val="clear" w:color="auto" w:fill="auto"/>
                  <w:noWrap w:val="0"/>
                  <w:tcMar>
                    <w:top w:w="0" w:type="dxa"/>
                    <w:left w:w="0" w:type="dxa"/>
                    <w:bottom w:w="0" w:type="dxa"/>
                    <w:right w:w="0" w:type="dxa"/>
                  </w:tcMar>
                  <w:vAlign w:val="center"/>
                </w:tcPr>
                <w:p w14:paraId="326402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619" w:type="pct"/>
                  <w:shd w:val="clear" w:color="auto" w:fill="auto"/>
                  <w:noWrap w:val="0"/>
                  <w:tcMar>
                    <w:top w:w="0" w:type="dxa"/>
                    <w:left w:w="0" w:type="dxa"/>
                    <w:bottom w:w="0" w:type="dxa"/>
                    <w:right w:w="0" w:type="dxa"/>
                  </w:tcMar>
                  <w:vAlign w:val="center"/>
                </w:tcPr>
                <w:p w14:paraId="326CA0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3FD8FD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w:t>
                  </w:r>
                </w:p>
              </w:tc>
              <w:tc>
                <w:tcPr>
                  <w:tcW w:w="267" w:type="pct"/>
                  <w:shd w:val="clear" w:color="auto" w:fill="auto"/>
                  <w:noWrap w:val="0"/>
                  <w:tcMar>
                    <w:top w:w="0" w:type="dxa"/>
                    <w:left w:w="0" w:type="dxa"/>
                    <w:bottom w:w="0" w:type="dxa"/>
                    <w:right w:w="0" w:type="dxa"/>
                  </w:tcMar>
                  <w:vAlign w:val="center"/>
                </w:tcPr>
                <w:p w14:paraId="75AB2E6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w:t>
                  </w:r>
                </w:p>
              </w:tc>
              <w:tc>
                <w:tcPr>
                  <w:tcW w:w="251" w:type="pct"/>
                  <w:shd w:val="clear" w:color="auto" w:fill="auto"/>
                  <w:noWrap w:val="0"/>
                  <w:tcMar>
                    <w:top w:w="0" w:type="dxa"/>
                    <w:left w:w="0" w:type="dxa"/>
                    <w:bottom w:w="0" w:type="dxa"/>
                    <w:right w:w="0" w:type="dxa"/>
                  </w:tcMar>
                  <w:vAlign w:val="center"/>
                </w:tcPr>
                <w:p w14:paraId="63F002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43D468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20.8</w:t>
                  </w:r>
                </w:p>
              </w:tc>
              <w:tc>
                <w:tcPr>
                  <w:tcW w:w="267" w:type="pct"/>
                  <w:shd w:val="clear" w:color="auto" w:fill="auto"/>
                  <w:noWrap w:val="0"/>
                  <w:tcMar>
                    <w:top w:w="0" w:type="dxa"/>
                    <w:left w:w="0" w:type="dxa"/>
                    <w:bottom w:w="0" w:type="dxa"/>
                    <w:right w:w="0" w:type="dxa"/>
                  </w:tcMar>
                  <w:vAlign w:val="center"/>
                </w:tcPr>
                <w:p w14:paraId="6C09FC7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34.8</w:t>
                  </w:r>
                </w:p>
              </w:tc>
              <w:tc>
                <w:tcPr>
                  <w:tcW w:w="260" w:type="pct"/>
                  <w:shd w:val="clear" w:color="auto" w:fill="auto"/>
                  <w:noWrap w:val="0"/>
                  <w:tcMar>
                    <w:top w:w="0" w:type="dxa"/>
                    <w:left w:w="0" w:type="dxa"/>
                    <w:bottom w:w="0" w:type="dxa"/>
                    <w:right w:w="0" w:type="dxa"/>
                  </w:tcMar>
                  <w:vAlign w:val="center"/>
                </w:tcPr>
                <w:p w14:paraId="4C5ED1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274" w:type="pct"/>
                  <w:shd w:val="clear" w:color="auto" w:fill="auto"/>
                  <w:noWrap w:val="0"/>
                  <w:tcMar>
                    <w:top w:w="0" w:type="dxa"/>
                    <w:left w:w="0" w:type="dxa"/>
                    <w:bottom w:w="0" w:type="dxa"/>
                    <w:right w:w="0" w:type="dxa"/>
                  </w:tcMar>
                  <w:vAlign w:val="center"/>
                </w:tcPr>
                <w:p w14:paraId="377181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w:t>
                  </w:r>
                </w:p>
              </w:tc>
              <w:tc>
                <w:tcPr>
                  <w:tcW w:w="274" w:type="pct"/>
                  <w:shd w:val="clear" w:color="auto" w:fill="auto"/>
                  <w:noWrap w:val="0"/>
                  <w:tcMar>
                    <w:top w:w="0" w:type="dxa"/>
                    <w:left w:w="0" w:type="dxa"/>
                    <w:bottom w:w="0" w:type="dxa"/>
                    <w:right w:w="0" w:type="dxa"/>
                  </w:tcMar>
                  <w:vAlign w:val="center"/>
                </w:tcPr>
                <w:p w14:paraId="0EDD9B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6DD510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6A4952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66.5</w:t>
                  </w:r>
                </w:p>
              </w:tc>
              <w:tc>
                <w:tcPr>
                  <w:tcW w:w="304" w:type="pct"/>
                  <w:shd w:val="clear" w:color="auto" w:fill="auto"/>
                  <w:noWrap w:val="0"/>
                  <w:tcMar>
                    <w:top w:w="0" w:type="dxa"/>
                    <w:left w:w="0" w:type="dxa"/>
                    <w:bottom w:w="0" w:type="dxa"/>
                    <w:right w:w="0" w:type="dxa"/>
                  </w:tcMar>
                  <w:vAlign w:val="center"/>
                </w:tcPr>
                <w:p w14:paraId="17AC3C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66.0</w:t>
                  </w:r>
                </w:p>
              </w:tc>
              <w:tc>
                <w:tcPr>
                  <w:tcW w:w="236" w:type="pct"/>
                  <w:shd w:val="clear" w:color="auto" w:fill="auto"/>
                  <w:noWrap w:val="0"/>
                  <w:tcMar>
                    <w:top w:w="0" w:type="dxa"/>
                    <w:left w:w="0" w:type="dxa"/>
                    <w:bottom w:w="0" w:type="dxa"/>
                    <w:right w:w="0" w:type="dxa"/>
                  </w:tcMar>
                  <w:vAlign w:val="center"/>
                </w:tcPr>
                <w:p w14:paraId="1F42CB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49E85F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44" w:type="pct"/>
                  <w:shd w:val="clear" w:color="auto" w:fill="auto"/>
                  <w:noWrap w:val="0"/>
                  <w:tcMar>
                    <w:top w:w="0" w:type="dxa"/>
                    <w:left w:w="0" w:type="dxa"/>
                    <w:bottom w:w="0" w:type="dxa"/>
                    <w:right w:w="0" w:type="dxa"/>
                  </w:tcMar>
                  <w:vAlign w:val="center"/>
                </w:tcPr>
                <w:p w14:paraId="586238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479" w:type="pct"/>
                  <w:shd w:val="clear" w:color="auto" w:fill="auto"/>
                  <w:noWrap w:val="0"/>
                  <w:tcMar>
                    <w:top w:w="0" w:type="dxa"/>
                    <w:left w:w="0" w:type="dxa"/>
                    <w:bottom w:w="0" w:type="dxa"/>
                    <w:right w:w="0" w:type="dxa"/>
                  </w:tcMar>
                  <w:vAlign w:val="center"/>
                </w:tcPr>
                <w:p w14:paraId="255FCA6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筛选机2</w:t>
                  </w:r>
                </w:p>
              </w:tc>
              <w:tc>
                <w:tcPr>
                  <w:tcW w:w="436" w:type="pct"/>
                  <w:shd w:val="clear" w:color="auto" w:fill="auto"/>
                  <w:noWrap w:val="0"/>
                  <w:tcMar>
                    <w:top w:w="0" w:type="dxa"/>
                    <w:left w:w="0" w:type="dxa"/>
                    <w:bottom w:w="0" w:type="dxa"/>
                    <w:right w:w="0" w:type="dxa"/>
                  </w:tcMar>
                  <w:vAlign w:val="center"/>
                </w:tcPr>
                <w:p w14:paraId="63CE3A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619" w:type="pct"/>
                  <w:shd w:val="clear" w:color="auto" w:fill="auto"/>
                  <w:noWrap w:val="0"/>
                  <w:tcMar>
                    <w:top w:w="0" w:type="dxa"/>
                    <w:left w:w="0" w:type="dxa"/>
                    <w:bottom w:w="0" w:type="dxa"/>
                    <w:right w:w="0" w:type="dxa"/>
                  </w:tcMar>
                  <w:vAlign w:val="center"/>
                </w:tcPr>
                <w:p w14:paraId="36DF9A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基础减震、隔声降噪</w:t>
                  </w:r>
                </w:p>
              </w:tc>
              <w:tc>
                <w:tcPr>
                  <w:tcW w:w="280" w:type="pct"/>
                  <w:shd w:val="clear" w:color="auto" w:fill="auto"/>
                  <w:noWrap w:val="0"/>
                  <w:tcMar>
                    <w:top w:w="0" w:type="dxa"/>
                    <w:left w:w="0" w:type="dxa"/>
                    <w:bottom w:w="0" w:type="dxa"/>
                    <w:right w:w="0" w:type="dxa"/>
                  </w:tcMar>
                  <w:vAlign w:val="center"/>
                </w:tcPr>
                <w:p w14:paraId="0445FE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w:t>
                  </w:r>
                </w:p>
              </w:tc>
              <w:tc>
                <w:tcPr>
                  <w:tcW w:w="267" w:type="pct"/>
                  <w:shd w:val="clear" w:color="auto" w:fill="auto"/>
                  <w:noWrap w:val="0"/>
                  <w:tcMar>
                    <w:top w:w="0" w:type="dxa"/>
                    <w:left w:w="0" w:type="dxa"/>
                    <w:bottom w:w="0" w:type="dxa"/>
                    <w:right w:w="0" w:type="dxa"/>
                  </w:tcMar>
                  <w:vAlign w:val="center"/>
                </w:tcPr>
                <w:p w14:paraId="17F2AFC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w:t>
                  </w:r>
                </w:p>
              </w:tc>
              <w:tc>
                <w:tcPr>
                  <w:tcW w:w="251" w:type="pct"/>
                  <w:shd w:val="clear" w:color="auto" w:fill="auto"/>
                  <w:noWrap w:val="0"/>
                  <w:tcMar>
                    <w:top w:w="0" w:type="dxa"/>
                    <w:left w:w="0" w:type="dxa"/>
                    <w:bottom w:w="0" w:type="dxa"/>
                    <w:right w:w="0" w:type="dxa"/>
                  </w:tcMar>
                  <w:vAlign w:val="center"/>
                </w:tcPr>
                <w:p w14:paraId="09BD41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67" w:type="pct"/>
                  <w:shd w:val="clear" w:color="auto" w:fill="auto"/>
                  <w:noWrap w:val="0"/>
                  <w:tcMar>
                    <w:top w:w="0" w:type="dxa"/>
                    <w:left w:w="0" w:type="dxa"/>
                    <w:bottom w:w="0" w:type="dxa"/>
                    <w:right w:w="0" w:type="dxa"/>
                  </w:tcMar>
                  <w:vAlign w:val="center"/>
                </w:tcPr>
                <w:p w14:paraId="700837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20.9</w:t>
                  </w:r>
                </w:p>
              </w:tc>
              <w:tc>
                <w:tcPr>
                  <w:tcW w:w="267" w:type="pct"/>
                  <w:shd w:val="clear" w:color="auto" w:fill="auto"/>
                  <w:noWrap w:val="0"/>
                  <w:tcMar>
                    <w:top w:w="0" w:type="dxa"/>
                    <w:left w:w="0" w:type="dxa"/>
                    <w:bottom w:w="0" w:type="dxa"/>
                    <w:right w:w="0" w:type="dxa"/>
                  </w:tcMar>
                  <w:vAlign w:val="center"/>
                </w:tcPr>
                <w:p w14:paraId="6D3B7C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32.2</w:t>
                  </w:r>
                </w:p>
              </w:tc>
              <w:tc>
                <w:tcPr>
                  <w:tcW w:w="260" w:type="pct"/>
                  <w:shd w:val="clear" w:color="auto" w:fill="auto"/>
                  <w:noWrap w:val="0"/>
                  <w:tcMar>
                    <w:top w:w="0" w:type="dxa"/>
                    <w:left w:w="0" w:type="dxa"/>
                    <w:bottom w:w="0" w:type="dxa"/>
                    <w:right w:w="0" w:type="dxa"/>
                  </w:tcMar>
                  <w:vAlign w:val="center"/>
                </w:tcPr>
                <w:p w14:paraId="0CF4BE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274" w:type="pct"/>
                  <w:shd w:val="clear" w:color="auto" w:fill="auto"/>
                  <w:noWrap w:val="0"/>
                  <w:tcMar>
                    <w:top w:w="0" w:type="dxa"/>
                    <w:left w:w="0" w:type="dxa"/>
                    <w:bottom w:w="0" w:type="dxa"/>
                    <w:right w:w="0" w:type="dxa"/>
                  </w:tcMar>
                  <w:vAlign w:val="center"/>
                </w:tcPr>
                <w:p w14:paraId="40C518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274" w:type="pct"/>
                  <w:shd w:val="clear" w:color="auto" w:fill="auto"/>
                  <w:noWrap w:val="0"/>
                  <w:tcMar>
                    <w:top w:w="0" w:type="dxa"/>
                    <w:left w:w="0" w:type="dxa"/>
                    <w:bottom w:w="0" w:type="dxa"/>
                    <w:right w:w="0" w:type="dxa"/>
                  </w:tcMar>
                  <w:vAlign w:val="center"/>
                </w:tcPr>
                <w:p w14:paraId="47D45D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5694BB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67" w:type="pct"/>
                  <w:shd w:val="clear" w:color="auto" w:fill="auto"/>
                  <w:noWrap w:val="0"/>
                  <w:tcMar>
                    <w:top w:w="0" w:type="dxa"/>
                    <w:left w:w="0" w:type="dxa"/>
                    <w:bottom w:w="0" w:type="dxa"/>
                    <w:right w:w="0" w:type="dxa"/>
                  </w:tcMar>
                  <w:vAlign w:val="center"/>
                </w:tcPr>
                <w:p w14:paraId="3056FF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66.5</w:t>
                  </w:r>
                </w:p>
              </w:tc>
              <w:tc>
                <w:tcPr>
                  <w:tcW w:w="304" w:type="pct"/>
                  <w:shd w:val="clear" w:color="auto" w:fill="auto"/>
                  <w:noWrap w:val="0"/>
                  <w:tcMar>
                    <w:top w:w="0" w:type="dxa"/>
                    <w:left w:w="0" w:type="dxa"/>
                    <w:bottom w:w="0" w:type="dxa"/>
                    <w:right w:w="0" w:type="dxa"/>
                  </w:tcMar>
                  <w:vAlign w:val="center"/>
                </w:tcPr>
                <w:p w14:paraId="5B39C8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w:t>
                  </w:r>
                </w:p>
              </w:tc>
              <w:tc>
                <w:tcPr>
                  <w:tcW w:w="236" w:type="pct"/>
                  <w:shd w:val="clear" w:color="auto" w:fill="auto"/>
                  <w:noWrap w:val="0"/>
                  <w:tcMar>
                    <w:top w:w="0" w:type="dxa"/>
                    <w:left w:w="0" w:type="dxa"/>
                    <w:bottom w:w="0" w:type="dxa"/>
                    <w:right w:w="0" w:type="dxa"/>
                  </w:tcMar>
                  <w:vAlign w:val="center"/>
                </w:tcPr>
                <w:p w14:paraId="541D55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bl>
          <w:p w14:paraId="5DC5C04A">
            <w:pPr>
              <w:pStyle w:val="130"/>
              <w:snapToGrid w:val="0"/>
              <w:spacing w:before="120" w:beforeLines="50" w:line="240" w:lineRule="auto"/>
              <w:ind w:firstLine="0" w:firstLineChars="0"/>
              <w:jc w:val="center"/>
              <w:rPr>
                <w:rFonts w:hint="eastAsia"/>
                <w:b/>
                <w:bCs/>
                <w:color w:val="auto"/>
                <w:szCs w:val="24"/>
              </w:rPr>
            </w:pPr>
          </w:p>
          <w:p w14:paraId="5096CEBA">
            <w:pPr>
              <w:pStyle w:val="130"/>
              <w:snapToGrid w:val="0"/>
              <w:spacing w:before="120" w:beforeLines="50" w:line="240" w:lineRule="auto"/>
              <w:ind w:firstLine="0" w:firstLineChars="0"/>
              <w:jc w:val="center"/>
              <w:rPr>
                <w:rFonts w:hint="eastAsia"/>
                <w:b/>
                <w:bCs/>
                <w:color w:val="auto"/>
                <w:szCs w:val="24"/>
              </w:rPr>
            </w:pPr>
          </w:p>
          <w:p w14:paraId="201E7C22">
            <w:pPr>
              <w:pStyle w:val="130"/>
              <w:snapToGrid w:val="0"/>
              <w:spacing w:before="120" w:beforeLines="50" w:line="240" w:lineRule="auto"/>
              <w:ind w:firstLine="0" w:firstLineChars="0"/>
              <w:jc w:val="center"/>
              <w:rPr>
                <w:rFonts w:hint="eastAsia"/>
                <w:b/>
                <w:bCs/>
                <w:color w:val="auto"/>
                <w:szCs w:val="24"/>
              </w:rPr>
            </w:pPr>
          </w:p>
          <w:p w14:paraId="79C1A06B">
            <w:pPr>
              <w:pStyle w:val="130"/>
              <w:snapToGrid w:val="0"/>
              <w:spacing w:before="120" w:beforeLines="50" w:line="240" w:lineRule="auto"/>
              <w:ind w:firstLine="0" w:firstLineChars="0"/>
              <w:jc w:val="center"/>
              <w:rPr>
                <w:rFonts w:hint="eastAsia"/>
                <w:b/>
                <w:bCs/>
                <w:color w:val="auto"/>
                <w:szCs w:val="24"/>
              </w:rPr>
            </w:pPr>
            <w:r>
              <w:rPr>
                <w:rFonts w:hint="eastAsia"/>
                <w:b/>
                <w:bCs/>
                <w:color w:val="auto"/>
                <w:szCs w:val="24"/>
              </w:rPr>
              <w:t>续</w:t>
            </w:r>
            <w:r>
              <w:rPr>
                <w:b/>
                <w:bCs/>
                <w:color w:val="auto"/>
                <w:szCs w:val="24"/>
              </w:rPr>
              <w:t>表4</w:t>
            </w:r>
            <w:r>
              <w:rPr>
                <w:rFonts w:hint="eastAsia"/>
                <w:b/>
                <w:bCs/>
                <w:color w:val="auto"/>
                <w:szCs w:val="24"/>
              </w:rPr>
              <w:t>-1</w:t>
            </w:r>
            <w:r>
              <w:rPr>
                <w:rFonts w:hint="eastAsia"/>
                <w:b/>
                <w:bCs/>
                <w:color w:val="auto"/>
                <w:szCs w:val="24"/>
                <w:lang w:val="en-US" w:eastAsia="zh-CN"/>
              </w:rPr>
              <w:t>3</w:t>
            </w:r>
            <w:r>
              <w:rPr>
                <w:rFonts w:hint="eastAsia"/>
                <w:b/>
                <w:bCs/>
                <w:color w:val="auto"/>
                <w:szCs w:val="24"/>
              </w:rPr>
              <w:t xml:space="preserve">   噪声污染源强调查清单（续表）</w:t>
            </w:r>
          </w:p>
          <w:tbl>
            <w:tblPr>
              <w:tblStyle w:val="32"/>
              <w:tblW w:w="77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3"/>
              <w:gridCol w:w="1551"/>
              <w:gridCol w:w="750"/>
              <w:gridCol w:w="583"/>
              <w:gridCol w:w="583"/>
              <w:gridCol w:w="584"/>
              <w:gridCol w:w="583"/>
              <w:gridCol w:w="583"/>
              <w:gridCol w:w="583"/>
              <w:gridCol w:w="586"/>
              <w:gridCol w:w="949"/>
            </w:tblGrid>
            <w:tr w14:paraId="301B7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vMerge w:val="restart"/>
                  <w:shd w:val="clear" w:color="auto" w:fill="auto"/>
                  <w:noWrap w:val="0"/>
                  <w:vAlign w:val="center"/>
                </w:tcPr>
                <w:p w14:paraId="35C87C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序号</w:t>
                  </w:r>
                </w:p>
              </w:tc>
              <w:tc>
                <w:tcPr>
                  <w:tcW w:w="1551" w:type="dxa"/>
                  <w:vMerge w:val="restart"/>
                  <w:shd w:val="clear" w:color="auto" w:fill="auto"/>
                  <w:noWrap w:val="0"/>
                  <w:vAlign w:val="center"/>
                </w:tcPr>
                <w:p w14:paraId="5EE9F5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声源名称</w:t>
                  </w:r>
                </w:p>
              </w:tc>
              <w:tc>
                <w:tcPr>
                  <w:tcW w:w="2500" w:type="dxa"/>
                  <w:gridSpan w:val="4"/>
                  <w:shd w:val="clear" w:color="auto" w:fill="auto"/>
                  <w:noWrap w:val="0"/>
                  <w:vAlign w:val="center"/>
                </w:tcPr>
                <w:p w14:paraId="29C167D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建筑物插入损失/dB（A）</w:t>
                  </w:r>
                </w:p>
              </w:tc>
              <w:tc>
                <w:tcPr>
                  <w:tcW w:w="3284" w:type="dxa"/>
                  <w:gridSpan w:val="5"/>
                  <w:shd w:val="clear" w:color="auto" w:fill="auto"/>
                  <w:noWrap w:val="0"/>
                  <w:vAlign w:val="center"/>
                </w:tcPr>
                <w:p w14:paraId="3BB91ED1">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建筑物外噪声声压级/dB（A）</w:t>
                  </w:r>
                </w:p>
              </w:tc>
            </w:tr>
            <w:tr w14:paraId="3EE15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vMerge w:val="continue"/>
                  <w:shd w:val="clear" w:color="auto" w:fill="auto"/>
                  <w:noWrap w:val="0"/>
                  <w:tcMar>
                    <w:top w:w="0" w:type="dxa"/>
                    <w:left w:w="0" w:type="dxa"/>
                    <w:bottom w:w="0" w:type="dxa"/>
                    <w:right w:w="0" w:type="dxa"/>
                  </w:tcMar>
                  <w:vAlign w:val="center"/>
                </w:tcPr>
                <w:p w14:paraId="15EC85BD">
                  <w:pPr>
                    <w:jc w:val="center"/>
                    <w:rPr>
                      <w:rFonts w:hint="default" w:ascii="Times New Roman" w:hAnsi="Times New Roman" w:eastAsia="宋体" w:cs="Times New Roman"/>
                      <w:color w:val="auto"/>
                      <w:sz w:val="21"/>
                      <w:szCs w:val="21"/>
                    </w:rPr>
                  </w:pPr>
                </w:p>
              </w:tc>
              <w:tc>
                <w:tcPr>
                  <w:tcW w:w="1551" w:type="dxa"/>
                  <w:vMerge w:val="continue"/>
                  <w:shd w:val="clear" w:color="auto" w:fill="auto"/>
                  <w:noWrap w:val="0"/>
                  <w:tcMar>
                    <w:top w:w="0" w:type="dxa"/>
                    <w:left w:w="0" w:type="dxa"/>
                    <w:bottom w:w="0" w:type="dxa"/>
                    <w:right w:w="0" w:type="dxa"/>
                  </w:tcMar>
                  <w:vAlign w:val="center"/>
                </w:tcPr>
                <w:p w14:paraId="36428371">
                  <w:pPr>
                    <w:jc w:val="center"/>
                    <w:rPr>
                      <w:rFonts w:hint="default" w:ascii="Times New Roman" w:hAnsi="Times New Roman" w:eastAsia="宋体" w:cs="Times New Roman"/>
                      <w:color w:val="auto"/>
                      <w:sz w:val="21"/>
                      <w:szCs w:val="21"/>
                    </w:rPr>
                  </w:pPr>
                </w:p>
              </w:tc>
              <w:tc>
                <w:tcPr>
                  <w:tcW w:w="750" w:type="dxa"/>
                  <w:shd w:val="clear" w:color="auto" w:fill="auto"/>
                  <w:noWrap w:val="0"/>
                  <w:tcMar>
                    <w:top w:w="0" w:type="dxa"/>
                    <w:left w:w="0" w:type="dxa"/>
                    <w:bottom w:w="0" w:type="dxa"/>
                    <w:right w:w="0" w:type="dxa"/>
                  </w:tcMar>
                  <w:vAlign w:val="center"/>
                </w:tcPr>
                <w:p w14:paraId="5D532C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583" w:type="dxa"/>
                  <w:shd w:val="clear" w:color="auto" w:fill="auto"/>
                  <w:noWrap w:val="0"/>
                  <w:tcMar>
                    <w:top w:w="0" w:type="dxa"/>
                    <w:left w:w="0" w:type="dxa"/>
                    <w:bottom w:w="0" w:type="dxa"/>
                    <w:right w:w="0" w:type="dxa"/>
                  </w:tcMar>
                  <w:vAlign w:val="center"/>
                </w:tcPr>
                <w:p w14:paraId="2A83F1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583" w:type="dxa"/>
                  <w:shd w:val="clear" w:color="auto" w:fill="auto"/>
                  <w:noWrap w:val="0"/>
                  <w:tcMar>
                    <w:top w:w="0" w:type="dxa"/>
                    <w:left w:w="0" w:type="dxa"/>
                    <w:bottom w:w="0" w:type="dxa"/>
                    <w:right w:w="0" w:type="dxa"/>
                  </w:tcMar>
                  <w:vAlign w:val="center"/>
                </w:tcPr>
                <w:p w14:paraId="500C96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w:t>
                  </w:r>
                </w:p>
              </w:tc>
              <w:tc>
                <w:tcPr>
                  <w:tcW w:w="584" w:type="dxa"/>
                  <w:shd w:val="clear" w:color="auto" w:fill="auto"/>
                  <w:noWrap w:val="0"/>
                  <w:tcMar>
                    <w:top w:w="0" w:type="dxa"/>
                    <w:left w:w="0" w:type="dxa"/>
                    <w:bottom w:w="0" w:type="dxa"/>
                    <w:right w:w="0" w:type="dxa"/>
                  </w:tcMar>
                  <w:vAlign w:val="center"/>
                </w:tcPr>
                <w:p w14:paraId="454617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583" w:type="dxa"/>
                  <w:shd w:val="clear" w:color="auto" w:fill="auto"/>
                  <w:noWrap w:val="0"/>
                  <w:tcMar>
                    <w:top w:w="0" w:type="dxa"/>
                    <w:left w:w="0" w:type="dxa"/>
                    <w:bottom w:w="0" w:type="dxa"/>
                    <w:right w:w="0" w:type="dxa"/>
                  </w:tcMar>
                  <w:vAlign w:val="center"/>
                </w:tcPr>
                <w:p w14:paraId="6EE3D5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583" w:type="dxa"/>
                  <w:shd w:val="clear" w:color="auto" w:fill="auto"/>
                  <w:noWrap w:val="0"/>
                  <w:tcMar>
                    <w:top w:w="0" w:type="dxa"/>
                    <w:left w:w="0" w:type="dxa"/>
                    <w:bottom w:w="0" w:type="dxa"/>
                    <w:right w:w="0" w:type="dxa"/>
                  </w:tcMar>
                  <w:vAlign w:val="center"/>
                </w:tcPr>
                <w:p w14:paraId="0E632E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583" w:type="dxa"/>
                  <w:shd w:val="clear" w:color="auto" w:fill="auto"/>
                  <w:noWrap w:val="0"/>
                  <w:tcMar>
                    <w:top w:w="0" w:type="dxa"/>
                    <w:left w:w="0" w:type="dxa"/>
                    <w:bottom w:w="0" w:type="dxa"/>
                    <w:right w:w="0" w:type="dxa"/>
                  </w:tcMar>
                  <w:vAlign w:val="center"/>
                </w:tcPr>
                <w:p w14:paraId="7055D8C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w:t>
                  </w:r>
                </w:p>
              </w:tc>
              <w:tc>
                <w:tcPr>
                  <w:tcW w:w="586" w:type="dxa"/>
                  <w:shd w:val="clear" w:color="auto" w:fill="auto"/>
                  <w:noWrap w:val="0"/>
                  <w:tcMar>
                    <w:top w:w="0" w:type="dxa"/>
                    <w:left w:w="0" w:type="dxa"/>
                    <w:bottom w:w="0" w:type="dxa"/>
                    <w:right w:w="0" w:type="dxa"/>
                  </w:tcMar>
                  <w:vAlign w:val="center"/>
                </w:tcPr>
                <w:p w14:paraId="363497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949" w:type="dxa"/>
                  <w:shd w:val="clear" w:color="auto" w:fill="auto"/>
                  <w:noWrap w:val="0"/>
                  <w:tcMar>
                    <w:top w:w="0" w:type="dxa"/>
                    <w:left w:w="0" w:type="dxa"/>
                    <w:bottom w:w="0" w:type="dxa"/>
                    <w:right w:w="0" w:type="dxa"/>
                  </w:tcMar>
                  <w:vAlign w:val="center"/>
                </w:tcPr>
                <w:p w14:paraId="6F9D3A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建筑物外距离/m</w:t>
                  </w:r>
                </w:p>
              </w:tc>
            </w:tr>
            <w:tr w14:paraId="057C8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6D655C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51" w:type="dxa"/>
                  <w:shd w:val="clear" w:color="auto" w:fill="auto"/>
                  <w:noWrap w:val="0"/>
                  <w:tcMar>
                    <w:top w:w="0" w:type="dxa"/>
                    <w:left w:w="0" w:type="dxa"/>
                    <w:bottom w:w="0" w:type="dxa"/>
                    <w:right w:w="0" w:type="dxa"/>
                  </w:tcMar>
                  <w:vAlign w:val="center"/>
                </w:tcPr>
                <w:p w14:paraId="5BAF51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清洗机1</w:t>
                  </w:r>
                </w:p>
              </w:tc>
              <w:tc>
                <w:tcPr>
                  <w:tcW w:w="750" w:type="dxa"/>
                  <w:shd w:val="clear" w:color="auto" w:fill="auto"/>
                  <w:noWrap w:val="0"/>
                  <w:tcMar>
                    <w:top w:w="0" w:type="dxa"/>
                    <w:left w:w="0" w:type="dxa"/>
                    <w:bottom w:w="0" w:type="dxa"/>
                    <w:right w:w="0" w:type="dxa"/>
                  </w:tcMar>
                  <w:vAlign w:val="center"/>
                </w:tcPr>
                <w:p w14:paraId="7BB3F8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7A777D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2E1722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4E392C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323DC6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583" w:type="dxa"/>
                  <w:shd w:val="clear" w:color="auto" w:fill="auto"/>
                  <w:noWrap w:val="0"/>
                  <w:tcMar>
                    <w:top w:w="0" w:type="dxa"/>
                    <w:left w:w="0" w:type="dxa"/>
                    <w:bottom w:w="0" w:type="dxa"/>
                    <w:right w:w="0" w:type="dxa"/>
                  </w:tcMar>
                  <w:vAlign w:val="center"/>
                </w:tcPr>
                <w:p w14:paraId="5E4AFB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583" w:type="dxa"/>
                  <w:shd w:val="clear" w:color="auto" w:fill="auto"/>
                  <w:noWrap w:val="0"/>
                  <w:tcMar>
                    <w:top w:w="0" w:type="dxa"/>
                    <w:left w:w="0" w:type="dxa"/>
                    <w:bottom w:w="0" w:type="dxa"/>
                    <w:right w:w="0" w:type="dxa"/>
                  </w:tcMar>
                  <w:vAlign w:val="center"/>
                </w:tcPr>
                <w:p w14:paraId="051863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45.8</w:t>
                  </w:r>
                </w:p>
              </w:tc>
              <w:tc>
                <w:tcPr>
                  <w:tcW w:w="586" w:type="dxa"/>
                  <w:shd w:val="clear" w:color="auto" w:fill="auto"/>
                  <w:noWrap w:val="0"/>
                  <w:tcMar>
                    <w:top w:w="0" w:type="dxa"/>
                    <w:left w:w="0" w:type="dxa"/>
                    <w:bottom w:w="0" w:type="dxa"/>
                    <w:right w:w="0" w:type="dxa"/>
                  </w:tcMar>
                  <w:vAlign w:val="center"/>
                </w:tcPr>
                <w:p w14:paraId="68BAD2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949" w:type="dxa"/>
                  <w:shd w:val="clear" w:color="auto" w:fill="auto"/>
                  <w:noWrap w:val="0"/>
                  <w:tcMar>
                    <w:top w:w="0" w:type="dxa"/>
                    <w:left w:w="0" w:type="dxa"/>
                    <w:bottom w:w="0" w:type="dxa"/>
                    <w:right w:w="0" w:type="dxa"/>
                  </w:tcMar>
                  <w:vAlign w:val="center"/>
                </w:tcPr>
                <w:p w14:paraId="46B5E3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0F5B3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71F8F7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551" w:type="dxa"/>
                  <w:shd w:val="clear" w:color="auto" w:fill="auto"/>
                  <w:noWrap w:val="0"/>
                  <w:tcMar>
                    <w:top w:w="0" w:type="dxa"/>
                    <w:left w:w="0" w:type="dxa"/>
                    <w:bottom w:w="0" w:type="dxa"/>
                    <w:right w:w="0" w:type="dxa"/>
                  </w:tcMar>
                  <w:vAlign w:val="center"/>
                </w:tcPr>
                <w:p w14:paraId="362922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清洗机2</w:t>
                  </w:r>
                </w:p>
              </w:tc>
              <w:tc>
                <w:tcPr>
                  <w:tcW w:w="750" w:type="dxa"/>
                  <w:shd w:val="clear" w:color="auto" w:fill="auto"/>
                  <w:noWrap w:val="0"/>
                  <w:tcMar>
                    <w:top w:w="0" w:type="dxa"/>
                    <w:left w:w="0" w:type="dxa"/>
                    <w:bottom w:w="0" w:type="dxa"/>
                    <w:right w:w="0" w:type="dxa"/>
                  </w:tcMar>
                  <w:vAlign w:val="center"/>
                </w:tcPr>
                <w:p w14:paraId="0B7F97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677E0B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5985ED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2CE2B5B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1968C2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583" w:type="dxa"/>
                  <w:shd w:val="clear" w:color="auto" w:fill="auto"/>
                  <w:noWrap w:val="0"/>
                  <w:tcMar>
                    <w:top w:w="0" w:type="dxa"/>
                    <w:left w:w="0" w:type="dxa"/>
                    <w:bottom w:w="0" w:type="dxa"/>
                    <w:right w:w="0" w:type="dxa"/>
                  </w:tcMar>
                  <w:vAlign w:val="center"/>
                </w:tcPr>
                <w:p w14:paraId="27B649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583" w:type="dxa"/>
                  <w:shd w:val="clear" w:color="auto" w:fill="auto"/>
                  <w:noWrap w:val="0"/>
                  <w:tcMar>
                    <w:top w:w="0" w:type="dxa"/>
                    <w:left w:w="0" w:type="dxa"/>
                    <w:bottom w:w="0" w:type="dxa"/>
                    <w:right w:w="0" w:type="dxa"/>
                  </w:tcMar>
                  <w:vAlign w:val="center"/>
                </w:tcPr>
                <w:p w14:paraId="009382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46.8</w:t>
                  </w:r>
                </w:p>
              </w:tc>
              <w:tc>
                <w:tcPr>
                  <w:tcW w:w="586" w:type="dxa"/>
                  <w:shd w:val="clear" w:color="auto" w:fill="auto"/>
                  <w:noWrap w:val="0"/>
                  <w:tcMar>
                    <w:top w:w="0" w:type="dxa"/>
                    <w:left w:w="0" w:type="dxa"/>
                    <w:bottom w:w="0" w:type="dxa"/>
                    <w:right w:w="0" w:type="dxa"/>
                  </w:tcMar>
                  <w:vAlign w:val="center"/>
                </w:tcPr>
                <w:p w14:paraId="2CA658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949" w:type="dxa"/>
                  <w:shd w:val="clear" w:color="auto" w:fill="auto"/>
                  <w:noWrap w:val="0"/>
                  <w:tcMar>
                    <w:top w:w="0" w:type="dxa"/>
                    <w:left w:w="0" w:type="dxa"/>
                    <w:bottom w:w="0" w:type="dxa"/>
                    <w:right w:w="0" w:type="dxa"/>
                  </w:tcMar>
                  <w:vAlign w:val="center"/>
                </w:tcPr>
                <w:p w14:paraId="575AD0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3253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61049B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551" w:type="dxa"/>
                  <w:shd w:val="clear" w:color="auto" w:fill="auto"/>
                  <w:noWrap w:val="0"/>
                  <w:tcMar>
                    <w:top w:w="0" w:type="dxa"/>
                    <w:left w:w="0" w:type="dxa"/>
                    <w:bottom w:w="0" w:type="dxa"/>
                    <w:right w:w="0" w:type="dxa"/>
                  </w:tcMar>
                  <w:vAlign w:val="center"/>
                </w:tcPr>
                <w:p w14:paraId="6E73AC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玉竹切片机1</w:t>
                  </w:r>
                </w:p>
              </w:tc>
              <w:tc>
                <w:tcPr>
                  <w:tcW w:w="750" w:type="dxa"/>
                  <w:shd w:val="clear" w:color="auto" w:fill="auto"/>
                  <w:noWrap w:val="0"/>
                  <w:tcMar>
                    <w:top w:w="0" w:type="dxa"/>
                    <w:left w:w="0" w:type="dxa"/>
                    <w:bottom w:w="0" w:type="dxa"/>
                    <w:right w:w="0" w:type="dxa"/>
                  </w:tcMar>
                  <w:vAlign w:val="center"/>
                </w:tcPr>
                <w:p w14:paraId="655B9A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104F5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05394D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788B10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2C339A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5B9A126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16DC8C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42.2</w:t>
                  </w:r>
                </w:p>
              </w:tc>
              <w:tc>
                <w:tcPr>
                  <w:tcW w:w="586" w:type="dxa"/>
                  <w:shd w:val="clear" w:color="auto" w:fill="auto"/>
                  <w:noWrap w:val="0"/>
                  <w:tcMar>
                    <w:top w:w="0" w:type="dxa"/>
                    <w:left w:w="0" w:type="dxa"/>
                    <w:bottom w:w="0" w:type="dxa"/>
                    <w:right w:w="0" w:type="dxa"/>
                  </w:tcMar>
                  <w:vAlign w:val="center"/>
                </w:tcPr>
                <w:p w14:paraId="07D3DD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137E42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06E9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229010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551" w:type="dxa"/>
                  <w:shd w:val="clear" w:color="auto" w:fill="auto"/>
                  <w:noWrap w:val="0"/>
                  <w:tcMar>
                    <w:top w:w="0" w:type="dxa"/>
                    <w:left w:w="0" w:type="dxa"/>
                    <w:bottom w:w="0" w:type="dxa"/>
                    <w:right w:w="0" w:type="dxa"/>
                  </w:tcMar>
                  <w:vAlign w:val="center"/>
                </w:tcPr>
                <w:p w14:paraId="469D44B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玉竹切片机</w:t>
                  </w:r>
                </w:p>
              </w:tc>
              <w:tc>
                <w:tcPr>
                  <w:tcW w:w="750" w:type="dxa"/>
                  <w:shd w:val="clear" w:color="auto" w:fill="auto"/>
                  <w:noWrap w:val="0"/>
                  <w:tcMar>
                    <w:top w:w="0" w:type="dxa"/>
                    <w:left w:w="0" w:type="dxa"/>
                    <w:bottom w:w="0" w:type="dxa"/>
                    <w:right w:w="0" w:type="dxa"/>
                  </w:tcMar>
                  <w:vAlign w:val="center"/>
                </w:tcPr>
                <w:p w14:paraId="7C447D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FB3CA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5C4C0C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22EA63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631649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7FDBD88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08EA86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40.7</w:t>
                  </w:r>
                </w:p>
              </w:tc>
              <w:tc>
                <w:tcPr>
                  <w:tcW w:w="586" w:type="dxa"/>
                  <w:shd w:val="clear" w:color="auto" w:fill="auto"/>
                  <w:noWrap w:val="0"/>
                  <w:tcMar>
                    <w:top w:w="0" w:type="dxa"/>
                    <w:left w:w="0" w:type="dxa"/>
                    <w:bottom w:w="0" w:type="dxa"/>
                    <w:right w:w="0" w:type="dxa"/>
                  </w:tcMar>
                  <w:vAlign w:val="center"/>
                </w:tcPr>
                <w:p w14:paraId="009E1C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547814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DDF0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1303EA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551" w:type="dxa"/>
                  <w:shd w:val="clear" w:color="auto" w:fill="auto"/>
                  <w:noWrap w:val="0"/>
                  <w:tcMar>
                    <w:top w:w="0" w:type="dxa"/>
                    <w:left w:w="0" w:type="dxa"/>
                    <w:bottom w:w="0" w:type="dxa"/>
                    <w:right w:w="0" w:type="dxa"/>
                  </w:tcMar>
                  <w:vAlign w:val="center"/>
                </w:tcPr>
                <w:p w14:paraId="79A04B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玉竹切片机3</w:t>
                  </w:r>
                </w:p>
              </w:tc>
              <w:tc>
                <w:tcPr>
                  <w:tcW w:w="750" w:type="dxa"/>
                  <w:shd w:val="clear" w:color="auto" w:fill="auto"/>
                  <w:noWrap w:val="0"/>
                  <w:tcMar>
                    <w:top w:w="0" w:type="dxa"/>
                    <w:left w:w="0" w:type="dxa"/>
                    <w:bottom w:w="0" w:type="dxa"/>
                    <w:right w:w="0" w:type="dxa"/>
                  </w:tcMar>
                  <w:vAlign w:val="center"/>
                </w:tcPr>
                <w:p w14:paraId="70DD55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3E391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33D17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558CE5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28E4F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55BE7F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2110DF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40.3</w:t>
                  </w:r>
                </w:p>
              </w:tc>
              <w:tc>
                <w:tcPr>
                  <w:tcW w:w="586" w:type="dxa"/>
                  <w:shd w:val="clear" w:color="auto" w:fill="auto"/>
                  <w:noWrap w:val="0"/>
                  <w:tcMar>
                    <w:top w:w="0" w:type="dxa"/>
                    <w:left w:w="0" w:type="dxa"/>
                    <w:bottom w:w="0" w:type="dxa"/>
                    <w:right w:w="0" w:type="dxa"/>
                  </w:tcMar>
                  <w:vAlign w:val="center"/>
                </w:tcPr>
                <w:p w14:paraId="142CD2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4195A4C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6B628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2588CD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551" w:type="dxa"/>
                  <w:shd w:val="clear" w:color="auto" w:fill="auto"/>
                  <w:noWrap w:val="0"/>
                  <w:tcMar>
                    <w:top w:w="0" w:type="dxa"/>
                    <w:left w:w="0" w:type="dxa"/>
                    <w:bottom w:w="0" w:type="dxa"/>
                    <w:right w:w="0" w:type="dxa"/>
                  </w:tcMar>
                  <w:vAlign w:val="center"/>
                </w:tcPr>
                <w:p w14:paraId="0802407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玉竹切片机4</w:t>
                  </w:r>
                </w:p>
              </w:tc>
              <w:tc>
                <w:tcPr>
                  <w:tcW w:w="750" w:type="dxa"/>
                  <w:shd w:val="clear" w:color="auto" w:fill="auto"/>
                  <w:noWrap w:val="0"/>
                  <w:tcMar>
                    <w:top w:w="0" w:type="dxa"/>
                    <w:left w:w="0" w:type="dxa"/>
                    <w:bottom w:w="0" w:type="dxa"/>
                    <w:right w:w="0" w:type="dxa"/>
                  </w:tcMar>
                  <w:vAlign w:val="center"/>
                </w:tcPr>
                <w:p w14:paraId="3A1851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AA73C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363B46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2DEEA2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53A2B8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6D36F0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782832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w:t>
                  </w:r>
                </w:p>
              </w:tc>
              <w:tc>
                <w:tcPr>
                  <w:tcW w:w="586" w:type="dxa"/>
                  <w:shd w:val="clear" w:color="auto" w:fill="auto"/>
                  <w:noWrap w:val="0"/>
                  <w:tcMar>
                    <w:top w:w="0" w:type="dxa"/>
                    <w:left w:w="0" w:type="dxa"/>
                    <w:bottom w:w="0" w:type="dxa"/>
                    <w:right w:w="0" w:type="dxa"/>
                  </w:tcMar>
                  <w:vAlign w:val="center"/>
                </w:tcPr>
                <w:p w14:paraId="3EA297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1065AF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D1246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349EAB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551" w:type="dxa"/>
                  <w:shd w:val="clear" w:color="auto" w:fill="auto"/>
                  <w:noWrap w:val="0"/>
                  <w:tcMar>
                    <w:top w:w="0" w:type="dxa"/>
                    <w:left w:w="0" w:type="dxa"/>
                    <w:bottom w:w="0" w:type="dxa"/>
                    <w:right w:w="0" w:type="dxa"/>
                  </w:tcMar>
                  <w:vAlign w:val="center"/>
                </w:tcPr>
                <w:p w14:paraId="014EC4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玉竹切片机5</w:t>
                  </w:r>
                </w:p>
              </w:tc>
              <w:tc>
                <w:tcPr>
                  <w:tcW w:w="750" w:type="dxa"/>
                  <w:shd w:val="clear" w:color="auto" w:fill="auto"/>
                  <w:noWrap w:val="0"/>
                  <w:tcMar>
                    <w:top w:w="0" w:type="dxa"/>
                    <w:left w:w="0" w:type="dxa"/>
                    <w:bottom w:w="0" w:type="dxa"/>
                    <w:right w:w="0" w:type="dxa"/>
                  </w:tcMar>
                  <w:vAlign w:val="center"/>
                </w:tcPr>
                <w:p w14:paraId="712C40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10CB5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E275C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52B7CB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3C23F5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6237DB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28EE8B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w:t>
                  </w:r>
                </w:p>
              </w:tc>
              <w:tc>
                <w:tcPr>
                  <w:tcW w:w="586" w:type="dxa"/>
                  <w:shd w:val="clear" w:color="auto" w:fill="auto"/>
                  <w:noWrap w:val="0"/>
                  <w:tcMar>
                    <w:top w:w="0" w:type="dxa"/>
                    <w:left w:w="0" w:type="dxa"/>
                    <w:bottom w:w="0" w:type="dxa"/>
                    <w:right w:w="0" w:type="dxa"/>
                  </w:tcMar>
                  <w:vAlign w:val="center"/>
                </w:tcPr>
                <w:p w14:paraId="7ED341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51E1A5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7EA1B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4FDAC6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551" w:type="dxa"/>
                  <w:shd w:val="clear" w:color="auto" w:fill="auto"/>
                  <w:noWrap w:val="0"/>
                  <w:tcMar>
                    <w:top w:w="0" w:type="dxa"/>
                    <w:left w:w="0" w:type="dxa"/>
                    <w:bottom w:w="0" w:type="dxa"/>
                    <w:right w:w="0" w:type="dxa"/>
                  </w:tcMar>
                  <w:vAlign w:val="center"/>
                </w:tcPr>
                <w:p w14:paraId="79C6DA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玉竹切片机6</w:t>
                  </w:r>
                </w:p>
              </w:tc>
              <w:tc>
                <w:tcPr>
                  <w:tcW w:w="750" w:type="dxa"/>
                  <w:shd w:val="clear" w:color="auto" w:fill="auto"/>
                  <w:noWrap w:val="0"/>
                  <w:tcMar>
                    <w:top w:w="0" w:type="dxa"/>
                    <w:left w:w="0" w:type="dxa"/>
                    <w:bottom w:w="0" w:type="dxa"/>
                    <w:right w:w="0" w:type="dxa"/>
                  </w:tcMar>
                  <w:vAlign w:val="center"/>
                </w:tcPr>
                <w:p w14:paraId="46729C6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281D04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665FF4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1AC5ED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64541F8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73F03F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7CF70C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40.3</w:t>
                  </w:r>
                </w:p>
              </w:tc>
              <w:tc>
                <w:tcPr>
                  <w:tcW w:w="586" w:type="dxa"/>
                  <w:shd w:val="clear" w:color="auto" w:fill="auto"/>
                  <w:noWrap w:val="0"/>
                  <w:tcMar>
                    <w:top w:w="0" w:type="dxa"/>
                    <w:left w:w="0" w:type="dxa"/>
                    <w:bottom w:w="0" w:type="dxa"/>
                    <w:right w:w="0" w:type="dxa"/>
                  </w:tcMar>
                  <w:vAlign w:val="center"/>
                </w:tcPr>
                <w:p w14:paraId="6F2C8B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403047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58FA0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39BDA0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551" w:type="dxa"/>
                  <w:shd w:val="clear" w:color="auto" w:fill="auto"/>
                  <w:noWrap w:val="0"/>
                  <w:tcMar>
                    <w:top w:w="0" w:type="dxa"/>
                    <w:left w:w="0" w:type="dxa"/>
                    <w:bottom w:w="0" w:type="dxa"/>
                    <w:right w:w="0" w:type="dxa"/>
                  </w:tcMar>
                  <w:vAlign w:val="center"/>
                </w:tcPr>
                <w:p w14:paraId="062F50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玉竹切片机7</w:t>
                  </w:r>
                </w:p>
              </w:tc>
              <w:tc>
                <w:tcPr>
                  <w:tcW w:w="750" w:type="dxa"/>
                  <w:shd w:val="clear" w:color="auto" w:fill="auto"/>
                  <w:noWrap w:val="0"/>
                  <w:tcMar>
                    <w:top w:w="0" w:type="dxa"/>
                    <w:left w:w="0" w:type="dxa"/>
                    <w:bottom w:w="0" w:type="dxa"/>
                    <w:right w:w="0" w:type="dxa"/>
                  </w:tcMar>
                  <w:vAlign w:val="center"/>
                </w:tcPr>
                <w:p w14:paraId="2841EE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63F265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072FC6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5545A0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2E701F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1B4D902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42FD74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40.7</w:t>
                  </w:r>
                </w:p>
              </w:tc>
              <w:tc>
                <w:tcPr>
                  <w:tcW w:w="586" w:type="dxa"/>
                  <w:shd w:val="clear" w:color="auto" w:fill="auto"/>
                  <w:noWrap w:val="0"/>
                  <w:tcMar>
                    <w:top w:w="0" w:type="dxa"/>
                    <w:left w:w="0" w:type="dxa"/>
                    <w:bottom w:w="0" w:type="dxa"/>
                    <w:right w:w="0" w:type="dxa"/>
                  </w:tcMar>
                  <w:vAlign w:val="center"/>
                </w:tcPr>
                <w:p w14:paraId="7FD6A7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55509AD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7C097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1F58F0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51" w:type="dxa"/>
                  <w:shd w:val="clear" w:color="auto" w:fill="auto"/>
                  <w:noWrap w:val="0"/>
                  <w:tcMar>
                    <w:top w:w="0" w:type="dxa"/>
                    <w:left w:w="0" w:type="dxa"/>
                    <w:bottom w:w="0" w:type="dxa"/>
                    <w:right w:w="0" w:type="dxa"/>
                  </w:tcMar>
                  <w:vAlign w:val="center"/>
                </w:tcPr>
                <w:p w14:paraId="4D4AF5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玉竹切片机8</w:t>
                  </w:r>
                </w:p>
              </w:tc>
              <w:tc>
                <w:tcPr>
                  <w:tcW w:w="750" w:type="dxa"/>
                  <w:shd w:val="clear" w:color="auto" w:fill="auto"/>
                  <w:noWrap w:val="0"/>
                  <w:tcMar>
                    <w:top w:w="0" w:type="dxa"/>
                    <w:left w:w="0" w:type="dxa"/>
                    <w:bottom w:w="0" w:type="dxa"/>
                    <w:right w:w="0" w:type="dxa"/>
                  </w:tcMar>
                  <w:vAlign w:val="center"/>
                </w:tcPr>
                <w:p w14:paraId="26675F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5DACF3D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79002E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065BC9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309617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5E521D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5FFF612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42.7</w:t>
                  </w:r>
                </w:p>
              </w:tc>
              <w:tc>
                <w:tcPr>
                  <w:tcW w:w="586" w:type="dxa"/>
                  <w:shd w:val="clear" w:color="auto" w:fill="auto"/>
                  <w:noWrap w:val="0"/>
                  <w:tcMar>
                    <w:top w:w="0" w:type="dxa"/>
                    <w:left w:w="0" w:type="dxa"/>
                    <w:bottom w:w="0" w:type="dxa"/>
                    <w:right w:w="0" w:type="dxa"/>
                  </w:tcMar>
                  <w:vAlign w:val="center"/>
                </w:tcPr>
                <w:p w14:paraId="44EE76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22BAB6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1CAB8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56498F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551" w:type="dxa"/>
                  <w:shd w:val="clear" w:color="auto" w:fill="auto"/>
                  <w:noWrap w:val="0"/>
                  <w:tcMar>
                    <w:top w:w="0" w:type="dxa"/>
                    <w:left w:w="0" w:type="dxa"/>
                    <w:bottom w:w="0" w:type="dxa"/>
                    <w:right w:w="0" w:type="dxa"/>
                  </w:tcMar>
                  <w:vAlign w:val="center"/>
                </w:tcPr>
                <w:p w14:paraId="165399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切药机1</w:t>
                  </w:r>
                </w:p>
              </w:tc>
              <w:tc>
                <w:tcPr>
                  <w:tcW w:w="750" w:type="dxa"/>
                  <w:shd w:val="clear" w:color="auto" w:fill="auto"/>
                  <w:noWrap w:val="0"/>
                  <w:tcMar>
                    <w:top w:w="0" w:type="dxa"/>
                    <w:left w:w="0" w:type="dxa"/>
                    <w:bottom w:w="0" w:type="dxa"/>
                    <w:right w:w="0" w:type="dxa"/>
                  </w:tcMar>
                  <w:vAlign w:val="center"/>
                </w:tcPr>
                <w:p w14:paraId="7E351F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35AE07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222B86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60291B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172801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3A1173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1EC7A8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40.6</w:t>
                  </w:r>
                </w:p>
              </w:tc>
              <w:tc>
                <w:tcPr>
                  <w:tcW w:w="586" w:type="dxa"/>
                  <w:shd w:val="clear" w:color="auto" w:fill="auto"/>
                  <w:noWrap w:val="0"/>
                  <w:tcMar>
                    <w:top w:w="0" w:type="dxa"/>
                    <w:left w:w="0" w:type="dxa"/>
                    <w:bottom w:w="0" w:type="dxa"/>
                    <w:right w:w="0" w:type="dxa"/>
                  </w:tcMar>
                  <w:vAlign w:val="center"/>
                </w:tcPr>
                <w:p w14:paraId="78A555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738D74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6062B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5BCC09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551" w:type="dxa"/>
                  <w:shd w:val="clear" w:color="auto" w:fill="auto"/>
                  <w:noWrap w:val="0"/>
                  <w:tcMar>
                    <w:top w:w="0" w:type="dxa"/>
                    <w:left w:w="0" w:type="dxa"/>
                    <w:bottom w:w="0" w:type="dxa"/>
                    <w:right w:w="0" w:type="dxa"/>
                  </w:tcMar>
                  <w:vAlign w:val="center"/>
                </w:tcPr>
                <w:p w14:paraId="7EDC7F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切药机2</w:t>
                  </w:r>
                </w:p>
              </w:tc>
              <w:tc>
                <w:tcPr>
                  <w:tcW w:w="750" w:type="dxa"/>
                  <w:shd w:val="clear" w:color="auto" w:fill="auto"/>
                  <w:noWrap w:val="0"/>
                  <w:tcMar>
                    <w:top w:w="0" w:type="dxa"/>
                    <w:left w:w="0" w:type="dxa"/>
                    <w:bottom w:w="0" w:type="dxa"/>
                    <w:right w:w="0" w:type="dxa"/>
                  </w:tcMar>
                  <w:vAlign w:val="center"/>
                </w:tcPr>
                <w:p w14:paraId="5129806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0DE543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18D0F1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5F938E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52F438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789C3A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5AFF6A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40.7</w:t>
                  </w:r>
                </w:p>
              </w:tc>
              <w:tc>
                <w:tcPr>
                  <w:tcW w:w="586" w:type="dxa"/>
                  <w:shd w:val="clear" w:color="auto" w:fill="auto"/>
                  <w:noWrap w:val="0"/>
                  <w:tcMar>
                    <w:top w:w="0" w:type="dxa"/>
                    <w:left w:w="0" w:type="dxa"/>
                    <w:bottom w:w="0" w:type="dxa"/>
                    <w:right w:w="0" w:type="dxa"/>
                  </w:tcMar>
                  <w:vAlign w:val="center"/>
                </w:tcPr>
                <w:p w14:paraId="6FA351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66947A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7DFBD1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10263B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551" w:type="dxa"/>
                  <w:shd w:val="clear" w:color="auto" w:fill="auto"/>
                  <w:noWrap w:val="0"/>
                  <w:tcMar>
                    <w:top w:w="0" w:type="dxa"/>
                    <w:left w:w="0" w:type="dxa"/>
                    <w:bottom w:w="0" w:type="dxa"/>
                    <w:right w:w="0" w:type="dxa"/>
                  </w:tcMar>
                  <w:vAlign w:val="center"/>
                </w:tcPr>
                <w:p w14:paraId="517AFD5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切药机3</w:t>
                  </w:r>
                </w:p>
              </w:tc>
              <w:tc>
                <w:tcPr>
                  <w:tcW w:w="750" w:type="dxa"/>
                  <w:shd w:val="clear" w:color="auto" w:fill="auto"/>
                  <w:noWrap w:val="0"/>
                  <w:tcMar>
                    <w:top w:w="0" w:type="dxa"/>
                    <w:left w:w="0" w:type="dxa"/>
                    <w:bottom w:w="0" w:type="dxa"/>
                    <w:right w:w="0" w:type="dxa"/>
                  </w:tcMar>
                  <w:vAlign w:val="center"/>
                </w:tcPr>
                <w:p w14:paraId="33320C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1F276C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04FA80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416D9C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352722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2E746F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42806D8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40.8</w:t>
                  </w:r>
                </w:p>
              </w:tc>
              <w:tc>
                <w:tcPr>
                  <w:tcW w:w="586" w:type="dxa"/>
                  <w:shd w:val="clear" w:color="auto" w:fill="auto"/>
                  <w:noWrap w:val="0"/>
                  <w:tcMar>
                    <w:top w:w="0" w:type="dxa"/>
                    <w:left w:w="0" w:type="dxa"/>
                    <w:bottom w:w="0" w:type="dxa"/>
                    <w:right w:w="0" w:type="dxa"/>
                  </w:tcMar>
                  <w:vAlign w:val="center"/>
                </w:tcPr>
                <w:p w14:paraId="0D384C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624AD3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D5D0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16A13C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551" w:type="dxa"/>
                  <w:shd w:val="clear" w:color="auto" w:fill="auto"/>
                  <w:noWrap w:val="0"/>
                  <w:tcMar>
                    <w:top w:w="0" w:type="dxa"/>
                    <w:left w:w="0" w:type="dxa"/>
                    <w:bottom w:w="0" w:type="dxa"/>
                    <w:right w:w="0" w:type="dxa"/>
                  </w:tcMar>
                  <w:vAlign w:val="center"/>
                </w:tcPr>
                <w:p w14:paraId="367DA0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脱皮机</w:t>
                  </w:r>
                </w:p>
              </w:tc>
              <w:tc>
                <w:tcPr>
                  <w:tcW w:w="750" w:type="dxa"/>
                  <w:shd w:val="clear" w:color="auto" w:fill="auto"/>
                  <w:noWrap w:val="0"/>
                  <w:tcMar>
                    <w:top w:w="0" w:type="dxa"/>
                    <w:left w:w="0" w:type="dxa"/>
                    <w:bottom w:w="0" w:type="dxa"/>
                    <w:right w:w="0" w:type="dxa"/>
                  </w:tcMar>
                  <w:vAlign w:val="center"/>
                </w:tcPr>
                <w:p w14:paraId="13242F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16993F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3EC12F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2DBA2C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41C777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45.1</w:t>
                  </w:r>
                </w:p>
              </w:tc>
              <w:tc>
                <w:tcPr>
                  <w:tcW w:w="583" w:type="dxa"/>
                  <w:shd w:val="clear" w:color="auto" w:fill="auto"/>
                  <w:noWrap w:val="0"/>
                  <w:tcMar>
                    <w:top w:w="0" w:type="dxa"/>
                    <w:left w:w="0" w:type="dxa"/>
                    <w:bottom w:w="0" w:type="dxa"/>
                    <w:right w:w="0" w:type="dxa"/>
                  </w:tcMar>
                  <w:vAlign w:val="center"/>
                </w:tcPr>
                <w:p w14:paraId="549B59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583" w:type="dxa"/>
                  <w:shd w:val="clear" w:color="auto" w:fill="auto"/>
                  <w:noWrap w:val="0"/>
                  <w:tcMar>
                    <w:top w:w="0" w:type="dxa"/>
                    <w:left w:w="0" w:type="dxa"/>
                    <w:bottom w:w="0" w:type="dxa"/>
                    <w:right w:w="0" w:type="dxa"/>
                  </w:tcMar>
                  <w:vAlign w:val="center"/>
                </w:tcPr>
                <w:p w14:paraId="5E7744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586" w:type="dxa"/>
                  <w:shd w:val="clear" w:color="auto" w:fill="auto"/>
                  <w:noWrap w:val="0"/>
                  <w:tcMar>
                    <w:top w:w="0" w:type="dxa"/>
                    <w:left w:w="0" w:type="dxa"/>
                    <w:bottom w:w="0" w:type="dxa"/>
                    <w:right w:w="0" w:type="dxa"/>
                  </w:tcMar>
                  <w:vAlign w:val="center"/>
                </w:tcPr>
                <w:p w14:paraId="6BC137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w:t>
                  </w:r>
                </w:p>
              </w:tc>
              <w:tc>
                <w:tcPr>
                  <w:tcW w:w="949" w:type="dxa"/>
                  <w:shd w:val="clear" w:color="auto" w:fill="auto"/>
                  <w:noWrap w:val="0"/>
                  <w:tcMar>
                    <w:top w:w="0" w:type="dxa"/>
                    <w:left w:w="0" w:type="dxa"/>
                    <w:bottom w:w="0" w:type="dxa"/>
                    <w:right w:w="0" w:type="dxa"/>
                  </w:tcMar>
                  <w:vAlign w:val="center"/>
                </w:tcPr>
                <w:p w14:paraId="41F28D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02284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38836B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551" w:type="dxa"/>
                  <w:shd w:val="clear" w:color="auto" w:fill="auto"/>
                  <w:noWrap w:val="0"/>
                  <w:tcMar>
                    <w:top w:w="0" w:type="dxa"/>
                    <w:left w:w="0" w:type="dxa"/>
                    <w:bottom w:w="0" w:type="dxa"/>
                    <w:right w:w="0" w:type="dxa"/>
                  </w:tcMar>
                  <w:vAlign w:val="center"/>
                </w:tcPr>
                <w:p w14:paraId="1E2137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筛药机</w:t>
                  </w:r>
                </w:p>
              </w:tc>
              <w:tc>
                <w:tcPr>
                  <w:tcW w:w="750" w:type="dxa"/>
                  <w:shd w:val="clear" w:color="auto" w:fill="auto"/>
                  <w:noWrap w:val="0"/>
                  <w:tcMar>
                    <w:top w:w="0" w:type="dxa"/>
                    <w:left w:w="0" w:type="dxa"/>
                    <w:bottom w:w="0" w:type="dxa"/>
                    <w:right w:w="0" w:type="dxa"/>
                  </w:tcMar>
                  <w:vAlign w:val="center"/>
                </w:tcPr>
                <w:p w14:paraId="6F92FD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1AEC61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013FBD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045680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762C36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40.2</w:t>
                  </w:r>
                </w:p>
              </w:tc>
              <w:tc>
                <w:tcPr>
                  <w:tcW w:w="583" w:type="dxa"/>
                  <w:shd w:val="clear" w:color="auto" w:fill="auto"/>
                  <w:noWrap w:val="0"/>
                  <w:tcMar>
                    <w:top w:w="0" w:type="dxa"/>
                    <w:left w:w="0" w:type="dxa"/>
                    <w:bottom w:w="0" w:type="dxa"/>
                    <w:right w:w="0" w:type="dxa"/>
                  </w:tcMar>
                  <w:vAlign w:val="center"/>
                </w:tcPr>
                <w:p w14:paraId="507BAEC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405FC5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6" w:type="dxa"/>
                  <w:shd w:val="clear" w:color="auto" w:fill="auto"/>
                  <w:noWrap w:val="0"/>
                  <w:tcMar>
                    <w:top w:w="0" w:type="dxa"/>
                    <w:left w:w="0" w:type="dxa"/>
                    <w:bottom w:w="0" w:type="dxa"/>
                    <w:right w:w="0" w:type="dxa"/>
                  </w:tcMar>
                  <w:vAlign w:val="center"/>
                </w:tcPr>
                <w:p w14:paraId="6B421A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09EE95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709CE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293AE0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551" w:type="dxa"/>
                  <w:shd w:val="clear" w:color="auto" w:fill="auto"/>
                  <w:noWrap w:val="0"/>
                  <w:tcMar>
                    <w:top w:w="0" w:type="dxa"/>
                    <w:left w:w="0" w:type="dxa"/>
                    <w:bottom w:w="0" w:type="dxa"/>
                    <w:right w:w="0" w:type="dxa"/>
                  </w:tcMar>
                  <w:vAlign w:val="center"/>
                </w:tcPr>
                <w:p w14:paraId="25A119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筛选机1</w:t>
                  </w:r>
                </w:p>
              </w:tc>
              <w:tc>
                <w:tcPr>
                  <w:tcW w:w="750" w:type="dxa"/>
                  <w:shd w:val="clear" w:color="auto" w:fill="auto"/>
                  <w:noWrap w:val="0"/>
                  <w:tcMar>
                    <w:top w:w="0" w:type="dxa"/>
                    <w:left w:w="0" w:type="dxa"/>
                    <w:bottom w:w="0" w:type="dxa"/>
                    <w:right w:w="0" w:type="dxa"/>
                  </w:tcMar>
                  <w:vAlign w:val="center"/>
                </w:tcPr>
                <w:p w14:paraId="631028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6A8A9E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09594A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3EFB65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7AF2C6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5535F9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5D95EB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40.5</w:t>
                  </w:r>
                </w:p>
              </w:tc>
              <w:tc>
                <w:tcPr>
                  <w:tcW w:w="586" w:type="dxa"/>
                  <w:shd w:val="clear" w:color="auto" w:fill="auto"/>
                  <w:noWrap w:val="0"/>
                  <w:tcMar>
                    <w:top w:w="0" w:type="dxa"/>
                    <w:left w:w="0" w:type="dxa"/>
                    <w:bottom w:w="0" w:type="dxa"/>
                    <w:right w:w="0" w:type="dxa"/>
                  </w:tcMar>
                  <w:vAlign w:val="center"/>
                </w:tcPr>
                <w:p w14:paraId="3B99B3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949" w:type="dxa"/>
                  <w:shd w:val="clear" w:color="auto" w:fill="auto"/>
                  <w:noWrap w:val="0"/>
                  <w:tcMar>
                    <w:top w:w="0" w:type="dxa"/>
                    <w:left w:w="0" w:type="dxa"/>
                    <w:bottom w:w="0" w:type="dxa"/>
                    <w:right w:w="0" w:type="dxa"/>
                  </w:tcMar>
                  <w:vAlign w:val="center"/>
                </w:tcPr>
                <w:p w14:paraId="6B1CB8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6B279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383" w:type="dxa"/>
                  <w:shd w:val="clear" w:color="auto" w:fill="auto"/>
                  <w:noWrap w:val="0"/>
                  <w:tcMar>
                    <w:top w:w="0" w:type="dxa"/>
                    <w:left w:w="0" w:type="dxa"/>
                    <w:bottom w:w="0" w:type="dxa"/>
                    <w:right w:w="0" w:type="dxa"/>
                  </w:tcMar>
                  <w:vAlign w:val="center"/>
                </w:tcPr>
                <w:p w14:paraId="19C492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551" w:type="dxa"/>
                  <w:shd w:val="clear" w:color="auto" w:fill="auto"/>
                  <w:noWrap w:val="0"/>
                  <w:tcMar>
                    <w:top w:w="0" w:type="dxa"/>
                    <w:left w:w="0" w:type="dxa"/>
                    <w:bottom w:w="0" w:type="dxa"/>
                    <w:right w:w="0" w:type="dxa"/>
                  </w:tcMar>
                  <w:vAlign w:val="center"/>
                </w:tcPr>
                <w:p w14:paraId="458A5D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筛选机2</w:t>
                  </w:r>
                </w:p>
              </w:tc>
              <w:tc>
                <w:tcPr>
                  <w:tcW w:w="750" w:type="dxa"/>
                  <w:shd w:val="clear" w:color="auto" w:fill="auto"/>
                  <w:noWrap w:val="0"/>
                  <w:tcMar>
                    <w:top w:w="0" w:type="dxa"/>
                    <w:left w:w="0" w:type="dxa"/>
                    <w:bottom w:w="0" w:type="dxa"/>
                    <w:right w:w="0" w:type="dxa"/>
                  </w:tcMar>
                  <w:vAlign w:val="center"/>
                </w:tcPr>
                <w:p w14:paraId="4C9962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3B2CF5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7D5306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4" w:type="dxa"/>
                  <w:shd w:val="clear" w:color="auto" w:fill="auto"/>
                  <w:noWrap w:val="0"/>
                  <w:tcMar>
                    <w:top w:w="0" w:type="dxa"/>
                    <w:left w:w="0" w:type="dxa"/>
                    <w:bottom w:w="0" w:type="dxa"/>
                    <w:right w:w="0" w:type="dxa"/>
                  </w:tcMar>
                  <w:vAlign w:val="center"/>
                </w:tcPr>
                <w:p w14:paraId="2B97A0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583" w:type="dxa"/>
                  <w:shd w:val="clear" w:color="auto" w:fill="auto"/>
                  <w:noWrap w:val="0"/>
                  <w:tcMar>
                    <w:top w:w="0" w:type="dxa"/>
                    <w:left w:w="0" w:type="dxa"/>
                    <w:bottom w:w="0" w:type="dxa"/>
                    <w:right w:w="0" w:type="dxa"/>
                  </w:tcMar>
                  <w:vAlign w:val="center"/>
                </w:tcPr>
                <w:p w14:paraId="240FD3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086569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583" w:type="dxa"/>
                  <w:shd w:val="clear" w:color="auto" w:fill="auto"/>
                  <w:noWrap w:val="0"/>
                  <w:tcMar>
                    <w:top w:w="0" w:type="dxa"/>
                    <w:left w:w="0" w:type="dxa"/>
                    <w:bottom w:w="0" w:type="dxa"/>
                    <w:right w:w="0" w:type="dxa"/>
                  </w:tcMar>
                  <w:vAlign w:val="center"/>
                </w:tcPr>
                <w:p w14:paraId="683A35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40.5</w:t>
                  </w:r>
                </w:p>
              </w:tc>
              <w:tc>
                <w:tcPr>
                  <w:tcW w:w="586" w:type="dxa"/>
                  <w:shd w:val="clear" w:color="auto" w:fill="auto"/>
                  <w:noWrap w:val="0"/>
                  <w:tcMar>
                    <w:top w:w="0" w:type="dxa"/>
                    <w:left w:w="0" w:type="dxa"/>
                    <w:bottom w:w="0" w:type="dxa"/>
                    <w:right w:w="0" w:type="dxa"/>
                  </w:tcMar>
                  <w:vAlign w:val="center"/>
                </w:tcPr>
                <w:p w14:paraId="286648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39.9</w:t>
                  </w:r>
                </w:p>
              </w:tc>
              <w:tc>
                <w:tcPr>
                  <w:tcW w:w="949" w:type="dxa"/>
                  <w:shd w:val="clear" w:color="auto" w:fill="auto"/>
                  <w:noWrap w:val="0"/>
                  <w:tcMar>
                    <w:top w:w="0" w:type="dxa"/>
                    <w:left w:w="0" w:type="dxa"/>
                    <w:bottom w:w="0" w:type="dxa"/>
                    <w:right w:w="0" w:type="dxa"/>
                  </w:tcMar>
                  <w:vAlign w:val="center"/>
                </w:tcPr>
                <w:p w14:paraId="1E900A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bl>
          <w:p w14:paraId="0092B280">
            <w:pPr>
              <w:pStyle w:val="130"/>
              <w:snapToGrid w:val="0"/>
              <w:spacing w:before="120" w:beforeLines="50" w:line="240" w:lineRule="auto"/>
              <w:ind w:firstLine="0" w:firstLineChars="0"/>
              <w:jc w:val="center"/>
              <w:rPr>
                <w:rFonts w:hint="eastAsia"/>
                <w:b/>
                <w:bCs/>
                <w:color w:val="auto"/>
                <w:szCs w:val="24"/>
              </w:rPr>
            </w:pPr>
            <w:r>
              <w:rPr>
                <w:b/>
                <w:bCs/>
                <w:color w:val="auto"/>
                <w:szCs w:val="24"/>
              </w:rPr>
              <w:t>表4</w:t>
            </w:r>
            <w:r>
              <w:rPr>
                <w:rFonts w:hint="eastAsia"/>
                <w:b/>
                <w:bCs/>
                <w:color w:val="auto"/>
                <w:szCs w:val="24"/>
              </w:rPr>
              <w:t>-1</w:t>
            </w:r>
            <w:r>
              <w:rPr>
                <w:rFonts w:hint="eastAsia"/>
                <w:b/>
                <w:bCs/>
                <w:color w:val="auto"/>
                <w:szCs w:val="24"/>
                <w:lang w:val="en-US" w:eastAsia="zh-CN"/>
              </w:rPr>
              <w:t>4</w:t>
            </w:r>
            <w:r>
              <w:rPr>
                <w:rFonts w:hint="eastAsia"/>
                <w:b/>
                <w:bCs/>
                <w:color w:val="auto"/>
                <w:szCs w:val="24"/>
              </w:rPr>
              <w:t xml:space="preserve">   噪声污染源强调查清单（室外声源）</w:t>
            </w:r>
          </w:p>
          <w:tbl>
            <w:tblPr>
              <w:tblStyle w:val="32"/>
              <w:tblW w:w="77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12"/>
              <w:gridCol w:w="1250"/>
              <w:gridCol w:w="600"/>
              <w:gridCol w:w="656"/>
              <w:gridCol w:w="623"/>
              <w:gridCol w:w="1731"/>
              <w:gridCol w:w="1846"/>
              <w:gridCol w:w="639"/>
            </w:tblGrid>
            <w:tr w14:paraId="665DC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2" w:type="dxa"/>
                  <w:vMerge w:val="restart"/>
                  <w:shd w:val="clear" w:color="auto" w:fill="auto"/>
                  <w:noWrap w:val="0"/>
                  <w:vAlign w:val="center"/>
                </w:tcPr>
                <w:p w14:paraId="6E3CBB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序号</w:t>
                  </w:r>
                </w:p>
              </w:tc>
              <w:tc>
                <w:tcPr>
                  <w:tcW w:w="1250" w:type="dxa"/>
                  <w:vMerge w:val="restart"/>
                  <w:shd w:val="clear" w:color="auto" w:fill="auto"/>
                  <w:noWrap w:val="0"/>
                  <w:vAlign w:val="center"/>
                </w:tcPr>
                <w:p w14:paraId="60B830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声源名称</w:t>
                  </w:r>
                </w:p>
              </w:tc>
              <w:tc>
                <w:tcPr>
                  <w:tcW w:w="1879" w:type="dxa"/>
                  <w:gridSpan w:val="3"/>
                  <w:shd w:val="clear" w:color="auto" w:fill="auto"/>
                  <w:noWrap w:val="0"/>
                  <w:vAlign w:val="center"/>
                </w:tcPr>
                <w:p w14:paraId="1A58A2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空间相对位置/m</w:t>
                  </w:r>
                </w:p>
              </w:tc>
              <w:tc>
                <w:tcPr>
                  <w:tcW w:w="1731" w:type="dxa"/>
                  <w:shd w:val="clear" w:color="auto" w:fill="auto"/>
                  <w:noWrap w:val="0"/>
                  <w:vAlign w:val="center"/>
                </w:tcPr>
                <w:p w14:paraId="1D9C9AB6">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声源源强（任选一种）</w:t>
                  </w:r>
                </w:p>
              </w:tc>
              <w:tc>
                <w:tcPr>
                  <w:tcW w:w="1846" w:type="dxa"/>
                  <w:vMerge w:val="restart"/>
                  <w:shd w:val="clear" w:color="auto" w:fill="auto"/>
                  <w:noWrap w:val="0"/>
                  <w:vAlign w:val="center"/>
                </w:tcPr>
                <w:p w14:paraId="09C5A5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声源控制措施</w:t>
                  </w:r>
                </w:p>
              </w:tc>
              <w:tc>
                <w:tcPr>
                  <w:tcW w:w="639" w:type="dxa"/>
                  <w:vMerge w:val="restart"/>
                  <w:shd w:val="clear" w:color="auto" w:fill="auto"/>
                  <w:noWrap w:val="0"/>
                  <w:vAlign w:val="center"/>
                </w:tcPr>
                <w:p w14:paraId="2A0BD0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运行时段</w:t>
                  </w:r>
                </w:p>
              </w:tc>
            </w:tr>
            <w:tr w14:paraId="11FC88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 w:type="dxa"/>
                  <w:vMerge w:val="continue"/>
                  <w:shd w:val="clear" w:color="auto" w:fill="auto"/>
                  <w:noWrap w:val="0"/>
                  <w:vAlign w:val="center"/>
                </w:tcPr>
                <w:p w14:paraId="7E5A2C62">
                  <w:pPr>
                    <w:jc w:val="center"/>
                    <w:rPr>
                      <w:rFonts w:hint="default" w:ascii="Times New Roman" w:hAnsi="Times New Roman" w:eastAsia="宋体" w:cs="Times New Roman"/>
                      <w:color w:val="auto"/>
                      <w:sz w:val="21"/>
                      <w:szCs w:val="21"/>
                    </w:rPr>
                  </w:pPr>
                </w:p>
              </w:tc>
              <w:tc>
                <w:tcPr>
                  <w:tcW w:w="1250" w:type="dxa"/>
                  <w:vMerge w:val="continue"/>
                  <w:shd w:val="clear" w:color="auto" w:fill="auto"/>
                  <w:noWrap w:val="0"/>
                  <w:vAlign w:val="center"/>
                </w:tcPr>
                <w:p w14:paraId="58016C8E">
                  <w:pPr>
                    <w:jc w:val="center"/>
                    <w:rPr>
                      <w:rFonts w:hint="default" w:ascii="Times New Roman" w:hAnsi="Times New Roman" w:eastAsia="宋体" w:cs="Times New Roman"/>
                      <w:color w:val="auto"/>
                      <w:sz w:val="21"/>
                      <w:szCs w:val="21"/>
                    </w:rPr>
                  </w:pPr>
                </w:p>
              </w:tc>
              <w:tc>
                <w:tcPr>
                  <w:tcW w:w="600" w:type="dxa"/>
                  <w:shd w:val="clear" w:color="auto" w:fill="auto"/>
                  <w:noWrap w:val="0"/>
                  <w:vAlign w:val="center"/>
                </w:tcPr>
                <w:p w14:paraId="657FCB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656" w:type="dxa"/>
                  <w:shd w:val="clear" w:color="auto" w:fill="auto"/>
                  <w:noWrap w:val="0"/>
                  <w:vAlign w:val="center"/>
                </w:tcPr>
                <w:p w14:paraId="314612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623" w:type="dxa"/>
                  <w:shd w:val="clear" w:color="auto" w:fill="auto"/>
                  <w:noWrap w:val="0"/>
                  <w:vAlign w:val="center"/>
                </w:tcPr>
                <w:p w14:paraId="7900E0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1731" w:type="dxa"/>
                  <w:shd w:val="clear" w:color="auto" w:fill="auto"/>
                  <w:noWrap w:val="0"/>
                  <w:vAlign w:val="center"/>
                </w:tcPr>
                <w:p w14:paraId="79CE82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声功率级/dB（A）</w:t>
                  </w:r>
                </w:p>
              </w:tc>
              <w:tc>
                <w:tcPr>
                  <w:tcW w:w="1846" w:type="dxa"/>
                  <w:vMerge w:val="continue"/>
                  <w:shd w:val="clear" w:color="auto" w:fill="auto"/>
                  <w:noWrap w:val="0"/>
                  <w:vAlign w:val="center"/>
                </w:tcPr>
                <w:p w14:paraId="2116F9FB">
                  <w:pPr>
                    <w:jc w:val="center"/>
                    <w:rPr>
                      <w:rFonts w:hint="default" w:ascii="Times New Roman" w:hAnsi="Times New Roman" w:eastAsia="宋体" w:cs="Times New Roman"/>
                      <w:color w:val="auto"/>
                      <w:sz w:val="21"/>
                      <w:szCs w:val="21"/>
                    </w:rPr>
                  </w:pPr>
                </w:p>
              </w:tc>
              <w:tc>
                <w:tcPr>
                  <w:tcW w:w="639" w:type="dxa"/>
                  <w:vMerge w:val="continue"/>
                  <w:shd w:val="clear" w:color="auto" w:fill="auto"/>
                  <w:noWrap w:val="0"/>
                  <w:vAlign w:val="center"/>
                </w:tcPr>
                <w:p w14:paraId="7F5B04F8">
                  <w:pPr>
                    <w:jc w:val="center"/>
                    <w:rPr>
                      <w:rFonts w:hint="default" w:ascii="Times New Roman" w:hAnsi="Times New Roman" w:eastAsia="宋体" w:cs="Times New Roman"/>
                      <w:color w:val="auto"/>
                      <w:sz w:val="21"/>
                      <w:szCs w:val="21"/>
                    </w:rPr>
                  </w:pPr>
                </w:p>
              </w:tc>
            </w:tr>
            <w:tr w14:paraId="2A7D2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 w:type="dxa"/>
                  <w:shd w:val="clear" w:color="auto" w:fill="auto"/>
                  <w:noWrap w:val="0"/>
                  <w:vAlign w:val="center"/>
                </w:tcPr>
                <w:p w14:paraId="5F10D7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50" w:type="dxa"/>
                  <w:shd w:val="clear" w:color="auto" w:fill="auto"/>
                  <w:noWrap w:val="0"/>
                  <w:vAlign w:val="center"/>
                </w:tcPr>
                <w:p w14:paraId="56F41BA5">
                  <w:pPr>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环保风机</w:t>
                  </w:r>
                  <w:r>
                    <w:rPr>
                      <w:rFonts w:hint="eastAsia" w:cs="Times New Roman"/>
                      <w:color w:val="auto"/>
                      <w:sz w:val="21"/>
                      <w:szCs w:val="21"/>
                      <w:lang w:val="en-US" w:eastAsia="zh-CN"/>
                    </w:rPr>
                    <w:t>1</w:t>
                  </w:r>
                </w:p>
              </w:tc>
              <w:tc>
                <w:tcPr>
                  <w:tcW w:w="600" w:type="dxa"/>
                  <w:shd w:val="clear" w:color="auto" w:fill="auto"/>
                  <w:noWrap w:val="0"/>
                  <w:vAlign w:val="center"/>
                </w:tcPr>
                <w:p w14:paraId="1E4009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656" w:type="dxa"/>
                  <w:shd w:val="clear" w:color="auto" w:fill="auto"/>
                  <w:noWrap w:val="0"/>
                  <w:vAlign w:val="center"/>
                </w:tcPr>
                <w:p w14:paraId="05CE05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623" w:type="dxa"/>
                  <w:shd w:val="clear" w:color="auto" w:fill="auto"/>
                  <w:noWrap w:val="0"/>
                  <w:vAlign w:val="center"/>
                </w:tcPr>
                <w:p w14:paraId="53D5A32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31" w:type="dxa"/>
                  <w:shd w:val="clear" w:color="auto" w:fill="auto"/>
                  <w:noWrap w:val="0"/>
                  <w:vAlign w:val="center"/>
                </w:tcPr>
                <w:p w14:paraId="00D1E0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w:t>
                  </w:r>
                </w:p>
              </w:tc>
              <w:tc>
                <w:tcPr>
                  <w:tcW w:w="1846" w:type="dxa"/>
                  <w:shd w:val="clear" w:color="auto" w:fill="auto"/>
                  <w:noWrap w:val="0"/>
                  <w:vAlign w:val="center"/>
                </w:tcPr>
                <w:p w14:paraId="08C3FB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隔声罩、吸声装置</w:t>
                  </w:r>
                </w:p>
              </w:tc>
              <w:tc>
                <w:tcPr>
                  <w:tcW w:w="639" w:type="dxa"/>
                  <w:shd w:val="clear" w:color="auto" w:fill="auto"/>
                  <w:noWrap w:val="0"/>
                  <w:vAlign w:val="center"/>
                </w:tcPr>
                <w:p w14:paraId="42D0CC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w:t>
                  </w:r>
                </w:p>
              </w:tc>
            </w:tr>
            <w:tr w14:paraId="7EBE8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 w:type="dxa"/>
                  <w:shd w:val="clear" w:color="auto" w:fill="auto"/>
                  <w:noWrap w:val="0"/>
                  <w:vAlign w:val="center"/>
                </w:tcPr>
                <w:p w14:paraId="621B1B23">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250" w:type="dxa"/>
                  <w:shd w:val="clear" w:color="auto" w:fill="auto"/>
                  <w:noWrap w:val="0"/>
                  <w:vAlign w:val="center"/>
                </w:tcPr>
                <w:p w14:paraId="1620C6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环保风机2</w:t>
                  </w:r>
                </w:p>
              </w:tc>
              <w:tc>
                <w:tcPr>
                  <w:tcW w:w="600" w:type="dxa"/>
                  <w:shd w:val="clear" w:color="auto" w:fill="auto"/>
                  <w:noWrap w:val="0"/>
                  <w:vAlign w:val="center"/>
                </w:tcPr>
                <w:p w14:paraId="34634C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w:t>
                  </w:r>
                </w:p>
              </w:tc>
              <w:tc>
                <w:tcPr>
                  <w:tcW w:w="656" w:type="dxa"/>
                  <w:shd w:val="clear" w:color="auto" w:fill="auto"/>
                  <w:noWrap w:val="0"/>
                  <w:vAlign w:val="center"/>
                </w:tcPr>
                <w:p w14:paraId="7BDA22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-20.7</w:t>
                  </w:r>
                </w:p>
              </w:tc>
              <w:tc>
                <w:tcPr>
                  <w:tcW w:w="623" w:type="dxa"/>
                  <w:shd w:val="clear" w:color="auto" w:fill="auto"/>
                  <w:noWrap w:val="0"/>
                  <w:vAlign w:val="center"/>
                </w:tcPr>
                <w:p w14:paraId="1F1D32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731" w:type="dxa"/>
                  <w:shd w:val="clear" w:color="auto" w:fill="auto"/>
                  <w:noWrap w:val="0"/>
                  <w:vAlign w:val="center"/>
                </w:tcPr>
                <w:p w14:paraId="0416A8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w:t>
                  </w:r>
                </w:p>
              </w:tc>
              <w:tc>
                <w:tcPr>
                  <w:tcW w:w="1846" w:type="dxa"/>
                  <w:shd w:val="clear" w:color="auto" w:fill="auto"/>
                  <w:noWrap w:val="0"/>
                  <w:vAlign w:val="center"/>
                </w:tcPr>
                <w:p w14:paraId="41F88B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隔声罩、吸声装置</w:t>
                  </w:r>
                </w:p>
              </w:tc>
              <w:tc>
                <w:tcPr>
                  <w:tcW w:w="639" w:type="dxa"/>
                  <w:shd w:val="clear" w:color="auto" w:fill="auto"/>
                  <w:noWrap w:val="0"/>
                  <w:vAlign w:val="center"/>
                </w:tcPr>
                <w:p w14:paraId="4690EE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w:t>
                  </w:r>
                </w:p>
              </w:tc>
            </w:tr>
          </w:tbl>
          <w:p w14:paraId="39690DB8">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b/>
                <w:color w:val="auto"/>
                <w:sz w:val="24"/>
                <w:szCs w:val="22"/>
              </w:rPr>
            </w:pPr>
            <w:r>
              <w:rPr>
                <w:rFonts w:hint="eastAsia"/>
                <w:b/>
                <w:color w:val="auto"/>
                <w:sz w:val="24"/>
                <w:szCs w:val="22"/>
              </w:rPr>
              <w:t>3.2噪声防治措施</w:t>
            </w:r>
          </w:p>
          <w:p w14:paraId="1FD2F9E0">
            <w:pPr>
              <w:spacing w:line="360" w:lineRule="auto"/>
              <w:ind w:firstLine="480" w:firstLineChars="200"/>
              <w:rPr>
                <w:color w:val="auto"/>
                <w:sz w:val="24"/>
                <w:lang w:val="zh-CN"/>
              </w:rPr>
            </w:pPr>
            <w:r>
              <w:rPr>
                <w:color w:val="auto"/>
                <w:sz w:val="24"/>
                <w:lang w:val="zh-CN"/>
              </w:rPr>
              <w:t>为了有效降低生产车间的噪声影响，建议采取减振、隔声、消声等综合治理措施：</w:t>
            </w:r>
          </w:p>
          <w:p w14:paraId="3B636F85">
            <w:pPr>
              <w:spacing w:line="360" w:lineRule="auto"/>
              <w:ind w:firstLine="480" w:firstLineChars="200"/>
              <w:rPr>
                <w:color w:val="auto"/>
                <w:sz w:val="24"/>
                <w:lang w:val="zh-CN"/>
              </w:rPr>
            </w:pPr>
            <w:r>
              <w:rPr>
                <w:color w:val="auto"/>
                <w:sz w:val="24"/>
                <w:lang w:val="zh-CN"/>
              </w:rPr>
              <w:t>①根据本项目噪声源特征，建议在设计和设备采购阶段，优先选用低噪声设备，如低噪的风机，从而从声源上降低设备本身的噪声；将高噪声设备安装于厂房内，通过厂房隔声降噪</w:t>
            </w:r>
            <w:r>
              <w:rPr>
                <w:rFonts w:hint="eastAsia"/>
                <w:color w:val="auto"/>
                <w:sz w:val="24"/>
                <w:lang w:val="zh-CN"/>
              </w:rPr>
              <w:t>；</w:t>
            </w:r>
          </w:p>
          <w:p w14:paraId="6AC2AF3A">
            <w:pPr>
              <w:spacing w:line="360" w:lineRule="auto"/>
              <w:ind w:firstLine="480"/>
              <w:rPr>
                <w:rFonts w:hint="eastAsia"/>
                <w:color w:val="auto"/>
                <w:sz w:val="24"/>
                <w:lang w:val="zh-CN"/>
              </w:rPr>
            </w:pPr>
            <w:r>
              <w:rPr>
                <w:rFonts w:ascii="Times New Roman" w:hAnsi="Times New Roman" w:eastAsia="宋体" w:cs="Times New Roman"/>
                <w:color w:val="auto"/>
                <w:sz w:val="24"/>
                <w:lang w:val="zh-CN"/>
              </w:rPr>
              <w:t>②</w:t>
            </w:r>
            <w:r>
              <w:rPr>
                <w:color w:val="auto"/>
                <w:sz w:val="24"/>
                <w:lang w:val="zh-CN"/>
              </w:rPr>
              <w:t>加强设备维护，确保设备处于良好运转状态，杜绝因设备不正常运转时产生高噪声现象</w:t>
            </w:r>
            <w:r>
              <w:rPr>
                <w:rFonts w:hint="eastAsia"/>
                <w:color w:val="auto"/>
                <w:sz w:val="24"/>
                <w:lang w:val="zh-CN"/>
              </w:rPr>
              <w:t>；</w:t>
            </w:r>
          </w:p>
          <w:p w14:paraId="626C5A18">
            <w:pPr>
              <w:spacing w:line="360" w:lineRule="auto"/>
              <w:ind w:firstLine="480"/>
              <w:rPr>
                <w:rFonts w:hint="eastAsia"/>
                <w:color w:val="auto"/>
                <w:sz w:val="24"/>
              </w:rPr>
            </w:pPr>
            <w:r>
              <w:rPr>
                <w:rFonts w:hint="eastAsia"/>
                <w:color w:val="auto"/>
                <w:sz w:val="24"/>
                <w:lang w:val="zh-CN"/>
              </w:rPr>
              <w:t>③</w:t>
            </w:r>
            <w:r>
              <w:rPr>
                <w:rFonts w:hint="eastAsia"/>
                <w:color w:val="auto"/>
                <w:sz w:val="24"/>
              </w:rPr>
              <w:t>环保风机采取软管连接、安装</w:t>
            </w:r>
            <w:r>
              <w:rPr>
                <w:rFonts w:hint="default"/>
                <w:color w:val="auto"/>
                <w:sz w:val="24"/>
              </w:rPr>
              <w:t>隔声罩</w:t>
            </w:r>
            <w:r>
              <w:rPr>
                <w:rFonts w:hint="eastAsia"/>
                <w:color w:val="auto"/>
                <w:sz w:val="24"/>
                <w:lang w:val="zh-CN"/>
              </w:rPr>
              <w:t>。</w:t>
            </w:r>
          </w:p>
          <w:p w14:paraId="27EC0638">
            <w:pPr>
              <w:spacing w:line="360" w:lineRule="auto"/>
              <w:ind w:firstLine="482" w:firstLineChars="200"/>
              <w:rPr>
                <w:rFonts w:hint="eastAsia"/>
                <w:b/>
                <w:color w:val="auto"/>
                <w:sz w:val="24"/>
                <w:szCs w:val="22"/>
              </w:rPr>
            </w:pPr>
            <w:r>
              <w:rPr>
                <w:rFonts w:hint="eastAsia"/>
                <w:b/>
                <w:color w:val="auto"/>
                <w:sz w:val="24"/>
                <w:szCs w:val="22"/>
              </w:rPr>
              <w:t>3.3厂界和环境保护目标达标情况分析</w:t>
            </w:r>
          </w:p>
          <w:p w14:paraId="31DB50F0">
            <w:pPr>
              <w:spacing w:line="360" w:lineRule="auto"/>
              <w:ind w:firstLine="480"/>
              <w:rPr>
                <w:rFonts w:hint="eastAsia"/>
                <w:color w:val="auto"/>
                <w:sz w:val="24"/>
                <w:lang w:val="zh-CN"/>
              </w:rPr>
            </w:pPr>
            <w:r>
              <w:rPr>
                <w:rFonts w:hint="eastAsia"/>
                <w:color w:val="auto"/>
                <w:sz w:val="24"/>
                <w:lang w:val="zh-CN"/>
              </w:rPr>
              <w:t>根据项目建设内容及《环境影响评价技术导则</w:t>
            </w:r>
            <w:bookmarkStart w:id="18" w:name="OLE_LINK155"/>
            <w:r>
              <w:rPr>
                <w:rFonts w:hint="eastAsia"/>
                <w:color w:val="auto"/>
                <w:sz w:val="24"/>
                <w:lang w:val="zh-CN"/>
              </w:rPr>
              <w:t>—</w:t>
            </w:r>
            <w:bookmarkEnd w:id="18"/>
            <w:r>
              <w:rPr>
                <w:rFonts w:hint="eastAsia"/>
                <w:color w:val="auto"/>
                <w:sz w:val="24"/>
                <w:lang w:val="zh-CN"/>
              </w:rPr>
              <w:t>声环境》（HJ2.4-2021）要求，项目环评采用模型为《环境影响评价技术导则—声环境》（HJ2.4-2021）附录A（规范性附录）户外声传播的衰减和附录B（规范性附录）中“B.1工业噪声预测计算模型”。</w:t>
            </w:r>
          </w:p>
          <w:p w14:paraId="5A959268">
            <w:pPr>
              <w:spacing w:line="360" w:lineRule="auto"/>
              <w:ind w:firstLine="480"/>
              <w:rPr>
                <w:rFonts w:hint="eastAsia"/>
                <w:color w:val="auto"/>
                <w:sz w:val="24"/>
                <w:lang w:val="zh-CN"/>
              </w:rPr>
            </w:pPr>
            <w:r>
              <w:rPr>
                <w:rFonts w:hint="eastAsia"/>
                <w:color w:val="auto"/>
                <w:sz w:val="24"/>
                <w:lang w:val="zh-CN"/>
              </w:rPr>
              <w:t>通过预测模型计算，项目厂界噪声预测结果与达标分析见</w:t>
            </w:r>
            <w:r>
              <w:rPr>
                <w:rFonts w:hint="eastAsia"/>
                <w:color w:val="auto"/>
                <w:sz w:val="24"/>
                <w:lang w:val="en-US" w:eastAsia="zh-CN"/>
              </w:rPr>
              <w:t>下</w:t>
            </w:r>
            <w:r>
              <w:rPr>
                <w:rFonts w:hint="eastAsia"/>
                <w:color w:val="auto"/>
                <w:sz w:val="24"/>
                <w:lang w:val="zh-CN"/>
              </w:rPr>
              <w:t>表。</w:t>
            </w:r>
          </w:p>
          <w:p w14:paraId="6D6E9D9D">
            <w:pPr>
              <w:widowControl/>
              <w:autoSpaceDE w:val="0"/>
              <w:jc w:val="center"/>
              <w:rPr>
                <w:rFonts w:hint="eastAsia"/>
                <w:b/>
                <w:bCs/>
                <w:color w:val="auto"/>
                <w:kern w:val="0"/>
                <w:sz w:val="24"/>
              </w:rPr>
            </w:pPr>
            <w:r>
              <w:rPr>
                <w:b/>
                <w:color w:val="auto"/>
                <w:sz w:val="24"/>
              </w:rPr>
              <w:t>表4</w:t>
            </w:r>
            <w:r>
              <w:rPr>
                <w:rFonts w:hint="eastAsia"/>
                <w:b/>
                <w:color w:val="auto"/>
                <w:sz w:val="24"/>
              </w:rPr>
              <w:t>-1</w:t>
            </w:r>
            <w:r>
              <w:rPr>
                <w:rFonts w:hint="eastAsia"/>
                <w:b/>
                <w:color w:val="auto"/>
                <w:sz w:val="24"/>
                <w:lang w:val="en-US" w:eastAsia="zh-CN"/>
              </w:rPr>
              <w:t>5</w:t>
            </w:r>
            <w:r>
              <w:rPr>
                <w:rFonts w:hint="eastAsia"/>
                <w:b/>
                <w:color w:val="auto"/>
                <w:sz w:val="24"/>
              </w:rPr>
              <w:t xml:space="preserve">   </w:t>
            </w:r>
            <w:r>
              <w:rPr>
                <w:b/>
                <w:color w:val="auto"/>
                <w:sz w:val="24"/>
              </w:rPr>
              <w:t>项目厂界噪声影响预测结果dB（A）</w:t>
            </w:r>
          </w:p>
          <w:tbl>
            <w:tblPr>
              <w:tblStyle w:val="32"/>
              <w:tblW w:w="77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07"/>
              <w:gridCol w:w="734"/>
              <w:gridCol w:w="734"/>
              <w:gridCol w:w="1080"/>
              <w:gridCol w:w="898"/>
              <w:gridCol w:w="1175"/>
              <w:gridCol w:w="1189"/>
              <w:gridCol w:w="980"/>
            </w:tblGrid>
            <w:tr w14:paraId="0EB10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restart"/>
                  <w:shd w:val="clear" w:color="auto" w:fill="auto"/>
                  <w:noWrap w:val="0"/>
                  <w:vAlign w:val="center"/>
                </w:tcPr>
                <w:p w14:paraId="0A576B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预测方位</w:t>
                  </w:r>
                </w:p>
              </w:tc>
              <w:tc>
                <w:tcPr>
                  <w:tcW w:w="2548" w:type="dxa"/>
                  <w:gridSpan w:val="3"/>
                  <w:shd w:val="clear" w:color="auto" w:fill="auto"/>
                  <w:noWrap w:val="0"/>
                  <w:vAlign w:val="center"/>
                </w:tcPr>
                <w:p w14:paraId="6F7746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最大值点空间相对位置/m</w:t>
                  </w:r>
                </w:p>
              </w:tc>
              <w:tc>
                <w:tcPr>
                  <w:tcW w:w="898" w:type="dxa"/>
                  <w:vMerge w:val="restart"/>
                  <w:shd w:val="clear" w:color="auto" w:fill="auto"/>
                  <w:noWrap w:val="0"/>
                  <w:vAlign w:val="center"/>
                </w:tcPr>
                <w:p w14:paraId="47E3F0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时段</w:t>
                  </w:r>
                </w:p>
              </w:tc>
              <w:tc>
                <w:tcPr>
                  <w:tcW w:w="1175" w:type="dxa"/>
                  <w:vMerge w:val="restart"/>
                  <w:shd w:val="clear" w:color="auto" w:fill="auto"/>
                  <w:noWrap w:val="0"/>
                  <w:vAlign w:val="center"/>
                </w:tcPr>
                <w:p w14:paraId="23EE28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贡献值（dB（A））</w:t>
                  </w:r>
                </w:p>
              </w:tc>
              <w:tc>
                <w:tcPr>
                  <w:tcW w:w="1189" w:type="dxa"/>
                  <w:vMerge w:val="restart"/>
                  <w:shd w:val="clear" w:color="auto" w:fill="auto"/>
                  <w:noWrap w:val="0"/>
                  <w:vAlign w:val="center"/>
                </w:tcPr>
                <w:p w14:paraId="17E4E2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标准限值（dB（A））</w:t>
                  </w:r>
                </w:p>
              </w:tc>
              <w:tc>
                <w:tcPr>
                  <w:tcW w:w="980" w:type="dxa"/>
                  <w:vMerge w:val="restart"/>
                  <w:shd w:val="clear" w:color="auto" w:fill="auto"/>
                  <w:noWrap w:val="0"/>
                  <w:vAlign w:val="center"/>
                </w:tcPr>
                <w:p w14:paraId="710C61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达标情况</w:t>
                  </w:r>
                </w:p>
              </w:tc>
            </w:tr>
            <w:tr w14:paraId="1F9AB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continue"/>
                  <w:shd w:val="clear" w:color="auto" w:fill="auto"/>
                  <w:noWrap w:val="0"/>
                  <w:vAlign w:val="center"/>
                </w:tcPr>
                <w:p w14:paraId="1FDD67E9">
                  <w:pPr>
                    <w:jc w:val="center"/>
                    <w:rPr>
                      <w:rFonts w:hint="default" w:ascii="Times New Roman" w:hAnsi="Times New Roman" w:eastAsia="宋体" w:cs="Times New Roman"/>
                      <w:color w:val="auto"/>
                      <w:sz w:val="21"/>
                      <w:szCs w:val="21"/>
                    </w:rPr>
                  </w:pPr>
                </w:p>
              </w:tc>
              <w:tc>
                <w:tcPr>
                  <w:tcW w:w="734" w:type="dxa"/>
                  <w:shd w:val="clear" w:color="auto" w:fill="auto"/>
                  <w:noWrap w:val="0"/>
                  <w:vAlign w:val="center"/>
                </w:tcPr>
                <w:p w14:paraId="066B47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734" w:type="dxa"/>
                  <w:shd w:val="clear" w:color="auto" w:fill="auto"/>
                  <w:noWrap w:val="0"/>
                  <w:vAlign w:val="center"/>
                </w:tcPr>
                <w:p w14:paraId="43A54D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1080" w:type="dxa"/>
                  <w:shd w:val="clear" w:color="auto" w:fill="auto"/>
                  <w:noWrap w:val="0"/>
                  <w:vAlign w:val="center"/>
                </w:tcPr>
                <w:p w14:paraId="50FEFC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898" w:type="dxa"/>
                  <w:vMerge w:val="continue"/>
                  <w:shd w:val="clear" w:color="auto" w:fill="auto"/>
                  <w:noWrap w:val="0"/>
                  <w:vAlign w:val="center"/>
                </w:tcPr>
                <w:p w14:paraId="2F997101">
                  <w:pPr>
                    <w:jc w:val="center"/>
                    <w:rPr>
                      <w:rFonts w:hint="default" w:ascii="Times New Roman" w:hAnsi="Times New Roman" w:eastAsia="宋体" w:cs="Times New Roman"/>
                      <w:color w:val="auto"/>
                      <w:sz w:val="21"/>
                      <w:szCs w:val="21"/>
                    </w:rPr>
                  </w:pPr>
                </w:p>
              </w:tc>
              <w:tc>
                <w:tcPr>
                  <w:tcW w:w="1175" w:type="dxa"/>
                  <w:vMerge w:val="continue"/>
                  <w:shd w:val="clear" w:color="auto" w:fill="auto"/>
                  <w:noWrap w:val="0"/>
                  <w:vAlign w:val="center"/>
                </w:tcPr>
                <w:p w14:paraId="7014B07F">
                  <w:pPr>
                    <w:jc w:val="center"/>
                    <w:rPr>
                      <w:rFonts w:hint="default" w:ascii="Times New Roman" w:hAnsi="Times New Roman" w:eastAsia="宋体" w:cs="Times New Roman"/>
                      <w:color w:val="auto"/>
                      <w:sz w:val="21"/>
                      <w:szCs w:val="21"/>
                    </w:rPr>
                  </w:pPr>
                </w:p>
              </w:tc>
              <w:tc>
                <w:tcPr>
                  <w:tcW w:w="1189" w:type="dxa"/>
                  <w:vMerge w:val="continue"/>
                  <w:shd w:val="clear" w:color="auto" w:fill="auto"/>
                  <w:noWrap w:val="0"/>
                  <w:vAlign w:val="center"/>
                </w:tcPr>
                <w:p w14:paraId="255A6256">
                  <w:pPr>
                    <w:jc w:val="center"/>
                    <w:rPr>
                      <w:rFonts w:hint="default" w:ascii="Times New Roman" w:hAnsi="Times New Roman" w:eastAsia="宋体" w:cs="Times New Roman"/>
                      <w:color w:val="auto"/>
                      <w:sz w:val="21"/>
                      <w:szCs w:val="21"/>
                    </w:rPr>
                  </w:pPr>
                </w:p>
              </w:tc>
              <w:tc>
                <w:tcPr>
                  <w:tcW w:w="980" w:type="dxa"/>
                  <w:vMerge w:val="continue"/>
                  <w:shd w:val="clear" w:color="auto" w:fill="auto"/>
                  <w:noWrap w:val="0"/>
                  <w:vAlign w:val="center"/>
                </w:tcPr>
                <w:p w14:paraId="2A89E0DC">
                  <w:pPr>
                    <w:jc w:val="center"/>
                    <w:rPr>
                      <w:rFonts w:hint="default" w:ascii="Times New Roman" w:hAnsi="Times New Roman" w:eastAsia="宋体" w:cs="Times New Roman"/>
                      <w:color w:val="auto"/>
                      <w:sz w:val="21"/>
                      <w:szCs w:val="21"/>
                    </w:rPr>
                  </w:pPr>
                </w:p>
              </w:tc>
            </w:tr>
            <w:tr w14:paraId="3B479B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restart"/>
                  <w:shd w:val="clear" w:color="auto" w:fill="auto"/>
                  <w:noWrap w:val="0"/>
                  <w:vAlign w:val="center"/>
                </w:tcPr>
                <w:p w14:paraId="3E739C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734" w:type="dxa"/>
                  <w:shd w:val="clear" w:color="auto" w:fill="auto"/>
                  <w:noWrap w:val="0"/>
                  <w:vAlign w:val="center"/>
                </w:tcPr>
                <w:p w14:paraId="2395A4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24.8</w:t>
                  </w:r>
                </w:p>
              </w:tc>
              <w:tc>
                <w:tcPr>
                  <w:tcW w:w="734" w:type="dxa"/>
                  <w:shd w:val="clear" w:color="auto" w:fill="auto"/>
                  <w:noWrap w:val="0"/>
                  <w:vAlign w:val="center"/>
                </w:tcPr>
                <w:p w14:paraId="3E8F66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w:t>
                  </w:r>
                </w:p>
              </w:tc>
              <w:tc>
                <w:tcPr>
                  <w:tcW w:w="1080" w:type="dxa"/>
                  <w:shd w:val="clear" w:color="auto" w:fill="auto"/>
                  <w:noWrap w:val="0"/>
                  <w:vAlign w:val="center"/>
                </w:tcPr>
                <w:p w14:paraId="39F51C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98" w:type="dxa"/>
                  <w:shd w:val="clear" w:color="auto" w:fill="auto"/>
                  <w:noWrap w:val="0"/>
                  <w:vAlign w:val="center"/>
                </w:tcPr>
                <w:p w14:paraId="6F4FC8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175" w:type="dxa"/>
                  <w:shd w:val="clear" w:color="auto" w:fill="auto"/>
                  <w:noWrap w:val="0"/>
                  <w:vAlign w:val="center"/>
                </w:tcPr>
                <w:p w14:paraId="4DC0923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41.9</w:t>
                  </w:r>
                </w:p>
              </w:tc>
              <w:tc>
                <w:tcPr>
                  <w:tcW w:w="1189" w:type="dxa"/>
                  <w:shd w:val="clear" w:color="auto" w:fill="auto"/>
                  <w:noWrap w:val="0"/>
                  <w:vAlign w:val="center"/>
                </w:tcPr>
                <w:p w14:paraId="710F5E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80" w:type="dxa"/>
                  <w:shd w:val="clear" w:color="auto" w:fill="auto"/>
                  <w:noWrap w:val="0"/>
                  <w:vAlign w:val="center"/>
                </w:tcPr>
                <w:p w14:paraId="10BB5827">
                  <w:pPr>
                    <w:jc w:val="center"/>
                    <w:rPr>
                      <w:rFonts w:hint="default" w:ascii="Times New Roman" w:hAnsi="Times New Roman" w:eastAsia="宋体" w:cs="Times New Roman"/>
                      <w:color w:val="auto"/>
                      <w:sz w:val="21"/>
                      <w:szCs w:val="21"/>
                    </w:rPr>
                  </w:pPr>
                  <w:r>
                    <w:rPr>
                      <w:rFonts w:ascii="Arial" w:hAnsi="Arial" w:eastAsia="Arial" w:cs="Arial"/>
                      <w:color w:val="auto"/>
                      <w:sz w:val="20"/>
                    </w:rPr>
                    <w:t>达标</w:t>
                  </w:r>
                </w:p>
              </w:tc>
            </w:tr>
            <w:tr w14:paraId="28FE21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continue"/>
                  <w:shd w:val="clear" w:color="auto" w:fill="auto"/>
                  <w:noWrap w:val="0"/>
                  <w:vAlign w:val="center"/>
                </w:tcPr>
                <w:p w14:paraId="6759F3C6">
                  <w:pPr>
                    <w:jc w:val="center"/>
                    <w:rPr>
                      <w:rFonts w:hint="default" w:ascii="Times New Roman" w:hAnsi="Times New Roman" w:eastAsia="宋体" w:cs="Times New Roman"/>
                      <w:color w:val="auto"/>
                      <w:sz w:val="21"/>
                      <w:szCs w:val="21"/>
                    </w:rPr>
                  </w:pPr>
                </w:p>
              </w:tc>
              <w:tc>
                <w:tcPr>
                  <w:tcW w:w="734" w:type="dxa"/>
                  <w:shd w:val="clear" w:color="auto" w:fill="auto"/>
                  <w:noWrap w:val="0"/>
                  <w:vAlign w:val="center"/>
                </w:tcPr>
                <w:p w14:paraId="0C2578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24.8</w:t>
                  </w:r>
                </w:p>
              </w:tc>
              <w:tc>
                <w:tcPr>
                  <w:tcW w:w="734" w:type="dxa"/>
                  <w:shd w:val="clear" w:color="auto" w:fill="auto"/>
                  <w:noWrap w:val="0"/>
                  <w:vAlign w:val="center"/>
                </w:tcPr>
                <w:p w14:paraId="779959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w:t>
                  </w:r>
                </w:p>
              </w:tc>
              <w:tc>
                <w:tcPr>
                  <w:tcW w:w="1080" w:type="dxa"/>
                  <w:shd w:val="clear" w:color="auto" w:fill="auto"/>
                  <w:noWrap w:val="0"/>
                  <w:vAlign w:val="center"/>
                </w:tcPr>
                <w:p w14:paraId="0F6D42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98" w:type="dxa"/>
                  <w:shd w:val="clear" w:color="auto" w:fill="auto"/>
                  <w:noWrap w:val="0"/>
                  <w:vAlign w:val="center"/>
                </w:tcPr>
                <w:p w14:paraId="6FAB00E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175" w:type="dxa"/>
                  <w:shd w:val="clear" w:color="auto" w:fill="auto"/>
                  <w:noWrap w:val="0"/>
                  <w:vAlign w:val="center"/>
                </w:tcPr>
                <w:p w14:paraId="48B4DC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41.9</w:t>
                  </w:r>
                </w:p>
              </w:tc>
              <w:tc>
                <w:tcPr>
                  <w:tcW w:w="1189" w:type="dxa"/>
                  <w:shd w:val="clear" w:color="auto" w:fill="auto"/>
                  <w:noWrap w:val="0"/>
                  <w:vAlign w:val="center"/>
                </w:tcPr>
                <w:p w14:paraId="5F8A66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980" w:type="dxa"/>
                  <w:shd w:val="clear" w:color="auto" w:fill="auto"/>
                  <w:noWrap w:val="0"/>
                  <w:vAlign w:val="center"/>
                </w:tcPr>
                <w:p w14:paraId="7206A3EF">
                  <w:pPr>
                    <w:jc w:val="center"/>
                    <w:rPr>
                      <w:rFonts w:hint="default" w:ascii="Times New Roman" w:hAnsi="Times New Roman" w:eastAsia="宋体" w:cs="Times New Roman"/>
                      <w:color w:val="auto"/>
                      <w:sz w:val="21"/>
                      <w:szCs w:val="21"/>
                    </w:rPr>
                  </w:pPr>
                  <w:r>
                    <w:rPr>
                      <w:rFonts w:ascii="Arial" w:hAnsi="Arial" w:eastAsia="Arial" w:cs="Arial"/>
                      <w:color w:val="auto"/>
                      <w:sz w:val="20"/>
                    </w:rPr>
                    <w:t>达标</w:t>
                  </w:r>
                </w:p>
              </w:tc>
            </w:tr>
            <w:tr w14:paraId="5F170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restart"/>
                  <w:shd w:val="clear" w:color="auto" w:fill="auto"/>
                  <w:noWrap w:val="0"/>
                  <w:vAlign w:val="center"/>
                </w:tcPr>
                <w:p w14:paraId="5157C4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734" w:type="dxa"/>
                  <w:shd w:val="clear" w:color="auto" w:fill="auto"/>
                  <w:noWrap w:val="0"/>
                  <w:vAlign w:val="center"/>
                </w:tcPr>
                <w:p w14:paraId="3B60E5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-4.7</w:t>
                  </w:r>
                </w:p>
              </w:tc>
              <w:tc>
                <w:tcPr>
                  <w:tcW w:w="734" w:type="dxa"/>
                  <w:shd w:val="clear" w:color="auto" w:fill="auto"/>
                  <w:noWrap w:val="0"/>
                  <w:vAlign w:val="center"/>
                </w:tcPr>
                <w:p w14:paraId="0E4795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-50.7</w:t>
                  </w:r>
                </w:p>
              </w:tc>
              <w:tc>
                <w:tcPr>
                  <w:tcW w:w="1080" w:type="dxa"/>
                  <w:shd w:val="clear" w:color="auto" w:fill="auto"/>
                  <w:noWrap w:val="0"/>
                  <w:vAlign w:val="center"/>
                </w:tcPr>
                <w:p w14:paraId="7E0C687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1.2</w:t>
                  </w:r>
                </w:p>
              </w:tc>
              <w:tc>
                <w:tcPr>
                  <w:tcW w:w="898" w:type="dxa"/>
                  <w:shd w:val="clear" w:color="auto" w:fill="auto"/>
                  <w:noWrap w:val="0"/>
                  <w:vAlign w:val="center"/>
                </w:tcPr>
                <w:p w14:paraId="577317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175" w:type="dxa"/>
                  <w:shd w:val="clear" w:color="auto" w:fill="auto"/>
                  <w:noWrap w:val="0"/>
                  <w:vAlign w:val="center"/>
                </w:tcPr>
                <w:p w14:paraId="1A69306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48.2</w:t>
                  </w:r>
                </w:p>
              </w:tc>
              <w:tc>
                <w:tcPr>
                  <w:tcW w:w="1189" w:type="dxa"/>
                  <w:shd w:val="clear" w:color="auto" w:fill="auto"/>
                  <w:noWrap w:val="0"/>
                  <w:vAlign w:val="center"/>
                </w:tcPr>
                <w:p w14:paraId="52D75A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80" w:type="dxa"/>
                  <w:shd w:val="clear" w:color="auto" w:fill="auto"/>
                  <w:noWrap w:val="0"/>
                  <w:vAlign w:val="center"/>
                </w:tcPr>
                <w:p w14:paraId="579E33CE">
                  <w:pPr>
                    <w:jc w:val="center"/>
                    <w:rPr>
                      <w:rFonts w:hint="default" w:ascii="Times New Roman" w:hAnsi="Times New Roman" w:eastAsia="宋体" w:cs="Times New Roman"/>
                      <w:color w:val="auto"/>
                      <w:sz w:val="21"/>
                      <w:szCs w:val="21"/>
                    </w:rPr>
                  </w:pPr>
                  <w:r>
                    <w:rPr>
                      <w:rFonts w:ascii="Arial" w:hAnsi="Arial" w:eastAsia="Arial" w:cs="Arial"/>
                      <w:color w:val="auto"/>
                      <w:sz w:val="20"/>
                    </w:rPr>
                    <w:t>达标</w:t>
                  </w:r>
                </w:p>
              </w:tc>
            </w:tr>
            <w:tr w14:paraId="5B35E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07" w:type="dxa"/>
                  <w:vMerge w:val="continue"/>
                  <w:shd w:val="clear" w:color="auto" w:fill="auto"/>
                  <w:noWrap w:val="0"/>
                  <w:vAlign w:val="center"/>
                </w:tcPr>
                <w:p w14:paraId="40D52F92">
                  <w:pPr>
                    <w:jc w:val="center"/>
                    <w:rPr>
                      <w:rFonts w:hint="default" w:ascii="Times New Roman" w:hAnsi="Times New Roman" w:eastAsia="宋体" w:cs="Times New Roman"/>
                      <w:color w:val="auto"/>
                      <w:sz w:val="21"/>
                      <w:szCs w:val="21"/>
                    </w:rPr>
                  </w:pPr>
                </w:p>
              </w:tc>
              <w:tc>
                <w:tcPr>
                  <w:tcW w:w="734" w:type="dxa"/>
                  <w:shd w:val="clear" w:color="auto" w:fill="auto"/>
                  <w:noWrap w:val="0"/>
                  <w:vAlign w:val="center"/>
                </w:tcPr>
                <w:p w14:paraId="42F2227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-4.7</w:t>
                  </w:r>
                </w:p>
              </w:tc>
              <w:tc>
                <w:tcPr>
                  <w:tcW w:w="734" w:type="dxa"/>
                  <w:shd w:val="clear" w:color="auto" w:fill="auto"/>
                  <w:noWrap w:val="0"/>
                  <w:vAlign w:val="center"/>
                </w:tcPr>
                <w:p w14:paraId="7F50360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-50.7</w:t>
                  </w:r>
                </w:p>
              </w:tc>
              <w:tc>
                <w:tcPr>
                  <w:tcW w:w="1080" w:type="dxa"/>
                  <w:shd w:val="clear" w:color="auto" w:fill="auto"/>
                  <w:noWrap w:val="0"/>
                  <w:vAlign w:val="center"/>
                </w:tcPr>
                <w:p w14:paraId="252362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1.2</w:t>
                  </w:r>
                </w:p>
              </w:tc>
              <w:tc>
                <w:tcPr>
                  <w:tcW w:w="898" w:type="dxa"/>
                  <w:shd w:val="clear" w:color="auto" w:fill="auto"/>
                  <w:noWrap w:val="0"/>
                  <w:vAlign w:val="center"/>
                </w:tcPr>
                <w:p w14:paraId="55F179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175" w:type="dxa"/>
                  <w:shd w:val="clear" w:color="auto" w:fill="auto"/>
                  <w:noWrap w:val="0"/>
                  <w:vAlign w:val="center"/>
                </w:tcPr>
                <w:p w14:paraId="676956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48.2</w:t>
                  </w:r>
                </w:p>
              </w:tc>
              <w:tc>
                <w:tcPr>
                  <w:tcW w:w="1189" w:type="dxa"/>
                  <w:shd w:val="clear" w:color="auto" w:fill="auto"/>
                  <w:noWrap w:val="0"/>
                  <w:vAlign w:val="center"/>
                </w:tcPr>
                <w:p w14:paraId="21082B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980" w:type="dxa"/>
                  <w:shd w:val="clear" w:color="auto" w:fill="auto"/>
                  <w:noWrap w:val="0"/>
                  <w:vAlign w:val="center"/>
                </w:tcPr>
                <w:p w14:paraId="0755B5D6">
                  <w:pPr>
                    <w:jc w:val="center"/>
                    <w:rPr>
                      <w:rFonts w:hint="default" w:ascii="Times New Roman" w:hAnsi="Times New Roman" w:eastAsia="宋体" w:cs="Times New Roman"/>
                      <w:color w:val="auto"/>
                      <w:sz w:val="21"/>
                      <w:szCs w:val="21"/>
                    </w:rPr>
                  </w:pPr>
                  <w:r>
                    <w:rPr>
                      <w:rFonts w:ascii="Arial" w:hAnsi="Arial" w:eastAsia="Arial" w:cs="Arial"/>
                      <w:color w:val="auto"/>
                      <w:sz w:val="20"/>
                    </w:rPr>
                    <w:t>达标</w:t>
                  </w:r>
                </w:p>
              </w:tc>
            </w:tr>
            <w:tr w14:paraId="06052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restart"/>
                  <w:shd w:val="clear" w:color="auto" w:fill="auto"/>
                  <w:noWrap w:val="0"/>
                  <w:vAlign w:val="center"/>
                </w:tcPr>
                <w:p w14:paraId="13AAF2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734" w:type="dxa"/>
                  <w:shd w:val="clear" w:color="auto" w:fill="auto"/>
                  <w:noWrap w:val="0"/>
                  <w:vAlign w:val="center"/>
                </w:tcPr>
                <w:p w14:paraId="325523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-46.2</w:t>
                  </w:r>
                </w:p>
              </w:tc>
              <w:tc>
                <w:tcPr>
                  <w:tcW w:w="734" w:type="dxa"/>
                  <w:shd w:val="clear" w:color="auto" w:fill="auto"/>
                  <w:noWrap w:val="0"/>
                  <w:vAlign w:val="center"/>
                </w:tcPr>
                <w:p w14:paraId="63C148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80" w:type="dxa"/>
                  <w:shd w:val="clear" w:color="auto" w:fill="auto"/>
                  <w:noWrap w:val="0"/>
                  <w:vAlign w:val="center"/>
                </w:tcPr>
                <w:p w14:paraId="5580AD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98" w:type="dxa"/>
                  <w:shd w:val="clear" w:color="auto" w:fill="auto"/>
                  <w:noWrap w:val="0"/>
                  <w:vAlign w:val="center"/>
                </w:tcPr>
                <w:p w14:paraId="43C87F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175" w:type="dxa"/>
                  <w:shd w:val="clear" w:color="auto" w:fill="auto"/>
                  <w:noWrap w:val="0"/>
                  <w:vAlign w:val="center"/>
                </w:tcPr>
                <w:p w14:paraId="2E376F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42.3</w:t>
                  </w:r>
                </w:p>
              </w:tc>
              <w:tc>
                <w:tcPr>
                  <w:tcW w:w="1189" w:type="dxa"/>
                  <w:shd w:val="clear" w:color="auto" w:fill="auto"/>
                  <w:noWrap w:val="0"/>
                  <w:vAlign w:val="center"/>
                </w:tcPr>
                <w:p w14:paraId="41D6E1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80" w:type="dxa"/>
                  <w:shd w:val="clear" w:color="auto" w:fill="auto"/>
                  <w:noWrap w:val="0"/>
                  <w:vAlign w:val="center"/>
                </w:tcPr>
                <w:p w14:paraId="11BD2376">
                  <w:pPr>
                    <w:jc w:val="center"/>
                    <w:rPr>
                      <w:rFonts w:hint="default" w:ascii="Times New Roman" w:hAnsi="Times New Roman" w:eastAsia="宋体" w:cs="Times New Roman"/>
                      <w:color w:val="auto"/>
                      <w:sz w:val="21"/>
                      <w:szCs w:val="21"/>
                    </w:rPr>
                  </w:pPr>
                  <w:r>
                    <w:rPr>
                      <w:rFonts w:ascii="Arial" w:hAnsi="Arial" w:eastAsia="Arial" w:cs="Arial"/>
                      <w:color w:val="auto"/>
                      <w:sz w:val="20"/>
                    </w:rPr>
                    <w:t>达标</w:t>
                  </w:r>
                </w:p>
              </w:tc>
            </w:tr>
            <w:tr w14:paraId="4E401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continue"/>
                  <w:shd w:val="clear" w:color="auto" w:fill="auto"/>
                  <w:noWrap w:val="0"/>
                  <w:vAlign w:val="center"/>
                </w:tcPr>
                <w:p w14:paraId="07BD4FE4">
                  <w:pPr>
                    <w:jc w:val="center"/>
                    <w:rPr>
                      <w:rFonts w:hint="default" w:ascii="Times New Roman" w:hAnsi="Times New Roman" w:eastAsia="宋体" w:cs="Times New Roman"/>
                      <w:color w:val="auto"/>
                      <w:sz w:val="21"/>
                      <w:szCs w:val="21"/>
                    </w:rPr>
                  </w:pPr>
                </w:p>
              </w:tc>
              <w:tc>
                <w:tcPr>
                  <w:tcW w:w="734" w:type="dxa"/>
                  <w:shd w:val="clear" w:color="auto" w:fill="auto"/>
                  <w:noWrap w:val="0"/>
                  <w:vAlign w:val="center"/>
                </w:tcPr>
                <w:p w14:paraId="3988E4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-46.2</w:t>
                  </w:r>
                </w:p>
              </w:tc>
              <w:tc>
                <w:tcPr>
                  <w:tcW w:w="734" w:type="dxa"/>
                  <w:shd w:val="clear" w:color="auto" w:fill="auto"/>
                  <w:noWrap w:val="0"/>
                  <w:vAlign w:val="center"/>
                </w:tcPr>
                <w:p w14:paraId="543C9F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080" w:type="dxa"/>
                  <w:shd w:val="clear" w:color="auto" w:fill="auto"/>
                  <w:noWrap w:val="0"/>
                  <w:vAlign w:val="center"/>
                </w:tcPr>
                <w:p w14:paraId="15AFE3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98" w:type="dxa"/>
                  <w:shd w:val="clear" w:color="auto" w:fill="auto"/>
                  <w:noWrap w:val="0"/>
                  <w:vAlign w:val="center"/>
                </w:tcPr>
                <w:p w14:paraId="57C062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175" w:type="dxa"/>
                  <w:shd w:val="clear" w:color="auto" w:fill="auto"/>
                  <w:noWrap w:val="0"/>
                  <w:vAlign w:val="center"/>
                </w:tcPr>
                <w:p w14:paraId="2872A8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42.3</w:t>
                  </w:r>
                </w:p>
              </w:tc>
              <w:tc>
                <w:tcPr>
                  <w:tcW w:w="1189" w:type="dxa"/>
                  <w:shd w:val="clear" w:color="auto" w:fill="auto"/>
                  <w:noWrap w:val="0"/>
                  <w:vAlign w:val="center"/>
                </w:tcPr>
                <w:p w14:paraId="009331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980" w:type="dxa"/>
                  <w:shd w:val="clear" w:color="auto" w:fill="auto"/>
                  <w:noWrap w:val="0"/>
                  <w:vAlign w:val="center"/>
                </w:tcPr>
                <w:p w14:paraId="7AF2B339">
                  <w:pPr>
                    <w:jc w:val="center"/>
                    <w:rPr>
                      <w:rFonts w:hint="default" w:ascii="Times New Roman" w:hAnsi="Times New Roman" w:eastAsia="宋体" w:cs="Times New Roman"/>
                      <w:color w:val="auto"/>
                      <w:sz w:val="21"/>
                      <w:szCs w:val="21"/>
                    </w:rPr>
                  </w:pPr>
                  <w:r>
                    <w:rPr>
                      <w:rFonts w:ascii="Arial" w:hAnsi="Arial" w:eastAsia="Arial" w:cs="Arial"/>
                      <w:color w:val="auto"/>
                      <w:sz w:val="20"/>
                    </w:rPr>
                    <w:t>达标</w:t>
                  </w:r>
                </w:p>
              </w:tc>
            </w:tr>
            <w:tr w14:paraId="37087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restart"/>
                  <w:shd w:val="clear" w:color="auto" w:fill="auto"/>
                  <w:noWrap w:val="0"/>
                  <w:vAlign w:val="center"/>
                </w:tcPr>
                <w:p w14:paraId="4E454A6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734" w:type="dxa"/>
                  <w:shd w:val="clear" w:color="auto" w:fill="auto"/>
                  <w:noWrap w:val="0"/>
                  <w:vAlign w:val="center"/>
                </w:tcPr>
                <w:p w14:paraId="7DEACD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734" w:type="dxa"/>
                  <w:shd w:val="clear" w:color="auto" w:fill="auto"/>
                  <w:noWrap w:val="0"/>
                  <w:vAlign w:val="center"/>
                </w:tcPr>
                <w:p w14:paraId="6C820E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1080" w:type="dxa"/>
                  <w:shd w:val="clear" w:color="auto" w:fill="auto"/>
                  <w:noWrap w:val="0"/>
                  <w:vAlign w:val="center"/>
                </w:tcPr>
                <w:p w14:paraId="681B0B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98" w:type="dxa"/>
                  <w:shd w:val="clear" w:color="auto" w:fill="auto"/>
                  <w:noWrap w:val="0"/>
                  <w:vAlign w:val="center"/>
                </w:tcPr>
                <w:p w14:paraId="72B597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175" w:type="dxa"/>
                  <w:shd w:val="clear" w:color="auto" w:fill="auto"/>
                  <w:noWrap w:val="0"/>
                  <w:vAlign w:val="center"/>
                </w:tcPr>
                <w:p w14:paraId="4B75EF2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41.5</w:t>
                  </w:r>
                </w:p>
              </w:tc>
              <w:tc>
                <w:tcPr>
                  <w:tcW w:w="1189" w:type="dxa"/>
                  <w:shd w:val="clear" w:color="auto" w:fill="auto"/>
                  <w:noWrap w:val="0"/>
                  <w:vAlign w:val="center"/>
                </w:tcPr>
                <w:p w14:paraId="50B164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980" w:type="dxa"/>
                  <w:shd w:val="clear" w:color="auto" w:fill="auto"/>
                  <w:noWrap w:val="0"/>
                  <w:vAlign w:val="center"/>
                </w:tcPr>
                <w:p w14:paraId="3D361006">
                  <w:pPr>
                    <w:jc w:val="center"/>
                    <w:rPr>
                      <w:rFonts w:hint="default" w:ascii="Times New Roman" w:hAnsi="Times New Roman" w:eastAsia="宋体" w:cs="Times New Roman"/>
                      <w:color w:val="auto"/>
                      <w:sz w:val="21"/>
                      <w:szCs w:val="21"/>
                    </w:rPr>
                  </w:pPr>
                  <w:r>
                    <w:rPr>
                      <w:rFonts w:ascii="Arial" w:hAnsi="Arial" w:eastAsia="Arial" w:cs="Arial"/>
                      <w:color w:val="auto"/>
                      <w:sz w:val="20"/>
                    </w:rPr>
                    <w:t>达标</w:t>
                  </w:r>
                </w:p>
              </w:tc>
            </w:tr>
            <w:tr w14:paraId="3C9ED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7" w:type="dxa"/>
                  <w:vMerge w:val="continue"/>
                  <w:shd w:val="clear" w:color="auto" w:fill="auto"/>
                  <w:noWrap w:val="0"/>
                  <w:vAlign w:val="center"/>
                </w:tcPr>
                <w:p w14:paraId="28FD2B46">
                  <w:pPr>
                    <w:jc w:val="center"/>
                    <w:rPr>
                      <w:rFonts w:hint="default" w:ascii="Times New Roman" w:hAnsi="Times New Roman" w:eastAsia="宋体" w:cs="Times New Roman"/>
                      <w:color w:val="auto"/>
                      <w:sz w:val="21"/>
                      <w:szCs w:val="21"/>
                    </w:rPr>
                  </w:pPr>
                </w:p>
              </w:tc>
              <w:tc>
                <w:tcPr>
                  <w:tcW w:w="734" w:type="dxa"/>
                  <w:shd w:val="clear" w:color="auto" w:fill="auto"/>
                  <w:noWrap w:val="0"/>
                  <w:vAlign w:val="center"/>
                </w:tcPr>
                <w:p w14:paraId="46BF41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734" w:type="dxa"/>
                  <w:shd w:val="clear" w:color="auto" w:fill="auto"/>
                  <w:noWrap w:val="0"/>
                  <w:vAlign w:val="center"/>
                </w:tcPr>
                <w:p w14:paraId="262B1E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w:t>
                  </w:r>
                </w:p>
              </w:tc>
              <w:tc>
                <w:tcPr>
                  <w:tcW w:w="1080" w:type="dxa"/>
                  <w:shd w:val="clear" w:color="auto" w:fill="auto"/>
                  <w:noWrap w:val="0"/>
                  <w:vAlign w:val="center"/>
                </w:tcPr>
                <w:p w14:paraId="052087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898" w:type="dxa"/>
                  <w:shd w:val="clear" w:color="auto" w:fill="auto"/>
                  <w:noWrap w:val="0"/>
                  <w:vAlign w:val="center"/>
                </w:tcPr>
                <w:p w14:paraId="4CABEA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1175" w:type="dxa"/>
                  <w:shd w:val="clear" w:color="auto" w:fill="auto"/>
                  <w:noWrap w:val="0"/>
                  <w:vAlign w:val="center"/>
                </w:tcPr>
                <w:p w14:paraId="2A0595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41.5</w:t>
                  </w:r>
                </w:p>
              </w:tc>
              <w:tc>
                <w:tcPr>
                  <w:tcW w:w="1189" w:type="dxa"/>
                  <w:shd w:val="clear" w:color="auto" w:fill="auto"/>
                  <w:noWrap w:val="0"/>
                  <w:vAlign w:val="center"/>
                </w:tcPr>
                <w:p w14:paraId="62FD89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c>
                <w:tcPr>
                  <w:tcW w:w="980" w:type="dxa"/>
                  <w:shd w:val="clear" w:color="auto" w:fill="auto"/>
                  <w:noWrap w:val="0"/>
                  <w:vAlign w:val="center"/>
                </w:tcPr>
                <w:p w14:paraId="3ECFE831">
                  <w:pPr>
                    <w:jc w:val="center"/>
                    <w:rPr>
                      <w:rFonts w:hint="default" w:ascii="Times New Roman" w:hAnsi="Times New Roman" w:eastAsia="宋体" w:cs="Times New Roman"/>
                      <w:color w:val="auto"/>
                      <w:sz w:val="21"/>
                      <w:szCs w:val="21"/>
                    </w:rPr>
                  </w:pPr>
                  <w:r>
                    <w:rPr>
                      <w:rFonts w:ascii="Arial" w:hAnsi="Arial" w:eastAsia="Arial" w:cs="Arial"/>
                      <w:color w:val="auto"/>
                      <w:sz w:val="20"/>
                    </w:rPr>
                    <w:t>达标</w:t>
                  </w:r>
                </w:p>
              </w:tc>
            </w:tr>
          </w:tbl>
          <w:p w14:paraId="3761BFF3">
            <w:pPr>
              <w:pStyle w:val="130"/>
              <w:keepNext w:val="0"/>
              <w:keepLines w:val="0"/>
              <w:pageBreakBefore w:val="0"/>
              <w:widowControl w:val="0"/>
              <w:kinsoku/>
              <w:wordWrap/>
              <w:overflowPunct/>
              <w:topLinePunct w:val="0"/>
              <w:autoSpaceDE/>
              <w:autoSpaceDN/>
              <w:bidi w:val="0"/>
              <w:adjustRightInd/>
              <w:snapToGrid w:val="0"/>
              <w:spacing w:before="120" w:beforeLines="50" w:line="360" w:lineRule="auto"/>
              <w:ind w:firstLine="480" w:firstLineChars="200"/>
              <w:textAlignment w:val="auto"/>
              <w:rPr>
                <w:rFonts w:hint="eastAsia" w:cs="Times New Roman"/>
                <w:bCs/>
                <w:color w:val="auto"/>
                <w:sz w:val="24"/>
                <w:szCs w:val="24"/>
              </w:rPr>
            </w:pPr>
            <w:r>
              <w:rPr>
                <w:rFonts w:hint="eastAsia" w:cs="Times New Roman"/>
                <w:bCs/>
                <w:color w:val="auto"/>
                <w:sz w:val="24"/>
                <w:szCs w:val="24"/>
              </w:rPr>
              <w:t>注：①</w:t>
            </w:r>
            <w:r>
              <w:rPr>
                <w:rFonts w:cs="Times New Roman"/>
                <w:bCs/>
                <w:color w:val="auto"/>
                <w:sz w:val="24"/>
                <w:szCs w:val="24"/>
              </w:rPr>
              <w:t>表中坐标以厂界中心（</w:t>
            </w:r>
            <w:bookmarkStart w:id="19" w:name="PO_8"/>
            <w:r>
              <w:rPr>
                <w:rFonts w:hint="default" w:ascii="Times New Roman" w:hAnsi="Times New Roman" w:cs="Times New Roman" w:eastAsiaTheme="minorEastAsia"/>
                <w:b w:val="0"/>
                <w:bCs/>
                <w:color w:val="auto"/>
                <w:sz w:val="24"/>
                <w:szCs w:val="24"/>
                <w:lang w:val="en-US" w:eastAsia="zh-CN"/>
              </w:rPr>
              <w:t>110.531806</w:t>
            </w:r>
            <w:r>
              <w:rPr>
                <w:rFonts w:hint="eastAsia" w:ascii="Times New Roman" w:hAnsi="Times New Roman" w:cs="Times New Roman" w:eastAsiaTheme="minorEastAsia"/>
                <w:b w:val="0"/>
                <w:bCs/>
                <w:color w:val="auto"/>
                <w:sz w:val="24"/>
                <w:szCs w:val="24"/>
                <w:lang w:val="en-US" w:eastAsia="zh-CN"/>
              </w:rPr>
              <w:t>，</w:t>
            </w:r>
            <w:r>
              <w:rPr>
                <w:rFonts w:hint="default" w:ascii="Times New Roman" w:hAnsi="Times New Roman" w:cs="Times New Roman" w:eastAsiaTheme="minorEastAsia"/>
                <w:b w:val="0"/>
                <w:bCs/>
                <w:color w:val="auto"/>
                <w:sz w:val="24"/>
                <w:szCs w:val="24"/>
                <w:lang w:val="en-US" w:eastAsia="zh-CN"/>
              </w:rPr>
              <w:t>27.412834</w:t>
            </w:r>
            <w:bookmarkEnd w:id="19"/>
            <w:r>
              <w:rPr>
                <w:rFonts w:cs="Times New Roman"/>
                <w:bCs/>
                <w:color w:val="auto"/>
                <w:sz w:val="24"/>
                <w:szCs w:val="24"/>
              </w:rPr>
              <w:t>）为坐标原点，正东向为X轴正方向，正北向为Y轴正方向</w:t>
            </w:r>
            <w:r>
              <w:rPr>
                <w:rFonts w:hint="eastAsia" w:cs="Times New Roman"/>
                <w:bCs/>
                <w:color w:val="auto"/>
                <w:sz w:val="24"/>
                <w:szCs w:val="24"/>
              </w:rPr>
              <w:t>。</w:t>
            </w:r>
          </w:p>
          <w:p w14:paraId="1E8AD911">
            <w:pPr>
              <w:pStyle w:val="13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kern w:val="0"/>
              </w:rPr>
            </w:pPr>
            <w:r>
              <w:rPr>
                <w:rFonts w:hint="eastAsia" w:cs="Times New Roman"/>
                <w:color w:val="auto"/>
                <w:kern w:val="0"/>
              </w:rPr>
              <w:t>由上表可知，正常工况下，项目厂界噪声满足</w:t>
            </w:r>
            <w:r>
              <w:rPr>
                <w:rFonts w:cs="Times New Roman"/>
                <w:color w:val="auto"/>
                <w:kern w:val="0"/>
              </w:rPr>
              <w:t>《工业企业厂界环境噪声排放标准》（GB12348-2008）中的</w:t>
            </w:r>
            <w:r>
              <w:rPr>
                <w:rFonts w:hint="eastAsia" w:cs="Times New Roman"/>
                <w:color w:val="auto"/>
                <w:kern w:val="0"/>
                <w:lang w:val="en-US" w:eastAsia="zh-CN"/>
              </w:rPr>
              <w:t>2</w:t>
            </w:r>
            <w:r>
              <w:rPr>
                <w:rFonts w:cs="Times New Roman"/>
                <w:color w:val="auto"/>
                <w:kern w:val="0"/>
              </w:rPr>
              <w:t>类标准</w:t>
            </w:r>
            <w:r>
              <w:rPr>
                <w:rFonts w:hint="eastAsia" w:cs="Times New Roman"/>
                <w:color w:val="auto"/>
                <w:kern w:val="0"/>
              </w:rPr>
              <w:t>。</w:t>
            </w:r>
          </w:p>
          <w:p w14:paraId="7BDE2474">
            <w:pPr>
              <w:widowControl/>
              <w:autoSpaceDE w:val="0"/>
              <w:jc w:val="center"/>
              <w:rPr>
                <w:rFonts w:hint="eastAsia"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表</w:t>
            </w:r>
            <w:r>
              <w:rPr>
                <w:rFonts w:hint="eastAsia" w:ascii="Times New Roman" w:hAnsi="Times New Roman" w:eastAsia="宋体" w:cs="Times New Roman"/>
                <w:b/>
                <w:color w:val="auto"/>
                <w:sz w:val="24"/>
                <w:lang w:val="en-US" w:eastAsia="zh-CN"/>
              </w:rPr>
              <w:t>4-1</w:t>
            </w:r>
            <w:r>
              <w:rPr>
                <w:rFonts w:hint="eastAsia" w:cs="Times New Roman"/>
                <w:b/>
                <w:color w:val="auto"/>
                <w:sz w:val="24"/>
                <w:lang w:val="en-US" w:eastAsia="zh-CN"/>
              </w:rPr>
              <w:t>6</w:t>
            </w:r>
            <w:r>
              <w:rPr>
                <w:rFonts w:hint="eastAsia" w:ascii="Times New Roman" w:hAnsi="Times New Roman" w:eastAsia="宋体" w:cs="Times New Roman"/>
                <w:b/>
                <w:color w:val="auto"/>
                <w:sz w:val="24"/>
                <w:lang w:val="en-US" w:eastAsia="zh-CN"/>
              </w:rPr>
              <w:t xml:space="preserve">   </w:t>
            </w:r>
            <w:r>
              <w:rPr>
                <w:rFonts w:hint="eastAsia" w:ascii="Times New Roman" w:hAnsi="Times New Roman" w:eastAsia="宋体" w:cs="Times New Roman"/>
                <w:b/>
                <w:color w:val="auto"/>
                <w:sz w:val="24"/>
                <w:lang w:eastAsia="zh-CN"/>
              </w:rPr>
              <w:t>工业企业声环境保护目标噪声预测结果与达标分析表</w:t>
            </w:r>
          </w:p>
          <w:tbl>
            <w:tblPr>
              <w:tblStyle w:val="32"/>
              <w:tblW w:w="78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14"/>
              <w:gridCol w:w="546"/>
              <w:gridCol w:w="452"/>
              <w:gridCol w:w="440"/>
              <w:gridCol w:w="547"/>
              <w:gridCol w:w="451"/>
              <w:gridCol w:w="513"/>
              <w:gridCol w:w="599"/>
              <w:gridCol w:w="611"/>
              <w:gridCol w:w="625"/>
              <w:gridCol w:w="557"/>
              <w:gridCol w:w="465"/>
              <w:gridCol w:w="536"/>
            </w:tblGrid>
            <w:tr w14:paraId="2653A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963" w:type="pct"/>
                  <w:vMerge w:val="restart"/>
                  <w:tcBorders>
                    <w:tl2br w:val="nil"/>
                    <w:tr2bl w:val="nil"/>
                  </w:tcBorders>
                  <w:shd w:val="clear" w:color="auto" w:fill="auto"/>
                  <w:noWrap w:val="0"/>
                  <w:vAlign w:val="center"/>
                </w:tcPr>
                <w:p w14:paraId="064B4B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bookmarkStart w:id="20" w:name="PT_8"/>
                  <w:r>
                    <w:rPr>
                      <w:rFonts w:hint="default" w:ascii="Times New Roman" w:hAnsi="Times New Roman" w:eastAsia="宋体" w:cs="Times New Roman"/>
                      <w:b/>
                      <w:color w:val="auto"/>
                      <w:sz w:val="21"/>
                      <w:szCs w:val="21"/>
                    </w:rPr>
                    <w:t>声环境保护目标名称</w:t>
                  </w:r>
                </w:p>
              </w:tc>
              <w:tc>
                <w:tcPr>
                  <w:tcW w:w="635" w:type="pct"/>
                  <w:gridSpan w:val="2"/>
                  <w:tcBorders>
                    <w:tl2br w:val="nil"/>
                    <w:tr2bl w:val="nil"/>
                  </w:tcBorders>
                  <w:shd w:val="clear" w:color="auto" w:fill="auto"/>
                  <w:noWrap w:val="0"/>
                  <w:vAlign w:val="center"/>
                </w:tcPr>
                <w:p w14:paraId="77E7CE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rPr>
                    <w:t>噪声背景值/dB</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eastAsia" w:cs="Times New Roman"/>
                      <w:b/>
                      <w:color w:val="auto"/>
                      <w:sz w:val="21"/>
                      <w:szCs w:val="21"/>
                      <w:lang w:eastAsia="zh-CN"/>
                    </w:rPr>
                    <w:t>）</w:t>
                  </w:r>
                </w:p>
              </w:tc>
              <w:tc>
                <w:tcPr>
                  <w:tcW w:w="628" w:type="pct"/>
                  <w:gridSpan w:val="2"/>
                  <w:tcBorders>
                    <w:tl2br w:val="nil"/>
                    <w:tr2bl w:val="nil"/>
                  </w:tcBorders>
                  <w:shd w:val="clear" w:color="auto" w:fill="auto"/>
                  <w:noWrap w:val="0"/>
                  <w:vAlign w:val="center"/>
                </w:tcPr>
                <w:p w14:paraId="03F53E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rPr>
                    <w:t>噪声现状值/dB</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eastAsia" w:cs="Times New Roman"/>
                      <w:b/>
                      <w:color w:val="auto"/>
                      <w:sz w:val="21"/>
                      <w:szCs w:val="21"/>
                      <w:lang w:eastAsia="zh-CN"/>
                    </w:rPr>
                    <w:t>）</w:t>
                  </w:r>
                </w:p>
              </w:tc>
              <w:tc>
                <w:tcPr>
                  <w:tcW w:w="613" w:type="pct"/>
                  <w:gridSpan w:val="2"/>
                  <w:tcBorders>
                    <w:tl2br w:val="nil"/>
                    <w:tr2bl w:val="nil"/>
                  </w:tcBorders>
                  <w:shd w:val="clear" w:color="auto" w:fill="auto"/>
                  <w:noWrap w:val="0"/>
                  <w:vAlign w:val="center"/>
                </w:tcPr>
                <w:p w14:paraId="1836FB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rPr>
                    <w:t>噪声标准/dB</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eastAsia" w:cs="Times New Roman"/>
                      <w:b/>
                      <w:color w:val="auto"/>
                      <w:sz w:val="21"/>
                      <w:szCs w:val="21"/>
                      <w:lang w:eastAsia="zh-CN"/>
                    </w:rPr>
                    <w:t>）</w:t>
                  </w:r>
                </w:p>
              </w:tc>
              <w:tc>
                <w:tcPr>
                  <w:tcW w:w="770" w:type="pct"/>
                  <w:gridSpan w:val="2"/>
                  <w:tcBorders>
                    <w:tl2br w:val="nil"/>
                    <w:tr2bl w:val="nil"/>
                  </w:tcBorders>
                  <w:shd w:val="clear" w:color="auto" w:fill="auto"/>
                  <w:noWrap w:val="0"/>
                  <w:vAlign w:val="center"/>
                </w:tcPr>
                <w:p w14:paraId="63579E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rPr>
                    <w:t>噪声贡献值/dB</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eastAsia" w:cs="Times New Roman"/>
                      <w:b/>
                      <w:color w:val="auto"/>
                      <w:sz w:val="21"/>
                      <w:szCs w:val="21"/>
                      <w:lang w:eastAsia="zh-CN"/>
                    </w:rPr>
                    <w:t>）</w:t>
                  </w:r>
                </w:p>
              </w:tc>
              <w:tc>
                <w:tcPr>
                  <w:tcW w:w="752" w:type="pct"/>
                  <w:gridSpan w:val="2"/>
                  <w:tcBorders>
                    <w:tl2br w:val="nil"/>
                    <w:tr2bl w:val="nil"/>
                  </w:tcBorders>
                  <w:shd w:val="clear" w:color="auto" w:fill="auto"/>
                  <w:noWrap w:val="0"/>
                  <w:vAlign w:val="center"/>
                </w:tcPr>
                <w:p w14:paraId="3DFB86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color w:val="auto"/>
                      <w:sz w:val="21"/>
                      <w:szCs w:val="21"/>
                    </w:rPr>
                    <w:t>噪声预测值/dB</w:t>
                  </w:r>
                  <w:r>
                    <w:rPr>
                      <w:rFonts w:hint="eastAsia"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eastAsia" w:cs="Times New Roman"/>
                      <w:b/>
                      <w:color w:val="auto"/>
                      <w:sz w:val="21"/>
                      <w:szCs w:val="21"/>
                      <w:lang w:eastAsia="zh-CN"/>
                    </w:rPr>
                    <w:t>）</w:t>
                  </w:r>
                </w:p>
              </w:tc>
              <w:tc>
                <w:tcPr>
                  <w:tcW w:w="637" w:type="pct"/>
                  <w:gridSpan w:val="2"/>
                  <w:tcBorders>
                    <w:tl2br w:val="nil"/>
                    <w:tr2bl w:val="nil"/>
                  </w:tcBorders>
                  <w:shd w:val="clear" w:color="auto" w:fill="auto"/>
                  <w:noWrap w:val="0"/>
                  <w:vAlign w:val="center"/>
                </w:tcPr>
                <w:p w14:paraId="71337D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color w:val="auto"/>
                      <w:sz w:val="21"/>
                      <w:szCs w:val="21"/>
                    </w:rPr>
                    <w:t>超标和达标情况</w:t>
                  </w:r>
                </w:p>
              </w:tc>
            </w:tr>
            <w:tr w14:paraId="12B67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63" w:type="pct"/>
                  <w:vMerge w:val="continue"/>
                  <w:tcBorders>
                    <w:tl2br w:val="nil"/>
                    <w:tr2bl w:val="nil"/>
                  </w:tcBorders>
                  <w:shd w:val="clear" w:color="auto" w:fill="auto"/>
                  <w:noWrap w:val="0"/>
                  <w:vAlign w:val="center"/>
                </w:tcPr>
                <w:p w14:paraId="7F268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p>
              </w:tc>
              <w:tc>
                <w:tcPr>
                  <w:tcW w:w="347" w:type="pct"/>
                  <w:tcBorders>
                    <w:tl2br w:val="nil"/>
                    <w:tr2bl w:val="nil"/>
                  </w:tcBorders>
                  <w:shd w:val="clear" w:color="auto" w:fill="auto"/>
                  <w:noWrap w:val="0"/>
                  <w:vAlign w:val="center"/>
                </w:tcPr>
                <w:p w14:paraId="43DED6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287" w:type="pct"/>
                  <w:tcBorders>
                    <w:tl2br w:val="nil"/>
                    <w:tr2bl w:val="nil"/>
                  </w:tcBorders>
                  <w:shd w:val="clear" w:color="auto" w:fill="auto"/>
                  <w:noWrap w:val="0"/>
                  <w:vAlign w:val="center"/>
                </w:tcPr>
                <w:p w14:paraId="026048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280" w:type="pct"/>
                  <w:tcBorders>
                    <w:tl2br w:val="nil"/>
                    <w:tr2bl w:val="nil"/>
                  </w:tcBorders>
                  <w:shd w:val="clear" w:color="auto" w:fill="auto"/>
                  <w:noWrap w:val="0"/>
                  <w:vAlign w:val="center"/>
                </w:tcPr>
                <w:p w14:paraId="391080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348" w:type="pct"/>
                  <w:tcBorders>
                    <w:tl2br w:val="nil"/>
                    <w:tr2bl w:val="nil"/>
                  </w:tcBorders>
                  <w:shd w:val="clear" w:color="auto" w:fill="auto"/>
                  <w:noWrap w:val="0"/>
                  <w:vAlign w:val="center"/>
                </w:tcPr>
                <w:p w14:paraId="64D331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287" w:type="pct"/>
                  <w:tcBorders>
                    <w:tl2br w:val="nil"/>
                    <w:tr2bl w:val="nil"/>
                  </w:tcBorders>
                  <w:shd w:val="clear" w:color="auto" w:fill="auto"/>
                  <w:noWrap w:val="0"/>
                  <w:vAlign w:val="center"/>
                </w:tcPr>
                <w:p w14:paraId="356BEA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326" w:type="pct"/>
                  <w:tcBorders>
                    <w:tl2br w:val="nil"/>
                    <w:tr2bl w:val="nil"/>
                  </w:tcBorders>
                  <w:shd w:val="clear" w:color="auto" w:fill="auto"/>
                  <w:noWrap w:val="0"/>
                  <w:vAlign w:val="center"/>
                </w:tcPr>
                <w:p w14:paraId="1C1DCB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381" w:type="pct"/>
                  <w:tcBorders>
                    <w:tl2br w:val="nil"/>
                    <w:tr2bl w:val="nil"/>
                  </w:tcBorders>
                  <w:shd w:val="clear" w:color="auto" w:fill="auto"/>
                  <w:noWrap w:val="0"/>
                  <w:vAlign w:val="center"/>
                </w:tcPr>
                <w:p w14:paraId="625E5C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388" w:type="pct"/>
                  <w:tcBorders>
                    <w:tl2br w:val="nil"/>
                    <w:tr2bl w:val="nil"/>
                  </w:tcBorders>
                  <w:shd w:val="clear" w:color="auto" w:fill="auto"/>
                  <w:noWrap w:val="0"/>
                  <w:vAlign w:val="center"/>
                </w:tcPr>
                <w:p w14:paraId="7B2321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397" w:type="pct"/>
                  <w:tcBorders>
                    <w:tl2br w:val="nil"/>
                    <w:tr2bl w:val="nil"/>
                  </w:tcBorders>
                  <w:shd w:val="clear" w:color="auto" w:fill="auto"/>
                  <w:noWrap w:val="0"/>
                  <w:vAlign w:val="center"/>
                </w:tcPr>
                <w:p w14:paraId="132B6E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354" w:type="pct"/>
                  <w:tcBorders>
                    <w:tl2br w:val="nil"/>
                    <w:tr2bl w:val="nil"/>
                  </w:tcBorders>
                  <w:shd w:val="clear" w:color="auto" w:fill="auto"/>
                  <w:noWrap w:val="0"/>
                  <w:vAlign w:val="center"/>
                </w:tcPr>
                <w:p w14:paraId="7D06B7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295" w:type="pct"/>
                  <w:tcBorders>
                    <w:tl2br w:val="nil"/>
                    <w:tr2bl w:val="nil"/>
                  </w:tcBorders>
                  <w:shd w:val="clear" w:color="auto" w:fill="auto"/>
                  <w:noWrap w:val="0"/>
                  <w:vAlign w:val="center"/>
                </w:tcPr>
                <w:p w14:paraId="29282B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341" w:type="pct"/>
                  <w:tcBorders>
                    <w:tl2br w:val="nil"/>
                    <w:tr2bl w:val="nil"/>
                  </w:tcBorders>
                  <w:shd w:val="clear" w:color="auto" w:fill="auto"/>
                  <w:noWrap w:val="0"/>
                  <w:vAlign w:val="center"/>
                </w:tcPr>
                <w:p w14:paraId="216BE5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bookmarkEnd w:id="20"/>
                </w:p>
              </w:tc>
            </w:tr>
            <w:tr w14:paraId="5A2DB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63" w:type="pct"/>
                  <w:tcBorders>
                    <w:tl2br w:val="nil"/>
                    <w:tr2bl w:val="nil"/>
                  </w:tcBorders>
                  <w:shd w:val="clear" w:color="auto" w:fill="auto"/>
                  <w:noWrap w:val="0"/>
                  <w:vAlign w:val="center"/>
                </w:tcPr>
                <w:p w14:paraId="27305D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eastAsia"/>
                      <w:color w:val="auto"/>
                    </w:rPr>
                    <w:t>项目北侧岩板村三组居民点</w:t>
                  </w:r>
                </w:p>
              </w:tc>
              <w:tc>
                <w:tcPr>
                  <w:tcW w:w="347" w:type="pct"/>
                  <w:tcBorders>
                    <w:tl2br w:val="nil"/>
                    <w:tr2bl w:val="nil"/>
                  </w:tcBorders>
                  <w:shd w:val="clear" w:color="auto" w:fill="auto"/>
                  <w:noWrap w:val="0"/>
                  <w:vAlign w:val="center"/>
                </w:tcPr>
                <w:p w14:paraId="063328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53</w:t>
                  </w:r>
                </w:p>
              </w:tc>
              <w:tc>
                <w:tcPr>
                  <w:tcW w:w="287" w:type="pct"/>
                  <w:tcBorders>
                    <w:tl2br w:val="nil"/>
                    <w:tr2bl w:val="nil"/>
                  </w:tcBorders>
                  <w:shd w:val="clear" w:color="auto" w:fill="auto"/>
                  <w:noWrap w:val="0"/>
                  <w:vAlign w:val="center"/>
                </w:tcPr>
                <w:p w14:paraId="01B09F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43</w:t>
                  </w:r>
                </w:p>
              </w:tc>
              <w:tc>
                <w:tcPr>
                  <w:tcW w:w="280" w:type="pct"/>
                  <w:tcBorders>
                    <w:tl2br w:val="nil"/>
                    <w:tr2bl w:val="nil"/>
                  </w:tcBorders>
                  <w:shd w:val="clear" w:color="auto" w:fill="auto"/>
                  <w:noWrap w:val="0"/>
                  <w:vAlign w:val="center"/>
                </w:tcPr>
                <w:p w14:paraId="362035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60</w:t>
                  </w:r>
                </w:p>
              </w:tc>
              <w:tc>
                <w:tcPr>
                  <w:tcW w:w="348" w:type="pct"/>
                  <w:tcBorders>
                    <w:tl2br w:val="nil"/>
                    <w:tr2bl w:val="nil"/>
                  </w:tcBorders>
                  <w:shd w:val="clear" w:color="auto" w:fill="auto"/>
                  <w:noWrap w:val="0"/>
                  <w:vAlign w:val="center"/>
                </w:tcPr>
                <w:p w14:paraId="7DB20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50</w:t>
                  </w:r>
                </w:p>
              </w:tc>
              <w:tc>
                <w:tcPr>
                  <w:tcW w:w="287" w:type="pct"/>
                  <w:tcBorders>
                    <w:tl2br w:val="nil"/>
                    <w:tr2bl w:val="nil"/>
                  </w:tcBorders>
                  <w:shd w:val="clear" w:color="auto" w:fill="auto"/>
                  <w:noWrap w:val="0"/>
                  <w:vAlign w:val="center"/>
                </w:tcPr>
                <w:p w14:paraId="321D26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eastAsia="zh-CN"/>
                    </w:rPr>
                  </w:pPr>
                  <w:r>
                    <w:rPr>
                      <w:rFonts w:hint="eastAsia"/>
                      <w:color w:val="auto"/>
                    </w:rPr>
                    <w:t>60</w:t>
                  </w:r>
                </w:p>
              </w:tc>
              <w:tc>
                <w:tcPr>
                  <w:tcW w:w="326" w:type="pct"/>
                  <w:tcBorders>
                    <w:tl2br w:val="nil"/>
                    <w:tr2bl w:val="nil"/>
                  </w:tcBorders>
                  <w:shd w:val="clear" w:color="auto" w:fill="auto"/>
                  <w:noWrap w:val="0"/>
                  <w:vAlign w:val="center"/>
                </w:tcPr>
                <w:p w14:paraId="2993B5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eastAsia="zh-CN"/>
                    </w:rPr>
                  </w:pPr>
                  <w:r>
                    <w:rPr>
                      <w:rFonts w:hint="eastAsia"/>
                      <w:color w:val="auto"/>
                    </w:rPr>
                    <w:t>50</w:t>
                  </w:r>
                </w:p>
              </w:tc>
              <w:tc>
                <w:tcPr>
                  <w:tcW w:w="381" w:type="pct"/>
                  <w:tcBorders>
                    <w:tl2br w:val="nil"/>
                    <w:tr2bl w:val="nil"/>
                  </w:tcBorders>
                  <w:shd w:val="clear" w:color="auto" w:fill="auto"/>
                  <w:noWrap w:val="0"/>
                  <w:vAlign w:val="center"/>
                </w:tcPr>
                <w:p w14:paraId="09118A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29.0</w:t>
                  </w:r>
                </w:p>
              </w:tc>
              <w:tc>
                <w:tcPr>
                  <w:tcW w:w="388" w:type="pct"/>
                  <w:tcBorders>
                    <w:tl2br w:val="nil"/>
                    <w:tr2bl w:val="nil"/>
                  </w:tcBorders>
                  <w:shd w:val="clear" w:color="auto" w:fill="auto"/>
                  <w:noWrap w:val="0"/>
                  <w:vAlign w:val="center"/>
                </w:tcPr>
                <w:p w14:paraId="65A13C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29.0</w:t>
                  </w:r>
                </w:p>
              </w:tc>
              <w:tc>
                <w:tcPr>
                  <w:tcW w:w="397" w:type="pct"/>
                  <w:tcBorders>
                    <w:tl2br w:val="nil"/>
                    <w:tr2bl w:val="nil"/>
                  </w:tcBorders>
                  <w:shd w:val="clear" w:color="auto" w:fill="auto"/>
                  <w:noWrap w:val="0"/>
                  <w:vAlign w:val="center"/>
                </w:tcPr>
                <w:p w14:paraId="060A5C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53.0</w:t>
                  </w:r>
                </w:p>
              </w:tc>
              <w:tc>
                <w:tcPr>
                  <w:tcW w:w="354" w:type="pct"/>
                  <w:tcBorders>
                    <w:tl2br w:val="nil"/>
                    <w:tr2bl w:val="nil"/>
                  </w:tcBorders>
                  <w:shd w:val="clear" w:color="auto" w:fill="auto"/>
                  <w:noWrap w:val="0"/>
                  <w:vAlign w:val="center"/>
                </w:tcPr>
                <w:p w14:paraId="7763C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43.2</w:t>
                  </w:r>
                </w:p>
              </w:tc>
              <w:tc>
                <w:tcPr>
                  <w:tcW w:w="295" w:type="pct"/>
                  <w:tcBorders>
                    <w:tl2br w:val="nil"/>
                    <w:tr2bl w:val="nil"/>
                  </w:tcBorders>
                  <w:shd w:val="clear" w:color="auto" w:fill="auto"/>
                  <w:noWrap w:val="0"/>
                  <w:vAlign w:val="center"/>
                </w:tcPr>
                <w:p w14:paraId="2DE36E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达标</w:t>
                  </w:r>
                </w:p>
              </w:tc>
              <w:tc>
                <w:tcPr>
                  <w:tcW w:w="341" w:type="pct"/>
                  <w:tcBorders>
                    <w:tl2br w:val="nil"/>
                    <w:tr2bl w:val="nil"/>
                  </w:tcBorders>
                  <w:shd w:val="clear" w:color="auto" w:fill="auto"/>
                  <w:noWrap w:val="0"/>
                  <w:vAlign w:val="center"/>
                </w:tcPr>
                <w:p w14:paraId="2ABBDA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达标</w:t>
                  </w:r>
                </w:p>
              </w:tc>
            </w:tr>
            <w:tr w14:paraId="34D4ED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63" w:type="pct"/>
                  <w:tcBorders>
                    <w:tl2br w:val="nil"/>
                    <w:tr2bl w:val="nil"/>
                  </w:tcBorders>
                  <w:shd w:val="clear" w:color="auto" w:fill="auto"/>
                  <w:noWrap w:val="0"/>
                  <w:vAlign w:val="center"/>
                </w:tcPr>
                <w:p w14:paraId="054308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eastAsia="zh-CN"/>
                    </w:rPr>
                  </w:pPr>
                  <w:r>
                    <w:rPr>
                      <w:rFonts w:hint="eastAsia"/>
                      <w:color w:val="auto"/>
                    </w:rPr>
                    <w:t>项目南侧岩板村一组居民点</w:t>
                  </w:r>
                </w:p>
              </w:tc>
              <w:tc>
                <w:tcPr>
                  <w:tcW w:w="347" w:type="pct"/>
                  <w:tcBorders>
                    <w:tl2br w:val="nil"/>
                    <w:tr2bl w:val="nil"/>
                  </w:tcBorders>
                  <w:shd w:val="clear" w:color="auto" w:fill="auto"/>
                  <w:noWrap w:val="0"/>
                  <w:vAlign w:val="center"/>
                </w:tcPr>
                <w:p w14:paraId="2A2780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52</w:t>
                  </w:r>
                </w:p>
              </w:tc>
              <w:tc>
                <w:tcPr>
                  <w:tcW w:w="287" w:type="pct"/>
                  <w:tcBorders>
                    <w:tl2br w:val="nil"/>
                    <w:tr2bl w:val="nil"/>
                  </w:tcBorders>
                  <w:shd w:val="clear" w:color="auto" w:fill="auto"/>
                  <w:noWrap w:val="0"/>
                  <w:vAlign w:val="center"/>
                </w:tcPr>
                <w:p w14:paraId="0CFC12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41</w:t>
                  </w:r>
                </w:p>
              </w:tc>
              <w:tc>
                <w:tcPr>
                  <w:tcW w:w="280" w:type="pct"/>
                  <w:tcBorders>
                    <w:tl2br w:val="nil"/>
                    <w:tr2bl w:val="nil"/>
                  </w:tcBorders>
                  <w:shd w:val="clear" w:color="auto" w:fill="auto"/>
                  <w:noWrap w:val="0"/>
                  <w:vAlign w:val="center"/>
                </w:tcPr>
                <w:p w14:paraId="160DFC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60</w:t>
                  </w:r>
                </w:p>
              </w:tc>
              <w:tc>
                <w:tcPr>
                  <w:tcW w:w="348" w:type="pct"/>
                  <w:tcBorders>
                    <w:tl2br w:val="nil"/>
                    <w:tr2bl w:val="nil"/>
                  </w:tcBorders>
                  <w:shd w:val="clear" w:color="auto" w:fill="auto"/>
                  <w:noWrap w:val="0"/>
                  <w:vAlign w:val="center"/>
                </w:tcPr>
                <w:p w14:paraId="199806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50</w:t>
                  </w:r>
                </w:p>
              </w:tc>
              <w:tc>
                <w:tcPr>
                  <w:tcW w:w="287" w:type="pct"/>
                  <w:tcBorders>
                    <w:tl2br w:val="nil"/>
                    <w:tr2bl w:val="nil"/>
                  </w:tcBorders>
                  <w:shd w:val="clear" w:color="auto" w:fill="auto"/>
                  <w:noWrap w:val="0"/>
                  <w:vAlign w:val="center"/>
                </w:tcPr>
                <w:p w14:paraId="0D80C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eastAsia="zh-CN"/>
                    </w:rPr>
                  </w:pPr>
                  <w:r>
                    <w:rPr>
                      <w:rFonts w:hint="eastAsia"/>
                      <w:color w:val="auto"/>
                    </w:rPr>
                    <w:t>60</w:t>
                  </w:r>
                </w:p>
              </w:tc>
              <w:tc>
                <w:tcPr>
                  <w:tcW w:w="326" w:type="pct"/>
                  <w:tcBorders>
                    <w:tl2br w:val="nil"/>
                    <w:tr2bl w:val="nil"/>
                  </w:tcBorders>
                  <w:shd w:val="clear" w:color="auto" w:fill="auto"/>
                  <w:noWrap w:val="0"/>
                  <w:vAlign w:val="center"/>
                </w:tcPr>
                <w:p w14:paraId="5564CA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eastAsia="zh-CN"/>
                    </w:rPr>
                  </w:pPr>
                  <w:r>
                    <w:rPr>
                      <w:rFonts w:hint="eastAsia"/>
                      <w:color w:val="auto"/>
                    </w:rPr>
                    <w:t>50</w:t>
                  </w:r>
                </w:p>
              </w:tc>
              <w:tc>
                <w:tcPr>
                  <w:tcW w:w="381" w:type="pct"/>
                  <w:tcBorders>
                    <w:tl2br w:val="nil"/>
                    <w:tr2bl w:val="nil"/>
                  </w:tcBorders>
                  <w:shd w:val="clear" w:color="auto" w:fill="auto"/>
                  <w:noWrap w:val="0"/>
                  <w:vAlign w:val="center"/>
                </w:tcPr>
                <w:p w14:paraId="7A9FE3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21.7</w:t>
                  </w:r>
                </w:p>
              </w:tc>
              <w:tc>
                <w:tcPr>
                  <w:tcW w:w="388" w:type="pct"/>
                  <w:tcBorders>
                    <w:tl2br w:val="nil"/>
                    <w:tr2bl w:val="nil"/>
                  </w:tcBorders>
                  <w:shd w:val="clear" w:color="auto" w:fill="auto"/>
                  <w:noWrap w:val="0"/>
                  <w:vAlign w:val="center"/>
                </w:tcPr>
                <w:p w14:paraId="070DED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21.7</w:t>
                  </w:r>
                </w:p>
              </w:tc>
              <w:tc>
                <w:tcPr>
                  <w:tcW w:w="397" w:type="pct"/>
                  <w:tcBorders>
                    <w:tl2br w:val="nil"/>
                    <w:tr2bl w:val="nil"/>
                  </w:tcBorders>
                  <w:shd w:val="clear" w:color="auto" w:fill="auto"/>
                  <w:noWrap w:val="0"/>
                  <w:vAlign w:val="center"/>
                </w:tcPr>
                <w:p w14:paraId="38F3B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52.0</w:t>
                  </w:r>
                </w:p>
              </w:tc>
              <w:tc>
                <w:tcPr>
                  <w:tcW w:w="354" w:type="pct"/>
                  <w:tcBorders>
                    <w:tl2br w:val="nil"/>
                    <w:tr2bl w:val="nil"/>
                  </w:tcBorders>
                  <w:shd w:val="clear" w:color="auto" w:fill="auto"/>
                  <w:noWrap w:val="0"/>
                  <w:vAlign w:val="center"/>
                </w:tcPr>
                <w:p w14:paraId="71D4D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41.1</w:t>
                  </w:r>
                </w:p>
              </w:tc>
              <w:tc>
                <w:tcPr>
                  <w:tcW w:w="295" w:type="pct"/>
                  <w:tcBorders>
                    <w:tl2br w:val="nil"/>
                    <w:tr2bl w:val="nil"/>
                  </w:tcBorders>
                  <w:shd w:val="clear" w:color="auto" w:fill="auto"/>
                  <w:noWrap w:val="0"/>
                  <w:vAlign w:val="center"/>
                </w:tcPr>
                <w:p w14:paraId="7BF7EA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达标</w:t>
                  </w:r>
                </w:p>
              </w:tc>
              <w:tc>
                <w:tcPr>
                  <w:tcW w:w="341" w:type="pct"/>
                  <w:tcBorders>
                    <w:tl2br w:val="nil"/>
                    <w:tr2bl w:val="nil"/>
                  </w:tcBorders>
                  <w:shd w:val="clear" w:color="auto" w:fill="auto"/>
                  <w:noWrap w:val="0"/>
                  <w:vAlign w:val="center"/>
                </w:tcPr>
                <w:p w14:paraId="0E662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rPr>
                  </w:pPr>
                  <w:r>
                    <w:rPr>
                      <w:rFonts w:hint="eastAsia"/>
                      <w:color w:val="auto"/>
                    </w:rPr>
                    <w:t>达标</w:t>
                  </w:r>
                </w:p>
              </w:tc>
            </w:tr>
          </w:tbl>
          <w:p w14:paraId="07BD9E4B">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b/>
                <w:color w:val="auto"/>
                <w:sz w:val="24"/>
                <w:szCs w:val="22"/>
              </w:rPr>
            </w:pPr>
            <w:r>
              <w:rPr>
                <w:rFonts w:hint="eastAsia" w:cs="Times New Roman"/>
                <w:color w:val="auto"/>
                <w:kern w:val="0"/>
                <w:sz w:val="24"/>
                <w:szCs w:val="24"/>
              </w:rPr>
              <w:t>由上表可知，正常工</w:t>
            </w:r>
            <w:r>
              <w:rPr>
                <w:rFonts w:hint="eastAsia" w:ascii="Times New Roman" w:hAnsi="Times New Roman" w:eastAsia="宋体" w:cs="Times New Roman"/>
                <w:color w:val="auto"/>
                <w:sz w:val="24"/>
              </w:rPr>
              <w:t>况下，项目</w:t>
            </w:r>
            <w:r>
              <w:rPr>
                <w:rFonts w:hint="eastAsia" w:ascii="Times New Roman" w:hAnsi="Times New Roman" w:eastAsia="宋体" w:cs="Times New Roman"/>
                <w:color w:val="auto"/>
                <w:sz w:val="24"/>
                <w:lang w:eastAsia="zh-CN"/>
              </w:rPr>
              <w:t>声环境保护目标</w:t>
            </w:r>
            <w:r>
              <w:rPr>
                <w:rFonts w:hint="eastAsia" w:ascii="Times New Roman" w:hAnsi="Times New Roman" w:eastAsia="宋体" w:cs="Times New Roman"/>
                <w:color w:val="auto"/>
                <w:sz w:val="24"/>
                <w:lang w:val="en-US" w:eastAsia="zh-CN"/>
              </w:rPr>
              <w:t>处</w:t>
            </w:r>
            <w:r>
              <w:rPr>
                <w:rFonts w:hint="eastAsia" w:ascii="Times New Roman" w:hAnsi="Times New Roman" w:eastAsia="宋体" w:cs="Times New Roman"/>
                <w:color w:val="auto"/>
                <w:sz w:val="24"/>
              </w:rPr>
              <w:t>噪声满足《声环境质量标准》（GB3096-2008）中2类标准。</w:t>
            </w:r>
          </w:p>
          <w:p w14:paraId="55A9F40B">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color w:val="auto"/>
                <w:sz w:val="24"/>
                <w:szCs w:val="22"/>
              </w:rPr>
            </w:pPr>
            <w:r>
              <w:rPr>
                <w:rFonts w:hint="eastAsia"/>
                <w:b/>
                <w:color w:val="auto"/>
                <w:sz w:val="24"/>
                <w:szCs w:val="22"/>
              </w:rPr>
              <w:t>3.5</w:t>
            </w:r>
            <w:r>
              <w:rPr>
                <w:b/>
                <w:color w:val="auto"/>
                <w:sz w:val="24"/>
                <w:szCs w:val="22"/>
              </w:rPr>
              <w:t>噪声监测计划</w:t>
            </w:r>
          </w:p>
          <w:p w14:paraId="3572ED1A">
            <w:pPr>
              <w:spacing w:line="360" w:lineRule="auto"/>
              <w:ind w:firstLine="480" w:firstLineChars="200"/>
              <w:rPr>
                <w:color w:val="auto"/>
                <w:sz w:val="24"/>
                <w:lang w:val="zh-CN"/>
              </w:rPr>
            </w:pPr>
            <w:r>
              <w:rPr>
                <w:color w:val="auto"/>
                <w:sz w:val="24"/>
                <w:lang w:val="zh-CN"/>
              </w:rPr>
              <w:t>项目</w:t>
            </w:r>
            <w:r>
              <w:rPr>
                <w:color w:val="auto"/>
                <w:sz w:val="24"/>
              </w:rPr>
              <w:t>噪声</w:t>
            </w:r>
            <w:r>
              <w:rPr>
                <w:color w:val="auto"/>
                <w:sz w:val="24"/>
                <w:lang w:val="zh-CN"/>
              </w:rPr>
              <w:t>监测计划见表</w:t>
            </w:r>
            <w:r>
              <w:rPr>
                <w:color w:val="auto"/>
                <w:sz w:val="24"/>
              </w:rPr>
              <w:t>4</w:t>
            </w:r>
            <w:r>
              <w:rPr>
                <w:rFonts w:hint="eastAsia"/>
                <w:color w:val="auto"/>
                <w:sz w:val="24"/>
              </w:rPr>
              <w:t>-1</w:t>
            </w:r>
            <w:r>
              <w:rPr>
                <w:rFonts w:hint="eastAsia"/>
                <w:color w:val="auto"/>
                <w:sz w:val="24"/>
                <w:lang w:val="en-US" w:eastAsia="zh-CN"/>
              </w:rPr>
              <w:t>7</w:t>
            </w:r>
            <w:r>
              <w:rPr>
                <w:color w:val="auto"/>
                <w:sz w:val="24"/>
                <w:lang w:val="zh-CN"/>
              </w:rPr>
              <w:t>：</w:t>
            </w:r>
          </w:p>
          <w:p w14:paraId="17018F36">
            <w:pPr>
              <w:keepNext w:val="0"/>
              <w:keepLines w:val="0"/>
              <w:pageBreakBefore w:val="0"/>
              <w:widowControl w:val="0"/>
              <w:kinsoku/>
              <w:wordWrap/>
              <w:overflowPunct/>
              <w:topLinePunct w:val="0"/>
              <w:autoSpaceDE w:val="0"/>
              <w:autoSpaceDN w:val="0"/>
              <w:bidi w:val="0"/>
              <w:adjustRightInd/>
              <w:snapToGrid/>
              <w:jc w:val="center"/>
              <w:textAlignment w:val="auto"/>
              <w:rPr>
                <w:b/>
                <w:bCs/>
                <w:color w:val="auto"/>
                <w:sz w:val="24"/>
                <w:lang w:val="zh-CN"/>
              </w:rPr>
            </w:pPr>
            <w:r>
              <w:rPr>
                <w:b/>
                <w:bCs/>
                <w:color w:val="auto"/>
                <w:sz w:val="24"/>
                <w:lang w:val="zh-CN"/>
              </w:rPr>
              <w:t>表</w:t>
            </w:r>
            <w:r>
              <w:rPr>
                <w:b/>
                <w:bCs/>
                <w:color w:val="auto"/>
                <w:sz w:val="24"/>
              </w:rPr>
              <w:t>4</w:t>
            </w:r>
            <w:r>
              <w:rPr>
                <w:rFonts w:hint="eastAsia"/>
                <w:b/>
                <w:bCs/>
                <w:color w:val="auto"/>
                <w:sz w:val="24"/>
              </w:rPr>
              <w:t>-1</w:t>
            </w:r>
            <w:r>
              <w:rPr>
                <w:rFonts w:hint="eastAsia"/>
                <w:b/>
                <w:bCs/>
                <w:color w:val="auto"/>
                <w:sz w:val="24"/>
                <w:lang w:val="en-US" w:eastAsia="zh-CN"/>
              </w:rPr>
              <w:t>7</w:t>
            </w:r>
            <w:r>
              <w:rPr>
                <w:rFonts w:hint="eastAsia"/>
                <w:b/>
                <w:bCs/>
                <w:color w:val="auto"/>
                <w:sz w:val="24"/>
              </w:rPr>
              <w:t xml:space="preserve">   </w:t>
            </w:r>
            <w:r>
              <w:rPr>
                <w:b/>
                <w:bCs/>
                <w:color w:val="auto"/>
                <w:sz w:val="24"/>
              </w:rPr>
              <w:t>噪声</w:t>
            </w:r>
            <w:r>
              <w:rPr>
                <w:b/>
                <w:bCs/>
                <w:color w:val="auto"/>
                <w:sz w:val="24"/>
                <w:lang w:val="zh-CN"/>
              </w:rPr>
              <w:t>监测计划</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56"/>
              <w:gridCol w:w="1499"/>
              <w:gridCol w:w="3081"/>
              <w:gridCol w:w="1776"/>
            </w:tblGrid>
            <w:tr w14:paraId="00B0D7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1451" w:type="dxa"/>
                  <w:noWrap w:val="0"/>
                  <w:vAlign w:val="center"/>
                </w:tcPr>
                <w:p w14:paraId="498086EA">
                  <w:pPr>
                    <w:jc w:val="center"/>
                    <w:rPr>
                      <w:b/>
                      <w:bCs/>
                      <w:color w:val="auto"/>
                    </w:rPr>
                  </w:pPr>
                  <w:r>
                    <w:rPr>
                      <w:b/>
                      <w:bCs/>
                      <w:color w:val="auto"/>
                    </w:rPr>
                    <w:t>监测项目</w:t>
                  </w:r>
                </w:p>
              </w:tc>
              <w:tc>
                <w:tcPr>
                  <w:tcW w:w="1605" w:type="dxa"/>
                  <w:noWrap w:val="0"/>
                  <w:vAlign w:val="center"/>
                </w:tcPr>
                <w:p w14:paraId="24796559">
                  <w:pPr>
                    <w:jc w:val="center"/>
                    <w:rPr>
                      <w:b/>
                      <w:bCs/>
                      <w:color w:val="auto"/>
                    </w:rPr>
                  </w:pPr>
                  <w:r>
                    <w:rPr>
                      <w:b/>
                      <w:bCs/>
                      <w:color w:val="auto"/>
                    </w:rPr>
                    <w:t>监测因子</w:t>
                  </w:r>
                </w:p>
              </w:tc>
              <w:tc>
                <w:tcPr>
                  <w:tcW w:w="3300" w:type="dxa"/>
                  <w:noWrap w:val="0"/>
                  <w:vAlign w:val="center"/>
                </w:tcPr>
                <w:p w14:paraId="6393183C">
                  <w:pPr>
                    <w:jc w:val="center"/>
                    <w:rPr>
                      <w:b/>
                      <w:bCs/>
                      <w:color w:val="auto"/>
                    </w:rPr>
                  </w:pPr>
                  <w:r>
                    <w:rPr>
                      <w:b/>
                      <w:bCs/>
                      <w:color w:val="auto"/>
                    </w:rPr>
                    <w:t>监测点位</w:t>
                  </w:r>
                </w:p>
              </w:tc>
              <w:tc>
                <w:tcPr>
                  <w:tcW w:w="1901" w:type="dxa"/>
                  <w:noWrap w:val="0"/>
                  <w:vAlign w:val="center"/>
                </w:tcPr>
                <w:p w14:paraId="21C51205">
                  <w:pPr>
                    <w:jc w:val="center"/>
                    <w:rPr>
                      <w:b/>
                      <w:bCs/>
                      <w:color w:val="auto"/>
                    </w:rPr>
                  </w:pPr>
                  <w:r>
                    <w:rPr>
                      <w:b/>
                      <w:bCs/>
                      <w:color w:val="auto"/>
                    </w:rPr>
                    <w:t>监测频率</w:t>
                  </w:r>
                </w:p>
              </w:tc>
            </w:tr>
            <w:tr w14:paraId="766674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451" w:type="dxa"/>
                  <w:noWrap w:val="0"/>
                  <w:vAlign w:val="center"/>
                </w:tcPr>
                <w:p w14:paraId="76D27699">
                  <w:pPr>
                    <w:widowControl/>
                    <w:adjustRightInd w:val="0"/>
                    <w:snapToGrid w:val="0"/>
                    <w:jc w:val="center"/>
                    <w:rPr>
                      <w:color w:val="auto"/>
                      <w:szCs w:val="21"/>
                    </w:rPr>
                  </w:pPr>
                  <w:r>
                    <w:rPr>
                      <w:color w:val="auto"/>
                      <w:szCs w:val="21"/>
                    </w:rPr>
                    <w:t>噪声监测</w:t>
                  </w:r>
                </w:p>
              </w:tc>
              <w:tc>
                <w:tcPr>
                  <w:tcW w:w="1605" w:type="dxa"/>
                  <w:noWrap w:val="0"/>
                  <w:vAlign w:val="center"/>
                </w:tcPr>
                <w:p w14:paraId="502B495C">
                  <w:pPr>
                    <w:widowControl/>
                    <w:adjustRightInd w:val="0"/>
                    <w:snapToGrid w:val="0"/>
                    <w:jc w:val="center"/>
                    <w:rPr>
                      <w:color w:val="auto"/>
                      <w:szCs w:val="21"/>
                    </w:rPr>
                  </w:pPr>
                  <w:r>
                    <w:rPr>
                      <w:rFonts w:hint="eastAsia"/>
                      <w:color w:val="auto"/>
                    </w:rPr>
                    <w:t>Leq（A）</w:t>
                  </w:r>
                </w:p>
              </w:tc>
              <w:tc>
                <w:tcPr>
                  <w:tcW w:w="3300" w:type="dxa"/>
                  <w:noWrap w:val="0"/>
                  <w:vAlign w:val="center"/>
                </w:tcPr>
                <w:p w14:paraId="49B9F3F0">
                  <w:pPr>
                    <w:widowControl/>
                    <w:adjustRightInd w:val="0"/>
                    <w:snapToGrid w:val="0"/>
                    <w:jc w:val="center"/>
                    <w:rPr>
                      <w:color w:val="auto"/>
                      <w:szCs w:val="21"/>
                    </w:rPr>
                  </w:pPr>
                  <w:r>
                    <w:rPr>
                      <w:color w:val="auto"/>
                      <w:szCs w:val="21"/>
                    </w:rPr>
                    <w:t>东、</w:t>
                  </w:r>
                  <w:r>
                    <w:rPr>
                      <w:rFonts w:hint="eastAsia"/>
                      <w:color w:val="auto"/>
                      <w:szCs w:val="21"/>
                    </w:rPr>
                    <w:t>南、西、东厂界</w:t>
                  </w:r>
                  <w:r>
                    <w:rPr>
                      <w:color w:val="auto"/>
                      <w:szCs w:val="21"/>
                    </w:rPr>
                    <w:t>外1m</w:t>
                  </w:r>
                </w:p>
              </w:tc>
              <w:tc>
                <w:tcPr>
                  <w:tcW w:w="1901" w:type="dxa"/>
                  <w:noWrap w:val="0"/>
                  <w:vAlign w:val="center"/>
                </w:tcPr>
                <w:p w14:paraId="03A1492C">
                  <w:pPr>
                    <w:widowControl/>
                    <w:adjustRightInd w:val="0"/>
                    <w:snapToGrid w:val="0"/>
                    <w:jc w:val="center"/>
                    <w:rPr>
                      <w:color w:val="auto"/>
                      <w:szCs w:val="21"/>
                    </w:rPr>
                  </w:pPr>
                  <w:r>
                    <w:rPr>
                      <w:color w:val="auto"/>
                      <w:szCs w:val="21"/>
                    </w:rPr>
                    <w:t>每季度一次</w:t>
                  </w:r>
                </w:p>
              </w:tc>
            </w:tr>
          </w:tbl>
          <w:p w14:paraId="7C24ADCA">
            <w:pPr>
              <w:pStyle w:val="82"/>
              <w:keepNext w:val="0"/>
              <w:keepLines w:val="0"/>
              <w:pageBreakBefore w:val="0"/>
              <w:widowControl w:val="0"/>
              <w:numPr>
                <w:ilvl w:val="0"/>
                <w:numId w:val="0"/>
              </w:numPr>
              <w:kinsoku/>
              <w:wordWrap/>
              <w:overflowPunct/>
              <w:topLinePunct w:val="0"/>
              <w:autoSpaceDE/>
              <w:autoSpaceDN/>
              <w:bidi w:val="0"/>
              <w:adjustRightInd/>
              <w:snapToGrid/>
              <w:spacing w:before="157" w:beforeLines="50"/>
              <w:textAlignment w:val="auto"/>
              <w:rPr>
                <w:rFonts w:hint="default" w:ascii="Times New Roman" w:hAnsi="Times New Roman" w:cs="Times New Roman"/>
                <w:b/>
                <w:bCs/>
                <w:color w:val="auto"/>
                <w:szCs w:val="24"/>
              </w:rPr>
            </w:pPr>
            <w:r>
              <w:rPr>
                <w:rFonts w:hint="eastAsia" w:ascii="Times New Roman" w:hAnsi="Times New Roman" w:cs="Times New Roman"/>
                <w:b/>
                <w:bCs/>
                <w:color w:val="auto"/>
                <w:szCs w:val="24"/>
                <w:lang w:val="en-US" w:eastAsia="zh-CN"/>
              </w:rPr>
              <w:t>4</w:t>
            </w:r>
            <w:r>
              <w:rPr>
                <w:rFonts w:hint="eastAsia" w:ascii="Times New Roman" w:hAnsi="Times New Roman" w:cs="Times New Roman"/>
                <w:b/>
                <w:bCs/>
                <w:color w:val="auto"/>
                <w:szCs w:val="24"/>
                <w:lang w:eastAsia="zh-CN"/>
              </w:rPr>
              <w:t>、</w:t>
            </w:r>
            <w:r>
              <w:rPr>
                <w:rFonts w:hint="default" w:ascii="Times New Roman" w:hAnsi="Times New Roman" w:cs="Times New Roman"/>
                <w:b/>
                <w:bCs/>
                <w:color w:val="auto"/>
                <w:szCs w:val="24"/>
              </w:rPr>
              <w:t>固体废物影响分析</w:t>
            </w:r>
          </w:p>
          <w:p w14:paraId="145C99F5">
            <w:pPr>
              <w:pStyle w:val="82"/>
              <w:rPr>
                <w:rFonts w:hint="default" w:ascii="Times New Roman" w:hAnsi="Times New Roman" w:cs="Times New Roman"/>
                <w:color w:val="auto"/>
                <w:szCs w:val="24"/>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rPr>
              <w:t>固体废物产生及治理措施</w:t>
            </w:r>
          </w:p>
          <w:p w14:paraId="4FC8419D">
            <w:pPr>
              <w:pStyle w:val="82"/>
              <w:rPr>
                <w:rFonts w:hint="default" w:ascii="Times New Roman" w:hAnsi="Times New Roman" w:cs="Times New Roman"/>
                <w:color w:val="auto"/>
                <w:szCs w:val="24"/>
              </w:rPr>
            </w:pPr>
            <w:r>
              <w:rPr>
                <w:rFonts w:hint="default" w:ascii="Times New Roman" w:hAnsi="Times New Roman" w:cs="Times New Roman"/>
                <w:color w:val="auto"/>
                <w:szCs w:val="24"/>
              </w:rPr>
              <w:t>本项目产生的固废主要为</w:t>
            </w:r>
            <w:r>
              <w:rPr>
                <w:rFonts w:hint="eastAsia" w:ascii="Times New Roman" w:hAnsi="Times New Roman" w:cs="Times New Roman"/>
                <w:color w:val="auto"/>
                <w:szCs w:val="24"/>
                <w:lang w:eastAsia="zh-CN"/>
              </w:rPr>
              <w:t>废包装袋</w:t>
            </w:r>
            <w:r>
              <w:rPr>
                <w:rFonts w:hint="default" w:ascii="Times New Roman" w:hAnsi="Times New Roman" w:cs="Times New Roman"/>
                <w:color w:val="auto"/>
                <w:szCs w:val="24"/>
              </w:rPr>
              <w:t>、</w:t>
            </w:r>
            <w:r>
              <w:rPr>
                <w:rFonts w:hint="eastAsia" w:ascii="Times New Roman" w:hAnsi="Times New Roman" w:cs="Times New Roman"/>
                <w:color w:val="auto"/>
                <w:szCs w:val="24"/>
                <w:lang w:eastAsia="zh-CN"/>
              </w:rPr>
              <w:t>筛选废弃物（主要包括叶子、树枝等）</w:t>
            </w:r>
            <w:r>
              <w:rPr>
                <w:rFonts w:hint="eastAsia" w:cs="Times New Roman"/>
                <w:color w:val="auto"/>
                <w:szCs w:val="24"/>
                <w:lang w:eastAsia="zh-CN"/>
              </w:rPr>
              <w:t>、</w:t>
            </w:r>
            <w:r>
              <w:rPr>
                <w:rFonts w:hint="eastAsia" w:ascii="Times New Roman" w:hAnsi="Times New Roman" w:eastAsia="宋体" w:cs="Times New Roman"/>
                <w:color w:val="auto"/>
                <w:kern w:val="0"/>
                <w:sz w:val="24"/>
                <w:lang w:val="en-US" w:eastAsia="zh-CN"/>
              </w:rPr>
              <w:t>废弃中药材尾料</w:t>
            </w:r>
            <w:r>
              <w:rPr>
                <w:rFonts w:hint="eastAsia" w:ascii="Times New Roman" w:hAnsi="Times New Roman" w:cs="Times New Roman"/>
                <w:color w:val="auto"/>
                <w:kern w:val="0"/>
                <w:sz w:val="24"/>
                <w:lang w:val="en-US" w:eastAsia="zh-CN"/>
              </w:rPr>
              <w:t>、生物质燃烧灰渣、沉淀池沉渣</w:t>
            </w:r>
            <w:r>
              <w:rPr>
                <w:rFonts w:hint="default" w:ascii="Times New Roman" w:hAnsi="Times New Roman" w:cs="Times New Roman"/>
                <w:color w:val="auto"/>
                <w:szCs w:val="24"/>
              </w:rPr>
              <w:t>以及生活垃圾</w:t>
            </w:r>
            <w:r>
              <w:rPr>
                <w:rFonts w:hint="eastAsia" w:cs="Times New Roman"/>
                <w:color w:val="auto"/>
                <w:szCs w:val="24"/>
                <w:lang w:eastAsia="zh-CN"/>
              </w:rPr>
              <w:t>等</w:t>
            </w:r>
            <w:r>
              <w:rPr>
                <w:rFonts w:hint="default" w:ascii="Times New Roman" w:hAnsi="Times New Roman" w:cs="Times New Roman"/>
                <w:color w:val="auto"/>
                <w:szCs w:val="24"/>
              </w:rPr>
              <w:t>。</w:t>
            </w:r>
          </w:p>
          <w:p w14:paraId="1AC0BC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1</w:t>
            </w:r>
            <w:r>
              <w:rPr>
                <w:rFonts w:hint="eastAsia" w:ascii="Times New Roman" w:hAnsi="Times New Roman" w:cs="Times New Roman"/>
                <w:b/>
                <w:bCs/>
                <w:color w:val="auto"/>
                <w:sz w:val="24"/>
                <w:lang w:eastAsia="zh-CN"/>
              </w:rPr>
              <w:t>）</w:t>
            </w:r>
            <w:r>
              <w:rPr>
                <w:rFonts w:hint="default" w:ascii="Times New Roman" w:hAnsi="Times New Roman" w:cs="Times New Roman"/>
                <w:b/>
                <w:bCs/>
                <w:color w:val="auto"/>
                <w:sz w:val="24"/>
              </w:rPr>
              <w:t>生活垃圾</w:t>
            </w:r>
          </w:p>
          <w:p w14:paraId="646A2EA4">
            <w:pPr>
              <w:pStyle w:val="82"/>
              <w:rPr>
                <w:rFonts w:hint="default" w:ascii="Times New Roman" w:hAnsi="Times New Roman" w:cs="Times New Roman"/>
                <w:color w:val="auto"/>
                <w:kern w:val="0"/>
                <w:szCs w:val="24"/>
                <w:u w:val="none"/>
              </w:rPr>
            </w:pPr>
            <w:r>
              <w:rPr>
                <w:rFonts w:hint="default" w:ascii="Times New Roman" w:hAnsi="Times New Roman" w:cs="Times New Roman"/>
                <w:color w:val="auto"/>
                <w:kern w:val="0"/>
                <w:szCs w:val="24"/>
                <w:u w:val="none"/>
              </w:rPr>
              <w:t>产生生活垃圾按0.5kg/</w:t>
            </w:r>
            <w:r>
              <w:rPr>
                <w:rFonts w:hint="eastAsia" w:cs="Times New Roman"/>
                <w:color w:val="auto"/>
                <w:kern w:val="0"/>
                <w:szCs w:val="24"/>
                <w:u w:val="none"/>
                <w:lang w:eastAsia="zh-CN"/>
              </w:rPr>
              <w:t>（</w:t>
            </w:r>
            <w:r>
              <w:rPr>
                <w:rFonts w:hint="default" w:ascii="Times New Roman" w:hAnsi="Times New Roman" w:cs="Times New Roman"/>
                <w:color w:val="auto"/>
                <w:kern w:val="0"/>
                <w:szCs w:val="24"/>
                <w:u w:val="none"/>
              </w:rPr>
              <w:t>人·d</w:t>
            </w:r>
            <w:r>
              <w:rPr>
                <w:rFonts w:hint="eastAsia" w:cs="Times New Roman"/>
                <w:color w:val="auto"/>
                <w:kern w:val="0"/>
                <w:szCs w:val="24"/>
                <w:u w:val="none"/>
                <w:lang w:eastAsia="zh-CN"/>
              </w:rPr>
              <w:t>）</w:t>
            </w:r>
            <w:r>
              <w:rPr>
                <w:rFonts w:hint="default" w:ascii="Times New Roman" w:hAnsi="Times New Roman" w:cs="Times New Roman"/>
                <w:color w:val="auto"/>
                <w:kern w:val="0"/>
                <w:szCs w:val="24"/>
                <w:u w:val="none"/>
              </w:rPr>
              <w:t>计，</w:t>
            </w:r>
            <w:r>
              <w:rPr>
                <w:rFonts w:hint="eastAsia" w:ascii="Times New Roman" w:hAnsi="Times New Roman" w:cs="Times New Roman"/>
                <w:color w:val="auto"/>
                <w:kern w:val="0"/>
                <w:szCs w:val="24"/>
                <w:u w:val="none"/>
                <w:lang w:eastAsia="zh-CN"/>
              </w:rPr>
              <w:t>则</w:t>
            </w:r>
            <w:r>
              <w:rPr>
                <w:rFonts w:hint="default" w:ascii="Times New Roman" w:hAnsi="Times New Roman" w:cs="Times New Roman"/>
                <w:color w:val="auto"/>
                <w:kern w:val="0"/>
                <w:szCs w:val="24"/>
                <w:u w:val="none"/>
              </w:rPr>
              <w:t>生活垃圾产生量为</w:t>
            </w:r>
            <w:r>
              <w:rPr>
                <w:rFonts w:hint="eastAsia" w:ascii="Times New Roman" w:hAnsi="Times New Roman" w:cs="Times New Roman"/>
                <w:color w:val="auto"/>
                <w:kern w:val="0"/>
                <w:szCs w:val="24"/>
                <w:u w:val="none"/>
                <w:lang w:val="en-US" w:eastAsia="zh-CN"/>
              </w:rPr>
              <w:t>2</w:t>
            </w:r>
            <w:r>
              <w:rPr>
                <w:rFonts w:hint="eastAsia" w:cs="Times New Roman"/>
                <w:color w:val="auto"/>
                <w:kern w:val="0"/>
                <w:szCs w:val="24"/>
                <w:u w:val="none"/>
                <w:lang w:val="en-US" w:eastAsia="zh-CN"/>
              </w:rPr>
              <w:t>5</w:t>
            </w:r>
            <w:r>
              <w:rPr>
                <w:rFonts w:hint="default" w:ascii="Times New Roman" w:hAnsi="Times New Roman" w:cs="Times New Roman"/>
                <w:color w:val="auto"/>
                <w:kern w:val="0"/>
                <w:szCs w:val="24"/>
                <w:u w:val="none"/>
              </w:rPr>
              <w:t>kg/d</w:t>
            </w:r>
            <w:r>
              <w:rPr>
                <w:rFonts w:hint="eastAsia" w:cs="Times New Roman"/>
                <w:color w:val="auto"/>
                <w:kern w:val="0"/>
                <w:szCs w:val="24"/>
                <w:u w:val="none"/>
                <w:lang w:eastAsia="zh-CN"/>
              </w:rPr>
              <w:t>；</w:t>
            </w:r>
            <w:r>
              <w:rPr>
                <w:rFonts w:hint="default" w:ascii="Times New Roman" w:hAnsi="Times New Roman" w:cs="Times New Roman"/>
                <w:color w:val="auto"/>
                <w:kern w:val="0"/>
                <w:szCs w:val="24"/>
                <w:u w:val="none"/>
              </w:rPr>
              <w:t>每年工作日按照</w:t>
            </w:r>
            <w:r>
              <w:rPr>
                <w:rFonts w:hint="eastAsia" w:ascii="Times New Roman" w:hAnsi="Times New Roman" w:cs="Times New Roman"/>
                <w:color w:val="auto"/>
                <w:kern w:val="0"/>
                <w:szCs w:val="24"/>
                <w:u w:val="none"/>
                <w:lang w:val="en-US" w:eastAsia="zh-CN"/>
              </w:rPr>
              <w:t>300</w:t>
            </w:r>
            <w:r>
              <w:rPr>
                <w:rFonts w:hint="default" w:ascii="Times New Roman" w:hAnsi="Times New Roman" w:cs="Times New Roman"/>
                <w:color w:val="auto"/>
                <w:kern w:val="0"/>
                <w:szCs w:val="24"/>
                <w:u w:val="none"/>
              </w:rPr>
              <w:t>天计算，则产生的生活垃圾量为</w:t>
            </w:r>
            <w:r>
              <w:rPr>
                <w:rFonts w:hint="eastAsia" w:cs="Times New Roman"/>
                <w:color w:val="auto"/>
                <w:kern w:val="0"/>
                <w:szCs w:val="24"/>
                <w:u w:val="none"/>
                <w:lang w:val="en-US" w:eastAsia="zh-CN"/>
              </w:rPr>
              <w:t>7.5</w:t>
            </w:r>
            <w:r>
              <w:rPr>
                <w:rFonts w:hint="default" w:ascii="Times New Roman" w:hAnsi="Times New Roman" w:cs="Times New Roman"/>
                <w:color w:val="auto"/>
                <w:kern w:val="0"/>
                <w:szCs w:val="24"/>
                <w:u w:val="none"/>
              </w:rPr>
              <w:t>t/a。</w:t>
            </w:r>
          </w:p>
          <w:p w14:paraId="4CD97BCF">
            <w:pPr>
              <w:pStyle w:val="82"/>
              <w:rPr>
                <w:rFonts w:hint="default" w:ascii="Times New Roman" w:hAnsi="Times New Roman" w:cs="Times New Roman"/>
                <w:color w:val="auto"/>
                <w:kern w:val="0"/>
                <w:szCs w:val="24"/>
              </w:rPr>
            </w:pPr>
            <w:r>
              <w:rPr>
                <w:rFonts w:hint="eastAsia" w:ascii="Times New Roman" w:hAnsi="Times New Roman" w:cs="Times New Roman"/>
                <w:color w:val="auto"/>
                <w:kern w:val="0"/>
                <w:szCs w:val="24"/>
                <w:lang w:eastAsia="zh-CN"/>
              </w:rPr>
              <w:t>厂区内</w:t>
            </w:r>
            <w:r>
              <w:rPr>
                <w:rFonts w:hint="default" w:ascii="Times New Roman" w:hAnsi="Times New Roman" w:cs="Times New Roman"/>
                <w:color w:val="auto"/>
                <w:kern w:val="0"/>
                <w:szCs w:val="24"/>
              </w:rPr>
              <w:t>设置若干生活垃圾收集桶，将生活垃圾收集至垃圾桶内，交由环卫部门进行清运。</w:t>
            </w:r>
            <w:r>
              <w:rPr>
                <w:rFonts w:hint="eastAsia" w:ascii="Times New Roman" w:hAnsi="Times New Roman" w:cs="Times New Roman"/>
                <w:color w:val="auto"/>
                <w:kern w:val="0"/>
                <w:szCs w:val="24"/>
                <w:lang w:eastAsia="zh-CN"/>
              </w:rPr>
              <w:t>日产日清</w:t>
            </w:r>
            <w:r>
              <w:rPr>
                <w:rFonts w:hint="default" w:ascii="Times New Roman" w:hAnsi="Times New Roman" w:cs="Times New Roman"/>
                <w:color w:val="auto"/>
                <w:kern w:val="0"/>
                <w:szCs w:val="24"/>
              </w:rPr>
              <w:t>，避免虫蝇滋生，传播病菌。</w:t>
            </w:r>
          </w:p>
          <w:p w14:paraId="6C9FBA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cs="Times New Roman"/>
                <w:b/>
                <w:bCs/>
                <w:color w:val="auto"/>
                <w:sz w:val="24"/>
                <w:lang w:eastAsia="zh-CN"/>
              </w:rPr>
            </w:pPr>
            <w:r>
              <w:rPr>
                <w:rFonts w:hint="eastAsia" w:ascii="Times New Roman" w:hAnsi="Times New Roman" w:cs="Times New Roman"/>
                <w:b/>
                <w:bCs/>
                <w:color w:val="auto"/>
                <w:sz w:val="24"/>
                <w:lang w:val="en-US" w:eastAsia="zh-CN"/>
              </w:rPr>
              <w:t>2</w:t>
            </w:r>
            <w:r>
              <w:rPr>
                <w:rFonts w:hint="eastAsia" w:ascii="Times New Roman" w:hAnsi="Times New Roman" w:cs="Times New Roman"/>
                <w:b/>
                <w:bCs/>
                <w:color w:val="auto"/>
                <w:sz w:val="24"/>
                <w:lang w:eastAsia="zh-CN"/>
              </w:rPr>
              <w:t>）</w:t>
            </w:r>
            <w:r>
              <w:rPr>
                <w:rFonts w:hint="eastAsia" w:cs="Times New Roman"/>
                <w:b/>
                <w:bCs/>
                <w:color w:val="auto"/>
                <w:sz w:val="24"/>
                <w:lang w:val="en-US" w:eastAsia="zh-CN"/>
              </w:rPr>
              <w:t>一般固废</w:t>
            </w:r>
          </w:p>
          <w:p w14:paraId="29B86897">
            <w:pPr>
              <w:pStyle w:val="82"/>
              <w:rPr>
                <w:rFonts w:hint="default" w:ascii="Times New Roman" w:hAnsi="Times New Roman" w:cs="Times New Roman"/>
                <w:color w:val="auto"/>
                <w:kern w:val="0"/>
                <w:szCs w:val="24"/>
                <w:lang w:eastAsia="zh-CN"/>
              </w:rPr>
            </w:pPr>
            <w:r>
              <w:rPr>
                <w:rFonts w:hint="default" w:ascii="Times New Roman" w:hAnsi="Times New Roman" w:cs="Times New Roman"/>
                <w:color w:val="auto"/>
                <w:kern w:val="0"/>
                <w:szCs w:val="24"/>
                <w:lang w:val="en-US" w:eastAsia="zh-CN"/>
              </w:rPr>
              <w:t>①</w:t>
            </w:r>
            <w:r>
              <w:rPr>
                <w:rFonts w:hint="default" w:ascii="Times New Roman" w:hAnsi="Times New Roman" w:cs="Times New Roman"/>
                <w:color w:val="auto"/>
                <w:kern w:val="0"/>
                <w:szCs w:val="24"/>
                <w:lang w:eastAsia="zh-CN"/>
              </w:rPr>
              <w:t>废包装袋</w:t>
            </w:r>
          </w:p>
          <w:p w14:paraId="7C154D0D">
            <w:pPr>
              <w:pStyle w:val="82"/>
              <w:rPr>
                <w:rFonts w:hint="default" w:ascii="Times New Roman" w:hAnsi="Times New Roman" w:cs="Times New Roman"/>
                <w:color w:val="auto"/>
                <w:kern w:val="0"/>
                <w:szCs w:val="24"/>
              </w:rPr>
            </w:pPr>
            <w:r>
              <w:rPr>
                <w:rFonts w:hint="eastAsia" w:ascii="Times New Roman" w:hAnsi="Times New Roman" w:cs="Times New Roman"/>
                <w:color w:val="auto"/>
                <w:kern w:val="0"/>
                <w:szCs w:val="24"/>
                <w:lang w:eastAsia="zh-CN"/>
              </w:rPr>
              <w:t>外购的</w:t>
            </w:r>
            <w:r>
              <w:rPr>
                <w:rFonts w:hint="default" w:ascii="Times New Roman" w:hAnsi="Times New Roman" w:cs="Times New Roman"/>
                <w:color w:val="auto"/>
                <w:kern w:val="0"/>
                <w:szCs w:val="24"/>
                <w:lang w:val="en-US" w:eastAsia="zh-CN"/>
              </w:rPr>
              <w:t>玉竹</w:t>
            </w:r>
            <w:r>
              <w:rPr>
                <w:rFonts w:hint="eastAsia" w:ascii="Times New Roman" w:hAnsi="Times New Roman" w:cs="Times New Roman"/>
                <w:color w:val="auto"/>
                <w:kern w:val="0"/>
                <w:szCs w:val="24"/>
                <w:lang w:val="en-US" w:eastAsia="zh-CN"/>
              </w:rPr>
              <w:t>、</w:t>
            </w:r>
            <w:r>
              <w:rPr>
                <w:rFonts w:hint="default" w:ascii="Times New Roman" w:hAnsi="Times New Roman" w:cs="Times New Roman"/>
                <w:color w:val="auto"/>
                <w:kern w:val="0"/>
                <w:szCs w:val="24"/>
                <w:lang w:eastAsia="zh-CN"/>
              </w:rPr>
              <w:t>黄精</w:t>
            </w:r>
            <w:r>
              <w:rPr>
                <w:rFonts w:hint="eastAsia" w:ascii="Times New Roman" w:hAnsi="Times New Roman" w:cs="Times New Roman"/>
                <w:color w:val="auto"/>
                <w:kern w:val="0"/>
                <w:szCs w:val="24"/>
                <w:lang w:eastAsia="zh-CN"/>
              </w:rPr>
              <w:t>、</w:t>
            </w:r>
            <w:r>
              <w:rPr>
                <w:rFonts w:hint="default" w:ascii="Times New Roman" w:hAnsi="Times New Roman" w:cs="Times New Roman"/>
                <w:color w:val="auto"/>
                <w:kern w:val="0"/>
                <w:szCs w:val="24"/>
                <w:lang w:eastAsia="zh-CN"/>
              </w:rPr>
              <w:t>白术</w:t>
            </w:r>
            <w:r>
              <w:rPr>
                <w:rFonts w:hint="eastAsia" w:ascii="Times New Roman" w:hAnsi="Times New Roman" w:cs="Times New Roman"/>
                <w:color w:val="auto"/>
                <w:kern w:val="0"/>
                <w:szCs w:val="24"/>
                <w:lang w:eastAsia="zh-CN"/>
              </w:rPr>
              <w:t>、山银花采用袋装，因此会产生废包装袋，年使用包装袋数量约为</w:t>
            </w:r>
            <w:r>
              <w:rPr>
                <w:rFonts w:hint="eastAsia" w:cs="Times New Roman"/>
                <w:color w:val="auto"/>
                <w:kern w:val="0"/>
                <w:szCs w:val="24"/>
                <w:lang w:val="en-US" w:eastAsia="zh-CN"/>
              </w:rPr>
              <w:t>40</w:t>
            </w:r>
            <w:r>
              <w:rPr>
                <w:rFonts w:hint="eastAsia" w:ascii="Times New Roman" w:hAnsi="Times New Roman" w:cs="Times New Roman"/>
                <w:color w:val="auto"/>
                <w:kern w:val="0"/>
                <w:szCs w:val="24"/>
                <w:lang w:val="en-US" w:eastAsia="zh-CN"/>
              </w:rPr>
              <w:t>000个，包装完好的可重新利用于包装山银花，破损袋子外售交给物资回收公司处理，约产生</w:t>
            </w:r>
            <w:r>
              <w:rPr>
                <w:rFonts w:hint="eastAsia" w:cs="Times New Roman"/>
                <w:color w:val="auto"/>
                <w:kern w:val="0"/>
                <w:szCs w:val="24"/>
                <w:lang w:val="en-US" w:eastAsia="zh-CN"/>
              </w:rPr>
              <w:t>3.2</w:t>
            </w:r>
            <w:r>
              <w:rPr>
                <w:rFonts w:hint="eastAsia" w:ascii="Times New Roman" w:hAnsi="Times New Roman" w:cs="Times New Roman"/>
                <w:color w:val="auto"/>
                <w:kern w:val="0"/>
                <w:szCs w:val="24"/>
                <w:lang w:val="en-US" w:eastAsia="zh-CN"/>
              </w:rPr>
              <w:t>t/a</w:t>
            </w:r>
            <w:r>
              <w:rPr>
                <w:rFonts w:hint="default" w:ascii="Times New Roman" w:hAnsi="Times New Roman" w:cs="Times New Roman"/>
                <w:color w:val="auto"/>
                <w:kern w:val="0"/>
                <w:szCs w:val="24"/>
              </w:rPr>
              <w:t>。</w:t>
            </w:r>
          </w:p>
          <w:p w14:paraId="46CADC8B">
            <w:pPr>
              <w:pStyle w:val="82"/>
              <w:rPr>
                <w:rFonts w:hint="default" w:ascii="Times New Roman" w:hAnsi="Times New Roman" w:cs="Times New Roman"/>
                <w:color w:val="auto"/>
                <w:kern w:val="0"/>
                <w:szCs w:val="24"/>
                <w:lang w:val="en-US" w:eastAsia="zh-CN"/>
              </w:rPr>
            </w:pPr>
            <w:r>
              <w:rPr>
                <w:rFonts w:hint="eastAsia" w:ascii="Times New Roman" w:hAnsi="Times New Roman" w:cs="Times New Roman"/>
                <w:color w:val="auto"/>
                <w:kern w:val="0"/>
                <w:szCs w:val="24"/>
                <w:lang w:val="en-US" w:eastAsia="zh-CN"/>
              </w:rPr>
              <w:t>②筛选叶子、树枝</w:t>
            </w:r>
          </w:p>
          <w:p w14:paraId="11D7CA21">
            <w:pPr>
              <w:pStyle w:val="82"/>
              <w:rPr>
                <w:rFonts w:hint="eastAsia" w:ascii="Times New Roman" w:hAnsi="Times New Roman" w:cs="Times New Roman"/>
                <w:color w:val="auto"/>
                <w:szCs w:val="24"/>
                <w:lang w:eastAsia="zh-CN"/>
              </w:rPr>
            </w:pPr>
            <w:r>
              <w:rPr>
                <w:rFonts w:hint="default" w:ascii="Times New Roman" w:hAnsi="Times New Roman" w:cs="Times New Roman"/>
                <w:color w:val="auto"/>
                <w:szCs w:val="24"/>
              </w:rPr>
              <w:t>本项目产生的</w:t>
            </w:r>
            <w:r>
              <w:rPr>
                <w:rFonts w:hint="eastAsia" w:ascii="Times New Roman" w:hAnsi="Times New Roman" w:cs="Times New Roman"/>
                <w:color w:val="auto"/>
                <w:szCs w:val="24"/>
                <w:lang w:eastAsia="zh-CN"/>
              </w:rPr>
              <w:t>筛选废弃物主要包括叶子、树枝，</w:t>
            </w:r>
            <w:r>
              <w:rPr>
                <w:rFonts w:hint="eastAsia" w:cs="Times New Roman"/>
                <w:color w:val="auto"/>
                <w:szCs w:val="24"/>
                <w:lang w:val="en-US" w:eastAsia="zh-CN"/>
              </w:rPr>
              <w:t>根据建设单位提供资料，筛选工序产生的叶子、树枝</w:t>
            </w:r>
            <w:r>
              <w:rPr>
                <w:rFonts w:hint="default" w:cs="Times New Roman"/>
                <w:color w:val="auto"/>
                <w:szCs w:val="24"/>
                <w:lang w:val="en-US" w:eastAsia="zh-CN"/>
              </w:rPr>
              <w:t>约为</w:t>
            </w:r>
            <w:r>
              <w:rPr>
                <w:rFonts w:hint="eastAsia" w:cs="Times New Roman"/>
                <w:color w:val="auto"/>
                <w:szCs w:val="24"/>
                <w:lang w:val="en-US" w:eastAsia="zh-CN"/>
              </w:rPr>
              <w:t>原辅材料0.2%，本项目</w:t>
            </w:r>
            <w:r>
              <w:rPr>
                <w:rFonts w:hint="default" w:cs="Times New Roman"/>
                <w:color w:val="auto"/>
                <w:szCs w:val="24"/>
                <w:lang w:val="en-US" w:eastAsia="zh-CN"/>
              </w:rPr>
              <w:t>玉竹</w:t>
            </w:r>
            <w:r>
              <w:rPr>
                <w:rFonts w:hint="eastAsia" w:cs="Times New Roman"/>
                <w:color w:val="auto"/>
                <w:szCs w:val="24"/>
                <w:lang w:val="en-US" w:eastAsia="zh-CN"/>
              </w:rPr>
              <w:t>、</w:t>
            </w:r>
            <w:r>
              <w:rPr>
                <w:rFonts w:hint="default" w:cs="Times New Roman"/>
                <w:color w:val="auto"/>
                <w:szCs w:val="24"/>
                <w:lang w:val="en-US" w:eastAsia="zh-CN"/>
              </w:rPr>
              <w:t>黄精</w:t>
            </w:r>
            <w:r>
              <w:rPr>
                <w:rFonts w:hint="eastAsia" w:cs="Times New Roman"/>
                <w:color w:val="auto"/>
                <w:szCs w:val="24"/>
                <w:lang w:val="en-US" w:eastAsia="zh-CN"/>
              </w:rPr>
              <w:t>、</w:t>
            </w:r>
            <w:r>
              <w:rPr>
                <w:rFonts w:hint="default" w:cs="Times New Roman"/>
                <w:color w:val="auto"/>
                <w:szCs w:val="24"/>
                <w:lang w:val="en-US" w:eastAsia="zh-CN"/>
              </w:rPr>
              <w:t>白术</w:t>
            </w:r>
            <w:r>
              <w:rPr>
                <w:rFonts w:hint="eastAsia" w:cs="Times New Roman"/>
                <w:color w:val="auto"/>
                <w:szCs w:val="24"/>
                <w:lang w:val="en-US" w:eastAsia="zh-CN"/>
              </w:rPr>
              <w:t>、山银花总用量为4000t，则筛选叶子、树枝产生量约为8</w:t>
            </w:r>
            <w:r>
              <w:rPr>
                <w:rFonts w:hint="default" w:cs="Times New Roman"/>
                <w:color w:val="auto"/>
                <w:szCs w:val="24"/>
                <w:lang w:val="en-US" w:eastAsia="zh-CN"/>
              </w:rPr>
              <w:t>t/a。</w:t>
            </w:r>
            <w:r>
              <w:rPr>
                <w:rFonts w:hint="eastAsia" w:ascii="Times New Roman" w:hAnsi="Times New Roman" w:cs="Times New Roman"/>
                <w:color w:val="auto"/>
                <w:szCs w:val="24"/>
                <w:lang w:eastAsia="zh-CN"/>
              </w:rPr>
              <w:t>外售</w:t>
            </w:r>
            <w:r>
              <w:rPr>
                <w:rFonts w:hint="eastAsia" w:cs="Times New Roman"/>
                <w:color w:val="auto"/>
                <w:szCs w:val="24"/>
                <w:lang w:eastAsia="zh-CN"/>
              </w:rPr>
              <w:t>物资</w:t>
            </w:r>
            <w:r>
              <w:rPr>
                <w:rFonts w:hint="eastAsia" w:ascii="Times New Roman" w:hAnsi="Times New Roman" w:cs="Times New Roman"/>
                <w:color w:val="auto"/>
                <w:szCs w:val="24"/>
                <w:lang w:eastAsia="zh-CN"/>
              </w:rPr>
              <w:t>回收公司处理。</w:t>
            </w:r>
          </w:p>
          <w:p w14:paraId="40A4A287">
            <w:pPr>
              <w:pStyle w:val="82"/>
              <w:rPr>
                <w:rFonts w:hint="eastAsia" w:ascii="Times New Roman" w:hAnsi="Times New Roman" w:cs="Times New Roman"/>
                <w:color w:val="auto"/>
                <w:kern w:val="0"/>
                <w:szCs w:val="24"/>
                <w:lang w:val="en-US" w:eastAsia="zh-CN"/>
              </w:rPr>
            </w:pPr>
            <w:r>
              <w:rPr>
                <w:rFonts w:hint="eastAsia" w:ascii="Times New Roman" w:hAnsi="Times New Roman" w:cs="Times New Roman"/>
                <w:color w:val="auto"/>
                <w:kern w:val="0"/>
                <w:szCs w:val="24"/>
                <w:lang w:val="en-US" w:eastAsia="zh-CN"/>
              </w:rPr>
              <w:t>③筛分废弃中药材尾料</w:t>
            </w:r>
          </w:p>
          <w:p w14:paraId="65DE38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本项目筛分过程会产生少量的废弃中药材尾料，根据建设单位提供资料，筛分工序产生的废弃中药材尾料</w:t>
            </w:r>
            <w:r>
              <w:rPr>
                <w:rFonts w:hint="default" w:ascii="Times New Roman" w:hAnsi="Times New Roman" w:eastAsia="宋体" w:cs="Times New Roman"/>
                <w:color w:val="auto"/>
                <w:kern w:val="0"/>
                <w:sz w:val="24"/>
                <w:lang w:val="en-US" w:eastAsia="zh-CN"/>
              </w:rPr>
              <w:t>约为</w:t>
            </w:r>
            <w:r>
              <w:rPr>
                <w:rFonts w:hint="eastAsia" w:ascii="Times New Roman" w:hAnsi="Times New Roman" w:eastAsia="宋体" w:cs="Times New Roman"/>
                <w:color w:val="auto"/>
                <w:kern w:val="0"/>
                <w:sz w:val="24"/>
                <w:lang w:val="en-US" w:eastAsia="zh-CN"/>
              </w:rPr>
              <w:t>原辅材料0.2%，则本项目废弃中药材尾料产生量约为8</w:t>
            </w:r>
            <w:r>
              <w:rPr>
                <w:rFonts w:hint="default" w:ascii="Times New Roman" w:hAnsi="Times New Roman" w:eastAsia="宋体" w:cs="Times New Roman"/>
                <w:color w:val="auto"/>
                <w:kern w:val="0"/>
                <w:sz w:val="24"/>
                <w:lang w:val="en-US" w:eastAsia="zh-CN"/>
              </w:rPr>
              <w:t>t/a。</w:t>
            </w:r>
            <w:r>
              <w:rPr>
                <w:rFonts w:hint="eastAsia" w:ascii="Times New Roman" w:hAnsi="Times New Roman" w:eastAsia="宋体" w:cs="Times New Roman"/>
                <w:color w:val="auto"/>
                <w:kern w:val="0"/>
                <w:sz w:val="24"/>
                <w:lang w:val="en-US" w:eastAsia="zh-CN"/>
              </w:rPr>
              <w:t>委托湖南坤凡农业有限公司资源化利用。</w:t>
            </w:r>
          </w:p>
          <w:p w14:paraId="23498323">
            <w:pPr>
              <w:pStyle w:val="82"/>
              <w:rPr>
                <w:rFonts w:hint="eastAsia" w:ascii="Times New Roman" w:hAnsi="Times New Roman" w:cs="Times New Roman"/>
                <w:color w:val="auto"/>
                <w:kern w:val="0"/>
                <w:szCs w:val="24"/>
                <w:lang w:val="en-US" w:eastAsia="zh-CN"/>
              </w:rPr>
            </w:pPr>
            <w:r>
              <w:rPr>
                <w:rFonts w:hint="eastAsia" w:ascii="Times New Roman" w:hAnsi="Times New Roman" w:cs="Times New Roman"/>
                <w:color w:val="auto"/>
                <w:kern w:val="0"/>
                <w:szCs w:val="24"/>
                <w:lang w:val="en-US" w:eastAsia="zh-CN"/>
              </w:rPr>
              <w:t>④布袋除尘收集粉尘</w:t>
            </w:r>
          </w:p>
          <w:p w14:paraId="74CF6D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根据上文</w:t>
            </w:r>
            <w:r>
              <w:rPr>
                <w:rFonts w:hint="eastAsia"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废气环境影响和保护措施</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章节分析，本项目布袋除尘收集粉尘量约为0.16，外售给物质回收单位。</w:t>
            </w:r>
          </w:p>
          <w:p w14:paraId="41F4C42C">
            <w:pPr>
              <w:pStyle w:val="82"/>
              <w:rPr>
                <w:rFonts w:hint="default" w:ascii="Times New Roman" w:hAnsi="Times New Roman" w:cs="Times New Roman"/>
                <w:color w:val="auto"/>
                <w:kern w:val="0"/>
                <w:szCs w:val="24"/>
                <w:lang w:val="en-US" w:eastAsia="zh-CN"/>
              </w:rPr>
            </w:pPr>
            <w:r>
              <w:rPr>
                <w:rFonts w:hint="default" w:ascii="Times New Roman" w:hAnsi="Times New Roman" w:cs="Times New Roman"/>
                <w:color w:val="auto"/>
                <w:kern w:val="0"/>
                <w:szCs w:val="24"/>
                <w:lang w:val="en-US" w:eastAsia="zh-CN"/>
              </w:rPr>
              <w:t>⑤灰渣</w:t>
            </w:r>
          </w:p>
          <w:p w14:paraId="3044F515">
            <w:pPr>
              <w:pStyle w:val="82"/>
              <w:rPr>
                <w:rFonts w:hint="eastAsia" w:ascii="Times New Roman" w:hAnsi="Times New Roman" w:cs="Times New Roman"/>
                <w:color w:val="auto"/>
                <w:szCs w:val="24"/>
                <w:lang w:val="en-US" w:eastAsia="zh-CN"/>
              </w:rPr>
            </w:pPr>
            <w:r>
              <w:rPr>
                <w:rFonts w:hint="eastAsia" w:ascii="Times New Roman" w:hAnsi="Times New Roman" w:cs="Times New Roman"/>
                <w:color w:val="auto"/>
                <w:szCs w:val="24"/>
                <w:lang w:val="en-US" w:eastAsia="zh-CN"/>
              </w:rPr>
              <w:t>生物质颗粒燃烧灰渣产生量按照《生物质固体成型燃料技术条件》NY_T1878-2010中所</w:t>
            </w:r>
            <w:r>
              <w:rPr>
                <w:rFonts w:hint="eastAsia" w:cs="Times New Roman"/>
                <w:color w:val="auto"/>
                <w:szCs w:val="24"/>
                <w:lang w:val="en-US" w:eastAsia="zh-CN"/>
              </w:rPr>
              <w:t>规定</w:t>
            </w:r>
            <w:r>
              <w:rPr>
                <w:rFonts w:hint="eastAsia" w:ascii="Times New Roman" w:hAnsi="Times New Roman" w:cs="Times New Roman"/>
                <w:color w:val="auto"/>
                <w:szCs w:val="24"/>
                <w:lang w:val="en-US" w:eastAsia="zh-CN"/>
              </w:rPr>
              <w:t>的12%计算，则年产灰渣</w:t>
            </w:r>
            <w:r>
              <w:rPr>
                <w:rFonts w:hint="eastAsia" w:cs="Times New Roman"/>
                <w:color w:val="auto"/>
                <w:szCs w:val="24"/>
                <w:lang w:val="en-US" w:eastAsia="zh-CN"/>
              </w:rPr>
              <w:t>88.32</w:t>
            </w:r>
            <w:r>
              <w:rPr>
                <w:rFonts w:hint="eastAsia" w:ascii="Times New Roman" w:hAnsi="Times New Roman" w:cs="Times New Roman"/>
                <w:color w:val="auto"/>
                <w:szCs w:val="24"/>
                <w:lang w:val="en-US" w:eastAsia="zh-CN"/>
              </w:rPr>
              <w:t>t，外售给物质回收单位。</w:t>
            </w:r>
          </w:p>
          <w:p w14:paraId="52B52B77">
            <w:pPr>
              <w:pStyle w:val="82"/>
              <w:rPr>
                <w:rFonts w:hint="eastAsia" w:ascii="Times New Roman" w:hAnsi="Times New Roman" w:cs="Times New Roman"/>
                <w:color w:val="auto"/>
                <w:kern w:val="0"/>
                <w:szCs w:val="24"/>
                <w:lang w:val="en-US" w:eastAsia="zh-CN"/>
              </w:rPr>
            </w:pPr>
            <w:r>
              <w:rPr>
                <w:rFonts w:hint="eastAsia" w:ascii="Times New Roman" w:hAnsi="Times New Roman" w:cs="Times New Roman"/>
                <w:color w:val="auto"/>
                <w:kern w:val="0"/>
                <w:szCs w:val="24"/>
                <w:lang w:val="en-US" w:eastAsia="zh-CN"/>
              </w:rPr>
              <w:t>⑥沉淀池沉渣</w:t>
            </w:r>
          </w:p>
          <w:p w14:paraId="107E20B2">
            <w:pPr>
              <w:pStyle w:val="82"/>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本项目玉竹、黄精、白术、黄柏需进行清洗，根据建设单位提供资料，原辅材料含泥量约占总重量的1%，本项目玉竹、黄精、白术、黄柏用量为2500t/a，则含泥总量约为25t/a。沉淀池沉渣含水率约为70%，则本项目沉淀池沉渣产生量约为83.33t/a。</w:t>
            </w:r>
          </w:p>
          <w:p w14:paraId="01456C3E">
            <w:pPr>
              <w:pStyle w:val="82"/>
              <w:rPr>
                <w:rFonts w:hint="eastAsia" w:ascii="Times New Roman" w:hAnsi="Times New Roman" w:cs="Times New Roman"/>
                <w:color w:val="auto"/>
                <w:kern w:val="0"/>
                <w:szCs w:val="24"/>
                <w:u w:val="single"/>
                <w:lang w:val="en-US" w:eastAsia="zh-CN"/>
              </w:rPr>
            </w:pPr>
            <w:r>
              <w:rPr>
                <w:rFonts w:hint="eastAsia" w:ascii="Times New Roman" w:hAnsi="Times New Roman" w:cs="Times New Roman"/>
                <w:color w:val="auto"/>
                <w:kern w:val="0"/>
                <w:szCs w:val="24"/>
                <w:u w:val="single"/>
                <w:lang w:val="en-US" w:eastAsia="zh-CN"/>
              </w:rPr>
              <w:t>⑦</w:t>
            </w:r>
            <w:r>
              <w:rPr>
                <w:rFonts w:hint="eastAsia" w:ascii="Times New Roman" w:hAnsi="Times New Roman" w:eastAsia="宋体" w:cs="Times New Roman"/>
                <w:color w:val="auto"/>
                <w:kern w:val="0"/>
                <w:szCs w:val="21"/>
                <w:highlight w:val="none"/>
                <w:u w:val="single"/>
                <w:lang w:val="en-US" w:eastAsia="zh-CN"/>
              </w:rPr>
              <w:t>残液缩膏</w:t>
            </w:r>
          </w:p>
          <w:p w14:paraId="11E7F50F">
            <w:pPr>
              <w:pStyle w:val="95"/>
              <w:ind w:firstLine="480"/>
              <w:jc w:val="both"/>
              <w:rPr>
                <w:rFonts w:hint="eastAsia" w:cs="Times New Roman"/>
                <w:b/>
                <w:bCs/>
                <w:color w:val="auto"/>
                <w:sz w:val="24"/>
                <w:u w:val="single"/>
                <w:lang w:val="en-US" w:eastAsia="zh-CN"/>
              </w:rPr>
            </w:pPr>
            <w:r>
              <w:rPr>
                <w:rFonts w:hint="eastAsia"/>
                <w:color w:val="auto"/>
                <w:sz w:val="24"/>
                <w:szCs w:val="24"/>
                <w:highlight w:val="none"/>
                <w:u w:val="single"/>
                <w:lang w:val="en-US" w:eastAsia="zh-CN"/>
              </w:rPr>
              <w:t>项目黄精蒸制过程会产生</w:t>
            </w:r>
            <w:r>
              <w:rPr>
                <w:rFonts w:hint="eastAsia"/>
                <w:color w:val="auto"/>
                <w:sz w:val="24"/>
                <w:szCs w:val="24"/>
                <w:highlight w:val="none"/>
                <w:u w:val="single"/>
                <w:lang w:eastAsia="zh-CN"/>
              </w:rPr>
              <w:t>蒸汽冷凝水，</w:t>
            </w:r>
            <w:r>
              <w:rPr>
                <w:rFonts w:hint="eastAsia"/>
                <w:color w:val="auto"/>
                <w:sz w:val="24"/>
                <w:szCs w:val="24"/>
                <w:highlight w:val="none"/>
                <w:u w:val="single"/>
                <w:lang w:val="en-US" w:eastAsia="zh-CN"/>
              </w:rPr>
              <w:t>其产生量约为</w:t>
            </w:r>
            <w:r>
              <w:rPr>
                <w:rFonts w:hint="eastAsia" w:ascii="Times New Roman" w:hAnsi="Times New Roman" w:eastAsia="宋体" w:cs="Times New Roman"/>
                <w:color w:val="auto"/>
                <w:kern w:val="0"/>
                <w:szCs w:val="21"/>
                <w:highlight w:val="none"/>
                <w:u w:val="single"/>
                <w:lang w:val="en-US" w:eastAsia="zh-CN"/>
              </w:rPr>
              <w:t>10L</w:t>
            </w:r>
            <w:r>
              <w:rPr>
                <w:rFonts w:hint="eastAsia" w:cs="Times New Roman"/>
                <w:color w:val="auto"/>
                <w:kern w:val="0"/>
                <w:szCs w:val="21"/>
                <w:highlight w:val="none"/>
                <w:u w:val="single"/>
                <w:lang w:val="en-US" w:eastAsia="zh-CN"/>
              </w:rPr>
              <w:t>/次（</w:t>
            </w:r>
            <w:r>
              <w:rPr>
                <w:rFonts w:hint="eastAsia"/>
                <w:color w:val="auto"/>
                <w:sz w:val="24"/>
                <w:szCs w:val="24"/>
                <w:highlight w:val="none"/>
                <w:u w:val="single"/>
                <w:lang w:val="en-US" w:eastAsia="zh-CN"/>
              </w:rPr>
              <w:t>九蒸九制共产生</w:t>
            </w:r>
            <w:r>
              <w:rPr>
                <w:rFonts w:hint="eastAsia"/>
                <w:color w:val="auto"/>
                <w:sz w:val="24"/>
                <w:szCs w:val="24"/>
                <w:highlight w:val="none"/>
                <w:u w:val="single"/>
                <w:lang w:eastAsia="zh-CN"/>
              </w:rPr>
              <w:t>蒸汽冷凝水</w:t>
            </w:r>
            <w:r>
              <w:rPr>
                <w:rFonts w:hint="eastAsia"/>
                <w:color w:val="auto"/>
                <w:sz w:val="24"/>
                <w:szCs w:val="24"/>
                <w:highlight w:val="none"/>
                <w:u w:val="single"/>
                <w:lang w:val="en-US" w:eastAsia="zh-CN"/>
              </w:rPr>
              <w:t>约</w:t>
            </w:r>
            <w:r>
              <w:rPr>
                <w:rFonts w:hint="eastAsia" w:ascii="Times New Roman" w:hAnsi="Times New Roman" w:eastAsia="宋体" w:cs="Times New Roman"/>
                <w:color w:val="auto"/>
                <w:kern w:val="0"/>
                <w:szCs w:val="21"/>
                <w:highlight w:val="none"/>
                <w:u w:val="single"/>
                <w:lang w:val="en-US" w:eastAsia="zh-CN"/>
              </w:rPr>
              <w:t>90L/批</w:t>
            </w:r>
            <w:r>
              <w:rPr>
                <w:rFonts w:hint="eastAsia" w:cs="Times New Roman"/>
                <w:color w:val="auto"/>
                <w:kern w:val="0"/>
                <w:szCs w:val="21"/>
                <w:highlight w:val="none"/>
                <w:u w:val="single"/>
                <w:lang w:val="en-US" w:eastAsia="zh-CN"/>
              </w:rPr>
              <w:t>），项目每年</w:t>
            </w:r>
            <w:r>
              <w:rPr>
                <w:rFonts w:hint="eastAsia" w:ascii="Times New Roman" w:hAnsi="Times New Roman" w:eastAsia="宋体" w:cs="Times New Roman"/>
                <w:color w:val="auto"/>
                <w:kern w:val="0"/>
                <w:szCs w:val="21"/>
                <w:highlight w:val="none"/>
                <w:u w:val="single"/>
                <w:lang w:val="en-US" w:eastAsia="zh-CN"/>
              </w:rPr>
              <w:t>共</w:t>
            </w:r>
            <w:r>
              <w:rPr>
                <w:rFonts w:hint="eastAsia" w:cs="Times New Roman"/>
                <w:color w:val="auto"/>
                <w:kern w:val="0"/>
                <w:szCs w:val="21"/>
                <w:highlight w:val="none"/>
                <w:u w:val="single"/>
                <w:lang w:val="en-US" w:eastAsia="zh-CN"/>
              </w:rPr>
              <w:t>生产</w:t>
            </w:r>
            <w:r>
              <w:rPr>
                <w:rFonts w:hint="eastAsia" w:ascii="Times New Roman" w:hAnsi="Times New Roman" w:eastAsia="宋体" w:cs="Times New Roman"/>
                <w:color w:val="auto"/>
                <w:kern w:val="0"/>
                <w:szCs w:val="21"/>
                <w:highlight w:val="none"/>
                <w:u w:val="single"/>
                <w:lang w:val="en-US" w:eastAsia="zh-CN"/>
              </w:rPr>
              <w:t>200批</w:t>
            </w:r>
            <w:r>
              <w:rPr>
                <w:rFonts w:hint="eastAsia" w:cs="Times New Roman"/>
                <w:color w:val="auto"/>
                <w:kern w:val="0"/>
                <w:szCs w:val="21"/>
                <w:highlight w:val="none"/>
                <w:u w:val="single"/>
                <w:lang w:val="en-US" w:eastAsia="zh-CN"/>
              </w:rPr>
              <w:t>，则</w:t>
            </w:r>
            <w:r>
              <w:rPr>
                <w:rFonts w:hint="eastAsia"/>
                <w:color w:val="auto"/>
                <w:sz w:val="24"/>
                <w:szCs w:val="24"/>
                <w:highlight w:val="none"/>
                <w:u w:val="single"/>
                <w:lang w:eastAsia="zh-CN"/>
              </w:rPr>
              <w:t>蒸汽冷凝水</w:t>
            </w:r>
            <w:r>
              <w:rPr>
                <w:rFonts w:hint="eastAsia"/>
                <w:color w:val="auto"/>
                <w:sz w:val="24"/>
                <w:szCs w:val="24"/>
                <w:highlight w:val="none"/>
                <w:u w:val="single"/>
                <w:lang w:val="en-US" w:eastAsia="zh-CN"/>
              </w:rPr>
              <w:t>产生量</w:t>
            </w:r>
            <w:r>
              <w:rPr>
                <w:rFonts w:hint="eastAsia" w:ascii="Times New Roman" w:hAnsi="Times New Roman" w:eastAsia="宋体" w:cs="Times New Roman"/>
                <w:color w:val="auto"/>
                <w:kern w:val="0"/>
                <w:szCs w:val="21"/>
                <w:highlight w:val="none"/>
                <w:u w:val="single"/>
                <w:lang w:val="en-US" w:eastAsia="zh-CN"/>
              </w:rPr>
              <w:t>约18</w:t>
            </w:r>
            <w:r>
              <w:rPr>
                <w:rFonts w:hint="eastAsia" w:cs="Times New Roman"/>
                <w:color w:val="auto"/>
                <w:kern w:val="0"/>
                <w:szCs w:val="21"/>
                <w:highlight w:val="none"/>
                <w:u w:val="single"/>
                <w:lang w:val="en-US" w:eastAsia="zh-CN"/>
              </w:rPr>
              <w:t>t/a。</w:t>
            </w:r>
            <w:r>
              <w:rPr>
                <w:rFonts w:hint="eastAsia"/>
                <w:color w:val="auto"/>
                <w:sz w:val="24"/>
                <w:szCs w:val="24"/>
                <w:highlight w:val="none"/>
                <w:u w:val="single"/>
                <w:lang w:eastAsia="zh-CN"/>
              </w:rPr>
              <w:t>蒸汽冷凝水</w:t>
            </w:r>
            <w:r>
              <w:rPr>
                <w:rFonts w:hint="eastAsia"/>
                <w:color w:val="auto"/>
                <w:sz w:val="24"/>
                <w:szCs w:val="24"/>
                <w:highlight w:val="none"/>
                <w:u w:val="single"/>
                <w:lang w:val="en-US" w:eastAsia="zh-CN"/>
              </w:rPr>
              <w:t>经</w:t>
            </w:r>
            <w:r>
              <w:rPr>
                <w:rFonts w:hint="eastAsia" w:ascii="Times New Roman" w:hAnsi="Times New Roman" w:eastAsia="宋体" w:cs="Times New Roman"/>
                <w:color w:val="auto"/>
                <w:kern w:val="0"/>
                <w:szCs w:val="21"/>
                <w:highlight w:val="none"/>
                <w:u w:val="single"/>
                <w:lang w:val="en-US" w:eastAsia="zh-CN"/>
              </w:rPr>
              <w:t>蒸煮缩成膏汁回用本批最后3次蒸煮前泡制，</w:t>
            </w:r>
            <w:r>
              <w:rPr>
                <w:rFonts w:hint="eastAsia" w:cs="Times New Roman"/>
                <w:color w:val="auto"/>
                <w:kern w:val="0"/>
                <w:szCs w:val="21"/>
                <w:highlight w:val="none"/>
                <w:u w:val="single"/>
                <w:lang w:val="en-US" w:eastAsia="zh-CN"/>
              </w:rPr>
              <w:t>约9吨进入黄精产品；另外9吨</w:t>
            </w:r>
            <w:r>
              <w:rPr>
                <w:rFonts w:hint="eastAsia" w:ascii="Times New Roman" w:hAnsi="Times New Roman" w:eastAsia="宋体" w:cs="Times New Roman"/>
                <w:color w:val="auto"/>
                <w:kern w:val="0"/>
                <w:szCs w:val="21"/>
                <w:highlight w:val="none"/>
                <w:u w:val="single"/>
                <w:lang w:val="en-US" w:eastAsia="zh-CN"/>
              </w:rPr>
              <w:t>残液缩膏状供</w:t>
            </w:r>
            <w:r>
              <w:rPr>
                <w:rFonts w:hint="eastAsia" w:cs="Times New Roman"/>
                <w:color w:val="auto"/>
                <w:kern w:val="0"/>
                <w:szCs w:val="21"/>
                <w:highlight w:val="none"/>
                <w:u w:val="single"/>
                <w:lang w:val="en-US" w:eastAsia="zh-CN"/>
              </w:rPr>
              <w:t>养殖场</w:t>
            </w:r>
            <w:r>
              <w:rPr>
                <w:rFonts w:hint="eastAsia" w:ascii="Times New Roman" w:hAnsi="Times New Roman" w:eastAsia="宋体" w:cs="Times New Roman"/>
                <w:color w:val="auto"/>
                <w:kern w:val="0"/>
                <w:szCs w:val="21"/>
                <w:highlight w:val="none"/>
                <w:u w:val="single"/>
                <w:lang w:val="en-US" w:eastAsia="zh-CN"/>
              </w:rPr>
              <w:t>做饲料辅助使用</w:t>
            </w:r>
            <w:r>
              <w:rPr>
                <w:rFonts w:hint="eastAsia" w:cs="Times New Roman"/>
                <w:color w:val="auto"/>
                <w:kern w:val="0"/>
                <w:szCs w:val="21"/>
                <w:highlight w:val="none"/>
                <w:u w:val="single"/>
                <w:lang w:val="en-US" w:eastAsia="zh-CN"/>
              </w:rPr>
              <w:t>，不外排</w:t>
            </w:r>
            <w:r>
              <w:rPr>
                <w:rFonts w:hint="eastAsia" w:ascii="Times New Roman" w:hAnsi="Times New Roman" w:eastAsia="宋体" w:cs="Times New Roman"/>
                <w:color w:val="auto"/>
                <w:kern w:val="0"/>
                <w:szCs w:val="21"/>
                <w:highlight w:val="none"/>
                <w:u w:val="single"/>
                <w:lang w:val="en-US" w:eastAsia="zh-CN"/>
              </w:rPr>
              <w:t>。</w:t>
            </w:r>
          </w:p>
          <w:p w14:paraId="77382245">
            <w:pPr>
              <w:pStyle w:val="82"/>
              <w:rPr>
                <w:rFonts w:hint="eastAsia" w:ascii="Times New Roman" w:hAnsi="Times New Roman" w:cs="Times New Roman"/>
                <w:color w:val="auto"/>
                <w:kern w:val="0"/>
                <w:szCs w:val="24"/>
                <w:u w:val="single"/>
                <w:lang w:val="en-US" w:eastAsia="zh-CN"/>
              </w:rPr>
            </w:pPr>
            <w:r>
              <w:rPr>
                <w:rFonts w:hint="eastAsia" w:ascii="Times New Roman" w:hAnsi="Times New Roman" w:cs="Times New Roman"/>
                <w:color w:val="auto"/>
                <w:kern w:val="0"/>
                <w:szCs w:val="24"/>
                <w:u w:val="single"/>
                <w:lang w:val="en-US" w:eastAsia="zh-CN"/>
              </w:rPr>
              <w:t>⑧废离子交换树脂</w:t>
            </w:r>
          </w:p>
          <w:p w14:paraId="7D4A7D5F">
            <w:pPr>
              <w:pStyle w:val="82"/>
              <w:rPr>
                <w:rFonts w:hint="default" w:ascii="Times New Roman" w:hAnsi="Times New Roman" w:eastAsia="宋体" w:cs="Times New Roman"/>
                <w:color w:val="auto"/>
                <w:szCs w:val="24"/>
                <w:u w:val="single"/>
                <w:lang w:val="en-US" w:eastAsia="zh-CN"/>
              </w:rPr>
            </w:pPr>
            <w:r>
              <w:rPr>
                <w:rFonts w:hint="eastAsia" w:ascii="Times New Roman" w:hAnsi="Times New Roman" w:cs="Times New Roman"/>
                <w:b w:val="0"/>
                <w:bCs w:val="0"/>
                <w:color w:val="auto"/>
                <w:szCs w:val="24"/>
                <w:u w:val="single"/>
                <w:lang w:val="en-US" w:eastAsia="zh-CN"/>
              </w:rPr>
              <w:t>锅炉软化水采用离子交换树脂，会有废离子交换树脂产生，产生量约为</w:t>
            </w:r>
            <w:r>
              <w:rPr>
                <w:rFonts w:hint="eastAsia" w:cs="Times New Roman"/>
                <w:b w:val="0"/>
                <w:bCs w:val="0"/>
                <w:color w:val="auto"/>
                <w:szCs w:val="24"/>
                <w:u w:val="single"/>
                <w:lang w:val="en-US" w:eastAsia="zh-CN"/>
              </w:rPr>
              <w:t>0.4</w:t>
            </w:r>
            <w:r>
              <w:rPr>
                <w:rFonts w:hint="default" w:ascii="Times New Roman" w:hAnsi="Times New Roman" w:cs="Times New Roman"/>
                <w:b w:val="0"/>
                <w:bCs w:val="0"/>
                <w:color w:val="auto"/>
                <w:szCs w:val="24"/>
                <w:u w:val="single"/>
              </w:rPr>
              <w:t>t/a</w:t>
            </w:r>
            <w:r>
              <w:rPr>
                <w:rFonts w:hint="eastAsia" w:ascii="Times New Roman" w:hAnsi="Times New Roman" w:cs="Times New Roman"/>
                <w:b w:val="0"/>
                <w:bCs w:val="0"/>
                <w:color w:val="auto"/>
                <w:szCs w:val="24"/>
                <w:u w:val="single"/>
                <w:lang w:eastAsia="zh-CN"/>
              </w:rPr>
              <w:t>。</w:t>
            </w:r>
          </w:p>
          <w:p w14:paraId="6F9017B1">
            <w:pPr>
              <w:pStyle w:val="82"/>
              <w:numPr>
                <w:ilvl w:val="0"/>
                <w:numId w:val="0"/>
              </w:numPr>
              <w:ind w:leftChars="200"/>
              <w:rPr>
                <w:rFonts w:hint="default" w:ascii="Times New Roman" w:hAnsi="Times New Roman" w:eastAsia="宋体" w:cs="Times New Roman"/>
                <w:b/>
                <w:bCs/>
                <w:color w:val="auto"/>
                <w:szCs w:val="24"/>
                <w:u w:val="single"/>
                <w:lang w:val="en-US" w:eastAsia="zh-CN"/>
              </w:rPr>
            </w:pPr>
            <w:r>
              <w:rPr>
                <w:rFonts w:hint="eastAsia" w:ascii="Times New Roman" w:hAnsi="Times New Roman" w:eastAsia="宋体" w:cs="Times New Roman"/>
                <w:b/>
                <w:bCs/>
                <w:color w:val="auto"/>
                <w:szCs w:val="24"/>
                <w:u w:val="single"/>
                <w:lang w:val="en-US" w:eastAsia="zh-CN"/>
              </w:rPr>
              <w:t>3）危险废物</w:t>
            </w:r>
          </w:p>
          <w:p w14:paraId="61396BB5">
            <w:pPr>
              <w:spacing w:line="360" w:lineRule="auto"/>
              <w:ind w:firstLine="480" w:firstLineChars="200"/>
              <w:rPr>
                <w:color w:val="auto"/>
                <w:sz w:val="24"/>
                <w:u w:val="single"/>
              </w:rPr>
            </w:pPr>
            <w:r>
              <w:rPr>
                <w:rFonts w:hint="eastAsia"/>
                <w:color w:val="auto"/>
                <w:sz w:val="24"/>
                <w:u w:val="single"/>
                <w:lang w:val="en-US" w:eastAsia="zh-CN"/>
              </w:rPr>
              <w:t>①</w:t>
            </w:r>
            <w:r>
              <w:rPr>
                <w:color w:val="auto"/>
                <w:sz w:val="24"/>
                <w:u w:val="single"/>
              </w:rPr>
              <w:t>废润滑油</w:t>
            </w:r>
          </w:p>
          <w:p w14:paraId="4B8BB765">
            <w:pPr>
              <w:pStyle w:val="82"/>
              <w:rPr>
                <w:color w:val="auto"/>
                <w:sz w:val="24"/>
                <w:u w:val="single"/>
              </w:rPr>
            </w:pPr>
            <w:r>
              <w:rPr>
                <w:color w:val="auto"/>
                <w:sz w:val="24"/>
                <w:u w:val="single"/>
              </w:rPr>
              <w:t>设备维修需要使用润滑油，根据建设方提供的资料废润滑油的产生量约为0.01t/a，对照</w:t>
            </w:r>
            <w:r>
              <w:rPr>
                <w:rFonts w:hint="eastAsia"/>
                <w:color w:val="auto"/>
                <w:sz w:val="24"/>
                <w:u w:val="single"/>
              </w:rPr>
              <w:t>《国家危险废物名录》（2025年）</w:t>
            </w:r>
            <w:r>
              <w:rPr>
                <w:color w:val="auto"/>
                <w:sz w:val="24"/>
                <w:u w:val="single"/>
              </w:rPr>
              <w:t>，属于危险废物（类别HW08、代码</w:t>
            </w:r>
            <w:r>
              <w:rPr>
                <w:rFonts w:hint="eastAsia" w:ascii="Times New Roman" w:hAnsi="Times New Roman" w:eastAsia="宋体" w:cs="Times New Roman"/>
                <w:color w:val="auto"/>
                <w:sz w:val="24"/>
                <w:u w:val="single"/>
              </w:rPr>
              <w:t>900-21</w:t>
            </w:r>
            <w:r>
              <w:rPr>
                <w:rFonts w:hint="eastAsia" w:ascii="Times New Roman" w:hAnsi="Times New Roman" w:eastAsia="宋体" w:cs="Times New Roman"/>
                <w:color w:val="auto"/>
                <w:sz w:val="24"/>
                <w:u w:val="single"/>
                <w:lang w:val="en-US" w:eastAsia="zh-CN"/>
              </w:rPr>
              <w:t>7</w:t>
            </w:r>
            <w:r>
              <w:rPr>
                <w:rFonts w:hint="eastAsia" w:ascii="Times New Roman" w:hAnsi="Times New Roman" w:eastAsia="宋体" w:cs="Times New Roman"/>
                <w:color w:val="auto"/>
                <w:sz w:val="24"/>
                <w:u w:val="single"/>
              </w:rPr>
              <w:t>-08</w:t>
            </w:r>
            <w:r>
              <w:rPr>
                <w:rFonts w:ascii="Times New Roman" w:hAnsi="Times New Roman" w:eastAsia="宋体" w:cs="Times New Roman"/>
                <w:color w:val="auto"/>
                <w:sz w:val="24"/>
                <w:u w:val="single"/>
              </w:rPr>
              <w:t>）</w:t>
            </w:r>
            <w:r>
              <w:rPr>
                <w:color w:val="auto"/>
                <w:sz w:val="24"/>
                <w:u w:val="single"/>
              </w:rPr>
              <w:t>。</w:t>
            </w:r>
          </w:p>
          <w:p w14:paraId="06097EF1">
            <w:pPr>
              <w:spacing w:line="360" w:lineRule="auto"/>
              <w:ind w:firstLine="480" w:firstLineChars="200"/>
              <w:rPr>
                <w:color w:val="auto"/>
                <w:sz w:val="24"/>
                <w:u w:val="single"/>
              </w:rPr>
            </w:pPr>
            <w:r>
              <w:rPr>
                <w:rFonts w:hint="eastAsia"/>
                <w:color w:val="auto"/>
                <w:sz w:val="24"/>
                <w:u w:val="single"/>
                <w:lang w:val="en-US" w:eastAsia="zh-CN"/>
              </w:rPr>
              <w:t>②</w:t>
            </w:r>
            <w:r>
              <w:rPr>
                <w:color w:val="auto"/>
                <w:sz w:val="24"/>
                <w:u w:val="single"/>
              </w:rPr>
              <w:t>含油抹布及手套</w:t>
            </w:r>
          </w:p>
          <w:p w14:paraId="6D2BC35E">
            <w:pPr>
              <w:pStyle w:val="82"/>
              <w:rPr>
                <w:color w:val="auto"/>
                <w:sz w:val="24"/>
                <w:u w:val="single"/>
              </w:rPr>
            </w:pPr>
            <w:r>
              <w:rPr>
                <w:color w:val="auto"/>
                <w:sz w:val="24"/>
                <w:u w:val="single"/>
              </w:rPr>
              <w:t>生产过程机器维护时对机器采用</w:t>
            </w:r>
            <w:r>
              <w:rPr>
                <w:rFonts w:hint="eastAsia"/>
                <w:color w:val="auto"/>
                <w:sz w:val="24"/>
                <w:u w:val="single"/>
              </w:rPr>
              <w:t>抹</w:t>
            </w:r>
            <w:r>
              <w:rPr>
                <w:color w:val="auto"/>
                <w:sz w:val="24"/>
                <w:u w:val="single"/>
              </w:rPr>
              <w:t>布进行清洁，工人将戴手套进行生产，手套上可能会沾有设备上的润滑油等，预计产生量为0.01t/a。根据</w:t>
            </w:r>
            <w:r>
              <w:rPr>
                <w:rFonts w:hint="eastAsia"/>
                <w:color w:val="auto"/>
                <w:sz w:val="24"/>
                <w:u w:val="single"/>
              </w:rPr>
              <w:t>《国家危险废物名录》（2025年）</w:t>
            </w:r>
            <w:r>
              <w:rPr>
                <w:color w:val="auto"/>
                <w:sz w:val="24"/>
                <w:u w:val="single"/>
              </w:rPr>
              <w:t>，含油抹布及手套属于危险废物，废物代码为HW08（</w:t>
            </w:r>
            <w:r>
              <w:rPr>
                <w:rFonts w:hint="eastAsia" w:ascii="Times New Roman" w:hAnsi="Times New Roman" w:eastAsia="宋体" w:cs="Times New Roman"/>
                <w:color w:val="auto"/>
                <w:sz w:val="24"/>
                <w:u w:val="single"/>
              </w:rPr>
              <w:t>900-041-49</w:t>
            </w:r>
            <w:r>
              <w:rPr>
                <w:rFonts w:ascii="Times New Roman" w:hAnsi="Times New Roman" w:eastAsia="宋体" w:cs="Times New Roman"/>
                <w:color w:val="auto"/>
                <w:sz w:val="24"/>
                <w:u w:val="single"/>
              </w:rPr>
              <w:t>）</w:t>
            </w:r>
            <w:r>
              <w:rPr>
                <w:color w:val="auto"/>
                <w:sz w:val="24"/>
                <w:u w:val="single"/>
              </w:rPr>
              <w:t>。</w:t>
            </w:r>
          </w:p>
          <w:p w14:paraId="73739931">
            <w:pPr>
              <w:pStyle w:val="82"/>
              <w:keepNext w:val="0"/>
              <w:keepLines w:val="0"/>
              <w:pageBreakBefore w:val="0"/>
              <w:widowControl w:val="0"/>
              <w:kinsoku/>
              <w:wordWrap/>
              <w:overflowPunct/>
              <w:topLinePunct w:val="0"/>
              <w:autoSpaceDE/>
              <w:autoSpaceDN/>
              <w:bidi w:val="0"/>
              <w:adjustRightInd/>
              <w:snapToGrid/>
              <w:textAlignment w:val="auto"/>
              <w:rPr>
                <w:rFonts w:hint="eastAsia" w:eastAsia="宋体"/>
                <w:color w:val="FF0000"/>
                <w:sz w:val="24"/>
                <w:u w:val="single"/>
                <w:lang w:val="en-US" w:eastAsia="zh-CN"/>
              </w:rPr>
            </w:pPr>
            <w:r>
              <w:rPr>
                <w:rFonts w:hint="eastAsia"/>
                <w:color w:val="FF0000"/>
                <w:sz w:val="24"/>
                <w:u w:val="single"/>
              </w:rPr>
              <w:t>③</w:t>
            </w:r>
            <w:r>
              <w:rPr>
                <w:rFonts w:hint="eastAsia"/>
                <w:color w:val="FF0000"/>
                <w:sz w:val="24"/>
                <w:u w:val="single"/>
                <w:lang w:val="en-US" w:eastAsia="zh-CN"/>
              </w:rPr>
              <w:t>废活性炭</w:t>
            </w:r>
          </w:p>
          <w:p w14:paraId="56A4437E">
            <w:pPr>
              <w:pStyle w:val="82"/>
              <w:rPr>
                <w:rFonts w:hint="default" w:ascii="Times New Roman" w:hAnsi="Times New Roman" w:eastAsia="宋体" w:cs="Times New Roman"/>
                <w:color w:val="auto"/>
                <w:sz w:val="24"/>
                <w:u w:val="single"/>
              </w:rPr>
            </w:pPr>
            <w:r>
              <w:rPr>
                <w:rFonts w:hint="default" w:ascii="Times New Roman" w:hAnsi="Times New Roman" w:cs="Times New Roman"/>
                <w:color w:val="FF0000"/>
                <w:sz w:val="24"/>
                <w:u w:val="single"/>
                <w:lang w:val="en-US" w:eastAsia="zh-CN"/>
              </w:rPr>
              <w:t>本项目</w:t>
            </w:r>
            <w:r>
              <w:rPr>
                <w:rFonts w:hint="default" w:ascii="Times New Roman" w:hAnsi="Times New Roman" w:eastAsia="宋体" w:cs="Times New Roman"/>
                <w:color w:val="FF0000"/>
                <w:sz w:val="24"/>
                <w:u w:val="single"/>
                <w:lang w:val="en-US" w:eastAsia="zh-CN"/>
              </w:rPr>
              <w:t>使用</w:t>
            </w:r>
            <w:r>
              <w:rPr>
                <w:rFonts w:hint="eastAsia" w:ascii="Times New Roman" w:hAnsi="Times New Roman" w:eastAsia="宋体" w:cs="Times New Roman"/>
                <w:color w:val="FF0000"/>
                <w:sz w:val="24"/>
                <w:u w:val="single"/>
                <w:lang w:val="en-US" w:eastAsia="zh-CN"/>
              </w:rPr>
              <w:t>“</w:t>
            </w:r>
            <w:r>
              <w:rPr>
                <w:rFonts w:hint="default" w:ascii="Times New Roman" w:hAnsi="Times New Roman" w:eastAsia="宋体" w:cs="Times New Roman"/>
                <w:color w:val="FF0000"/>
                <w:sz w:val="24"/>
                <w:u w:val="single"/>
                <w:lang w:val="en-US" w:eastAsia="zh-CN"/>
              </w:rPr>
              <w:t>布袋除尘+活性炭</w:t>
            </w:r>
            <w:r>
              <w:rPr>
                <w:rFonts w:hint="eastAsia" w:ascii="Times New Roman" w:hAnsi="Times New Roman" w:eastAsia="宋体" w:cs="Times New Roman"/>
                <w:color w:val="FF0000"/>
                <w:sz w:val="24"/>
                <w:u w:val="single"/>
                <w:lang w:val="en-US" w:eastAsia="zh-CN"/>
              </w:rPr>
              <w:t>”</w:t>
            </w:r>
            <w:r>
              <w:rPr>
                <w:rFonts w:hint="default" w:ascii="Times New Roman" w:hAnsi="Times New Roman" w:eastAsia="宋体" w:cs="Times New Roman"/>
                <w:color w:val="FF0000"/>
                <w:sz w:val="24"/>
                <w:u w:val="single"/>
                <w:lang w:val="en-US" w:eastAsia="zh-CN"/>
              </w:rPr>
              <w:t>处理热风炉废气将产生废活性炭，活性炭对SO₂的有效吸附量</w:t>
            </w:r>
            <w:r>
              <w:rPr>
                <w:rFonts w:hint="eastAsia" w:ascii="Times New Roman" w:hAnsi="Times New Roman" w:eastAsia="宋体" w:cs="Times New Roman"/>
                <w:color w:val="FF0000"/>
                <w:sz w:val="24"/>
                <w:u w:val="single"/>
                <w:lang w:val="en-US" w:eastAsia="zh-CN"/>
              </w:rPr>
              <w:t>通常为</w:t>
            </w:r>
            <w:r>
              <w:rPr>
                <w:rFonts w:hint="default" w:ascii="Times New Roman" w:hAnsi="Times New Roman" w:eastAsia="宋体" w:cs="Times New Roman"/>
                <w:color w:val="FF0000"/>
                <w:sz w:val="24"/>
                <w:u w:val="single"/>
                <w:lang w:val="en-US" w:eastAsia="zh-CN"/>
              </w:rPr>
              <w:t>0.05~0.0</w:t>
            </w:r>
            <w:r>
              <w:rPr>
                <w:rFonts w:hint="eastAsia" w:ascii="Times New Roman" w:hAnsi="Times New Roman" w:eastAsia="宋体" w:cs="Times New Roman"/>
                <w:color w:val="FF0000"/>
                <w:sz w:val="24"/>
                <w:u w:val="single"/>
                <w:lang w:val="en-US" w:eastAsia="zh-CN"/>
              </w:rPr>
              <w:t>6</w:t>
            </w:r>
            <w:r>
              <w:rPr>
                <w:rFonts w:hint="default" w:ascii="Times New Roman" w:hAnsi="Times New Roman" w:eastAsia="宋体" w:cs="Times New Roman"/>
                <w:color w:val="FF0000"/>
                <w:sz w:val="24"/>
                <w:u w:val="single"/>
                <w:lang w:val="en-US" w:eastAsia="zh-CN"/>
              </w:rPr>
              <w:t>kg/kg</w:t>
            </w:r>
            <w:r>
              <w:rPr>
                <w:rFonts w:hint="eastAsia" w:ascii="Times New Roman" w:hAnsi="Times New Roman" w:eastAsia="宋体" w:cs="Times New Roman"/>
                <w:color w:val="FF0000"/>
                <w:sz w:val="24"/>
                <w:u w:val="single"/>
                <w:lang w:val="en-US" w:eastAsia="zh-CN"/>
              </w:rPr>
              <w:t>，本次环评</w:t>
            </w:r>
            <w:r>
              <w:rPr>
                <w:rFonts w:hint="default" w:ascii="Times New Roman" w:hAnsi="Times New Roman" w:eastAsia="宋体" w:cs="Times New Roman"/>
                <w:color w:val="FF0000"/>
                <w:sz w:val="24"/>
                <w:u w:val="single"/>
                <w:lang w:val="en-US" w:eastAsia="zh-CN"/>
              </w:rPr>
              <w:t>取0.05kgSO₂/kg活性炭</w:t>
            </w:r>
            <w:r>
              <w:rPr>
                <w:rFonts w:hint="eastAsia" w:ascii="Times New Roman" w:hAnsi="Times New Roman" w:eastAsia="宋体" w:cs="Times New Roman"/>
                <w:color w:val="FF0000"/>
                <w:sz w:val="24"/>
                <w:u w:val="single"/>
                <w:lang w:val="en-US" w:eastAsia="zh-CN"/>
              </w:rPr>
              <w:t>。本项目活性炭吸附装置对</w:t>
            </w:r>
            <w:r>
              <w:rPr>
                <w:rFonts w:hint="default" w:ascii="Times New Roman" w:hAnsi="Times New Roman" w:eastAsia="宋体" w:cs="Times New Roman"/>
                <w:color w:val="FF0000"/>
                <w:sz w:val="24"/>
                <w:u w:val="single"/>
                <w:lang w:val="en-US" w:eastAsia="zh-CN"/>
              </w:rPr>
              <w:t>热风炉废气</w:t>
            </w:r>
            <w:r>
              <w:rPr>
                <w:rFonts w:hint="eastAsia" w:ascii="Times New Roman" w:hAnsi="Times New Roman" w:eastAsia="宋体" w:cs="Times New Roman"/>
                <w:color w:val="FF0000"/>
                <w:sz w:val="24"/>
                <w:u w:val="single"/>
                <w:lang w:val="en-US" w:eastAsia="zh-CN"/>
              </w:rPr>
              <w:t>中</w:t>
            </w:r>
            <w:r>
              <w:rPr>
                <w:rFonts w:hint="default" w:ascii="Times New Roman" w:hAnsi="Times New Roman" w:eastAsia="宋体" w:cs="Times New Roman"/>
                <w:color w:val="FF0000"/>
                <w:sz w:val="24"/>
                <w:u w:val="single"/>
                <w:lang w:val="en-US" w:eastAsia="zh-CN"/>
              </w:rPr>
              <w:t>SO₂</w:t>
            </w:r>
            <w:r>
              <w:rPr>
                <w:rFonts w:hint="eastAsia" w:ascii="Times New Roman" w:hAnsi="Times New Roman" w:eastAsia="Times New Roman" w:cs="Times New Roman"/>
                <w:color w:val="FF0000"/>
                <w:sz w:val="24"/>
                <w:szCs w:val="24"/>
                <w:u w:val="single"/>
                <w:lang w:val="en-US" w:eastAsia="zh-CN"/>
              </w:rPr>
              <w:t>处理量约为0.692</w:t>
            </w:r>
            <w:r>
              <w:rPr>
                <w:rFonts w:ascii="Times New Roman" w:hAnsi="Times New Roman" w:eastAsia="宋体" w:cs="Times New Roman"/>
                <w:color w:val="FF0000"/>
                <w:sz w:val="24"/>
                <w:u w:val="single"/>
              </w:rPr>
              <w:t>t/a</w:t>
            </w:r>
            <w:r>
              <w:rPr>
                <w:rFonts w:hint="eastAsia" w:ascii="Times New Roman" w:hAnsi="Times New Roman" w:eastAsia="宋体" w:cs="Times New Roman"/>
                <w:color w:val="FF0000"/>
                <w:sz w:val="24"/>
                <w:u w:val="single"/>
                <w:lang w:eastAsia="zh-CN"/>
              </w:rPr>
              <w:t>，</w:t>
            </w:r>
            <w:r>
              <w:rPr>
                <w:rFonts w:hint="eastAsia" w:ascii="Times New Roman" w:hAnsi="Times New Roman" w:eastAsia="宋体" w:cs="Times New Roman"/>
                <w:color w:val="FF0000"/>
                <w:sz w:val="24"/>
                <w:u w:val="single"/>
                <w:lang w:val="en-US" w:eastAsia="zh-CN"/>
              </w:rPr>
              <w:t>则本项目需使用活性炭用量为13.84t/a。则本项目运营期</w:t>
            </w:r>
            <w:r>
              <w:rPr>
                <w:rFonts w:ascii="Times New Roman" w:hAnsi="Times New Roman" w:eastAsia="宋体" w:cs="Times New Roman"/>
                <w:color w:val="FF0000"/>
                <w:sz w:val="24"/>
                <w:u w:val="single"/>
              </w:rPr>
              <w:t>废活性炭产生量约</w:t>
            </w:r>
            <w:r>
              <w:rPr>
                <w:rFonts w:hint="eastAsia" w:ascii="Times New Roman" w:hAnsi="Times New Roman" w:eastAsia="宋体" w:cs="Times New Roman"/>
                <w:color w:val="FF0000"/>
                <w:sz w:val="24"/>
                <w:u w:val="single"/>
                <w:lang w:val="en-US" w:eastAsia="zh-CN"/>
              </w:rPr>
              <w:t>14.53</w:t>
            </w:r>
            <w:r>
              <w:rPr>
                <w:rFonts w:ascii="Times New Roman" w:hAnsi="Times New Roman" w:eastAsia="宋体" w:cs="Times New Roman"/>
                <w:color w:val="FF0000"/>
                <w:sz w:val="24"/>
                <w:u w:val="single"/>
              </w:rPr>
              <w:t>t/a（含吸附</w:t>
            </w:r>
            <w:r>
              <w:rPr>
                <w:rFonts w:hint="default" w:ascii="Times New Roman" w:hAnsi="Times New Roman" w:eastAsia="宋体" w:cs="Times New Roman"/>
                <w:color w:val="FF0000"/>
                <w:sz w:val="24"/>
                <w:u w:val="single"/>
                <w:lang w:val="en-US" w:eastAsia="zh-CN"/>
              </w:rPr>
              <w:t>SO₂</w:t>
            </w:r>
            <w:r>
              <w:rPr>
                <w:rFonts w:ascii="Times New Roman" w:hAnsi="Times New Roman" w:eastAsia="宋体" w:cs="Times New Roman"/>
                <w:color w:val="FF0000"/>
                <w:sz w:val="24"/>
                <w:u w:val="single"/>
              </w:rPr>
              <w:t>废气量）</w:t>
            </w:r>
            <w:r>
              <w:rPr>
                <w:rFonts w:hint="eastAsia" w:ascii="Times New Roman" w:hAnsi="Times New Roman" w:eastAsia="宋体" w:cs="Times New Roman"/>
                <w:color w:val="FF0000"/>
                <w:sz w:val="24"/>
                <w:u w:val="single"/>
                <w:lang w:eastAsia="zh-CN"/>
              </w:rPr>
              <w:t>。</w:t>
            </w:r>
            <w:r>
              <w:rPr>
                <w:rFonts w:hint="eastAsia" w:ascii="Times New Roman" w:hAnsi="Times New Roman" w:eastAsia="宋体" w:cs="Times New Roman"/>
                <w:color w:val="FF0000"/>
                <w:sz w:val="24"/>
                <w:u w:val="single"/>
                <w:lang w:val="en-US" w:eastAsia="zh-CN"/>
              </w:rPr>
              <w:t>分类</w:t>
            </w:r>
            <w:r>
              <w:rPr>
                <w:rFonts w:ascii="Times New Roman" w:hAnsi="Times New Roman" w:eastAsia="宋体" w:cs="Times New Roman"/>
                <w:color w:val="FF0000"/>
                <w:sz w:val="24"/>
                <w:u w:val="single"/>
              </w:rPr>
              <w:t>暂存于危险废物暂存间，定期交</w:t>
            </w:r>
            <w:r>
              <w:rPr>
                <w:rFonts w:hint="eastAsia" w:ascii="Times New Roman" w:hAnsi="Times New Roman" w:eastAsia="宋体" w:cs="Times New Roman"/>
                <w:color w:val="FF0000"/>
                <w:sz w:val="24"/>
                <w:u w:val="single"/>
                <w:lang w:val="en-US" w:eastAsia="zh-CN"/>
              </w:rPr>
              <w:t>由</w:t>
            </w:r>
            <w:r>
              <w:rPr>
                <w:rFonts w:ascii="Times New Roman" w:hAnsi="Times New Roman" w:eastAsia="宋体" w:cs="Times New Roman"/>
                <w:color w:val="FF0000"/>
                <w:sz w:val="24"/>
                <w:u w:val="single"/>
              </w:rPr>
              <w:t>有资质单位处置。</w:t>
            </w:r>
          </w:p>
          <w:p w14:paraId="51059C1B">
            <w:pPr>
              <w:ind w:firstLine="420"/>
              <w:jc w:val="center"/>
              <w:rPr>
                <w:rFonts w:hint="default" w:ascii="Times New Roman" w:hAnsi="Times New Roman" w:cs="Times New Roman"/>
                <w:b/>
                <w:color w:val="auto"/>
                <w:sz w:val="24"/>
                <w:szCs w:val="24"/>
                <w:u w:val="none"/>
              </w:rPr>
            </w:pPr>
            <w:r>
              <w:rPr>
                <w:rFonts w:hint="default" w:ascii="Times New Roman" w:hAnsi="Times New Roman" w:cs="Times New Roman"/>
                <w:b/>
                <w:color w:val="auto"/>
                <w:sz w:val="24"/>
                <w:szCs w:val="24"/>
                <w:u w:val="none"/>
              </w:rPr>
              <w:t>表4-1</w:t>
            </w:r>
            <w:r>
              <w:rPr>
                <w:rFonts w:hint="eastAsia" w:cs="Times New Roman"/>
                <w:b/>
                <w:color w:val="auto"/>
                <w:sz w:val="24"/>
                <w:szCs w:val="24"/>
                <w:u w:val="none"/>
                <w:lang w:val="en-US" w:eastAsia="zh-CN"/>
              </w:rPr>
              <w:t>7</w:t>
            </w:r>
            <w:r>
              <w:rPr>
                <w:rFonts w:hint="default" w:ascii="Times New Roman" w:hAnsi="Times New Roman" w:cs="Times New Roman"/>
                <w:b/>
                <w:color w:val="auto"/>
                <w:sz w:val="24"/>
                <w:szCs w:val="24"/>
                <w:u w:val="none"/>
              </w:rPr>
              <w:t xml:space="preserve">   </w:t>
            </w:r>
            <w:r>
              <w:rPr>
                <w:rFonts w:hint="eastAsia" w:ascii="Times New Roman" w:hAnsi="Times New Roman" w:cs="Times New Roman"/>
                <w:b/>
                <w:color w:val="auto"/>
                <w:sz w:val="24"/>
                <w:szCs w:val="24"/>
                <w:u w:val="none"/>
                <w:lang w:val="en-US" w:eastAsia="zh-CN"/>
              </w:rPr>
              <w:t>本项目</w:t>
            </w:r>
            <w:r>
              <w:rPr>
                <w:rFonts w:hint="default" w:ascii="Times New Roman" w:hAnsi="Times New Roman" w:cs="Times New Roman"/>
                <w:b/>
                <w:color w:val="auto"/>
                <w:sz w:val="24"/>
                <w:szCs w:val="24"/>
                <w:u w:val="none"/>
              </w:rPr>
              <w:t>固体废物汇总表</w:t>
            </w:r>
          </w:p>
          <w:tbl>
            <w:tblPr>
              <w:tblStyle w:val="32"/>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
            <w:tblGrid>
              <w:gridCol w:w="449"/>
              <w:gridCol w:w="1477"/>
              <w:gridCol w:w="900"/>
              <w:gridCol w:w="1142"/>
              <w:gridCol w:w="1408"/>
              <w:gridCol w:w="2333"/>
            </w:tblGrid>
            <w:tr w14:paraId="58AF205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vAlign w:val="center"/>
                </w:tcPr>
                <w:p w14:paraId="63231692">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序号</w:t>
                  </w:r>
                </w:p>
              </w:tc>
              <w:tc>
                <w:tcPr>
                  <w:tcW w:w="957" w:type="pct"/>
                  <w:vAlign w:val="center"/>
                </w:tcPr>
                <w:p w14:paraId="2021BEA1">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名称</w:t>
                  </w:r>
                </w:p>
              </w:tc>
              <w:tc>
                <w:tcPr>
                  <w:tcW w:w="583" w:type="pct"/>
                  <w:vAlign w:val="center"/>
                </w:tcPr>
                <w:p w14:paraId="06B102AB">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产生量（t/a）</w:t>
                  </w:r>
                </w:p>
              </w:tc>
              <w:tc>
                <w:tcPr>
                  <w:tcW w:w="740" w:type="pct"/>
                  <w:vAlign w:val="center"/>
                </w:tcPr>
                <w:p w14:paraId="23E83929">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类型</w:t>
                  </w:r>
                </w:p>
              </w:tc>
              <w:tc>
                <w:tcPr>
                  <w:tcW w:w="913" w:type="pct"/>
                  <w:vAlign w:val="center"/>
                </w:tcPr>
                <w:p w14:paraId="7C6C31D3">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sz w:val="21"/>
                      <w:szCs w:val="21"/>
                      <w:u w:val="none"/>
                      <w:lang w:eastAsia="zh-CN"/>
                    </w:rPr>
                  </w:pPr>
                  <w:r>
                    <w:rPr>
                      <w:rFonts w:hint="eastAsia" w:ascii="Times New Roman" w:hAnsi="Times New Roman" w:cs="Times New Roman"/>
                      <w:snapToGrid w:val="0"/>
                      <w:color w:val="auto"/>
                      <w:sz w:val="21"/>
                      <w:szCs w:val="21"/>
                      <w:u w:val="none"/>
                      <w:lang w:eastAsia="zh-CN"/>
                    </w:rPr>
                    <w:t>固废代码</w:t>
                  </w:r>
                </w:p>
              </w:tc>
              <w:tc>
                <w:tcPr>
                  <w:tcW w:w="1513" w:type="pct"/>
                  <w:vAlign w:val="center"/>
                </w:tcPr>
                <w:p w14:paraId="3580167D">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处置方式</w:t>
                  </w:r>
                </w:p>
              </w:tc>
            </w:tr>
            <w:tr w14:paraId="081B4FB1">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vAlign w:val="center"/>
                </w:tcPr>
                <w:p w14:paraId="020F5E5B">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1</w:t>
                  </w:r>
                </w:p>
              </w:tc>
              <w:tc>
                <w:tcPr>
                  <w:tcW w:w="957" w:type="pct"/>
                  <w:vAlign w:val="center"/>
                </w:tcPr>
                <w:p w14:paraId="0EEC6F39">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lang w:eastAsia="zh-CN"/>
                    </w:rPr>
                  </w:pPr>
                  <w:r>
                    <w:rPr>
                      <w:rFonts w:hint="default" w:ascii="Times New Roman" w:hAnsi="Times New Roman" w:cs="Times New Roman"/>
                      <w:snapToGrid w:val="0"/>
                      <w:color w:val="auto"/>
                      <w:sz w:val="21"/>
                      <w:szCs w:val="21"/>
                      <w:u w:val="none"/>
                      <w:lang w:eastAsia="zh-CN"/>
                    </w:rPr>
                    <w:t>生活垃圾</w:t>
                  </w:r>
                </w:p>
              </w:tc>
              <w:tc>
                <w:tcPr>
                  <w:tcW w:w="583" w:type="pct"/>
                  <w:vAlign w:val="center"/>
                </w:tcPr>
                <w:p w14:paraId="5EC6CADB">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7.5</w:t>
                  </w:r>
                </w:p>
              </w:tc>
              <w:tc>
                <w:tcPr>
                  <w:tcW w:w="740" w:type="pct"/>
                  <w:vAlign w:val="center"/>
                </w:tcPr>
                <w:p w14:paraId="42C4449D">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生活垃圾</w:t>
                  </w:r>
                </w:p>
              </w:tc>
              <w:tc>
                <w:tcPr>
                  <w:tcW w:w="913" w:type="pct"/>
                  <w:vAlign w:val="center"/>
                </w:tcPr>
                <w:p w14:paraId="1375494F">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w:t>
                  </w:r>
                </w:p>
              </w:tc>
              <w:tc>
                <w:tcPr>
                  <w:tcW w:w="1513" w:type="pct"/>
                  <w:vAlign w:val="center"/>
                </w:tcPr>
                <w:p w14:paraId="10093C8C">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交由环卫部门处理</w:t>
                  </w:r>
                </w:p>
              </w:tc>
            </w:tr>
            <w:tr w14:paraId="6BA736A9">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vAlign w:val="center"/>
                </w:tcPr>
                <w:p w14:paraId="35818D34">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2</w:t>
                  </w:r>
                </w:p>
              </w:tc>
              <w:tc>
                <w:tcPr>
                  <w:tcW w:w="957" w:type="pct"/>
                  <w:vAlign w:val="center"/>
                </w:tcPr>
                <w:p w14:paraId="06B8A448">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cs="Times New Roman"/>
                      <w:snapToGrid w:val="0"/>
                      <w:color w:val="auto"/>
                      <w:sz w:val="21"/>
                      <w:szCs w:val="21"/>
                      <w:u w:val="none"/>
                      <w:lang w:eastAsia="zh-CN"/>
                    </w:rPr>
                  </w:pPr>
                  <w:r>
                    <w:rPr>
                      <w:rFonts w:hint="eastAsia" w:ascii="Times New Roman" w:hAnsi="Times New Roman" w:cs="Times New Roman"/>
                      <w:snapToGrid w:val="0"/>
                      <w:color w:val="auto"/>
                      <w:sz w:val="21"/>
                      <w:szCs w:val="21"/>
                      <w:u w:val="none"/>
                      <w:lang w:eastAsia="zh-CN"/>
                    </w:rPr>
                    <w:t>废包装袋</w:t>
                  </w:r>
                </w:p>
              </w:tc>
              <w:tc>
                <w:tcPr>
                  <w:tcW w:w="583" w:type="pct"/>
                  <w:vAlign w:val="center"/>
                </w:tcPr>
                <w:p w14:paraId="7AFBE518">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3.</w:t>
                  </w:r>
                  <w:r>
                    <w:rPr>
                      <w:rFonts w:hint="eastAsia" w:ascii="Times New Roman" w:hAnsi="Times New Roman" w:cs="Times New Roman"/>
                      <w:snapToGrid w:val="0"/>
                      <w:color w:val="auto"/>
                      <w:sz w:val="21"/>
                      <w:szCs w:val="21"/>
                      <w:u w:val="none"/>
                      <w:lang w:val="en-US" w:eastAsia="zh-CN"/>
                    </w:rPr>
                    <w:t>2</w:t>
                  </w:r>
                </w:p>
              </w:tc>
              <w:tc>
                <w:tcPr>
                  <w:tcW w:w="740" w:type="pct"/>
                  <w:vAlign w:val="center"/>
                </w:tcPr>
                <w:p w14:paraId="3F8A2223">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一般固废</w:t>
                  </w:r>
                </w:p>
              </w:tc>
              <w:tc>
                <w:tcPr>
                  <w:tcW w:w="913" w:type="pct"/>
                  <w:vAlign w:val="center"/>
                </w:tcPr>
                <w:p w14:paraId="0719D18C">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900-003-S17</w:t>
                  </w:r>
                </w:p>
              </w:tc>
              <w:tc>
                <w:tcPr>
                  <w:tcW w:w="1513" w:type="pct"/>
                  <w:vAlign w:val="center"/>
                </w:tcPr>
                <w:p w14:paraId="1B907F4D">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eastAsia" w:ascii="Times New Roman" w:hAnsi="Times New Roman" w:eastAsia="宋体" w:cs="Times New Roman"/>
                      <w:snapToGrid w:val="0"/>
                      <w:color w:val="auto"/>
                      <w:sz w:val="21"/>
                      <w:szCs w:val="21"/>
                      <w:u w:val="none"/>
                      <w:lang w:val="en-US" w:eastAsia="zh-CN"/>
                    </w:rPr>
                    <w:t>外售交给物资回收公司处理</w:t>
                  </w:r>
                </w:p>
              </w:tc>
            </w:tr>
            <w:tr w14:paraId="4C915C3D">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vAlign w:val="center"/>
                </w:tcPr>
                <w:p w14:paraId="41A95224">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3</w:t>
                  </w:r>
                </w:p>
              </w:tc>
              <w:tc>
                <w:tcPr>
                  <w:tcW w:w="957" w:type="pct"/>
                  <w:vAlign w:val="center"/>
                </w:tcPr>
                <w:p w14:paraId="6D6C9686">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cs="Times New Roman"/>
                      <w:snapToGrid w:val="0"/>
                      <w:color w:val="auto"/>
                      <w:sz w:val="21"/>
                      <w:szCs w:val="21"/>
                      <w:u w:val="none"/>
                      <w:lang w:eastAsia="zh-CN"/>
                    </w:rPr>
                  </w:pPr>
                  <w:r>
                    <w:rPr>
                      <w:rFonts w:hint="eastAsia" w:ascii="Times New Roman" w:hAnsi="Times New Roman" w:cs="Times New Roman"/>
                      <w:snapToGrid w:val="0"/>
                      <w:color w:val="auto"/>
                      <w:sz w:val="21"/>
                      <w:szCs w:val="21"/>
                      <w:u w:val="none"/>
                      <w:lang w:eastAsia="zh-CN"/>
                    </w:rPr>
                    <w:t>筛选废弃叶子、树枝</w:t>
                  </w:r>
                </w:p>
              </w:tc>
              <w:tc>
                <w:tcPr>
                  <w:tcW w:w="583" w:type="pct"/>
                  <w:vAlign w:val="center"/>
                </w:tcPr>
                <w:p w14:paraId="3CC5C211">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8</w:t>
                  </w:r>
                </w:p>
              </w:tc>
              <w:tc>
                <w:tcPr>
                  <w:tcW w:w="740" w:type="pct"/>
                  <w:vAlign w:val="center"/>
                </w:tcPr>
                <w:p w14:paraId="18713E23">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一般固废</w:t>
                  </w:r>
                </w:p>
              </w:tc>
              <w:tc>
                <w:tcPr>
                  <w:tcW w:w="913" w:type="pct"/>
                  <w:vAlign w:val="center"/>
                </w:tcPr>
                <w:p w14:paraId="43080B1E">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900-009-S17</w:t>
                  </w:r>
                </w:p>
              </w:tc>
              <w:tc>
                <w:tcPr>
                  <w:tcW w:w="1513" w:type="pct"/>
                  <w:vAlign w:val="center"/>
                </w:tcPr>
                <w:p w14:paraId="79B8EC43">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eastAsia" w:ascii="Times New Roman" w:hAnsi="Times New Roman" w:eastAsia="宋体" w:cs="Times New Roman"/>
                      <w:snapToGrid w:val="0"/>
                      <w:color w:val="auto"/>
                      <w:sz w:val="21"/>
                      <w:szCs w:val="21"/>
                      <w:u w:val="none"/>
                      <w:lang w:val="en-US" w:eastAsia="zh-CN"/>
                    </w:rPr>
                    <w:t>外售交给物资回收公司处理</w:t>
                  </w:r>
                </w:p>
              </w:tc>
            </w:tr>
            <w:tr w14:paraId="4E5BCF6F">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vAlign w:val="center"/>
                </w:tcPr>
                <w:p w14:paraId="54DC10D8">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sz w:val="21"/>
                      <w:szCs w:val="21"/>
                      <w:u w:val="none"/>
                      <w:lang w:val="en-US" w:eastAsia="zh-CN"/>
                    </w:rPr>
                  </w:pPr>
                  <w:r>
                    <w:rPr>
                      <w:rFonts w:hint="eastAsia" w:ascii="Times New Roman" w:hAnsi="Times New Roman" w:cs="Times New Roman"/>
                      <w:snapToGrid w:val="0"/>
                      <w:color w:val="auto"/>
                      <w:sz w:val="21"/>
                      <w:szCs w:val="21"/>
                      <w:u w:val="none"/>
                      <w:lang w:val="en-US" w:eastAsia="zh-CN"/>
                    </w:rPr>
                    <w:t>4</w:t>
                  </w:r>
                </w:p>
              </w:tc>
              <w:tc>
                <w:tcPr>
                  <w:tcW w:w="957" w:type="pct"/>
                  <w:vAlign w:val="center"/>
                </w:tcPr>
                <w:p w14:paraId="23F1BF30">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cs="Times New Roman"/>
                      <w:snapToGrid w:val="0"/>
                      <w:color w:val="auto"/>
                      <w:sz w:val="21"/>
                      <w:szCs w:val="21"/>
                      <w:u w:val="none"/>
                      <w:lang w:eastAsia="zh-CN"/>
                    </w:rPr>
                  </w:pPr>
                  <w:r>
                    <w:rPr>
                      <w:rFonts w:hint="eastAsia" w:ascii="Times New Roman" w:hAnsi="Times New Roman" w:cs="Times New Roman"/>
                      <w:snapToGrid w:val="0"/>
                      <w:color w:val="auto"/>
                      <w:sz w:val="21"/>
                      <w:szCs w:val="21"/>
                      <w:u w:val="none"/>
                      <w:lang w:val="en-US" w:eastAsia="zh-CN"/>
                    </w:rPr>
                    <w:t>筛分废弃中药材尾料</w:t>
                  </w:r>
                </w:p>
              </w:tc>
              <w:tc>
                <w:tcPr>
                  <w:tcW w:w="583" w:type="pct"/>
                  <w:vAlign w:val="center"/>
                </w:tcPr>
                <w:p w14:paraId="600A0C9B">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8</w:t>
                  </w:r>
                </w:p>
              </w:tc>
              <w:tc>
                <w:tcPr>
                  <w:tcW w:w="740" w:type="pct"/>
                  <w:vAlign w:val="center"/>
                </w:tcPr>
                <w:p w14:paraId="4D093D8B">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一般固废</w:t>
                  </w:r>
                </w:p>
              </w:tc>
              <w:tc>
                <w:tcPr>
                  <w:tcW w:w="913" w:type="pct"/>
                  <w:vAlign w:val="center"/>
                </w:tcPr>
                <w:p w14:paraId="3BC165C2">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274-001-S02</w:t>
                  </w:r>
                </w:p>
              </w:tc>
              <w:tc>
                <w:tcPr>
                  <w:tcW w:w="1513" w:type="pct"/>
                  <w:vAlign w:val="center"/>
                </w:tcPr>
                <w:p w14:paraId="4E4F3647">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sz w:val="21"/>
                      <w:szCs w:val="21"/>
                      <w:u w:val="none"/>
                      <w:lang w:val="en-US" w:eastAsia="zh-CN"/>
                    </w:rPr>
                  </w:pPr>
                  <w:r>
                    <w:rPr>
                      <w:rFonts w:hint="eastAsia" w:ascii="Times New Roman" w:hAnsi="宋体" w:eastAsia="宋体" w:cs="Times New Roman"/>
                      <w:color w:val="auto"/>
                      <w:kern w:val="2"/>
                      <w:sz w:val="21"/>
                      <w:szCs w:val="34"/>
                      <w:u w:val="none"/>
                      <w:lang w:val="en-US" w:eastAsia="zh-CN" w:bidi="ar-SA"/>
                    </w:rPr>
                    <w:t>湖南坤凡农业有限公司资源化利用</w:t>
                  </w:r>
                </w:p>
              </w:tc>
            </w:tr>
            <w:tr w14:paraId="79D61FF2">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shd w:val="clear" w:color="auto" w:fill="auto"/>
                  <w:vAlign w:val="center"/>
                </w:tcPr>
                <w:p w14:paraId="70B6A93F">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sz w:val="21"/>
                      <w:szCs w:val="21"/>
                      <w:u w:val="none"/>
                      <w:lang w:val="en-US" w:eastAsia="zh-CN"/>
                    </w:rPr>
                    <w:t>5</w:t>
                  </w:r>
                </w:p>
              </w:tc>
              <w:tc>
                <w:tcPr>
                  <w:tcW w:w="957" w:type="pct"/>
                  <w:vAlign w:val="center"/>
                </w:tcPr>
                <w:p w14:paraId="4F2CA018">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布袋收集粉尘</w:t>
                  </w:r>
                </w:p>
              </w:tc>
              <w:tc>
                <w:tcPr>
                  <w:tcW w:w="583" w:type="pct"/>
                  <w:vAlign w:val="center"/>
                </w:tcPr>
                <w:p w14:paraId="6F30948F">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0.16</w:t>
                  </w:r>
                </w:p>
              </w:tc>
              <w:tc>
                <w:tcPr>
                  <w:tcW w:w="740" w:type="pct"/>
                  <w:vAlign w:val="center"/>
                </w:tcPr>
                <w:p w14:paraId="3840AE8E">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rPr>
                  </w:pPr>
                  <w:r>
                    <w:rPr>
                      <w:rFonts w:hint="default" w:ascii="Times New Roman" w:hAnsi="Times New Roman" w:cs="Times New Roman"/>
                      <w:snapToGrid w:val="0"/>
                      <w:color w:val="auto"/>
                      <w:sz w:val="21"/>
                      <w:szCs w:val="21"/>
                      <w:u w:val="none"/>
                    </w:rPr>
                    <w:t>一般固废</w:t>
                  </w:r>
                </w:p>
              </w:tc>
              <w:tc>
                <w:tcPr>
                  <w:tcW w:w="913" w:type="pct"/>
                  <w:vAlign w:val="center"/>
                </w:tcPr>
                <w:p w14:paraId="73771C8B">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rPr>
                  </w:pPr>
                  <w:r>
                    <w:rPr>
                      <w:rFonts w:hint="default" w:ascii="Times New Roman" w:hAnsi="Times New Roman" w:eastAsia="宋体" w:cs="Times New Roman"/>
                      <w:snapToGrid w:val="0"/>
                      <w:color w:val="auto"/>
                      <w:sz w:val="21"/>
                      <w:szCs w:val="21"/>
                      <w:u w:val="none"/>
                    </w:rPr>
                    <w:t>900-001-S04</w:t>
                  </w:r>
                </w:p>
              </w:tc>
              <w:tc>
                <w:tcPr>
                  <w:tcW w:w="1513" w:type="pct"/>
                  <w:vAlign w:val="center"/>
                </w:tcPr>
                <w:p w14:paraId="440E67B3">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sz w:val="21"/>
                      <w:szCs w:val="21"/>
                      <w:u w:val="none"/>
                      <w:lang w:val="en-US" w:eastAsia="zh-CN"/>
                    </w:rPr>
                  </w:pPr>
                  <w:r>
                    <w:rPr>
                      <w:rFonts w:hint="eastAsia" w:ascii="Times New Roman" w:hAnsi="Times New Roman" w:eastAsia="宋体" w:cs="Times New Roman"/>
                      <w:snapToGrid w:val="0"/>
                      <w:color w:val="auto"/>
                      <w:sz w:val="21"/>
                      <w:szCs w:val="21"/>
                      <w:u w:val="none"/>
                      <w:lang w:val="en-US" w:eastAsia="zh-CN"/>
                    </w:rPr>
                    <w:t>外售交给物资回收公司处理</w:t>
                  </w:r>
                </w:p>
              </w:tc>
            </w:tr>
            <w:tr w14:paraId="09A5E6D0">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shd w:val="clear" w:color="auto" w:fill="auto"/>
                  <w:vAlign w:val="center"/>
                </w:tcPr>
                <w:p w14:paraId="65DEE253">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sz w:val="21"/>
                      <w:szCs w:val="21"/>
                      <w:u w:val="none"/>
                      <w:lang w:val="en-US" w:eastAsia="zh-CN"/>
                    </w:rPr>
                    <w:t>6</w:t>
                  </w:r>
                </w:p>
              </w:tc>
              <w:tc>
                <w:tcPr>
                  <w:tcW w:w="957" w:type="pct"/>
                  <w:vAlign w:val="center"/>
                </w:tcPr>
                <w:p w14:paraId="3069D176">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cs="Times New Roman"/>
                      <w:snapToGrid w:val="0"/>
                      <w:color w:val="auto"/>
                      <w:sz w:val="21"/>
                      <w:szCs w:val="21"/>
                      <w:u w:val="none"/>
                      <w:lang w:eastAsia="zh-CN"/>
                    </w:rPr>
                  </w:pPr>
                  <w:r>
                    <w:rPr>
                      <w:rFonts w:hint="eastAsia" w:ascii="Times New Roman" w:hAnsi="Times New Roman" w:cs="Times New Roman"/>
                      <w:snapToGrid w:val="0"/>
                      <w:color w:val="auto"/>
                      <w:sz w:val="21"/>
                      <w:szCs w:val="21"/>
                      <w:u w:val="none"/>
                      <w:lang w:eastAsia="zh-CN"/>
                    </w:rPr>
                    <w:t>灰渣</w:t>
                  </w:r>
                </w:p>
              </w:tc>
              <w:tc>
                <w:tcPr>
                  <w:tcW w:w="583" w:type="pct"/>
                  <w:vAlign w:val="center"/>
                </w:tcPr>
                <w:p w14:paraId="659159A4">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88.32</w:t>
                  </w:r>
                </w:p>
              </w:tc>
              <w:tc>
                <w:tcPr>
                  <w:tcW w:w="740" w:type="pct"/>
                  <w:vAlign w:val="center"/>
                </w:tcPr>
                <w:p w14:paraId="1AF7C2E4">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sz w:val="21"/>
                      <w:szCs w:val="21"/>
                      <w:u w:val="none"/>
                      <w:lang w:eastAsia="zh-CN"/>
                    </w:rPr>
                  </w:pPr>
                  <w:r>
                    <w:rPr>
                      <w:rFonts w:hint="eastAsia" w:cs="Times New Roman"/>
                      <w:snapToGrid w:val="0"/>
                      <w:color w:val="auto"/>
                      <w:sz w:val="21"/>
                      <w:szCs w:val="21"/>
                      <w:u w:val="none"/>
                      <w:lang w:eastAsia="zh-CN"/>
                    </w:rPr>
                    <w:t>一般固废</w:t>
                  </w:r>
                </w:p>
              </w:tc>
              <w:tc>
                <w:tcPr>
                  <w:tcW w:w="913" w:type="pct"/>
                  <w:vAlign w:val="center"/>
                </w:tcPr>
                <w:p w14:paraId="2249974E">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900-099-S59</w:t>
                  </w:r>
                </w:p>
              </w:tc>
              <w:tc>
                <w:tcPr>
                  <w:tcW w:w="1513" w:type="pct"/>
                  <w:vAlign w:val="center"/>
                </w:tcPr>
                <w:p w14:paraId="119530BF">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sz w:val="21"/>
                      <w:szCs w:val="21"/>
                      <w:u w:val="none"/>
                      <w:lang w:val="en-US" w:eastAsia="zh-CN"/>
                    </w:rPr>
                  </w:pPr>
                  <w:r>
                    <w:rPr>
                      <w:rFonts w:hint="eastAsia" w:ascii="Times New Roman" w:hAnsi="Times New Roman" w:eastAsia="宋体" w:cs="Times New Roman"/>
                      <w:snapToGrid w:val="0"/>
                      <w:color w:val="auto"/>
                      <w:sz w:val="21"/>
                      <w:szCs w:val="21"/>
                      <w:u w:val="none"/>
                      <w:lang w:val="en-US" w:eastAsia="zh-CN"/>
                    </w:rPr>
                    <w:t>外售交给物资回收公司处理</w:t>
                  </w:r>
                </w:p>
              </w:tc>
            </w:tr>
            <w:tr w14:paraId="1D45466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vAlign w:val="center"/>
                </w:tcPr>
                <w:p w14:paraId="4CA2AF1A">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7</w:t>
                  </w:r>
                </w:p>
              </w:tc>
              <w:tc>
                <w:tcPr>
                  <w:tcW w:w="957" w:type="pct"/>
                  <w:vAlign w:val="center"/>
                </w:tcPr>
                <w:p w14:paraId="6F5F166B">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cs="Times New Roman"/>
                      <w:snapToGrid w:val="0"/>
                      <w:color w:val="auto"/>
                      <w:sz w:val="21"/>
                      <w:szCs w:val="21"/>
                      <w:u w:val="none"/>
                      <w:lang w:eastAsia="zh-CN"/>
                    </w:rPr>
                  </w:pPr>
                  <w:r>
                    <w:rPr>
                      <w:rFonts w:hint="eastAsia" w:ascii="Times New Roman" w:hAnsi="Times New Roman" w:cs="Times New Roman"/>
                      <w:snapToGrid w:val="0"/>
                      <w:color w:val="auto"/>
                      <w:sz w:val="21"/>
                      <w:szCs w:val="21"/>
                      <w:u w:val="none"/>
                      <w:lang w:val="en-US" w:eastAsia="zh-CN"/>
                    </w:rPr>
                    <w:t>沉淀池沉渣</w:t>
                  </w:r>
                </w:p>
              </w:tc>
              <w:tc>
                <w:tcPr>
                  <w:tcW w:w="583" w:type="pct"/>
                  <w:vAlign w:val="center"/>
                </w:tcPr>
                <w:p w14:paraId="629554BF">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83.33</w:t>
                  </w:r>
                </w:p>
              </w:tc>
              <w:tc>
                <w:tcPr>
                  <w:tcW w:w="740" w:type="pct"/>
                  <w:vAlign w:val="center"/>
                </w:tcPr>
                <w:p w14:paraId="66D75521">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cs="Times New Roman"/>
                      <w:snapToGrid w:val="0"/>
                      <w:color w:val="auto"/>
                      <w:sz w:val="21"/>
                      <w:szCs w:val="21"/>
                      <w:u w:val="none"/>
                      <w:lang w:eastAsia="zh-CN"/>
                    </w:rPr>
                  </w:pPr>
                  <w:r>
                    <w:rPr>
                      <w:rFonts w:hint="eastAsia" w:cs="Times New Roman"/>
                      <w:snapToGrid w:val="0"/>
                      <w:color w:val="auto"/>
                      <w:sz w:val="21"/>
                      <w:szCs w:val="21"/>
                      <w:u w:val="none"/>
                      <w:lang w:eastAsia="zh-CN"/>
                    </w:rPr>
                    <w:t>一般固废</w:t>
                  </w:r>
                </w:p>
              </w:tc>
              <w:tc>
                <w:tcPr>
                  <w:tcW w:w="913" w:type="pct"/>
                  <w:vAlign w:val="center"/>
                </w:tcPr>
                <w:p w14:paraId="775378B5">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900-099-S07</w:t>
                  </w:r>
                </w:p>
              </w:tc>
              <w:tc>
                <w:tcPr>
                  <w:tcW w:w="1513" w:type="pct"/>
                  <w:vAlign w:val="center"/>
                </w:tcPr>
                <w:p w14:paraId="0E0C8BB3">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sz w:val="21"/>
                      <w:szCs w:val="21"/>
                      <w:u w:val="none"/>
                      <w:lang w:val="en-US" w:eastAsia="zh-CN"/>
                    </w:rPr>
                  </w:pPr>
                  <w:r>
                    <w:rPr>
                      <w:rFonts w:hint="eastAsia" w:ascii="Times New Roman" w:hAnsi="宋体" w:eastAsia="宋体" w:cs="Times New Roman"/>
                      <w:color w:val="auto"/>
                      <w:kern w:val="2"/>
                      <w:sz w:val="21"/>
                      <w:szCs w:val="34"/>
                      <w:lang w:val="en-US" w:eastAsia="zh-CN" w:bidi="ar-SA"/>
                    </w:rPr>
                    <w:t>委托溆浦县龙潭页岩砖厂资源化利用</w:t>
                  </w:r>
                </w:p>
              </w:tc>
            </w:tr>
            <w:tr w14:paraId="595F8E0B">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9" w:hRule="atLeast"/>
              </w:trPr>
              <w:tc>
                <w:tcPr>
                  <w:tcW w:w="291" w:type="pct"/>
                  <w:shd w:val="clear" w:color="auto" w:fill="auto"/>
                  <w:vAlign w:val="center"/>
                </w:tcPr>
                <w:p w14:paraId="6ECD64A6">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sz w:val="21"/>
                      <w:szCs w:val="21"/>
                      <w:u w:val="none"/>
                      <w:lang w:val="en-US" w:eastAsia="zh-CN"/>
                    </w:rPr>
                    <w:t>8</w:t>
                  </w:r>
                </w:p>
              </w:tc>
              <w:tc>
                <w:tcPr>
                  <w:tcW w:w="957" w:type="pct"/>
                  <w:vAlign w:val="center"/>
                </w:tcPr>
                <w:p w14:paraId="00A8057B">
                  <w:pPr>
                    <w:pStyle w:val="134"/>
                    <w:rPr>
                      <w:rFonts w:hint="eastAsia"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残液缩膏</w:t>
                  </w:r>
                </w:p>
              </w:tc>
              <w:tc>
                <w:tcPr>
                  <w:tcW w:w="583" w:type="pct"/>
                  <w:vAlign w:val="center"/>
                </w:tcPr>
                <w:p w14:paraId="780F98E6">
                  <w:pPr>
                    <w:pStyle w:val="134"/>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9</w:t>
                  </w:r>
                </w:p>
              </w:tc>
              <w:tc>
                <w:tcPr>
                  <w:tcW w:w="740" w:type="pct"/>
                  <w:vAlign w:val="center"/>
                </w:tcPr>
                <w:p w14:paraId="0C3AE871">
                  <w:pPr>
                    <w:pStyle w:val="134"/>
                    <w:rPr>
                      <w:rFonts w:hint="eastAsia"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一般固废</w:t>
                  </w:r>
                </w:p>
              </w:tc>
              <w:tc>
                <w:tcPr>
                  <w:tcW w:w="913" w:type="pct"/>
                  <w:vAlign w:val="center"/>
                </w:tcPr>
                <w:p w14:paraId="55367C38">
                  <w:pPr>
                    <w:pStyle w:val="134"/>
                    <w:rPr>
                      <w:rFonts w:hint="default"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273-001-S45</w:t>
                  </w:r>
                </w:p>
              </w:tc>
              <w:tc>
                <w:tcPr>
                  <w:tcW w:w="1513" w:type="pct"/>
                  <w:vAlign w:val="center"/>
                </w:tcPr>
                <w:p w14:paraId="583142F7">
                  <w:pPr>
                    <w:pStyle w:val="134"/>
                    <w:rPr>
                      <w:rFonts w:hint="eastAsia"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lang w:val="en-US" w:eastAsia="zh-CN"/>
                    </w:rPr>
                    <w:t>养殖场做饲料辅助使用</w:t>
                  </w:r>
                </w:p>
              </w:tc>
            </w:tr>
            <w:tr w14:paraId="0F3A92BD">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79" w:hRule="atLeast"/>
              </w:trPr>
              <w:tc>
                <w:tcPr>
                  <w:tcW w:w="291" w:type="pct"/>
                  <w:shd w:val="clear" w:color="auto" w:fill="auto"/>
                  <w:vAlign w:val="center"/>
                </w:tcPr>
                <w:p w14:paraId="7EB7A808">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u w:val="none"/>
                      <w:lang w:val="en-US" w:eastAsia="zh-CN" w:bidi="ar-SA"/>
                    </w:rPr>
                  </w:pPr>
                  <w:r>
                    <w:rPr>
                      <w:rFonts w:hint="eastAsia" w:ascii="Times New Roman" w:hAnsi="Times New Roman" w:eastAsia="宋体" w:cs="Times New Roman"/>
                      <w:snapToGrid w:val="0"/>
                      <w:color w:val="auto"/>
                      <w:kern w:val="0"/>
                      <w:sz w:val="21"/>
                      <w:szCs w:val="21"/>
                      <w:u w:val="none"/>
                      <w:lang w:val="en-US" w:eastAsia="zh-CN" w:bidi="ar-SA"/>
                    </w:rPr>
                    <w:t>9</w:t>
                  </w:r>
                </w:p>
              </w:tc>
              <w:tc>
                <w:tcPr>
                  <w:tcW w:w="957" w:type="pct"/>
                  <w:vAlign w:val="center"/>
                </w:tcPr>
                <w:p w14:paraId="07CE40E7">
                  <w:pPr>
                    <w:pStyle w:val="134"/>
                    <w:rPr>
                      <w:rFonts w:hint="eastAsia" w:ascii="Times New Roman" w:hAnsi="Times New Roman" w:cs="Times New Roman"/>
                      <w:snapToGrid w:val="0"/>
                      <w:color w:val="auto"/>
                      <w:sz w:val="21"/>
                      <w:szCs w:val="21"/>
                      <w:u w:val="none"/>
                      <w:lang w:val="en-US" w:eastAsia="zh-CN"/>
                    </w:rPr>
                  </w:pPr>
                  <w:r>
                    <w:rPr>
                      <w:rFonts w:hint="eastAsia" w:ascii="Times New Roman" w:hAnsi="Times New Roman" w:eastAsia="宋体" w:cs="Times New Roman"/>
                      <w:color w:val="auto"/>
                      <w:szCs w:val="21"/>
                      <w:u w:val="single"/>
                      <w:lang w:val="en-US" w:eastAsia="zh-CN"/>
                    </w:rPr>
                    <w:t>废离子交换树脂</w:t>
                  </w:r>
                </w:p>
              </w:tc>
              <w:tc>
                <w:tcPr>
                  <w:tcW w:w="583" w:type="pct"/>
                  <w:vAlign w:val="center"/>
                </w:tcPr>
                <w:p w14:paraId="21F420A4">
                  <w:pPr>
                    <w:pStyle w:val="134"/>
                    <w:rPr>
                      <w:rFonts w:hint="eastAsia" w:cs="Times New Roman"/>
                      <w:snapToGrid w:val="0"/>
                      <w:color w:val="auto"/>
                      <w:sz w:val="21"/>
                      <w:szCs w:val="21"/>
                      <w:u w:val="none"/>
                      <w:lang w:val="en-US" w:eastAsia="zh-CN"/>
                    </w:rPr>
                  </w:pPr>
                  <w:r>
                    <w:rPr>
                      <w:rFonts w:hint="eastAsia" w:ascii="Times New Roman" w:hAnsi="Times New Roman" w:eastAsia="宋体" w:cs="Times New Roman"/>
                      <w:color w:val="auto"/>
                      <w:szCs w:val="21"/>
                      <w:u w:val="single"/>
                      <w:lang w:val="en-US" w:eastAsia="zh-CN"/>
                    </w:rPr>
                    <w:t>0.4</w:t>
                  </w:r>
                </w:p>
              </w:tc>
              <w:tc>
                <w:tcPr>
                  <w:tcW w:w="740" w:type="pct"/>
                  <w:vAlign w:val="center"/>
                </w:tcPr>
                <w:p w14:paraId="216551CC">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cs="Times New Roman"/>
                      <w:snapToGrid w:val="0"/>
                      <w:color w:val="auto"/>
                      <w:sz w:val="21"/>
                      <w:szCs w:val="21"/>
                      <w:u w:val="none"/>
                      <w:lang w:eastAsia="zh-CN"/>
                    </w:rPr>
                  </w:pPr>
                  <w:r>
                    <w:rPr>
                      <w:rFonts w:hint="eastAsia" w:cs="Times New Roman"/>
                      <w:snapToGrid w:val="0"/>
                      <w:color w:val="auto"/>
                      <w:sz w:val="21"/>
                      <w:szCs w:val="21"/>
                      <w:u w:val="single"/>
                      <w:lang w:eastAsia="zh-CN"/>
                    </w:rPr>
                    <w:t>一般固废</w:t>
                  </w:r>
                </w:p>
              </w:tc>
              <w:tc>
                <w:tcPr>
                  <w:tcW w:w="913" w:type="pct"/>
                  <w:vAlign w:val="center"/>
                </w:tcPr>
                <w:p w14:paraId="5B2D824E">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cs="Times New Roman"/>
                      <w:snapToGrid w:val="0"/>
                      <w:color w:val="auto"/>
                      <w:sz w:val="21"/>
                      <w:szCs w:val="21"/>
                      <w:u w:val="none"/>
                      <w:lang w:val="en-US" w:eastAsia="zh-CN"/>
                    </w:rPr>
                  </w:pPr>
                  <w:r>
                    <w:rPr>
                      <w:rFonts w:hint="default" w:ascii="Times New Roman" w:hAnsi="Times New Roman" w:cs="Times New Roman"/>
                      <w:snapToGrid w:val="0"/>
                      <w:color w:val="auto"/>
                      <w:sz w:val="21"/>
                      <w:szCs w:val="21"/>
                      <w:u w:val="single"/>
                    </w:rPr>
                    <w:t>900-009-S59</w:t>
                  </w:r>
                </w:p>
              </w:tc>
              <w:tc>
                <w:tcPr>
                  <w:tcW w:w="1513" w:type="pct"/>
                  <w:vAlign w:val="center"/>
                </w:tcPr>
                <w:p w14:paraId="0CA1280E">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宋体" w:eastAsia="宋体" w:cs="Times New Roman"/>
                      <w:color w:val="auto"/>
                      <w:kern w:val="2"/>
                      <w:sz w:val="21"/>
                      <w:szCs w:val="34"/>
                      <w:lang w:val="en-US" w:eastAsia="zh-CN" w:bidi="ar-SA"/>
                    </w:rPr>
                  </w:pPr>
                  <w:r>
                    <w:rPr>
                      <w:rFonts w:hint="eastAsia" w:ascii="Times New Roman" w:hAnsi="Times New Roman" w:eastAsia="宋体" w:cs="Times New Roman"/>
                      <w:snapToGrid w:val="0"/>
                      <w:color w:val="auto"/>
                      <w:sz w:val="21"/>
                      <w:szCs w:val="21"/>
                      <w:u w:val="none"/>
                      <w:lang w:val="en-US" w:eastAsia="zh-CN"/>
                    </w:rPr>
                    <w:t>外售交给物资回收公司处理</w:t>
                  </w:r>
                </w:p>
              </w:tc>
            </w:tr>
            <w:tr w14:paraId="23A502C3">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shd w:val="clear" w:color="auto" w:fill="auto"/>
                  <w:vAlign w:val="center"/>
                </w:tcPr>
                <w:p w14:paraId="3CD6EF4F">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sz w:val="21"/>
                      <w:szCs w:val="21"/>
                      <w:u w:val="none"/>
                      <w:lang w:val="en-US" w:eastAsia="zh-CN"/>
                    </w:rPr>
                    <w:t>10</w:t>
                  </w:r>
                </w:p>
              </w:tc>
              <w:tc>
                <w:tcPr>
                  <w:tcW w:w="957" w:type="pct"/>
                  <w:vAlign w:val="center"/>
                </w:tcPr>
                <w:p w14:paraId="7933E865">
                  <w:pPr>
                    <w:pStyle w:val="134"/>
                    <w:rPr>
                      <w:rFonts w:hint="eastAsia" w:ascii="Times New Roman" w:hAnsi="Times New Roman" w:cs="Times New Roman"/>
                      <w:snapToGrid w:val="0"/>
                      <w:color w:val="auto"/>
                      <w:sz w:val="21"/>
                      <w:szCs w:val="21"/>
                      <w:u w:val="none"/>
                      <w:lang w:val="en-US" w:eastAsia="zh-CN"/>
                    </w:rPr>
                  </w:pPr>
                  <w:r>
                    <w:rPr>
                      <w:rFonts w:hint="default"/>
                      <w:color w:val="auto"/>
                      <w:szCs w:val="21"/>
                      <w:u w:val="single"/>
                    </w:rPr>
                    <w:t>废润滑油</w:t>
                  </w:r>
                </w:p>
              </w:tc>
              <w:tc>
                <w:tcPr>
                  <w:tcW w:w="583" w:type="pct"/>
                  <w:vAlign w:val="center"/>
                </w:tcPr>
                <w:p w14:paraId="15F8ED8F">
                  <w:pPr>
                    <w:pStyle w:val="134"/>
                    <w:rPr>
                      <w:rFonts w:hint="eastAsia" w:cs="Times New Roman"/>
                      <w:snapToGrid w:val="0"/>
                      <w:color w:val="auto"/>
                      <w:sz w:val="21"/>
                      <w:szCs w:val="21"/>
                      <w:u w:val="none"/>
                      <w:lang w:val="en-US" w:eastAsia="zh-CN"/>
                    </w:rPr>
                  </w:pPr>
                  <w:r>
                    <w:rPr>
                      <w:rFonts w:hint="default"/>
                      <w:color w:val="auto"/>
                      <w:szCs w:val="21"/>
                      <w:u w:val="single"/>
                    </w:rPr>
                    <w:t>0.01</w:t>
                  </w:r>
                </w:p>
              </w:tc>
              <w:tc>
                <w:tcPr>
                  <w:tcW w:w="740" w:type="pct"/>
                  <w:vAlign w:val="center"/>
                </w:tcPr>
                <w:p w14:paraId="64C3E10A">
                  <w:pPr>
                    <w:pStyle w:val="134"/>
                    <w:rPr>
                      <w:rFonts w:hint="eastAsia" w:cs="Times New Roman"/>
                      <w:snapToGrid w:val="0"/>
                      <w:color w:val="auto"/>
                      <w:sz w:val="21"/>
                      <w:szCs w:val="21"/>
                      <w:u w:val="none"/>
                      <w:lang w:eastAsia="zh-CN"/>
                    </w:rPr>
                  </w:pPr>
                  <w:r>
                    <w:rPr>
                      <w:rFonts w:hint="default"/>
                      <w:color w:val="auto"/>
                      <w:szCs w:val="21"/>
                      <w:u w:val="single"/>
                    </w:rPr>
                    <w:t>危险废物</w:t>
                  </w:r>
                </w:p>
              </w:tc>
              <w:tc>
                <w:tcPr>
                  <w:tcW w:w="913" w:type="pct"/>
                  <w:vAlign w:val="center"/>
                </w:tcPr>
                <w:p w14:paraId="71C07731">
                  <w:pPr>
                    <w:pStyle w:val="134"/>
                    <w:rPr>
                      <w:rFonts w:hint="eastAsia"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auto"/>
                      <w:szCs w:val="21"/>
                      <w:u w:val="single"/>
                    </w:rPr>
                    <w:t>900-217-08</w:t>
                  </w:r>
                </w:p>
              </w:tc>
              <w:tc>
                <w:tcPr>
                  <w:tcW w:w="1513" w:type="pct"/>
                  <w:vMerge w:val="restart"/>
                  <w:vAlign w:val="center"/>
                </w:tcPr>
                <w:p w14:paraId="01A3A1BB">
                  <w:pPr>
                    <w:pStyle w:val="134"/>
                    <w:rPr>
                      <w:rFonts w:hint="eastAsia" w:ascii="Times New Roman" w:hAnsi="Times New Roman" w:eastAsia="宋体" w:cs="Times New Roman"/>
                      <w:color w:val="auto"/>
                      <w:szCs w:val="21"/>
                      <w:u w:val="single"/>
                      <w:lang w:val="en-US" w:eastAsia="zh-CN"/>
                    </w:rPr>
                  </w:pPr>
                  <w:r>
                    <w:rPr>
                      <w:rFonts w:hint="eastAsia" w:ascii="Times New Roman" w:hAnsi="Times New Roman" w:eastAsia="宋体" w:cs="Times New Roman"/>
                      <w:color w:val="FF0000"/>
                      <w:sz w:val="21"/>
                      <w:szCs w:val="21"/>
                      <w:u w:val="single"/>
                      <w:lang w:val="en-US" w:eastAsia="zh-CN"/>
                    </w:rPr>
                    <w:t>分类暂存于危险废物暂存间，定期交由有资质单位处置</w:t>
                  </w:r>
                </w:p>
              </w:tc>
            </w:tr>
            <w:tr w14:paraId="73D86CF8">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shd w:val="clear" w:color="auto" w:fill="auto"/>
                  <w:vAlign w:val="center"/>
                </w:tcPr>
                <w:p w14:paraId="024A8FD2">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Times New Roman" w:eastAsia="宋体" w:cs="Times New Roman"/>
                      <w:snapToGrid w:val="0"/>
                      <w:color w:val="auto"/>
                      <w:kern w:val="0"/>
                      <w:sz w:val="21"/>
                      <w:szCs w:val="21"/>
                      <w:u w:val="none"/>
                      <w:lang w:val="en-US" w:eastAsia="zh-CN" w:bidi="ar-SA"/>
                    </w:rPr>
                  </w:pPr>
                  <w:r>
                    <w:rPr>
                      <w:rFonts w:hint="eastAsia" w:cs="Times New Roman"/>
                      <w:snapToGrid w:val="0"/>
                      <w:color w:val="auto"/>
                      <w:sz w:val="21"/>
                      <w:szCs w:val="21"/>
                      <w:u w:val="none"/>
                      <w:lang w:val="en-US" w:eastAsia="zh-CN"/>
                    </w:rPr>
                    <w:t>11</w:t>
                  </w:r>
                </w:p>
              </w:tc>
              <w:tc>
                <w:tcPr>
                  <w:tcW w:w="957" w:type="pct"/>
                  <w:shd w:val="clear" w:color="auto" w:fill="auto"/>
                  <w:vAlign w:val="center"/>
                </w:tcPr>
                <w:p w14:paraId="17775D26">
                  <w:pPr>
                    <w:pStyle w:val="134"/>
                    <w:rPr>
                      <w:rFonts w:hint="default" w:ascii="Times New Roman" w:hAnsi="Times New Roman" w:eastAsia="宋体" w:cs="Times New Roman"/>
                      <w:snapToGrid w:val="0"/>
                      <w:color w:val="auto"/>
                      <w:kern w:val="2"/>
                      <w:sz w:val="21"/>
                      <w:szCs w:val="21"/>
                      <w:u w:val="none"/>
                      <w:lang w:val="en-US" w:eastAsia="zh-CN" w:bidi="ar-SA"/>
                    </w:rPr>
                  </w:pPr>
                  <w:r>
                    <w:rPr>
                      <w:rFonts w:hint="default"/>
                      <w:color w:val="auto"/>
                      <w:szCs w:val="21"/>
                      <w:u w:val="single"/>
                    </w:rPr>
                    <w:t>含油抹布及手套</w:t>
                  </w:r>
                </w:p>
              </w:tc>
              <w:tc>
                <w:tcPr>
                  <w:tcW w:w="583" w:type="pct"/>
                  <w:shd w:val="clear" w:color="auto" w:fill="auto"/>
                  <w:vAlign w:val="center"/>
                </w:tcPr>
                <w:p w14:paraId="04412A25">
                  <w:pPr>
                    <w:pStyle w:val="134"/>
                    <w:rPr>
                      <w:rFonts w:hint="default" w:ascii="Times New Roman" w:hAnsi="Times New Roman" w:eastAsia="宋体" w:cs="Times New Roman"/>
                      <w:snapToGrid w:val="0"/>
                      <w:color w:val="auto"/>
                      <w:kern w:val="2"/>
                      <w:sz w:val="21"/>
                      <w:szCs w:val="21"/>
                      <w:u w:val="none"/>
                      <w:lang w:val="en-US" w:eastAsia="zh-CN" w:bidi="ar-SA"/>
                    </w:rPr>
                  </w:pPr>
                  <w:r>
                    <w:rPr>
                      <w:rFonts w:hint="default"/>
                      <w:color w:val="auto"/>
                      <w:szCs w:val="21"/>
                      <w:u w:val="single"/>
                    </w:rPr>
                    <w:t>0.01</w:t>
                  </w:r>
                </w:p>
              </w:tc>
              <w:tc>
                <w:tcPr>
                  <w:tcW w:w="740" w:type="pct"/>
                  <w:shd w:val="clear" w:color="auto" w:fill="auto"/>
                  <w:vAlign w:val="center"/>
                </w:tcPr>
                <w:p w14:paraId="42FE0D0E">
                  <w:pPr>
                    <w:pStyle w:val="134"/>
                    <w:rPr>
                      <w:rFonts w:hint="default" w:ascii="Times New Roman" w:hAnsi="Times New Roman" w:eastAsia="宋体" w:cs="Times New Roman"/>
                      <w:snapToGrid w:val="0"/>
                      <w:color w:val="auto"/>
                      <w:kern w:val="2"/>
                      <w:sz w:val="21"/>
                      <w:szCs w:val="21"/>
                      <w:u w:val="none"/>
                      <w:lang w:val="en-US" w:eastAsia="zh-CN" w:bidi="ar-SA"/>
                    </w:rPr>
                  </w:pPr>
                  <w:r>
                    <w:rPr>
                      <w:rFonts w:hint="default"/>
                      <w:color w:val="auto"/>
                      <w:szCs w:val="21"/>
                      <w:u w:val="single"/>
                    </w:rPr>
                    <w:t>危险废物</w:t>
                  </w:r>
                </w:p>
              </w:tc>
              <w:tc>
                <w:tcPr>
                  <w:tcW w:w="913" w:type="pct"/>
                  <w:shd w:val="clear" w:color="auto" w:fill="auto"/>
                  <w:vAlign w:val="center"/>
                </w:tcPr>
                <w:p w14:paraId="0272141D">
                  <w:pPr>
                    <w:pStyle w:val="134"/>
                    <w:rPr>
                      <w:rFonts w:hint="eastAsia" w:ascii="Times New Roman" w:hAnsi="Times New Roman" w:eastAsia="宋体" w:cs="Times New Roman"/>
                      <w:snapToGrid w:val="0"/>
                      <w:color w:val="auto"/>
                      <w:kern w:val="2"/>
                      <w:sz w:val="21"/>
                      <w:szCs w:val="21"/>
                      <w:u w:val="none"/>
                      <w:lang w:val="en-US" w:eastAsia="zh-CN" w:bidi="ar-SA"/>
                    </w:rPr>
                  </w:pPr>
                  <w:r>
                    <w:rPr>
                      <w:rFonts w:hint="eastAsia" w:ascii="Times New Roman" w:hAnsi="Times New Roman" w:eastAsia="宋体" w:cs="Times New Roman"/>
                      <w:color w:val="auto"/>
                      <w:sz w:val="21"/>
                      <w:szCs w:val="21"/>
                      <w:u w:val="single"/>
                    </w:rPr>
                    <w:t>900-041-49</w:t>
                  </w:r>
                </w:p>
              </w:tc>
              <w:tc>
                <w:tcPr>
                  <w:tcW w:w="1513" w:type="pct"/>
                  <w:vMerge w:val="continue"/>
                  <w:vAlign w:val="center"/>
                </w:tcPr>
                <w:p w14:paraId="4AFC9E91">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宋体" w:eastAsia="宋体" w:cs="Times New Roman"/>
                      <w:color w:val="auto"/>
                      <w:kern w:val="2"/>
                      <w:sz w:val="21"/>
                      <w:szCs w:val="34"/>
                      <w:lang w:val="en-US" w:eastAsia="zh-CN" w:bidi="ar-SA"/>
                    </w:rPr>
                  </w:pPr>
                </w:p>
              </w:tc>
            </w:tr>
            <w:tr w14:paraId="425AFCFC">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CellMar>
                  <w:top w:w="0" w:type="dxa"/>
                  <w:left w:w="108" w:type="dxa"/>
                  <w:bottom w:w="0" w:type="dxa"/>
                  <w:right w:w="108" w:type="dxa"/>
                </w:tblCellMar>
              </w:tblPrEx>
              <w:trPr>
                <w:trHeight w:val="397" w:hRule="atLeast"/>
              </w:trPr>
              <w:tc>
                <w:tcPr>
                  <w:tcW w:w="291" w:type="pct"/>
                  <w:vAlign w:val="center"/>
                </w:tcPr>
                <w:p w14:paraId="51E8494E">
                  <w:pPr>
                    <w:pStyle w:val="134"/>
                    <w:rPr>
                      <w:rFonts w:hint="default" w:cs="Times New Roman"/>
                      <w:snapToGrid w:val="0"/>
                      <w:color w:val="auto"/>
                      <w:sz w:val="21"/>
                      <w:szCs w:val="21"/>
                      <w:u w:val="none"/>
                      <w:lang w:val="en-US" w:eastAsia="zh-CN"/>
                    </w:rPr>
                  </w:pPr>
                  <w:r>
                    <w:rPr>
                      <w:rFonts w:hint="eastAsia" w:ascii="Times New Roman" w:hAnsi="Times New Roman" w:eastAsia="宋体" w:cs="Times New Roman"/>
                      <w:color w:val="FF0000"/>
                      <w:sz w:val="21"/>
                      <w:szCs w:val="21"/>
                      <w:u w:val="single"/>
                      <w:lang w:val="en-US" w:eastAsia="zh-CN"/>
                    </w:rPr>
                    <w:t>9</w:t>
                  </w:r>
                </w:p>
              </w:tc>
              <w:tc>
                <w:tcPr>
                  <w:tcW w:w="957" w:type="pct"/>
                  <w:vAlign w:val="center"/>
                </w:tcPr>
                <w:p w14:paraId="790E23D3">
                  <w:pPr>
                    <w:pStyle w:val="134"/>
                    <w:rPr>
                      <w:rFonts w:hint="eastAsia" w:ascii="Times New Roman" w:hAnsi="Times New Roman" w:cs="Times New Roman"/>
                      <w:snapToGrid w:val="0"/>
                      <w:color w:val="auto"/>
                      <w:sz w:val="21"/>
                      <w:szCs w:val="21"/>
                      <w:u w:val="none"/>
                      <w:lang w:val="en-US" w:eastAsia="zh-CN"/>
                    </w:rPr>
                  </w:pPr>
                  <w:r>
                    <w:rPr>
                      <w:rFonts w:hint="eastAsia" w:ascii="Times New Roman" w:hAnsi="Times New Roman" w:eastAsia="宋体" w:cs="Times New Roman"/>
                      <w:color w:val="FF0000"/>
                      <w:sz w:val="21"/>
                      <w:szCs w:val="21"/>
                      <w:u w:val="single"/>
                      <w:lang w:val="en-US" w:eastAsia="zh-CN"/>
                    </w:rPr>
                    <w:t>废活性炭</w:t>
                  </w:r>
                </w:p>
              </w:tc>
              <w:tc>
                <w:tcPr>
                  <w:tcW w:w="583" w:type="pct"/>
                  <w:vAlign w:val="center"/>
                </w:tcPr>
                <w:p w14:paraId="61C5AA24">
                  <w:pPr>
                    <w:pStyle w:val="134"/>
                    <w:rPr>
                      <w:rFonts w:hint="default" w:cs="Times New Roman"/>
                      <w:snapToGrid w:val="0"/>
                      <w:color w:val="auto"/>
                      <w:sz w:val="21"/>
                      <w:szCs w:val="21"/>
                      <w:u w:val="none"/>
                      <w:lang w:val="en-US" w:eastAsia="zh-CN"/>
                    </w:rPr>
                  </w:pPr>
                  <w:r>
                    <w:rPr>
                      <w:rFonts w:hint="eastAsia" w:ascii="Times New Roman" w:hAnsi="Times New Roman" w:eastAsia="宋体" w:cs="Times New Roman"/>
                      <w:color w:val="FF0000"/>
                      <w:sz w:val="21"/>
                      <w:szCs w:val="21"/>
                      <w:u w:val="single"/>
                      <w:lang w:val="en-US" w:eastAsia="zh-CN"/>
                    </w:rPr>
                    <w:t>14.53</w:t>
                  </w:r>
                </w:p>
              </w:tc>
              <w:tc>
                <w:tcPr>
                  <w:tcW w:w="740" w:type="pct"/>
                  <w:vAlign w:val="center"/>
                </w:tcPr>
                <w:p w14:paraId="11174161">
                  <w:pPr>
                    <w:pStyle w:val="134"/>
                    <w:rPr>
                      <w:rFonts w:hint="eastAsia" w:cs="Times New Roman"/>
                      <w:snapToGrid w:val="0"/>
                      <w:color w:val="auto"/>
                      <w:sz w:val="21"/>
                      <w:szCs w:val="21"/>
                      <w:u w:val="none"/>
                      <w:lang w:eastAsia="zh-CN"/>
                    </w:rPr>
                  </w:pPr>
                  <w:r>
                    <w:rPr>
                      <w:rFonts w:hint="default" w:ascii="Times New Roman" w:hAnsi="Times New Roman" w:eastAsia="宋体" w:cs="Times New Roman"/>
                      <w:color w:val="FF0000"/>
                      <w:sz w:val="21"/>
                      <w:szCs w:val="21"/>
                      <w:u w:val="single"/>
                      <w:lang w:val="en-US" w:eastAsia="zh-CN"/>
                    </w:rPr>
                    <w:t>危险废物</w:t>
                  </w:r>
                </w:p>
              </w:tc>
              <w:tc>
                <w:tcPr>
                  <w:tcW w:w="913" w:type="pct"/>
                  <w:vAlign w:val="center"/>
                </w:tcPr>
                <w:p w14:paraId="40D5B88A">
                  <w:pPr>
                    <w:pStyle w:val="134"/>
                    <w:rPr>
                      <w:rFonts w:hint="eastAsia" w:cs="Times New Roman"/>
                      <w:snapToGrid w:val="0"/>
                      <w:color w:val="auto"/>
                      <w:sz w:val="21"/>
                      <w:szCs w:val="21"/>
                      <w:u w:val="none"/>
                      <w:lang w:val="en-US" w:eastAsia="zh-CN"/>
                    </w:rPr>
                  </w:pPr>
                  <w:r>
                    <w:rPr>
                      <w:rFonts w:hint="default" w:ascii="Times New Roman" w:hAnsi="Times New Roman" w:eastAsia="宋体" w:cs="Times New Roman"/>
                      <w:color w:val="FF0000"/>
                      <w:sz w:val="21"/>
                      <w:szCs w:val="21"/>
                      <w:u w:val="single"/>
                      <w:lang w:val="en-US" w:eastAsia="zh-CN"/>
                    </w:rPr>
                    <w:t>900-039-49</w:t>
                  </w:r>
                </w:p>
              </w:tc>
              <w:tc>
                <w:tcPr>
                  <w:tcW w:w="1513" w:type="pct"/>
                  <w:vMerge w:val="continue"/>
                  <w:vAlign w:val="center"/>
                </w:tcPr>
                <w:p w14:paraId="1B9D0235">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Times New Roman" w:hAnsi="宋体" w:eastAsia="宋体" w:cs="Times New Roman"/>
                      <w:color w:val="auto"/>
                      <w:kern w:val="2"/>
                      <w:sz w:val="21"/>
                      <w:szCs w:val="34"/>
                      <w:lang w:val="en-US" w:eastAsia="zh-CN" w:bidi="ar-SA"/>
                    </w:rPr>
                  </w:pPr>
                </w:p>
              </w:tc>
            </w:tr>
          </w:tbl>
          <w:p w14:paraId="463247F1">
            <w:pPr>
              <w:spacing w:before="120" w:beforeLines="50" w:line="360" w:lineRule="auto"/>
              <w:ind w:firstLine="482" w:firstLineChars="200"/>
              <w:rPr>
                <w:rFonts w:hint="eastAsia"/>
                <w:b/>
                <w:color w:val="auto"/>
                <w:sz w:val="24"/>
                <w:u w:val="single"/>
              </w:rPr>
            </w:pPr>
            <w:r>
              <w:rPr>
                <w:rFonts w:hint="eastAsia"/>
                <w:b/>
                <w:color w:val="auto"/>
                <w:sz w:val="24"/>
                <w:u w:val="single"/>
                <w:lang w:eastAsia="zh-CN"/>
              </w:rPr>
              <w:t>（</w:t>
            </w:r>
            <w:r>
              <w:rPr>
                <w:rFonts w:hint="eastAsia"/>
                <w:b/>
                <w:color w:val="auto"/>
                <w:sz w:val="24"/>
                <w:u w:val="single"/>
                <w:lang w:val="en-US" w:eastAsia="zh-CN"/>
              </w:rPr>
              <w:t>2</w:t>
            </w:r>
            <w:r>
              <w:rPr>
                <w:rFonts w:hint="eastAsia"/>
                <w:b/>
                <w:color w:val="auto"/>
                <w:sz w:val="24"/>
                <w:u w:val="single"/>
                <w:lang w:eastAsia="zh-CN"/>
              </w:rPr>
              <w:t>）</w:t>
            </w:r>
            <w:r>
              <w:rPr>
                <w:rFonts w:hint="eastAsia"/>
                <w:b/>
                <w:color w:val="auto"/>
                <w:sz w:val="24"/>
                <w:u w:val="single"/>
              </w:rPr>
              <w:t>固体废物环境管理要求</w:t>
            </w:r>
          </w:p>
          <w:p w14:paraId="72BE0868">
            <w:pPr>
              <w:spacing w:line="360" w:lineRule="auto"/>
              <w:ind w:firstLine="480" w:firstLineChars="200"/>
              <w:rPr>
                <w:rFonts w:hint="eastAsia"/>
                <w:bCs/>
                <w:color w:val="auto"/>
                <w:sz w:val="24"/>
                <w:u w:val="single"/>
              </w:rPr>
            </w:pPr>
            <w:r>
              <w:rPr>
                <w:rFonts w:hint="eastAsia"/>
                <w:bCs/>
                <w:color w:val="auto"/>
                <w:sz w:val="24"/>
                <w:u w:val="single"/>
              </w:rPr>
              <w:t>1）一般工业固废</w:t>
            </w:r>
          </w:p>
          <w:p w14:paraId="42F37BE5">
            <w:pPr>
              <w:spacing w:line="360" w:lineRule="auto"/>
              <w:ind w:firstLine="480" w:firstLineChars="200"/>
              <w:rPr>
                <w:rFonts w:hint="eastAsia"/>
                <w:bCs/>
                <w:color w:val="auto"/>
                <w:sz w:val="24"/>
                <w:u w:val="single"/>
              </w:rPr>
            </w:pPr>
            <w:r>
              <w:rPr>
                <w:rFonts w:hint="eastAsia"/>
                <w:bCs/>
                <w:color w:val="auto"/>
                <w:sz w:val="24"/>
                <w:u w:val="single"/>
              </w:rPr>
              <w:t>本项目边角料、不合格品于破碎车间内暂存后进行破碎，</w:t>
            </w:r>
            <w:r>
              <w:rPr>
                <w:bCs/>
                <w:color w:val="auto"/>
                <w:sz w:val="24"/>
                <w:u w:val="single"/>
              </w:rPr>
              <w:t>废包装材料</w:t>
            </w:r>
            <w:r>
              <w:rPr>
                <w:rFonts w:hint="eastAsia"/>
                <w:bCs/>
                <w:color w:val="auto"/>
                <w:sz w:val="24"/>
                <w:u w:val="single"/>
              </w:rPr>
              <w:t>、报废模具收集于厂区一般工业固废暂存间内，定期</w:t>
            </w:r>
            <w:r>
              <w:rPr>
                <w:bCs/>
                <w:color w:val="auto"/>
                <w:sz w:val="24"/>
                <w:u w:val="single"/>
                <w:lang w:val="zh-CN"/>
              </w:rPr>
              <w:t>交</w:t>
            </w:r>
            <w:r>
              <w:rPr>
                <w:bCs/>
                <w:color w:val="auto"/>
                <w:sz w:val="24"/>
                <w:u w:val="single"/>
              </w:rPr>
              <w:t>物资回</w:t>
            </w:r>
            <w:r>
              <w:rPr>
                <w:color w:val="auto"/>
                <w:u w:val="single"/>
              </w:rPr>
              <w:t>收部门</w:t>
            </w:r>
            <w:r>
              <w:rPr>
                <w:color w:val="auto"/>
                <w:szCs w:val="21"/>
                <w:u w:val="single"/>
                <w:lang w:val="zh-CN"/>
              </w:rPr>
              <w:t>回收或处置</w:t>
            </w:r>
            <w:r>
              <w:rPr>
                <w:rFonts w:hint="eastAsia"/>
                <w:bCs/>
                <w:color w:val="auto"/>
                <w:sz w:val="24"/>
                <w:u w:val="single"/>
              </w:rPr>
              <w:t>，一般工业固体废物贮存场所设置参考《一般工业固体废物贮存和填埋污染控制标准》（GB18599-2020）中的相关要求，尽可能设置于室内；为防止一般工业固体废物及其渗滤液的流失，地面需做好防渗硬化治理；为加强监督管理，贮存场所应按照《环境保护图形标志—固体废物贮存（处置场》（GB15562.2-1995）及修改单的要求设置环保图形标志。一般工业固废最终应由合法合规单位合理利用、处置。</w:t>
            </w:r>
          </w:p>
          <w:p w14:paraId="747C22E9">
            <w:pPr>
              <w:spacing w:line="360" w:lineRule="auto"/>
              <w:ind w:firstLine="480" w:firstLineChars="200"/>
              <w:rPr>
                <w:rFonts w:hint="eastAsia"/>
                <w:bCs/>
                <w:color w:val="auto"/>
                <w:sz w:val="24"/>
                <w:u w:val="single"/>
              </w:rPr>
            </w:pPr>
            <w:r>
              <w:rPr>
                <w:rFonts w:hint="eastAsia"/>
                <w:bCs/>
                <w:color w:val="auto"/>
                <w:sz w:val="24"/>
                <w:u w:val="single"/>
              </w:rPr>
              <w:t>2）危险废物</w:t>
            </w:r>
          </w:p>
          <w:p w14:paraId="3D1128E5">
            <w:pPr>
              <w:spacing w:line="360" w:lineRule="auto"/>
              <w:ind w:firstLine="480" w:firstLineChars="200"/>
              <w:rPr>
                <w:bCs/>
                <w:color w:val="FF0000"/>
                <w:sz w:val="24"/>
                <w:u w:val="single"/>
              </w:rPr>
            </w:pPr>
            <w:r>
              <w:rPr>
                <w:rFonts w:hint="eastAsia"/>
                <w:bCs/>
                <w:color w:val="FF0000"/>
                <w:sz w:val="24"/>
                <w:u w:val="single"/>
              </w:rPr>
              <w:t>①</w:t>
            </w:r>
            <w:r>
              <w:rPr>
                <w:bCs/>
                <w:color w:val="FF0000"/>
                <w:sz w:val="24"/>
                <w:u w:val="single"/>
              </w:rPr>
              <w:t>固体废物分类收集：根据《中华人民共和国固体废物污染环境防治法》要求，项目固体废物分类收集和处理，危险废物按照其组分及特性进行分类收集、设立台账并安全处理处置。</w:t>
            </w:r>
          </w:p>
          <w:p w14:paraId="6DFE4B2B">
            <w:pPr>
              <w:spacing w:line="360" w:lineRule="auto"/>
              <w:ind w:firstLine="480" w:firstLineChars="200"/>
              <w:rPr>
                <w:bCs/>
                <w:color w:val="FF0000"/>
                <w:sz w:val="24"/>
                <w:u w:val="single"/>
              </w:rPr>
            </w:pPr>
            <w:r>
              <w:rPr>
                <w:rFonts w:hint="eastAsia"/>
                <w:bCs/>
                <w:color w:val="FF0000"/>
                <w:sz w:val="24"/>
                <w:u w:val="single"/>
              </w:rPr>
              <w:t>②</w:t>
            </w:r>
            <w:r>
              <w:rPr>
                <w:bCs/>
                <w:color w:val="FF0000"/>
                <w:sz w:val="24"/>
                <w:u w:val="single"/>
              </w:rPr>
              <w:t>危险废物贮存设施：项目产生的各类危险废物均分类收集，并用相容容器盛装，危险废物不能及时外送时，暂存于车间内危废暂存区内，定期委托资质单位清运进行最终处置。</w:t>
            </w:r>
          </w:p>
          <w:p w14:paraId="7C4C712A">
            <w:pPr>
              <w:spacing w:line="360" w:lineRule="auto"/>
              <w:ind w:firstLine="480" w:firstLineChars="200"/>
              <w:rPr>
                <w:bCs/>
                <w:color w:val="FF0000"/>
                <w:sz w:val="24"/>
                <w:u w:val="single"/>
              </w:rPr>
            </w:pPr>
            <w:r>
              <w:rPr>
                <w:rFonts w:hint="eastAsia"/>
                <w:bCs/>
                <w:color w:val="FF0000"/>
                <w:sz w:val="24"/>
                <w:u w:val="single"/>
              </w:rPr>
              <w:t>③</w:t>
            </w:r>
            <w:r>
              <w:rPr>
                <w:bCs/>
                <w:color w:val="FF0000"/>
                <w:sz w:val="24"/>
                <w:u w:val="single"/>
              </w:rPr>
              <w:t>贮存容器要求：装载容器材质符合强度要求，完好无损，与危险废物相容。</w:t>
            </w:r>
          </w:p>
          <w:p w14:paraId="793F6747">
            <w:pPr>
              <w:spacing w:line="360" w:lineRule="auto"/>
              <w:ind w:firstLine="480" w:firstLineChars="200"/>
              <w:rPr>
                <w:bCs/>
                <w:color w:val="FF0000"/>
                <w:sz w:val="24"/>
                <w:u w:val="single"/>
              </w:rPr>
            </w:pPr>
            <w:r>
              <w:rPr>
                <w:rFonts w:hint="eastAsia"/>
                <w:bCs/>
                <w:color w:val="FF0000"/>
                <w:sz w:val="24"/>
                <w:u w:val="single"/>
              </w:rPr>
              <w:t>④</w:t>
            </w:r>
            <w:r>
              <w:rPr>
                <w:bCs/>
                <w:color w:val="FF0000"/>
                <w:sz w:val="24"/>
                <w:u w:val="single"/>
              </w:rPr>
              <w:t>选址与设计要求：地面与墙角要坚固、防渗的材料建造，建筑材料必须与危废相容；用以存放装载液体、半固态危险废物容器的地方，必须有耐腐蚀的硬化地面，且表面无裂痕。</w:t>
            </w:r>
          </w:p>
          <w:p w14:paraId="0BC3D0E9">
            <w:pPr>
              <w:spacing w:line="360" w:lineRule="auto"/>
              <w:ind w:firstLine="480" w:firstLineChars="200"/>
              <w:rPr>
                <w:bCs/>
                <w:color w:val="FF0000"/>
                <w:sz w:val="24"/>
                <w:u w:val="single"/>
              </w:rPr>
            </w:pPr>
            <w:r>
              <w:rPr>
                <w:rFonts w:hint="eastAsia"/>
                <w:bCs/>
                <w:color w:val="FF0000"/>
                <w:sz w:val="24"/>
                <w:u w:val="single"/>
              </w:rPr>
              <w:t>⑤</w:t>
            </w:r>
            <w:r>
              <w:rPr>
                <w:bCs/>
                <w:color w:val="FF0000"/>
                <w:sz w:val="24"/>
                <w:u w:val="single"/>
              </w:rPr>
              <w:t>运行管理要求：应由专人负责危险废物贮存设施的运行和管理，做好危废产生及贮存记录，并正确粘贴标签，定期对危废贮存设施进行检查。危险废物应实行贮存并建立管理台账，履行危险废物转移联单制度，危险废物存放点应设置专门标志。</w:t>
            </w:r>
          </w:p>
          <w:p w14:paraId="6B478FF1">
            <w:pPr>
              <w:spacing w:line="360" w:lineRule="auto"/>
              <w:ind w:firstLine="480" w:firstLineChars="200"/>
              <w:rPr>
                <w:rFonts w:hint="default"/>
                <w:bCs/>
                <w:color w:val="auto"/>
                <w:sz w:val="24"/>
                <w:u w:val="single"/>
                <w:lang w:val="en-US"/>
              </w:rPr>
            </w:pPr>
            <w:r>
              <w:rPr>
                <w:rFonts w:hint="eastAsia"/>
                <w:bCs/>
                <w:color w:val="FF0000"/>
                <w:sz w:val="24"/>
                <w:u w:val="single"/>
              </w:rPr>
              <w:t>⑥</w:t>
            </w:r>
            <w:r>
              <w:rPr>
                <w:bCs/>
                <w:color w:val="FF0000"/>
                <w:sz w:val="24"/>
                <w:u w:val="single"/>
              </w:rPr>
              <w:t>企业应按危险废物的相关管理要求做好危险废物的贮存工作，危废仓库按照《危险废物贮存污染控制标准》</w:t>
            </w:r>
            <w:r>
              <w:rPr>
                <w:rFonts w:hint="eastAsia"/>
                <w:bCs/>
                <w:color w:val="FF0000"/>
                <w:sz w:val="24"/>
                <w:u w:val="single"/>
              </w:rPr>
              <w:t>（</w:t>
            </w:r>
            <w:r>
              <w:rPr>
                <w:bCs/>
                <w:color w:val="FF0000"/>
                <w:sz w:val="24"/>
                <w:u w:val="single"/>
              </w:rPr>
              <w:t>GB1</w:t>
            </w:r>
            <w:r>
              <w:rPr>
                <w:rFonts w:ascii="Times New Roman" w:hAnsi="Times New Roman" w:eastAsia="宋体" w:cs="Times New Roman"/>
                <w:bCs/>
                <w:color w:val="FF0000"/>
                <w:sz w:val="24"/>
                <w:u w:val="single"/>
              </w:rPr>
              <w:t>8597-2023</w:t>
            </w:r>
            <w:r>
              <w:rPr>
                <w:rFonts w:hint="eastAsia" w:ascii="Times New Roman" w:hAnsi="Times New Roman" w:eastAsia="宋体" w:cs="Times New Roman"/>
                <w:bCs/>
                <w:color w:val="FF0000"/>
                <w:sz w:val="24"/>
                <w:u w:val="single"/>
              </w:rPr>
              <w:t>）</w:t>
            </w:r>
            <w:r>
              <w:rPr>
                <w:rFonts w:ascii="Times New Roman" w:hAnsi="Times New Roman" w:eastAsia="宋体" w:cs="Times New Roman"/>
                <w:bCs/>
                <w:color w:val="FF0000"/>
                <w:sz w:val="24"/>
                <w:u w:val="single"/>
              </w:rPr>
              <w:t>、《危险废物收集贮存运输技术规范》</w:t>
            </w:r>
            <w:r>
              <w:rPr>
                <w:rFonts w:hint="eastAsia"/>
                <w:bCs/>
                <w:color w:val="FF0000"/>
                <w:sz w:val="24"/>
                <w:u w:val="single"/>
              </w:rPr>
              <w:t>（</w:t>
            </w:r>
            <w:r>
              <w:rPr>
                <w:bCs/>
                <w:color w:val="FF0000"/>
                <w:sz w:val="24"/>
                <w:u w:val="single"/>
              </w:rPr>
              <w:t>HJ2025-2012</w:t>
            </w:r>
            <w:r>
              <w:rPr>
                <w:rFonts w:hint="eastAsia"/>
                <w:bCs/>
                <w:color w:val="FF0000"/>
                <w:sz w:val="24"/>
                <w:u w:val="single"/>
              </w:rPr>
              <w:t>）</w:t>
            </w:r>
            <w:r>
              <w:rPr>
                <w:bCs/>
                <w:color w:val="FF0000"/>
                <w:sz w:val="24"/>
                <w:u w:val="single"/>
              </w:rPr>
              <w:t>，严格落实各项环保措施，将</w:t>
            </w:r>
            <w:r>
              <w:rPr>
                <w:rFonts w:hint="eastAsia"/>
                <w:bCs/>
                <w:color w:val="FF0000"/>
                <w:sz w:val="24"/>
                <w:u w:val="single"/>
              </w:rPr>
              <w:t>危险废物</w:t>
            </w:r>
            <w:r>
              <w:rPr>
                <w:bCs/>
                <w:color w:val="FF0000"/>
                <w:sz w:val="24"/>
                <w:u w:val="single"/>
              </w:rPr>
              <w:t>委托具有资质的单位安全处理，并执行联单制度。</w:t>
            </w:r>
          </w:p>
          <w:p w14:paraId="5E2ABBD1">
            <w:pPr>
              <w:spacing w:line="360" w:lineRule="auto"/>
              <w:ind w:firstLine="480" w:firstLineChars="200"/>
              <w:rPr>
                <w:rFonts w:hint="eastAsia" w:ascii="Times New Roman" w:hAnsi="Times New Roman" w:eastAsia="宋体" w:cs="Times New Roman"/>
                <w:bCs/>
                <w:color w:val="auto"/>
                <w:sz w:val="24"/>
                <w:u w:val="single"/>
                <w:lang w:val="en-US" w:eastAsia="zh-CN"/>
              </w:rPr>
            </w:pPr>
            <w:r>
              <w:rPr>
                <w:rFonts w:hint="default" w:ascii="Times New Roman" w:hAnsi="Times New Roman" w:eastAsia="宋体" w:cs="Times New Roman"/>
                <w:bCs/>
                <w:color w:val="auto"/>
                <w:sz w:val="24"/>
                <w:u w:val="single"/>
                <w:lang w:val="en-US" w:eastAsia="zh-CN"/>
              </w:rPr>
              <w:t>综上所述，项目固体废物经采取相关的措施处理处置后，可以得到及时、妥善</w:t>
            </w:r>
            <w:r>
              <w:rPr>
                <w:rFonts w:hint="eastAsia" w:ascii="Times New Roman" w:hAnsi="Times New Roman" w:eastAsia="宋体" w:cs="Times New Roman"/>
                <w:bCs/>
                <w:color w:val="auto"/>
                <w:sz w:val="24"/>
                <w:u w:val="single"/>
                <w:lang w:val="en-US" w:eastAsia="zh-CN"/>
              </w:rPr>
              <w:t>地</w:t>
            </w:r>
            <w:r>
              <w:rPr>
                <w:rFonts w:hint="default" w:ascii="Times New Roman" w:hAnsi="Times New Roman" w:eastAsia="宋体" w:cs="Times New Roman"/>
                <w:bCs/>
                <w:color w:val="auto"/>
                <w:sz w:val="24"/>
                <w:u w:val="single"/>
                <w:lang w:val="en-US" w:eastAsia="zh-CN"/>
              </w:rPr>
              <w:t>处理和处置，对周围环境产生影响较小</w:t>
            </w:r>
            <w:r>
              <w:rPr>
                <w:rFonts w:hint="eastAsia" w:ascii="Times New Roman" w:hAnsi="Times New Roman" w:eastAsia="宋体" w:cs="Times New Roman"/>
                <w:bCs/>
                <w:color w:val="auto"/>
                <w:sz w:val="24"/>
                <w:u w:val="single"/>
                <w:lang w:val="en-US" w:eastAsia="zh-CN"/>
              </w:rPr>
              <w:t>。</w:t>
            </w:r>
          </w:p>
          <w:p w14:paraId="3FADBA7D">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color w:val="auto"/>
                <w:kern w:val="24"/>
                <w:sz w:val="24"/>
              </w:rPr>
            </w:pPr>
            <w:r>
              <w:rPr>
                <w:rFonts w:hint="eastAsia" w:ascii="Times New Roman" w:hAnsi="Times New Roman" w:cs="Times New Roman"/>
                <w:b/>
                <w:bCs/>
                <w:color w:val="auto"/>
                <w:kern w:val="24"/>
                <w:sz w:val="24"/>
                <w:lang w:val="en-US" w:eastAsia="zh-CN"/>
              </w:rPr>
              <w:t>5</w:t>
            </w:r>
            <w:r>
              <w:rPr>
                <w:rFonts w:hint="default" w:ascii="Times New Roman" w:hAnsi="Times New Roman" w:cs="Times New Roman"/>
                <w:b/>
                <w:bCs/>
                <w:color w:val="auto"/>
                <w:kern w:val="24"/>
                <w:sz w:val="24"/>
              </w:rPr>
              <w:t>、地下水、土壤环境影响分析和保护措施</w:t>
            </w:r>
          </w:p>
          <w:p w14:paraId="3383D28A">
            <w:pPr>
              <w:pStyle w:val="88"/>
              <w:spacing w:line="360" w:lineRule="auto"/>
              <w:ind w:firstLine="480"/>
              <w:rPr>
                <w:rFonts w:hint="default" w:ascii="Times New Roman" w:hAnsi="Times New Roman" w:cs="Times New Roman"/>
                <w:b/>
                <w:bCs/>
                <w:color w:val="auto"/>
                <w:kern w:val="24"/>
                <w:szCs w:val="24"/>
              </w:rPr>
            </w:pPr>
            <w:r>
              <w:rPr>
                <w:rFonts w:hint="default" w:ascii="Times New Roman" w:hAnsi="Times New Roman" w:eastAsia="宋体" w:cs="Times New Roman"/>
                <w:color w:val="auto"/>
                <w:sz w:val="24"/>
                <w:szCs w:val="24"/>
              </w:rPr>
              <w:t>结合现场及工艺分析调查，本项目场地地面硬化，</w:t>
            </w:r>
            <w:r>
              <w:rPr>
                <w:rFonts w:hint="eastAsia" w:ascii="Times New Roman" w:hAnsi="Times New Roman" w:eastAsia="宋体" w:cs="Times New Roman"/>
                <w:color w:val="auto"/>
                <w:sz w:val="24"/>
                <w:szCs w:val="24"/>
                <w:lang w:eastAsia="zh-CN"/>
              </w:rPr>
              <w:t>污水水质简单，不</w:t>
            </w:r>
            <w:r>
              <w:rPr>
                <w:rFonts w:hint="default" w:ascii="Times New Roman" w:hAnsi="Times New Roman" w:eastAsia="宋体" w:cs="Times New Roman"/>
                <w:color w:val="auto"/>
                <w:sz w:val="24"/>
                <w:szCs w:val="24"/>
              </w:rPr>
              <w:t>存在地下水、土壤环境污染途径，</w:t>
            </w:r>
            <w:r>
              <w:rPr>
                <w:rFonts w:hint="eastAsia" w:ascii="Times New Roman" w:hAnsi="Times New Roman" w:eastAsia="宋体" w:cs="Times New Roman"/>
                <w:color w:val="auto"/>
                <w:sz w:val="24"/>
                <w:szCs w:val="24"/>
                <w:lang w:val="en-US" w:eastAsia="zh-CN"/>
              </w:rPr>
              <w:t>不会对</w:t>
            </w:r>
            <w:r>
              <w:rPr>
                <w:rFonts w:hint="default" w:ascii="Times New Roman" w:hAnsi="Times New Roman" w:eastAsia="宋体" w:cs="Times New Roman"/>
                <w:color w:val="auto"/>
                <w:sz w:val="24"/>
                <w:szCs w:val="24"/>
              </w:rPr>
              <w:t>地下水、土壤造成影响。</w:t>
            </w:r>
          </w:p>
          <w:p w14:paraId="6A594A8D">
            <w:pPr>
              <w:pStyle w:val="112"/>
              <w:widowControl/>
              <w:ind w:firstLine="0" w:firstLineChars="0"/>
              <w:rPr>
                <w:rFonts w:hint="default" w:ascii="Times New Roman" w:hAnsi="Times New Roman" w:cs="Times New Roman"/>
                <w:b/>
                <w:color w:val="auto"/>
                <w:highlight w:val="none"/>
                <w:u w:val="none"/>
              </w:rPr>
            </w:pPr>
            <w:r>
              <w:rPr>
                <w:rFonts w:hint="eastAsia" w:cs="Times New Roman"/>
                <w:b/>
                <w:color w:val="auto"/>
                <w:lang w:val="en-US" w:eastAsia="zh-CN"/>
              </w:rPr>
              <w:t>6、</w:t>
            </w:r>
            <w:r>
              <w:rPr>
                <w:rFonts w:hint="default" w:ascii="Times New Roman" w:hAnsi="Times New Roman" w:cs="Times New Roman"/>
                <w:b/>
                <w:color w:val="auto"/>
                <w:highlight w:val="none"/>
                <w:u w:val="none"/>
              </w:rPr>
              <w:t>环境风险</w:t>
            </w:r>
          </w:p>
          <w:p w14:paraId="088CF9B0">
            <w:pPr>
              <w:pStyle w:val="88"/>
              <w:spacing w:line="360" w:lineRule="auto"/>
              <w:ind w:firstLine="48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环境风险</w:t>
            </w:r>
            <w:r>
              <w:rPr>
                <w:rFonts w:hint="eastAsia" w:ascii="Times New Roman" w:hAnsi="Times New Roman" w:eastAsia="宋体" w:cs="Times New Roman"/>
                <w:color w:val="auto"/>
                <w:sz w:val="24"/>
                <w:szCs w:val="24"/>
                <w:lang w:eastAsia="zh-CN"/>
              </w:rPr>
              <w:t>物质识别</w:t>
            </w:r>
          </w:p>
          <w:p w14:paraId="4CDBB9F0">
            <w:pPr>
              <w:adjustRightInd w:val="0"/>
              <w:snapToGrid w:val="0"/>
              <w:spacing w:line="360" w:lineRule="auto"/>
              <w:ind w:firstLine="480" w:firstLineChars="200"/>
              <w:rPr>
                <w:bCs/>
                <w:color w:val="auto"/>
                <w:sz w:val="24"/>
                <w:u w:val="single"/>
              </w:rPr>
            </w:pPr>
            <w:r>
              <w:rPr>
                <w:bCs/>
                <w:color w:val="auto"/>
                <w:sz w:val="24"/>
                <w:u w:val="single"/>
              </w:rPr>
              <w:t>根据《建设项目环境风险评价技术导则》（HJ/T169-2018）附录B中的风险物质及《危险化学品重大危险源辨识》（GB18218-2018）相关规定，</w:t>
            </w:r>
            <w:r>
              <w:rPr>
                <w:rFonts w:hint="eastAsia"/>
                <w:bCs/>
                <w:color w:val="auto"/>
                <w:sz w:val="24"/>
                <w:u w:val="single"/>
              </w:rPr>
              <w:t>项目涉及的危险物质为：润滑油、危险废物等，</w:t>
            </w:r>
            <w:r>
              <w:rPr>
                <w:bCs/>
                <w:color w:val="auto"/>
                <w:sz w:val="24"/>
                <w:u w:val="single"/>
              </w:rPr>
              <w:t>各危险物质的存在量及与其临界量比值具体见</w:t>
            </w:r>
            <w:r>
              <w:rPr>
                <w:rFonts w:hint="eastAsia"/>
                <w:bCs/>
                <w:color w:val="auto"/>
                <w:sz w:val="24"/>
                <w:u w:val="single"/>
              </w:rPr>
              <w:t>下表</w:t>
            </w:r>
            <w:r>
              <w:rPr>
                <w:bCs/>
                <w:color w:val="auto"/>
                <w:sz w:val="24"/>
                <w:u w:val="single"/>
              </w:rPr>
              <w:t>。</w:t>
            </w:r>
          </w:p>
          <w:p w14:paraId="6B36D0C7">
            <w:pPr>
              <w:autoSpaceDE w:val="0"/>
              <w:autoSpaceDN w:val="0"/>
              <w:jc w:val="center"/>
              <w:rPr>
                <w:b/>
                <w:bCs/>
                <w:color w:val="auto"/>
                <w:sz w:val="24"/>
                <w:u w:val="single"/>
              </w:rPr>
            </w:pPr>
            <w:r>
              <w:rPr>
                <w:b/>
                <w:bCs/>
                <w:color w:val="auto"/>
                <w:sz w:val="24"/>
                <w:u w:val="single"/>
              </w:rPr>
              <w:t>表4</w:t>
            </w:r>
            <w:r>
              <w:rPr>
                <w:rFonts w:hint="eastAsia"/>
                <w:b/>
                <w:bCs/>
                <w:color w:val="auto"/>
                <w:sz w:val="24"/>
                <w:u w:val="single"/>
              </w:rPr>
              <w:t>-1</w:t>
            </w:r>
            <w:r>
              <w:rPr>
                <w:rFonts w:hint="eastAsia"/>
                <w:b/>
                <w:bCs/>
                <w:color w:val="auto"/>
                <w:sz w:val="24"/>
                <w:u w:val="single"/>
                <w:lang w:val="en-US" w:eastAsia="zh-CN"/>
              </w:rPr>
              <w:t>8</w:t>
            </w:r>
            <w:r>
              <w:rPr>
                <w:rFonts w:hint="eastAsia"/>
                <w:b/>
                <w:bCs/>
                <w:color w:val="auto"/>
                <w:sz w:val="24"/>
                <w:u w:val="single"/>
              </w:rPr>
              <w:t xml:space="preserve">   </w:t>
            </w:r>
            <w:r>
              <w:rPr>
                <w:rFonts w:hint="eastAsia"/>
                <w:b/>
                <w:bCs/>
                <w:color w:val="auto"/>
                <w:sz w:val="24"/>
                <w:u w:val="single"/>
                <w:lang w:val="zh-CN"/>
              </w:rPr>
              <w:t>项目危险物质名称及临界量</w:t>
            </w:r>
          </w:p>
          <w:tbl>
            <w:tblPr>
              <w:tblStyle w:val="32"/>
              <w:tblW w:w="7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312"/>
              <w:gridCol w:w="1594"/>
              <w:gridCol w:w="1650"/>
              <w:gridCol w:w="1743"/>
            </w:tblGrid>
            <w:tr w14:paraId="6F0E7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noWrap w:val="0"/>
                  <w:vAlign w:val="center"/>
                </w:tcPr>
                <w:p w14:paraId="31E30CBA">
                  <w:pPr>
                    <w:jc w:val="center"/>
                    <w:rPr>
                      <w:color w:val="auto"/>
                      <w:u w:val="single"/>
                    </w:rPr>
                  </w:pPr>
                  <w:r>
                    <w:rPr>
                      <w:color w:val="auto"/>
                      <w:u w:val="single"/>
                    </w:rPr>
                    <w:t>物质名称</w:t>
                  </w:r>
                </w:p>
              </w:tc>
              <w:tc>
                <w:tcPr>
                  <w:tcW w:w="843" w:type="pct"/>
                  <w:noWrap w:val="0"/>
                  <w:vAlign w:val="center"/>
                </w:tcPr>
                <w:p w14:paraId="32125901">
                  <w:pPr>
                    <w:pStyle w:val="136"/>
                    <w:rPr>
                      <w:bCs/>
                      <w:color w:val="auto"/>
                      <w:u w:val="single"/>
                    </w:rPr>
                  </w:pPr>
                  <w:r>
                    <w:rPr>
                      <w:bCs/>
                      <w:color w:val="auto"/>
                      <w:u w:val="single"/>
                    </w:rPr>
                    <w:t>危险类别</w:t>
                  </w:r>
                </w:p>
              </w:tc>
              <w:tc>
                <w:tcPr>
                  <w:tcW w:w="1024" w:type="pct"/>
                  <w:noWrap w:val="0"/>
                  <w:vAlign w:val="center"/>
                </w:tcPr>
                <w:p w14:paraId="36F560BC">
                  <w:pPr>
                    <w:jc w:val="center"/>
                    <w:rPr>
                      <w:color w:val="auto"/>
                      <w:u w:val="single"/>
                    </w:rPr>
                  </w:pPr>
                  <w:r>
                    <w:rPr>
                      <w:color w:val="auto"/>
                      <w:u w:val="single"/>
                    </w:rPr>
                    <w:t>最大存储量</w:t>
                  </w:r>
                </w:p>
              </w:tc>
              <w:tc>
                <w:tcPr>
                  <w:tcW w:w="1060" w:type="pct"/>
                  <w:noWrap w:val="0"/>
                  <w:vAlign w:val="center"/>
                </w:tcPr>
                <w:p w14:paraId="2E26DCDE">
                  <w:pPr>
                    <w:jc w:val="center"/>
                    <w:rPr>
                      <w:color w:val="auto"/>
                      <w:u w:val="single"/>
                    </w:rPr>
                  </w:pPr>
                  <w:r>
                    <w:rPr>
                      <w:color w:val="auto"/>
                      <w:u w:val="single"/>
                    </w:rPr>
                    <w:t>临界量</w:t>
                  </w:r>
                </w:p>
              </w:tc>
              <w:tc>
                <w:tcPr>
                  <w:tcW w:w="1120" w:type="pct"/>
                  <w:noWrap w:val="0"/>
                  <w:vAlign w:val="center"/>
                </w:tcPr>
                <w:p w14:paraId="3626B8F5">
                  <w:pPr>
                    <w:jc w:val="center"/>
                    <w:rPr>
                      <w:color w:val="auto"/>
                      <w:u w:val="single"/>
                    </w:rPr>
                  </w:pPr>
                  <w:r>
                    <w:rPr>
                      <w:color w:val="auto"/>
                      <w:u w:val="single"/>
                    </w:rPr>
                    <w:t>qi/Qi</w:t>
                  </w:r>
                </w:p>
              </w:tc>
            </w:tr>
            <w:tr w14:paraId="3EF359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noWrap w:val="0"/>
                  <w:vAlign w:val="center"/>
                </w:tcPr>
                <w:p w14:paraId="7619398F">
                  <w:pPr>
                    <w:jc w:val="center"/>
                    <w:rPr>
                      <w:rFonts w:hint="eastAsia"/>
                      <w:color w:val="auto"/>
                      <w:u w:val="single"/>
                    </w:rPr>
                  </w:pPr>
                  <w:r>
                    <w:rPr>
                      <w:rFonts w:hint="eastAsia"/>
                      <w:color w:val="auto"/>
                      <w:u w:val="single"/>
                    </w:rPr>
                    <w:t>润滑油</w:t>
                  </w:r>
                </w:p>
              </w:tc>
              <w:tc>
                <w:tcPr>
                  <w:tcW w:w="843" w:type="pct"/>
                  <w:noWrap w:val="0"/>
                  <w:vAlign w:val="center"/>
                </w:tcPr>
                <w:p w14:paraId="6C96D625">
                  <w:pPr>
                    <w:pStyle w:val="136"/>
                    <w:rPr>
                      <w:color w:val="auto"/>
                      <w:u w:val="single"/>
                    </w:rPr>
                  </w:pPr>
                  <w:r>
                    <w:rPr>
                      <w:rFonts w:hint="eastAsia"/>
                      <w:color w:val="auto"/>
                      <w:u w:val="single"/>
                    </w:rPr>
                    <w:t>易燃</w:t>
                  </w:r>
                </w:p>
              </w:tc>
              <w:tc>
                <w:tcPr>
                  <w:tcW w:w="1024" w:type="pct"/>
                  <w:noWrap w:val="0"/>
                  <w:vAlign w:val="center"/>
                </w:tcPr>
                <w:p w14:paraId="74C97329">
                  <w:pPr>
                    <w:jc w:val="center"/>
                    <w:rPr>
                      <w:rFonts w:hint="eastAsia" w:eastAsia="宋体"/>
                      <w:color w:val="auto"/>
                      <w:u w:val="single"/>
                      <w:lang w:eastAsia="zh-CN"/>
                    </w:rPr>
                  </w:pPr>
                  <w:r>
                    <w:rPr>
                      <w:rFonts w:hint="eastAsia"/>
                      <w:color w:val="auto"/>
                      <w:u w:val="single"/>
                    </w:rPr>
                    <w:t>0.</w:t>
                  </w:r>
                  <w:r>
                    <w:rPr>
                      <w:rFonts w:hint="eastAsia"/>
                      <w:color w:val="auto"/>
                      <w:u w:val="single"/>
                      <w:lang w:val="en-US" w:eastAsia="zh-CN"/>
                    </w:rPr>
                    <w:t>5</w:t>
                  </w:r>
                </w:p>
              </w:tc>
              <w:tc>
                <w:tcPr>
                  <w:tcW w:w="1060" w:type="pct"/>
                  <w:noWrap w:val="0"/>
                  <w:vAlign w:val="center"/>
                </w:tcPr>
                <w:p w14:paraId="2057DFE4">
                  <w:pPr>
                    <w:jc w:val="center"/>
                    <w:rPr>
                      <w:color w:val="auto"/>
                      <w:u w:val="single"/>
                    </w:rPr>
                  </w:pPr>
                  <w:r>
                    <w:rPr>
                      <w:rFonts w:hint="eastAsia"/>
                      <w:color w:val="auto"/>
                      <w:u w:val="single"/>
                    </w:rPr>
                    <w:t>2500</w:t>
                  </w:r>
                </w:p>
              </w:tc>
              <w:tc>
                <w:tcPr>
                  <w:tcW w:w="1120" w:type="pct"/>
                  <w:noWrap w:val="0"/>
                  <w:vAlign w:val="center"/>
                </w:tcPr>
                <w:p w14:paraId="11E55A8F">
                  <w:pPr>
                    <w:jc w:val="center"/>
                    <w:rPr>
                      <w:rFonts w:hint="eastAsia" w:eastAsia="宋体"/>
                      <w:color w:val="auto"/>
                      <w:u w:val="single"/>
                      <w:lang w:eastAsia="zh-CN"/>
                    </w:rPr>
                  </w:pPr>
                  <w:r>
                    <w:rPr>
                      <w:rFonts w:hint="eastAsia"/>
                      <w:color w:val="auto"/>
                      <w:u w:val="single"/>
                    </w:rPr>
                    <w:t>0.000</w:t>
                  </w:r>
                  <w:r>
                    <w:rPr>
                      <w:rFonts w:hint="eastAsia"/>
                      <w:color w:val="auto"/>
                      <w:u w:val="single"/>
                      <w:lang w:val="en-US" w:eastAsia="zh-CN"/>
                    </w:rPr>
                    <w:t>2</w:t>
                  </w:r>
                </w:p>
              </w:tc>
            </w:tr>
            <w:tr w14:paraId="4B014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1" w:type="pct"/>
                  <w:noWrap w:val="0"/>
                  <w:vAlign w:val="center"/>
                </w:tcPr>
                <w:p w14:paraId="6A433617">
                  <w:pPr>
                    <w:jc w:val="center"/>
                    <w:rPr>
                      <w:color w:val="auto"/>
                      <w:u w:val="single"/>
                    </w:rPr>
                  </w:pPr>
                  <w:r>
                    <w:rPr>
                      <w:rFonts w:hint="eastAsia"/>
                      <w:color w:val="auto"/>
                      <w:u w:val="single"/>
                    </w:rPr>
                    <w:t>危险废物</w:t>
                  </w:r>
                </w:p>
              </w:tc>
              <w:tc>
                <w:tcPr>
                  <w:tcW w:w="843" w:type="pct"/>
                  <w:noWrap w:val="0"/>
                  <w:vAlign w:val="center"/>
                </w:tcPr>
                <w:p w14:paraId="0D9692B9">
                  <w:pPr>
                    <w:pStyle w:val="136"/>
                    <w:rPr>
                      <w:color w:val="auto"/>
                      <w:u w:val="single"/>
                    </w:rPr>
                  </w:pPr>
                  <w:r>
                    <w:rPr>
                      <w:rFonts w:hint="eastAsia"/>
                      <w:color w:val="auto"/>
                      <w:u w:val="single"/>
                    </w:rPr>
                    <w:t>毒性</w:t>
                  </w:r>
                </w:p>
              </w:tc>
              <w:tc>
                <w:tcPr>
                  <w:tcW w:w="1024" w:type="pct"/>
                  <w:noWrap w:val="0"/>
                  <w:vAlign w:val="center"/>
                </w:tcPr>
                <w:p w14:paraId="2D8B0BF7">
                  <w:pPr>
                    <w:jc w:val="center"/>
                    <w:rPr>
                      <w:rFonts w:hint="default" w:eastAsia="宋体"/>
                      <w:color w:val="auto"/>
                      <w:u w:val="single"/>
                      <w:lang w:val="en-US" w:eastAsia="zh-CN"/>
                    </w:rPr>
                  </w:pPr>
                  <w:r>
                    <w:rPr>
                      <w:rFonts w:hint="eastAsia"/>
                      <w:color w:val="auto"/>
                      <w:u w:val="single"/>
                      <w:lang w:val="en-US" w:eastAsia="zh-CN"/>
                    </w:rPr>
                    <w:t>1.2</w:t>
                  </w:r>
                </w:p>
              </w:tc>
              <w:tc>
                <w:tcPr>
                  <w:tcW w:w="1060" w:type="pct"/>
                  <w:noWrap w:val="0"/>
                  <w:vAlign w:val="center"/>
                </w:tcPr>
                <w:p w14:paraId="102C73DC">
                  <w:pPr>
                    <w:jc w:val="center"/>
                    <w:rPr>
                      <w:color w:val="auto"/>
                      <w:u w:val="single"/>
                    </w:rPr>
                  </w:pPr>
                  <w:r>
                    <w:rPr>
                      <w:rFonts w:hint="eastAsia"/>
                      <w:color w:val="auto"/>
                      <w:u w:val="single"/>
                    </w:rPr>
                    <w:t>50</w:t>
                  </w:r>
                </w:p>
              </w:tc>
              <w:tc>
                <w:tcPr>
                  <w:tcW w:w="1120" w:type="pct"/>
                  <w:noWrap w:val="0"/>
                  <w:vAlign w:val="center"/>
                </w:tcPr>
                <w:p w14:paraId="5BC42D83">
                  <w:pPr>
                    <w:jc w:val="center"/>
                    <w:rPr>
                      <w:rFonts w:hint="default" w:eastAsia="宋体"/>
                      <w:color w:val="auto"/>
                      <w:u w:val="single"/>
                      <w:lang w:val="en-US" w:eastAsia="zh-CN"/>
                    </w:rPr>
                  </w:pPr>
                  <w:r>
                    <w:rPr>
                      <w:rFonts w:hint="eastAsia"/>
                      <w:color w:val="auto"/>
                      <w:u w:val="single"/>
                      <w:lang w:val="en-US" w:eastAsia="zh-CN"/>
                    </w:rPr>
                    <w:t>0.024</w:t>
                  </w:r>
                </w:p>
              </w:tc>
            </w:tr>
            <w:tr w14:paraId="1FD231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79" w:type="pct"/>
                  <w:gridSpan w:val="4"/>
                  <w:noWrap w:val="0"/>
                  <w:vAlign w:val="center"/>
                </w:tcPr>
                <w:p w14:paraId="4995F866">
                  <w:pPr>
                    <w:jc w:val="center"/>
                    <w:rPr>
                      <w:color w:val="auto"/>
                      <w:u w:val="single"/>
                    </w:rPr>
                  </w:pPr>
                  <w:r>
                    <w:rPr>
                      <w:rFonts w:hint="eastAsia"/>
                      <w:color w:val="auto"/>
                      <w:u w:val="single"/>
                    </w:rPr>
                    <w:t>总计</w:t>
                  </w:r>
                </w:p>
              </w:tc>
              <w:tc>
                <w:tcPr>
                  <w:tcW w:w="1120" w:type="pct"/>
                  <w:noWrap w:val="0"/>
                  <w:vAlign w:val="center"/>
                </w:tcPr>
                <w:p w14:paraId="3D999908">
                  <w:pPr>
                    <w:jc w:val="center"/>
                    <w:rPr>
                      <w:rFonts w:hint="default" w:eastAsia="宋体"/>
                      <w:color w:val="auto"/>
                      <w:u w:val="single"/>
                      <w:lang w:val="en-US" w:eastAsia="zh-CN"/>
                    </w:rPr>
                  </w:pPr>
                  <w:r>
                    <w:rPr>
                      <w:rFonts w:hint="eastAsia"/>
                      <w:color w:val="auto"/>
                      <w:u w:val="single"/>
                      <w:shd w:val="clear"/>
                      <w:lang w:val="en-US" w:eastAsia="zh-CN"/>
                    </w:rPr>
                    <w:t>0.0242</w:t>
                  </w:r>
                </w:p>
              </w:tc>
            </w:tr>
          </w:tbl>
          <w:p w14:paraId="1E8FC931">
            <w:pPr>
              <w:pStyle w:val="112"/>
              <w:keepNext w:val="0"/>
              <w:keepLines w:val="0"/>
              <w:pageBreakBefore w:val="0"/>
              <w:widowControl/>
              <w:kinsoku/>
              <w:wordWrap/>
              <w:overflowPunct/>
              <w:topLinePunct w:val="0"/>
              <w:autoSpaceDE/>
              <w:autoSpaceDN/>
              <w:bidi w:val="0"/>
              <w:adjustRightInd/>
              <w:snapToGrid/>
              <w:spacing w:before="157" w:beforeLines="50"/>
              <w:ind w:firstLine="480"/>
              <w:textAlignment w:val="auto"/>
              <w:rPr>
                <w:rFonts w:hint="eastAsia" w:cs="Times New Roman"/>
                <w:bCs/>
                <w:color w:val="auto"/>
                <w:u w:val="single"/>
                <w:lang w:eastAsia="zh-CN"/>
              </w:rPr>
            </w:pPr>
            <w:r>
              <w:rPr>
                <w:bCs/>
                <w:color w:val="auto"/>
                <w:sz w:val="24"/>
                <w:u w:val="single"/>
              </w:rPr>
              <w:t>根据以上分析，本项目Q＜1。根据《建设项目环境风险评价技术导则》（HJ169-2018）附录C，当Q＜1时，可直接判断该项目环境风险潜势为I。因此，该项目环境风险潜势为I，只需要进行简单分析。</w:t>
            </w:r>
          </w:p>
          <w:p w14:paraId="4EBFFC46">
            <w:pPr>
              <w:spacing w:line="360" w:lineRule="auto"/>
              <w:ind w:firstLine="480" w:firstLineChars="200"/>
              <w:rPr>
                <w:color w:val="auto"/>
                <w:sz w:val="24"/>
                <w:u w:val="single"/>
              </w:rPr>
            </w:pPr>
            <w:r>
              <w:rPr>
                <w:color w:val="auto"/>
                <w:sz w:val="24"/>
                <w:u w:val="single"/>
              </w:rPr>
              <w:t>（</w:t>
            </w:r>
            <w:r>
              <w:rPr>
                <w:rFonts w:hint="eastAsia"/>
                <w:color w:val="auto"/>
                <w:sz w:val="24"/>
                <w:u w:val="single"/>
              </w:rPr>
              <w:t>2</w:t>
            </w:r>
            <w:r>
              <w:rPr>
                <w:color w:val="auto"/>
                <w:sz w:val="24"/>
                <w:u w:val="single"/>
              </w:rPr>
              <w:t>）环境风险分析</w:t>
            </w:r>
          </w:p>
          <w:p w14:paraId="6A70676B">
            <w:pPr>
              <w:pStyle w:val="112"/>
              <w:widowControl/>
              <w:ind w:firstLine="480"/>
              <w:rPr>
                <w:color w:val="auto"/>
                <w:sz w:val="24"/>
                <w:u w:val="single"/>
              </w:rPr>
            </w:pPr>
            <w:r>
              <w:rPr>
                <w:rFonts w:hint="eastAsia"/>
                <w:color w:val="auto"/>
                <w:sz w:val="24"/>
                <w:u w:val="single"/>
                <w:lang w:val="en-US" w:eastAsia="zh-CN"/>
              </w:rPr>
              <w:t>1）</w:t>
            </w:r>
            <w:r>
              <w:rPr>
                <w:color w:val="auto"/>
                <w:sz w:val="24"/>
                <w:u w:val="single"/>
              </w:rPr>
              <w:t>火灾事故影响分析</w:t>
            </w:r>
          </w:p>
          <w:p w14:paraId="4B335205">
            <w:pPr>
              <w:pStyle w:val="112"/>
              <w:widowControl/>
              <w:ind w:firstLine="480"/>
              <w:rPr>
                <w:color w:val="auto"/>
                <w:sz w:val="24"/>
                <w:u w:val="single"/>
              </w:rPr>
            </w:pPr>
            <w:r>
              <w:rPr>
                <w:color w:val="auto"/>
                <w:sz w:val="24"/>
                <w:u w:val="single"/>
              </w:rPr>
              <w:t>一旦发生火灾事故，有毒有害气体可通过热辐射、烟雾及冲击波等形式扩散至空气中</w:t>
            </w:r>
            <w:r>
              <w:rPr>
                <w:rFonts w:hint="eastAsia"/>
                <w:color w:val="auto"/>
                <w:sz w:val="24"/>
                <w:u w:val="single"/>
              </w:rPr>
              <w:t>；</w:t>
            </w:r>
            <w:r>
              <w:rPr>
                <w:color w:val="auto"/>
                <w:sz w:val="24"/>
                <w:u w:val="single"/>
              </w:rPr>
              <w:t>消防水将进入</w:t>
            </w:r>
            <w:r>
              <w:rPr>
                <w:rFonts w:hint="eastAsia"/>
                <w:color w:val="auto"/>
                <w:sz w:val="24"/>
                <w:u w:val="single"/>
              </w:rPr>
              <w:t>雨水收集系统，如消防水量过大将溢流至厂区外</w:t>
            </w:r>
            <w:r>
              <w:rPr>
                <w:color w:val="auto"/>
                <w:sz w:val="24"/>
                <w:u w:val="single"/>
              </w:rPr>
              <w:t>，会造成财产损失及水环境的污染。</w:t>
            </w:r>
          </w:p>
          <w:p w14:paraId="52AD35D0">
            <w:pPr>
              <w:adjustRightInd w:val="0"/>
              <w:snapToGrid w:val="0"/>
              <w:spacing w:line="360" w:lineRule="auto"/>
              <w:ind w:firstLine="480" w:firstLineChars="200"/>
              <w:rPr>
                <w:bCs/>
                <w:color w:val="auto"/>
                <w:sz w:val="24"/>
                <w:u w:val="single"/>
              </w:rPr>
            </w:pPr>
            <w:r>
              <w:rPr>
                <w:rFonts w:hint="eastAsia"/>
                <w:color w:val="auto"/>
                <w:sz w:val="24"/>
                <w:u w:val="single"/>
                <w:lang w:val="en-US" w:eastAsia="zh-CN"/>
              </w:rPr>
              <w:t>2）</w:t>
            </w:r>
            <w:r>
              <w:rPr>
                <w:bCs/>
                <w:color w:val="auto"/>
                <w:sz w:val="24"/>
                <w:u w:val="single"/>
              </w:rPr>
              <w:t>泄漏事故影响分析</w:t>
            </w:r>
          </w:p>
          <w:p w14:paraId="5F72A452">
            <w:pPr>
              <w:pStyle w:val="112"/>
              <w:widowControl/>
              <w:ind w:firstLine="480"/>
              <w:rPr>
                <w:rFonts w:hint="eastAsia" w:eastAsia="宋体"/>
                <w:color w:val="auto"/>
                <w:sz w:val="24"/>
                <w:u w:val="single"/>
                <w:lang w:val="en-US" w:eastAsia="zh-CN"/>
              </w:rPr>
            </w:pPr>
            <w:r>
              <w:rPr>
                <w:bCs/>
                <w:color w:val="auto"/>
                <w:sz w:val="24"/>
                <w:u w:val="single"/>
              </w:rPr>
              <w:t>本项目若管理操作不当或意外事故，如</w:t>
            </w:r>
            <w:r>
              <w:rPr>
                <w:rFonts w:hint="eastAsia"/>
                <w:bCs/>
                <w:color w:val="auto"/>
                <w:sz w:val="24"/>
                <w:u w:val="single"/>
              </w:rPr>
              <w:t>润滑油</w:t>
            </w:r>
            <w:r>
              <w:rPr>
                <w:bCs/>
                <w:color w:val="auto"/>
                <w:sz w:val="24"/>
                <w:u w:val="single"/>
              </w:rPr>
              <w:t>桶等发生泄漏，原料泄漏从而引起燃烧</w:t>
            </w:r>
            <w:r>
              <w:rPr>
                <w:rFonts w:hint="eastAsia"/>
                <w:bCs/>
                <w:color w:val="auto"/>
                <w:sz w:val="24"/>
                <w:u w:val="single"/>
              </w:rPr>
              <w:t>或污染土壤</w:t>
            </w:r>
            <w:r>
              <w:rPr>
                <w:bCs/>
                <w:color w:val="auto"/>
                <w:sz w:val="24"/>
                <w:u w:val="single"/>
              </w:rPr>
              <w:t>事故风险。这不仅会对周围环境产生较大的污染影响，甚至还要危及人身的生命安全。此外，储存、装卸过程可能造成的原料泄漏，除在大气中挥发而损耗外，其余部分会随着地面冲洗水进入</w:t>
            </w:r>
            <w:r>
              <w:rPr>
                <w:rFonts w:hint="eastAsia"/>
                <w:bCs/>
                <w:color w:val="auto"/>
                <w:sz w:val="24"/>
                <w:u w:val="single"/>
              </w:rPr>
              <w:t>雨水收集沟，如管理不善冲洗水有可能进入</w:t>
            </w:r>
            <w:r>
              <w:rPr>
                <w:rFonts w:hint="eastAsia"/>
                <w:bCs/>
                <w:color w:val="auto"/>
                <w:sz w:val="24"/>
                <w:u w:val="single"/>
                <w:lang w:val="en-US" w:eastAsia="zh-CN"/>
              </w:rPr>
              <w:t>附近地表水</w:t>
            </w:r>
            <w:r>
              <w:rPr>
                <w:bCs/>
                <w:color w:val="auto"/>
                <w:sz w:val="24"/>
                <w:u w:val="single"/>
              </w:rPr>
              <w:t>，从而造成地表水体污染。</w:t>
            </w:r>
          </w:p>
          <w:p w14:paraId="30F21533">
            <w:pPr>
              <w:adjustRightInd w:val="0"/>
              <w:snapToGrid w:val="0"/>
              <w:spacing w:line="360" w:lineRule="auto"/>
              <w:ind w:firstLine="480" w:firstLineChars="200"/>
              <w:rPr>
                <w:bCs/>
                <w:color w:val="auto"/>
                <w:sz w:val="24"/>
                <w:u w:val="single"/>
              </w:rPr>
            </w:pPr>
            <w:r>
              <w:rPr>
                <w:bCs/>
                <w:color w:val="auto"/>
                <w:sz w:val="24"/>
                <w:u w:val="single"/>
              </w:rPr>
              <w:t>（</w:t>
            </w:r>
            <w:r>
              <w:rPr>
                <w:rFonts w:hint="eastAsia"/>
                <w:bCs/>
                <w:color w:val="auto"/>
                <w:sz w:val="24"/>
                <w:u w:val="single"/>
              </w:rPr>
              <w:t>3</w:t>
            </w:r>
            <w:r>
              <w:rPr>
                <w:bCs/>
                <w:color w:val="auto"/>
                <w:sz w:val="24"/>
                <w:u w:val="single"/>
              </w:rPr>
              <w:t>）风险防范措施</w:t>
            </w:r>
          </w:p>
          <w:p w14:paraId="2F7F0BF4">
            <w:pPr>
              <w:adjustRightInd w:val="0"/>
              <w:snapToGrid w:val="0"/>
              <w:spacing w:line="360" w:lineRule="auto"/>
              <w:ind w:firstLine="480" w:firstLineChars="200"/>
              <w:rPr>
                <w:bCs/>
                <w:color w:val="auto"/>
                <w:sz w:val="24"/>
                <w:u w:val="single"/>
              </w:rPr>
            </w:pPr>
            <w:r>
              <w:rPr>
                <w:bCs/>
                <w:color w:val="auto"/>
                <w:sz w:val="24"/>
                <w:u w:val="single"/>
              </w:rPr>
              <w:t>①</w:t>
            </w:r>
            <w:r>
              <w:rPr>
                <w:rFonts w:hint="eastAsia"/>
                <w:bCs/>
                <w:color w:val="auto"/>
                <w:sz w:val="24"/>
                <w:u w:val="single"/>
              </w:rPr>
              <w:t>生产过程中保证</w:t>
            </w:r>
            <w:r>
              <w:rPr>
                <w:rFonts w:hint="eastAsia"/>
                <w:bCs/>
                <w:color w:val="auto"/>
                <w:sz w:val="24"/>
                <w:u w:val="single"/>
                <w:lang w:eastAsia="zh-CN"/>
              </w:rPr>
              <w:t>厂区</w:t>
            </w:r>
            <w:r>
              <w:rPr>
                <w:rFonts w:hint="eastAsia"/>
                <w:bCs/>
                <w:color w:val="auto"/>
                <w:sz w:val="24"/>
                <w:u w:val="single"/>
              </w:rPr>
              <w:t>消防疏散通道畅通，必须采取良好的通风系统。</w:t>
            </w:r>
          </w:p>
          <w:p w14:paraId="001008BD">
            <w:pPr>
              <w:adjustRightInd w:val="0"/>
              <w:snapToGrid w:val="0"/>
              <w:spacing w:line="360" w:lineRule="auto"/>
              <w:ind w:firstLine="480" w:firstLineChars="200"/>
              <w:rPr>
                <w:bCs/>
                <w:color w:val="auto"/>
                <w:sz w:val="24"/>
                <w:u w:val="single"/>
              </w:rPr>
            </w:pPr>
            <w:r>
              <w:rPr>
                <w:bCs/>
                <w:color w:val="auto"/>
                <w:sz w:val="24"/>
                <w:u w:val="single"/>
              </w:rPr>
              <w:t>②</w:t>
            </w:r>
            <w:r>
              <w:rPr>
                <w:rFonts w:hint="eastAsia"/>
                <w:bCs/>
                <w:color w:val="auto"/>
                <w:sz w:val="24"/>
                <w:u w:val="single"/>
              </w:rPr>
              <w:t>场区</w:t>
            </w:r>
            <w:r>
              <w:rPr>
                <w:bCs/>
                <w:color w:val="auto"/>
                <w:sz w:val="24"/>
                <w:u w:val="single"/>
              </w:rPr>
              <w:t>应按规范配置灭火器材和消防装备。</w:t>
            </w:r>
          </w:p>
          <w:p w14:paraId="3D35B977">
            <w:pPr>
              <w:adjustRightInd w:val="0"/>
              <w:snapToGrid w:val="0"/>
              <w:spacing w:line="360" w:lineRule="auto"/>
              <w:ind w:firstLine="480" w:firstLineChars="200"/>
              <w:rPr>
                <w:bCs/>
                <w:color w:val="auto"/>
                <w:sz w:val="24"/>
                <w:u w:val="single"/>
              </w:rPr>
            </w:pPr>
            <w:r>
              <w:rPr>
                <w:bCs/>
                <w:color w:val="auto"/>
                <w:sz w:val="24"/>
                <w:u w:val="single"/>
              </w:rPr>
              <w:t>③工作人员要熟练掌握操作技术和防火安全管理规定。</w:t>
            </w:r>
          </w:p>
          <w:p w14:paraId="42C87535">
            <w:pPr>
              <w:adjustRightInd w:val="0"/>
              <w:snapToGrid w:val="0"/>
              <w:spacing w:line="360" w:lineRule="auto"/>
              <w:ind w:firstLine="480" w:firstLineChars="200"/>
              <w:rPr>
                <w:bCs/>
                <w:color w:val="auto"/>
                <w:sz w:val="24"/>
                <w:u w:val="single"/>
              </w:rPr>
            </w:pPr>
            <w:r>
              <w:rPr>
                <w:bCs/>
                <w:color w:val="auto"/>
                <w:sz w:val="24"/>
                <w:u w:val="single"/>
              </w:rPr>
              <w:t>④</w:t>
            </w:r>
            <w:r>
              <w:rPr>
                <w:rFonts w:hint="eastAsia"/>
                <w:bCs/>
                <w:color w:val="auto"/>
                <w:sz w:val="24"/>
                <w:u w:val="single"/>
              </w:rPr>
              <w:t>加强消防废水管理，采用移动式抽水泵及时将消防废水抽至</w:t>
            </w:r>
            <w:r>
              <w:rPr>
                <w:rFonts w:hint="eastAsia"/>
                <w:bCs/>
                <w:color w:val="auto"/>
                <w:sz w:val="24"/>
                <w:u w:val="single"/>
                <w:lang w:val="en-US" w:eastAsia="zh-CN"/>
              </w:rPr>
              <w:t>园区</w:t>
            </w:r>
            <w:r>
              <w:rPr>
                <w:rFonts w:hint="eastAsia"/>
                <w:bCs/>
                <w:color w:val="auto"/>
                <w:sz w:val="24"/>
                <w:u w:val="single"/>
              </w:rPr>
              <w:t>沉淀池内处理，杜绝消防废水进入雨水管网。</w:t>
            </w:r>
          </w:p>
          <w:p w14:paraId="58B924EE">
            <w:pPr>
              <w:adjustRightInd w:val="0"/>
              <w:snapToGrid w:val="0"/>
              <w:spacing w:line="360" w:lineRule="auto"/>
              <w:ind w:firstLine="480" w:firstLineChars="200"/>
              <w:rPr>
                <w:bCs/>
                <w:color w:val="auto"/>
                <w:sz w:val="24"/>
                <w:u w:val="single"/>
              </w:rPr>
            </w:pPr>
            <w:r>
              <w:rPr>
                <w:bCs/>
                <w:color w:val="auto"/>
                <w:sz w:val="24"/>
                <w:u w:val="single"/>
              </w:rPr>
              <w:t>2）原辅材料泄漏防范措施</w:t>
            </w:r>
          </w:p>
          <w:p w14:paraId="182595D4">
            <w:pPr>
              <w:adjustRightInd w:val="0"/>
              <w:snapToGrid w:val="0"/>
              <w:spacing w:line="360" w:lineRule="auto"/>
              <w:ind w:firstLine="480" w:firstLineChars="200"/>
              <w:rPr>
                <w:bCs/>
                <w:color w:val="auto"/>
                <w:sz w:val="24"/>
                <w:u w:val="single"/>
              </w:rPr>
            </w:pPr>
            <w:r>
              <w:rPr>
                <w:bCs/>
                <w:color w:val="auto"/>
                <w:sz w:val="24"/>
                <w:u w:val="single"/>
              </w:rPr>
              <w:t>1）火灾风险防范措施</w:t>
            </w:r>
          </w:p>
          <w:p w14:paraId="13B0F684">
            <w:pPr>
              <w:adjustRightInd w:val="0"/>
              <w:snapToGrid w:val="0"/>
              <w:spacing w:line="360" w:lineRule="auto"/>
              <w:ind w:firstLine="480" w:firstLineChars="200"/>
              <w:rPr>
                <w:bCs/>
                <w:color w:val="auto"/>
                <w:sz w:val="24"/>
                <w:u w:val="single"/>
              </w:rPr>
            </w:pPr>
            <w:r>
              <w:rPr>
                <w:bCs/>
                <w:color w:val="auto"/>
                <w:sz w:val="24"/>
                <w:u w:val="single"/>
              </w:rPr>
              <w:t>①应按照相关要求规范对原辅材料的使用、贮存及管理过程，加强对员工的教育培训。</w:t>
            </w:r>
          </w:p>
          <w:p w14:paraId="2E7C831A">
            <w:pPr>
              <w:adjustRightInd w:val="0"/>
              <w:snapToGrid w:val="0"/>
              <w:spacing w:line="360" w:lineRule="auto"/>
              <w:ind w:firstLine="480" w:firstLineChars="200"/>
              <w:rPr>
                <w:bCs/>
                <w:color w:val="auto"/>
                <w:sz w:val="24"/>
                <w:u w:val="single"/>
              </w:rPr>
            </w:pPr>
            <w:r>
              <w:rPr>
                <w:bCs/>
                <w:color w:val="auto"/>
                <w:sz w:val="24"/>
                <w:u w:val="single"/>
              </w:rPr>
              <w:t>②危废暂存区应做好防腐防渗措施。在厂内存储地点必须远离动火点，且保证储存地点通风良好，现场设置明显、醒目的安全标志、禁令、警语和告示牌。</w:t>
            </w:r>
          </w:p>
          <w:p w14:paraId="0BD5A981">
            <w:pPr>
              <w:adjustRightInd w:val="0"/>
              <w:snapToGrid w:val="0"/>
              <w:spacing w:line="360" w:lineRule="auto"/>
              <w:ind w:firstLine="480" w:firstLineChars="200"/>
              <w:rPr>
                <w:bCs/>
                <w:color w:val="auto"/>
                <w:sz w:val="24"/>
                <w:u w:val="single"/>
              </w:rPr>
            </w:pPr>
            <w:r>
              <w:rPr>
                <w:bCs/>
                <w:color w:val="auto"/>
                <w:sz w:val="24"/>
                <w:u w:val="single"/>
              </w:rPr>
              <w:t>③</w:t>
            </w:r>
            <w:r>
              <w:rPr>
                <w:rFonts w:hint="eastAsia"/>
                <w:bCs/>
                <w:color w:val="auto"/>
                <w:sz w:val="24"/>
                <w:u w:val="single"/>
              </w:rPr>
              <w:t>危险废物</w:t>
            </w:r>
            <w:r>
              <w:rPr>
                <w:bCs/>
                <w:color w:val="auto"/>
                <w:sz w:val="24"/>
                <w:u w:val="single"/>
              </w:rPr>
              <w:t>等发生小量泄漏时，应采取措施修补容器，或转移破损桶内的物料、用沙土吸附。</w:t>
            </w:r>
          </w:p>
          <w:p w14:paraId="7CD1F587">
            <w:pPr>
              <w:adjustRightInd w:val="0"/>
              <w:snapToGrid w:val="0"/>
              <w:spacing w:line="360" w:lineRule="auto"/>
              <w:ind w:firstLine="480" w:firstLineChars="200"/>
              <w:rPr>
                <w:bCs/>
                <w:color w:val="auto"/>
                <w:sz w:val="24"/>
                <w:u w:val="single"/>
              </w:rPr>
            </w:pPr>
            <w:r>
              <w:rPr>
                <w:bCs/>
                <w:color w:val="auto"/>
                <w:sz w:val="24"/>
                <w:u w:val="single"/>
              </w:rPr>
              <w:t>④制定巡查制度，对有泄漏现象和迹象的部位及时采取处理措施。</w:t>
            </w:r>
          </w:p>
          <w:p w14:paraId="54362023">
            <w:pPr>
              <w:adjustRightInd w:val="0"/>
              <w:snapToGrid w:val="0"/>
              <w:spacing w:line="360" w:lineRule="auto"/>
              <w:ind w:firstLine="480" w:firstLineChars="200"/>
              <w:rPr>
                <w:bCs/>
                <w:color w:val="auto"/>
                <w:sz w:val="24"/>
                <w:u w:val="single"/>
              </w:rPr>
            </w:pPr>
            <w:r>
              <w:rPr>
                <w:bCs/>
                <w:color w:val="auto"/>
                <w:sz w:val="24"/>
                <w:u w:val="single"/>
              </w:rPr>
              <w:t>（</w:t>
            </w:r>
            <w:r>
              <w:rPr>
                <w:rFonts w:hint="eastAsia"/>
                <w:bCs/>
                <w:color w:val="auto"/>
                <w:sz w:val="24"/>
                <w:u w:val="single"/>
              </w:rPr>
              <w:t>4</w:t>
            </w:r>
            <w:r>
              <w:rPr>
                <w:bCs/>
                <w:color w:val="auto"/>
                <w:sz w:val="24"/>
                <w:u w:val="single"/>
              </w:rPr>
              <w:t>）环境风险应急管理</w:t>
            </w:r>
          </w:p>
          <w:p w14:paraId="2EE38132">
            <w:pPr>
              <w:adjustRightInd w:val="0"/>
              <w:snapToGrid w:val="0"/>
              <w:spacing w:line="360" w:lineRule="auto"/>
              <w:ind w:firstLine="480" w:firstLineChars="200"/>
              <w:rPr>
                <w:bCs/>
                <w:color w:val="auto"/>
                <w:sz w:val="24"/>
                <w:u w:val="single"/>
              </w:rPr>
            </w:pPr>
            <w:r>
              <w:rPr>
                <w:bCs/>
                <w:color w:val="auto"/>
                <w:sz w:val="24"/>
                <w:u w:val="single"/>
              </w:rPr>
              <w:t>①</w:t>
            </w:r>
            <w:r>
              <w:rPr>
                <w:rFonts w:hint="eastAsia"/>
                <w:bCs/>
                <w:color w:val="auto"/>
                <w:sz w:val="24"/>
                <w:u w:val="single"/>
                <w:lang w:eastAsia="zh-CN"/>
              </w:rPr>
              <w:t>制订</w:t>
            </w:r>
            <w:r>
              <w:rPr>
                <w:bCs/>
                <w:color w:val="auto"/>
                <w:sz w:val="24"/>
                <w:u w:val="single"/>
              </w:rPr>
              <w:t>设备检修计划，定期对设备设施进行检修；</w:t>
            </w:r>
          </w:p>
          <w:p w14:paraId="07799BF2">
            <w:pPr>
              <w:adjustRightInd w:val="0"/>
              <w:snapToGrid w:val="0"/>
              <w:spacing w:line="360" w:lineRule="auto"/>
              <w:ind w:firstLine="480" w:firstLineChars="200"/>
              <w:rPr>
                <w:bCs/>
                <w:color w:val="auto"/>
                <w:sz w:val="24"/>
                <w:u w:val="single"/>
              </w:rPr>
            </w:pPr>
            <w:r>
              <w:rPr>
                <w:bCs/>
                <w:color w:val="auto"/>
                <w:sz w:val="24"/>
                <w:u w:val="single"/>
              </w:rPr>
              <w:t>②建立定时巡检制度，发现问题及时处理；配备专人负责对</w:t>
            </w:r>
            <w:r>
              <w:rPr>
                <w:rFonts w:hint="eastAsia"/>
                <w:bCs/>
                <w:color w:val="auto"/>
                <w:sz w:val="24"/>
                <w:u w:val="single"/>
              </w:rPr>
              <w:t>场区</w:t>
            </w:r>
            <w:r>
              <w:rPr>
                <w:bCs/>
                <w:color w:val="auto"/>
                <w:sz w:val="24"/>
                <w:u w:val="single"/>
              </w:rPr>
              <w:t>及周围进行巡视；</w:t>
            </w:r>
          </w:p>
          <w:p w14:paraId="0D7300EC">
            <w:pPr>
              <w:adjustRightInd w:val="0"/>
              <w:snapToGrid w:val="0"/>
              <w:spacing w:line="360" w:lineRule="auto"/>
              <w:ind w:firstLine="480" w:firstLineChars="200"/>
              <w:rPr>
                <w:bCs/>
                <w:color w:val="auto"/>
                <w:sz w:val="24"/>
              </w:rPr>
            </w:pPr>
            <w:r>
              <w:rPr>
                <w:bCs/>
                <w:color w:val="auto"/>
                <w:sz w:val="24"/>
                <w:u w:val="single"/>
              </w:rPr>
              <w:t>③明确岗位责任，定期培训职工，提高安全生产和管理能力。</w:t>
            </w:r>
          </w:p>
          <w:p w14:paraId="25E6411B">
            <w:pPr>
              <w:pStyle w:val="88"/>
              <w:numPr>
                <w:ilvl w:val="0"/>
                <w:numId w:val="0"/>
              </w:numPr>
              <w:spacing w:line="360" w:lineRule="auto"/>
              <w:ind w:left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环境风险防范措施</w:t>
            </w:r>
          </w:p>
          <w:p w14:paraId="2435EF1F">
            <w:pPr>
              <w:pStyle w:val="112"/>
              <w:keepNext w:val="0"/>
              <w:keepLines w:val="0"/>
              <w:pageBreakBefore w:val="0"/>
              <w:widowControl/>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4"/>
                <w:szCs w:val="24"/>
                <w:u w:val="none"/>
              </w:rPr>
              <w:t>表4-</w:t>
            </w:r>
            <w:r>
              <w:rPr>
                <w:rFonts w:hint="eastAsia" w:cs="Times New Roman"/>
                <w:b/>
                <w:bCs/>
                <w:color w:val="auto"/>
                <w:sz w:val="24"/>
                <w:szCs w:val="24"/>
                <w:u w:val="none"/>
                <w:lang w:val="en-US" w:eastAsia="zh-CN"/>
              </w:rPr>
              <w:t>19</w:t>
            </w:r>
            <w:r>
              <w:rPr>
                <w:rFonts w:hint="default" w:ascii="Times New Roman" w:hAnsi="Times New Roman" w:cs="Times New Roman"/>
                <w:b/>
                <w:bCs/>
                <w:color w:val="auto"/>
                <w:sz w:val="24"/>
                <w:szCs w:val="24"/>
                <w:u w:val="none"/>
              </w:rPr>
              <w:t xml:space="preserve"> </w:t>
            </w:r>
            <w:r>
              <w:rPr>
                <w:rFonts w:hint="eastAsia" w:cs="Times New Roman"/>
                <w:b/>
                <w:bCs/>
                <w:color w:val="auto"/>
                <w:sz w:val="24"/>
                <w:szCs w:val="24"/>
                <w:u w:val="none"/>
                <w:lang w:val="en-US" w:eastAsia="zh-CN"/>
              </w:rPr>
              <w:t xml:space="preserve">  </w:t>
            </w:r>
            <w:r>
              <w:rPr>
                <w:rFonts w:hint="default" w:ascii="Times New Roman" w:hAnsi="Times New Roman" w:cs="Times New Roman"/>
                <w:b/>
                <w:bCs/>
                <w:color w:val="auto"/>
                <w:sz w:val="24"/>
                <w:szCs w:val="24"/>
                <w:u w:val="none"/>
              </w:rPr>
              <w:t>建设项目环境风险分析内容表</w:t>
            </w:r>
          </w:p>
          <w:tbl>
            <w:tblPr>
              <w:tblStyle w:val="33"/>
              <w:tblW w:w="7699"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6"/>
              <w:gridCol w:w="5393"/>
            </w:tblGrid>
            <w:tr w14:paraId="63CB4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6" w:type="dxa"/>
                  <w:tcBorders>
                    <w:tl2br w:val="nil"/>
                    <w:tr2bl w:val="nil"/>
                  </w:tcBorders>
                  <w:vAlign w:val="center"/>
                </w:tcPr>
                <w:p w14:paraId="6C93C460">
                  <w:pPr>
                    <w:pStyle w:val="11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u w:val="none"/>
                      <w:vertAlign w:val="baseline"/>
                      <w:lang w:eastAsia="zh-CN"/>
                    </w:rPr>
                  </w:pPr>
                  <w:r>
                    <w:rPr>
                      <w:rFonts w:hint="default" w:ascii="Times New Roman" w:hAnsi="Times New Roman" w:cs="Times New Roman" w:eastAsiaTheme="minorEastAsia"/>
                      <w:b w:val="0"/>
                      <w:bCs w:val="0"/>
                      <w:color w:val="auto"/>
                      <w:sz w:val="21"/>
                      <w:szCs w:val="21"/>
                      <w:u w:val="none"/>
                      <w:vertAlign w:val="baseline"/>
                      <w:lang w:eastAsia="zh-CN"/>
                    </w:rPr>
                    <w:t>建设项目名称</w:t>
                  </w:r>
                </w:p>
              </w:tc>
              <w:tc>
                <w:tcPr>
                  <w:tcW w:w="5393" w:type="dxa"/>
                  <w:tcBorders>
                    <w:tl2br w:val="nil"/>
                    <w:tr2bl w:val="nil"/>
                  </w:tcBorders>
                  <w:vAlign w:val="center"/>
                </w:tcPr>
                <w:p w14:paraId="77974002">
                  <w:pPr>
                    <w:pStyle w:val="1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u w:val="none"/>
                      <w:vertAlign w:val="baseline"/>
                      <w:lang w:eastAsia="zh-CN"/>
                    </w:rPr>
                  </w:pPr>
                  <w:r>
                    <w:rPr>
                      <w:rFonts w:hint="default" w:ascii="Times New Roman" w:hAnsi="Times New Roman" w:cs="Times New Roman" w:eastAsiaTheme="minorEastAsia"/>
                      <w:color w:val="auto"/>
                      <w:sz w:val="21"/>
                      <w:szCs w:val="21"/>
                      <w:u w:val="none"/>
                      <w:lang w:eastAsia="zh-CN"/>
                    </w:rPr>
                    <w:t>怀化崇实农业开发有限公司年产800吨中药材产地趁鲜加工及药食同源食品开发项目</w:t>
                  </w:r>
                </w:p>
              </w:tc>
            </w:tr>
            <w:tr w14:paraId="50CDC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6" w:type="dxa"/>
                  <w:tcBorders>
                    <w:tl2br w:val="nil"/>
                    <w:tr2bl w:val="nil"/>
                  </w:tcBorders>
                  <w:vAlign w:val="center"/>
                </w:tcPr>
                <w:p w14:paraId="285E6D92">
                  <w:pPr>
                    <w:pStyle w:val="11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u w:val="none"/>
                      <w:vertAlign w:val="baseline"/>
                      <w:lang w:eastAsia="zh-CN"/>
                    </w:rPr>
                  </w:pPr>
                  <w:r>
                    <w:rPr>
                      <w:rFonts w:hint="default" w:ascii="Times New Roman" w:hAnsi="Times New Roman" w:cs="Times New Roman" w:eastAsiaTheme="minorEastAsia"/>
                      <w:color w:val="auto"/>
                      <w:sz w:val="21"/>
                      <w:szCs w:val="21"/>
                      <w:u w:val="none"/>
                    </w:rPr>
                    <w:t>建设地点</w:t>
                  </w:r>
                </w:p>
              </w:tc>
              <w:tc>
                <w:tcPr>
                  <w:tcW w:w="5393" w:type="dxa"/>
                  <w:tcBorders>
                    <w:tl2br w:val="nil"/>
                    <w:tr2bl w:val="nil"/>
                  </w:tcBorders>
                  <w:vAlign w:val="center"/>
                </w:tcPr>
                <w:p w14:paraId="76C751C2">
                  <w:pPr>
                    <w:pStyle w:val="1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u w:val="none"/>
                      <w:vertAlign w:val="baseline"/>
                      <w:lang w:eastAsia="zh-CN"/>
                    </w:rPr>
                  </w:pPr>
                  <w:r>
                    <w:rPr>
                      <w:rFonts w:hint="default" w:ascii="Times New Roman" w:hAnsi="Times New Roman" w:cs="Times New Roman" w:eastAsiaTheme="minorEastAsia"/>
                      <w:color w:val="auto"/>
                      <w:sz w:val="21"/>
                      <w:szCs w:val="21"/>
                      <w:u w:val="none"/>
                    </w:rPr>
                    <w:t>怀化市溆浦县龙潭镇</w:t>
                  </w:r>
                  <w:r>
                    <w:rPr>
                      <w:rFonts w:hint="default" w:ascii="Times New Roman" w:hAnsi="Times New Roman" w:cs="Times New Roman" w:eastAsiaTheme="minorEastAsia"/>
                      <w:color w:val="auto"/>
                      <w:sz w:val="21"/>
                      <w:szCs w:val="21"/>
                      <w:lang w:eastAsia="zh-CN"/>
                    </w:rPr>
                    <w:t>岩板村</w:t>
                  </w:r>
                </w:p>
              </w:tc>
            </w:tr>
            <w:tr w14:paraId="081E6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6" w:type="dxa"/>
                  <w:tcBorders>
                    <w:tl2br w:val="nil"/>
                    <w:tr2bl w:val="nil"/>
                  </w:tcBorders>
                  <w:vAlign w:val="center"/>
                </w:tcPr>
                <w:p w14:paraId="26099604">
                  <w:pPr>
                    <w:pStyle w:val="11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u w:val="none"/>
                      <w:vertAlign w:val="baseline"/>
                      <w:lang w:eastAsia="zh-CN"/>
                    </w:rPr>
                  </w:pPr>
                  <w:r>
                    <w:rPr>
                      <w:rFonts w:hint="default" w:ascii="Times New Roman" w:hAnsi="Times New Roman" w:cs="Times New Roman" w:eastAsiaTheme="minorEastAsia"/>
                      <w:b w:val="0"/>
                      <w:bCs w:val="0"/>
                      <w:color w:val="auto"/>
                      <w:sz w:val="21"/>
                      <w:szCs w:val="21"/>
                      <w:u w:val="none"/>
                    </w:rPr>
                    <w:t>地理坐标</w:t>
                  </w:r>
                </w:p>
              </w:tc>
              <w:tc>
                <w:tcPr>
                  <w:tcW w:w="5393" w:type="dxa"/>
                  <w:tcBorders>
                    <w:tl2br w:val="nil"/>
                    <w:tr2bl w:val="nil"/>
                  </w:tcBorders>
                  <w:vAlign w:val="center"/>
                </w:tcPr>
                <w:p w14:paraId="591ACA5D">
                  <w:pPr>
                    <w:pStyle w:val="1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lang w:eastAsia="zh-CN"/>
                    </w:rPr>
                    <w:t>东经：</w:t>
                  </w:r>
                  <w:r>
                    <w:rPr>
                      <w:rFonts w:hint="default" w:ascii="Times New Roman" w:hAnsi="Times New Roman" w:cs="Times New Roman" w:eastAsiaTheme="minorEastAsia"/>
                      <w:color w:val="auto"/>
                      <w:sz w:val="21"/>
                      <w:szCs w:val="21"/>
                      <w:u w:val="none"/>
                    </w:rPr>
                    <w:t>110°31′</w:t>
                  </w:r>
                  <w:r>
                    <w:rPr>
                      <w:rFonts w:hint="eastAsia" w:ascii="Times New Roman" w:hAnsi="Times New Roman" w:cs="Times New Roman" w:eastAsiaTheme="minorEastAsia"/>
                      <w:color w:val="auto"/>
                      <w:sz w:val="21"/>
                      <w:szCs w:val="21"/>
                      <w:u w:val="none"/>
                      <w:lang w:val="en-US" w:eastAsia="zh-CN"/>
                    </w:rPr>
                    <w:t>54.526</w:t>
                  </w:r>
                  <w:r>
                    <w:rPr>
                      <w:rFonts w:hint="default" w:ascii="Times New Roman" w:hAnsi="Times New Roman" w:cs="Times New Roman" w:eastAsiaTheme="minorEastAsia"/>
                      <w:color w:val="auto"/>
                      <w:sz w:val="21"/>
                      <w:szCs w:val="21"/>
                      <w:u w:val="none"/>
                    </w:rPr>
                    <w:t>″，</w:t>
                  </w:r>
                  <w:r>
                    <w:rPr>
                      <w:rFonts w:hint="default" w:ascii="Times New Roman" w:hAnsi="Times New Roman" w:cs="Times New Roman" w:eastAsiaTheme="minorEastAsia"/>
                      <w:color w:val="auto"/>
                      <w:sz w:val="21"/>
                      <w:szCs w:val="21"/>
                      <w:u w:val="none"/>
                      <w:lang w:eastAsia="zh-CN"/>
                    </w:rPr>
                    <w:t>北纬</w:t>
                  </w:r>
                  <w:r>
                    <w:rPr>
                      <w:rFonts w:hint="default" w:ascii="Times New Roman" w:hAnsi="Times New Roman" w:cs="Times New Roman" w:eastAsiaTheme="minorEastAsia"/>
                      <w:color w:val="auto"/>
                      <w:sz w:val="21"/>
                      <w:szCs w:val="21"/>
                      <w:u w:val="none"/>
                    </w:rPr>
                    <w:t>27°24′</w:t>
                  </w:r>
                  <w:r>
                    <w:rPr>
                      <w:rFonts w:hint="eastAsia" w:ascii="Times New Roman" w:hAnsi="Times New Roman" w:cs="Times New Roman" w:eastAsiaTheme="minorEastAsia"/>
                      <w:color w:val="auto"/>
                      <w:sz w:val="21"/>
                      <w:szCs w:val="21"/>
                      <w:u w:val="none"/>
                      <w:lang w:val="en-US" w:eastAsia="zh-CN"/>
                    </w:rPr>
                    <w:t>46.147</w:t>
                  </w:r>
                  <w:r>
                    <w:rPr>
                      <w:rFonts w:hint="default" w:ascii="Times New Roman" w:hAnsi="Times New Roman" w:cs="Times New Roman" w:eastAsiaTheme="minorEastAsia"/>
                      <w:color w:val="auto"/>
                      <w:sz w:val="21"/>
                      <w:szCs w:val="21"/>
                      <w:u w:val="none"/>
                    </w:rPr>
                    <w:t>″</w:t>
                  </w:r>
                </w:p>
              </w:tc>
            </w:tr>
            <w:tr w14:paraId="6FAED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6" w:type="dxa"/>
                  <w:tcBorders>
                    <w:tl2br w:val="nil"/>
                    <w:tr2bl w:val="nil"/>
                  </w:tcBorders>
                  <w:vAlign w:val="center"/>
                </w:tcPr>
                <w:p w14:paraId="5F5E4C38">
                  <w:pPr>
                    <w:pStyle w:val="11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u w:val="none"/>
                      <w:vertAlign w:val="baseline"/>
                      <w:lang w:eastAsia="zh-CN"/>
                    </w:rPr>
                  </w:pPr>
                  <w:r>
                    <w:rPr>
                      <w:rFonts w:hint="default" w:ascii="Times New Roman" w:hAnsi="Times New Roman" w:cs="Times New Roman" w:eastAsiaTheme="minorEastAsia"/>
                      <w:b w:val="0"/>
                      <w:bCs w:val="0"/>
                      <w:color w:val="auto"/>
                      <w:sz w:val="21"/>
                      <w:szCs w:val="21"/>
                      <w:u w:val="none"/>
                    </w:rPr>
                    <w:t>主要危险物质分布</w:t>
                  </w:r>
                </w:p>
              </w:tc>
              <w:tc>
                <w:tcPr>
                  <w:tcW w:w="5393" w:type="dxa"/>
                  <w:tcBorders>
                    <w:tl2br w:val="nil"/>
                    <w:tr2bl w:val="nil"/>
                  </w:tcBorders>
                  <w:vAlign w:val="center"/>
                </w:tcPr>
                <w:p w14:paraId="728E2672">
                  <w:pPr>
                    <w:pStyle w:val="112"/>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lang w:eastAsia="zh-CN"/>
                    </w:rPr>
                    <w:t>无</w:t>
                  </w:r>
                </w:p>
              </w:tc>
            </w:tr>
            <w:tr w14:paraId="71F542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6" w:type="dxa"/>
                  <w:tcBorders>
                    <w:tl2br w:val="nil"/>
                    <w:tr2bl w:val="nil"/>
                  </w:tcBorders>
                  <w:vAlign w:val="center"/>
                </w:tcPr>
                <w:p w14:paraId="7B692354">
                  <w:pPr>
                    <w:pStyle w:val="11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u w:val="none"/>
                      <w:vertAlign w:val="baseline"/>
                      <w:lang w:eastAsia="zh-CN"/>
                    </w:rPr>
                  </w:pPr>
                  <w:r>
                    <w:rPr>
                      <w:rFonts w:hint="default" w:ascii="Times New Roman" w:hAnsi="Times New Roman" w:cs="Times New Roman" w:eastAsiaTheme="minorEastAsia"/>
                      <w:b w:val="0"/>
                      <w:bCs w:val="0"/>
                      <w:color w:val="auto"/>
                      <w:sz w:val="21"/>
                      <w:szCs w:val="21"/>
                      <w:u w:val="none"/>
                    </w:rPr>
                    <w:t>环境影响途径及危害后果</w:t>
                  </w:r>
                  <w:r>
                    <w:rPr>
                      <w:rFonts w:hint="default" w:ascii="Times New Roman" w:hAnsi="Times New Roman" w:cs="Times New Roman" w:eastAsiaTheme="minorEastAsia"/>
                      <w:b w:val="0"/>
                      <w:bCs w:val="0"/>
                      <w:color w:val="auto"/>
                      <w:sz w:val="21"/>
                      <w:szCs w:val="21"/>
                      <w:u w:val="none"/>
                      <w:lang w:eastAsia="zh-CN"/>
                    </w:rPr>
                    <w:t>（</w:t>
                  </w:r>
                  <w:r>
                    <w:rPr>
                      <w:rFonts w:hint="default" w:ascii="Times New Roman" w:hAnsi="Times New Roman" w:cs="Times New Roman" w:eastAsiaTheme="minorEastAsia"/>
                      <w:b w:val="0"/>
                      <w:bCs w:val="0"/>
                      <w:color w:val="auto"/>
                      <w:sz w:val="21"/>
                      <w:szCs w:val="21"/>
                      <w:u w:val="none"/>
                    </w:rPr>
                    <w:t>大气、地表水、地下水等</w:t>
                  </w:r>
                  <w:r>
                    <w:rPr>
                      <w:rFonts w:hint="default" w:ascii="Times New Roman" w:hAnsi="Times New Roman" w:cs="Times New Roman" w:eastAsiaTheme="minorEastAsia"/>
                      <w:b w:val="0"/>
                      <w:bCs w:val="0"/>
                      <w:color w:val="auto"/>
                      <w:sz w:val="21"/>
                      <w:szCs w:val="21"/>
                      <w:u w:val="none"/>
                      <w:lang w:eastAsia="zh-CN"/>
                    </w:rPr>
                    <w:t>）</w:t>
                  </w:r>
                </w:p>
              </w:tc>
              <w:tc>
                <w:tcPr>
                  <w:tcW w:w="5393" w:type="dxa"/>
                  <w:tcBorders>
                    <w:tl2br w:val="nil"/>
                    <w:tr2bl w:val="nil"/>
                  </w:tcBorders>
                  <w:vAlign w:val="top"/>
                </w:tcPr>
                <w:p w14:paraId="2B64D1E3">
                  <w:pPr>
                    <w:pStyle w:val="11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eastAsiaTheme="minorEastAsia"/>
                      <w:b/>
                      <w:bCs/>
                      <w:color w:val="auto"/>
                      <w:sz w:val="21"/>
                      <w:szCs w:val="21"/>
                      <w:u w:val="none"/>
                      <w:vertAlign w:val="baseline"/>
                      <w:lang w:eastAsia="zh-CN"/>
                    </w:rPr>
                  </w:pPr>
                  <w:r>
                    <w:rPr>
                      <w:rFonts w:hint="default" w:ascii="Times New Roman" w:hAnsi="Times New Roman" w:cs="Times New Roman" w:eastAsiaTheme="minorEastAsia"/>
                      <w:color w:val="auto"/>
                      <w:sz w:val="21"/>
                      <w:szCs w:val="21"/>
                      <w:u w:val="none"/>
                      <w:lang w:eastAsia="zh-CN"/>
                    </w:rPr>
                    <w:t>发生火灾产生的消防废水流到外环境会污染周边土壤及地表水</w:t>
                  </w:r>
                </w:p>
              </w:tc>
            </w:tr>
            <w:tr w14:paraId="5E742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6" w:type="dxa"/>
                  <w:tcBorders>
                    <w:tl2br w:val="nil"/>
                    <w:tr2bl w:val="nil"/>
                  </w:tcBorders>
                  <w:vAlign w:val="center"/>
                </w:tcPr>
                <w:p w14:paraId="164A177D">
                  <w:pPr>
                    <w:pStyle w:val="11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u w:val="none"/>
                      <w:vertAlign w:val="baseline"/>
                      <w:lang w:eastAsia="zh-CN"/>
                    </w:rPr>
                  </w:pPr>
                  <w:r>
                    <w:rPr>
                      <w:rFonts w:hint="default" w:ascii="Times New Roman" w:hAnsi="Times New Roman" w:cs="Times New Roman" w:eastAsiaTheme="minorEastAsia"/>
                      <w:color w:val="auto"/>
                      <w:sz w:val="21"/>
                      <w:szCs w:val="21"/>
                      <w:u w:val="none"/>
                    </w:rPr>
                    <w:t>风险防范措施要求</w:t>
                  </w:r>
                </w:p>
              </w:tc>
              <w:tc>
                <w:tcPr>
                  <w:tcW w:w="5393" w:type="dxa"/>
                  <w:tcBorders>
                    <w:tl2br w:val="nil"/>
                    <w:tr2bl w:val="nil"/>
                  </w:tcBorders>
                  <w:vAlign w:val="top"/>
                </w:tcPr>
                <w:p w14:paraId="0CCCE5AC">
                  <w:pPr>
                    <w:spacing w:line="240" w:lineRule="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b w:val="0"/>
                      <w:bCs w:val="0"/>
                      <w:color w:val="auto"/>
                      <w:sz w:val="21"/>
                      <w:szCs w:val="21"/>
                      <w:u w:val="none"/>
                      <w:vertAlign w:val="baseline"/>
                      <w:lang w:eastAsia="zh-CN"/>
                    </w:rPr>
                    <w:t>①注意用火安全，进入原料堆场等场所时禁止使用明火</w:t>
                  </w:r>
                  <w:r>
                    <w:rPr>
                      <w:rFonts w:hint="default" w:ascii="Times New Roman" w:hAnsi="Times New Roman" w:cs="Times New Roman" w:eastAsiaTheme="minorEastAsia"/>
                      <w:color w:val="auto"/>
                      <w:sz w:val="21"/>
                      <w:szCs w:val="21"/>
                      <w:u w:val="none"/>
                    </w:rPr>
                    <w:t>。</w:t>
                  </w:r>
                </w:p>
                <w:p w14:paraId="180F45B9">
                  <w:pPr>
                    <w:spacing w:line="240" w:lineRule="auto"/>
                    <w:rPr>
                      <w:rFonts w:hint="default" w:ascii="Times New Roman" w:hAnsi="Times New Roman" w:cs="Times New Roman" w:eastAsiaTheme="minorEastAsia"/>
                      <w:b/>
                      <w:bCs/>
                      <w:color w:val="auto"/>
                      <w:sz w:val="21"/>
                      <w:szCs w:val="21"/>
                      <w:u w:val="none"/>
                      <w:vertAlign w:val="baseline"/>
                      <w:lang w:eastAsia="zh-CN"/>
                    </w:rPr>
                  </w:pPr>
                  <w:r>
                    <w:rPr>
                      <w:rFonts w:hint="default" w:ascii="Times New Roman" w:hAnsi="Times New Roman" w:cs="Times New Roman" w:eastAsiaTheme="minorEastAsia"/>
                      <w:color w:val="auto"/>
                      <w:sz w:val="21"/>
                      <w:szCs w:val="21"/>
                      <w:u w:val="none"/>
                      <w:lang w:val="en-US" w:eastAsia="zh-CN"/>
                    </w:rPr>
                    <w:t>②定期检查电路，及时更换老旧电器设备及电路</w:t>
                  </w:r>
                  <w:r>
                    <w:rPr>
                      <w:rFonts w:hint="default" w:ascii="Times New Roman" w:hAnsi="Times New Roman" w:cs="Times New Roman" w:eastAsiaTheme="minorEastAsia"/>
                      <w:color w:val="auto"/>
                      <w:sz w:val="21"/>
                      <w:szCs w:val="21"/>
                      <w:u w:val="none"/>
                    </w:rPr>
                    <w:t>。</w:t>
                  </w:r>
                </w:p>
              </w:tc>
            </w:tr>
            <w:tr w14:paraId="7C790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06" w:type="dxa"/>
                  <w:tcBorders>
                    <w:tl2br w:val="nil"/>
                    <w:tr2bl w:val="nil"/>
                  </w:tcBorders>
                  <w:vAlign w:val="center"/>
                </w:tcPr>
                <w:p w14:paraId="5A36C7C5">
                  <w:pPr>
                    <w:pStyle w:val="11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u w:val="none"/>
                      <w:vertAlign w:val="baseline"/>
                      <w:lang w:eastAsia="zh-CN"/>
                    </w:rPr>
                  </w:pPr>
                  <w:r>
                    <w:rPr>
                      <w:rFonts w:hint="default" w:ascii="Times New Roman" w:hAnsi="Times New Roman" w:cs="Times New Roman" w:eastAsiaTheme="minorEastAsia"/>
                      <w:color w:val="auto"/>
                      <w:sz w:val="21"/>
                      <w:szCs w:val="21"/>
                      <w:u w:val="none"/>
                    </w:rPr>
                    <w:t>填表说明</w:t>
                  </w:r>
                  <w:r>
                    <w:rPr>
                      <w:rFonts w:hint="default" w:ascii="Times New Roman" w:hAnsi="Times New Roman" w:cs="Times New Roman" w:eastAsiaTheme="minorEastAsia"/>
                      <w:color w:val="auto"/>
                      <w:sz w:val="21"/>
                      <w:szCs w:val="21"/>
                      <w:u w:val="none"/>
                      <w:lang w:eastAsia="zh-CN"/>
                    </w:rPr>
                    <w:t>（</w:t>
                  </w:r>
                  <w:r>
                    <w:rPr>
                      <w:rFonts w:hint="default" w:ascii="Times New Roman" w:hAnsi="Times New Roman" w:cs="Times New Roman" w:eastAsiaTheme="minorEastAsia"/>
                      <w:color w:val="auto"/>
                      <w:sz w:val="21"/>
                      <w:szCs w:val="21"/>
                      <w:u w:val="none"/>
                    </w:rPr>
                    <w:t>列出本项目相关信息及评价说明</w:t>
                  </w:r>
                  <w:r>
                    <w:rPr>
                      <w:rFonts w:hint="default" w:ascii="Times New Roman" w:hAnsi="Times New Roman" w:cs="Times New Roman" w:eastAsiaTheme="minorEastAsia"/>
                      <w:color w:val="auto"/>
                      <w:sz w:val="21"/>
                      <w:szCs w:val="21"/>
                      <w:u w:val="none"/>
                      <w:lang w:eastAsia="zh-CN"/>
                    </w:rPr>
                    <w:t>）</w:t>
                  </w:r>
                </w:p>
              </w:tc>
              <w:tc>
                <w:tcPr>
                  <w:tcW w:w="5393" w:type="dxa"/>
                  <w:tcBorders>
                    <w:tl2br w:val="nil"/>
                    <w:tr2bl w:val="nil"/>
                  </w:tcBorders>
                  <w:vAlign w:val="top"/>
                </w:tcPr>
                <w:p w14:paraId="0D4DCEB7">
                  <w:pPr>
                    <w:pStyle w:val="112"/>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eastAsiaTheme="minorEastAsia"/>
                      <w:b/>
                      <w:bCs/>
                      <w:color w:val="auto"/>
                      <w:sz w:val="21"/>
                      <w:szCs w:val="21"/>
                      <w:u w:val="none"/>
                      <w:vertAlign w:val="baseline"/>
                      <w:lang w:eastAsia="zh-CN"/>
                    </w:rPr>
                  </w:pPr>
                  <w:r>
                    <w:rPr>
                      <w:rFonts w:hint="default" w:ascii="Times New Roman" w:hAnsi="Times New Roman" w:cs="Times New Roman" w:eastAsiaTheme="minorEastAsia"/>
                      <w:color w:val="auto"/>
                      <w:sz w:val="21"/>
                      <w:szCs w:val="21"/>
                      <w:u w:val="none"/>
                    </w:rPr>
                    <w:t>通过采取相应的风险防范措施，项目的环境风险可控。一旦发生事故，采取合理的事故应急处理措施，将事故影响降到最低限度。</w:t>
                  </w:r>
                </w:p>
              </w:tc>
            </w:tr>
          </w:tbl>
          <w:p w14:paraId="615709E7">
            <w:pPr>
              <w:pStyle w:val="112"/>
              <w:keepNext w:val="0"/>
              <w:keepLines w:val="0"/>
              <w:pageBreakBefore w:val="0"/>
              <w:widowControl/>
              <w:kinsoku/>
              <w:wordWrap/>
              <w:overflowPunct/>
              <w:topLinePunct w:val="0"/>
              <w:autoSpaceDE/>
              <w:autoSpaceDN/>
              <w:bidi w:val="0"/>
              <w:adjustRightInd/>
              <w:snapToGrid/>
              <w:spacing w:before="157" w:beforeLines="50"/>
              <w:ind w:firstLine="0" w:firstLineChars="0"/>
              <w:textAlignment w:val="auto"/>
              <w:rPr>
                <w:rFonts w:hint="default" w:ascii="Times New Roman" w:hAnsi="Times New Roman" w:cs="Times New Roman"/>
                <w:b/>
                <w:bCs/>
                <w:color w:val="auto"/>
                <w:kern w:val="44"/>
                <w:highlight w:val="yellow"/>
              </w:rPr>
            </w:pPr>
            <w:r>
              <w:rPr>
                <w:rFonts w:hint="eastAsia" w:cs="Times New Roman"/>
                <w:b/>
                <w:bCs w:val="0"/>
                <w:color w:val="auto"/>
                <w:lang w:val="en-US" w:eastAsia="zh-CN"/>
              </w:rPr>
              <w:t>7</w:t>
            </w:r>
            <w:r>
              <w:rPr>
                <w:rFonts w:hint="default" w:ascii="Times New Roman" w:hAnsi="Times New Roman" w:cs="Times New Roman"/>
                <w:b/>
                <w:color w:val="auto"/>
              </w:rPr>
              <w:t>、环保投资估算一览表</w:t>
            </w:r>
          </w:p>
          <w:p w14:paraId="5AC18406">
            <w:pPr>
              <w:pStyle w:val="47"/>
              <w:adjustRightInd/>
              <w:spacing w:line="360" w:lineRule="auto"/>
              <w:ind w:firstLine="480" w:firstLineChars="200"/>
              <w:rPr>
                <w:rFonts w:hint="default" w:ascii="Times New Roman" w:hAnsi="Times New Roman" w:cs="Times New Roman"/>
                <w:color w:val="auto"/>
                <w:kern w:val="44"/>
                <w:u w:val="none"/>
              </w:rPr>
            </w:pPr>
            <w:r>
              <w:rPr>
                <w:rFonts w:hint="eastAsia" w:ascii="Times New Roman" w:hAnsi="Times New Roman" w:cs="Times New Roman"/>
                <w:color w:val="auto"/>
                <w:kern w:val="44"/>
                <w:u w:val="none"/>
                <w:lang w:val="en-US" w:eastAsia="zh-CN"/>
              </w:rPr>
              <w:t>项目</w:t>
            </w:r>
            <w:r>
              <w:rPr>
                <w:rFonts w:hint="default" w:ascii="Times New Roman" w:hAnsi="Times New Roman" w:cs="Times New Roman"/>
                <w:color w:val="auto"/>
                <w:kern w:val="44"/>
                <w:u w:val="none"/>
              </w:rPr>
              <w:t>总投资为</w:t>
            </w:r>
            <w:r>
              <w:rPr>
                <w:rFonts w:hint="default" w:ascii="Times New Roman" w:hAnsi="Times New Roman" w:cs="Times New Roman"/>
                <w:color w:val="auto"/>
                <w:kern w:val="44"/>
                <w:u w:val="none"/>
                <w:lang w:val="en-US"/>
              </w:rPr>
              <w:t>2</w:t>
            </w:r>
            <w:r>
              <w:rPr>
                <w:rFonts w:hint="eastAsia" w:ascii="Times New Roman" w:hAnsi="Times New Roman" w:cs="Times New Roman"/>
                <w:color w:val="auto"/>
                <w:kern w:val="44"/>
                <w:u w:val="none"/>
                <w:lang w:val="en-US" w:eastAsia="zh-CN"/>
              </w:rPr>
              <w:t>000万元</w:t>
            </w:r>
            <w:r>
              <w:rPr>
                <w:rFonts w:hint="default" w:ascii="Times New Roman" w:hAnsi="Times New Roman" w:cs="Times New Roman"/>
                <w:color w:val="auto"/>
                <w:kern w:val="44"/>
                <w:u w:val="none"/>
              </w:rPr>
              <w:t>，</w:t>
            </w:r>
            <w:r>
              <w:rPr>
                <w:rFonts w:hint="default" w:ascii="Times New Roman" w:hAnsi="Times New Roman" w:cs="Times New Roman"/>
                <w:color w:val="auto"/>
                <w:kern w:val="44"/>
                <w:u w:val="none"/>
                <w:lang w:eastAsia="zh-CN"/>
              </w:rPr>
              <w:t>环保投资</w:t>
            </w:r>
            <w:r>
              <w:rPr>
                <w:rFonts w:hint="eastAsia" w:ascii="Times New Roman" w:hAnsi="Times New Roman" w:cs="Times New Roman"/>
                <w:color w:val="auto"/>
                <w:kern w:val="44"/>
                <w:u w:val="none"/>
                <w:lang w:val="en-US" w:eastAsia="zh-CN"/>
              </w:rPr>
              <w:t>20</w:t>
            </w:r>
            <w:r>
              <w:rPr>
                <w:rFonts w:hint="default" w:ascii="Times New Roman" w:hAnsi="Times New Roman" w:cs="Times New Roman"/>
                <w:color w:val="auto"/>
                <w:kern w:val="44"/>
                <w:u w:val="none"/>
                <w:lang w:val="en-US" w:eastAsia="zh-CN"/>
              </w:rPr>
              <w:t>万元，</w:t>
            </w:r>
            <w:r>
              <w:rPr>
                <w:rFonts w:hint="default" w:ascii="Times New Roman" w:hAnsi="Times New Roman" w:cs="Times New Roman"/>
                <w:color w:val="auto"/>
                <w:kern w:val="44"/>
                <w:u w:val="none"/>
              </w:rPr>
              <w:t>占总投资的</w:t>
            </w:r>
            <w:r>
              <w:rPr>
                <w:rFonts w:hint="eastAsia" w:ascii="Times New Roman" w:hAnsi="Times New Roman" w:cs="Times New Roman"/>
                <w:color w:val="auto"/>
                <w:kern w:val="44"/>
                <w:u w:val="none"/>
                <w:lang w:val="en-US" w:eastAsia="zh-CN"/>
              </w:rPr>
              <w:t>1</w:t>
            </w:r>
            <w:r>
              <w:rPr>
                <w:rFonts w:hint="default" w:ascii="Times New Roman" w:hAnsi="Times New Roman" w:cs="Times New Roman"/>
                <w:color w:val="auto"/>
                <w:kern w:val="44"/>
                <w:u w:val="none"/>
              </w:rPr>
              <w:t>%，</w:t>
            </w:r>
            <w:r>
              <w:rPr>
                <w:rFonts w:hint="default" w:ascii="Times New Roman" w:hAnsi="Times New Roman" w:cs="Times New Roman"/>
                <w:color w:val="auto"/>
                <w:kern w:val="44"/>
                <w:u w:val="none"/>
                <w:lang w:val="en-US"/>
              </w:rPr>
              <w:t>详见下表</w:t>
            </w:r>
            <w:r>
              <w:rPr>
                <w:rFonts w:hint="default" w:ascii="Times New Roman" w:hAnsi="Times New Roman" w:cs="Times New Roman"/>
                <w:color w:val="auto"/>
                <w:kern w:val="44"/>
                <w:u w:val="none"/>
              </w:rPr>
              <w:t>。</w:t>
            </w:r>
          </w:p>
          <w:p w14:paraId="4FDE77EE">
            <w:pPr>
              <w:snapToGrid w:val="0"/>
              <w:ind w:firstLine="482" w:firstLineChars="200"/>
              <w:jc w:val="right"/>
              <w:rPr>
                <w:rFonts w:hint="default" w:ascii="Times New Roman" w:hAnsi="Times New Roman" w:eastAsia="宋体" w:cs="Times New Roman"/>
                <w:b/>
                <w:bCs/>
                <w:color w:val="auto"/>
                <w:sz w:val="24"/>
                <w:szCs w:val="24"/>
                <w:u w:val="none"/>
                <w:lang w:val="en-US" w:eastAsia="zh-CN"/>
              </w:rPr>
            </w:pPr>
            <w:r>
              <w:rPr>
                <w:rFonts w:hint="default" w:ascii="Times New Roman" w:hAnsi="Times New Roman" w:cs="Times New Roman"/>
                <w:b/>
                <w:bCs/>
                <w:color w:val="auto"/>
                <w:sz w:val="24"/>
                <w:szCs w:val="24"/>
                <w:u w:val="none"/>
              </w:rPr>
              <w:t>表4-</w:t>
            </w:r>
            <w:r>
              <w:rPr>
                <w:rFonts w:hint="eastAsia" w:cs="Times New Roman"/>
                <w:b/>
                <w:bCs/>
                <w:color w:val="auto"/>
                <w:sz w:val="24"/>
                <w:szCs w:val="24"/>
                <w:u w:val="none"/>
                <w:lang w:val="en-US" w:eastAsia="zh-CN"/>
              </w:rPr>
              <w:t>20</w:t>
            </w:r>
            <w:r>
              <w:rPr>
                <w:rFonts w:hint="default" w:ascii="Times New Roman" w:hAnsi="Times New Roman" w:cs="Times New Roman"/>
                <w:b/>
                <w:bCs/>
                <w:color w:val="auto"/>
                <w:sz w:val="24"/>
                <w:szCs w:val="24"/>
                <w:u w:val="none"/>
              </w:rPr>
              <w:t xml:space="preserve">  </w:t>
            </w:r>
            <w:r>
              <w:rPr>
                <w:rFonts w:hint="eastAsia" w:cs="Times New Roman"/>
                <w:b/>
                <w:bCs/>
                <w:color w:val="auto"/>
                <w:sz w:val="24"/>
                <w:szCs w:val="24"/>
                <w:u w:val="none"/>
                <w:lang w:val="en-US" w:eastAsia="zh-CN"/>
              </w:rPr>
              <w:t xml:space="preserve"> </w:t>
            </w:r>
            <w:r>
              <w:rPr>
                <w:rFonts w:hint="default" w:ascii="Times New Roman" w:hAnsi="Times New Roman" w:cs="Times New Roman"/>
                <w:b/>
                <w:bCs/>
                <w:color w:val="auto"/>
                <w:sz w:val="24"/>
                <w:szCs w:val="24"/>
                <w:u w:val="none"/>
              </w:rPr>
              <w:t>项目环保投资</w:t>
            </w:r>
            <w:r>
              <w:rPr>
                <w:rFonts w:hint="eastAsia" w:ascii="Times New Roman" w:hAnsi="Times New Roman" w:cs="Times New Roman"/>
                <w:b/>
                <w:bCs/>
                <w:color w:val="auto"/>
                <w:sz w:val="24"/>
                <w:szCs w:val="24"/>
                <w:u w:val="none"/>
                <w:lang w:eastAsia="zh-CN"/>
              </w:rPr>
              <w:t>及竣工验收</w:t>
            </w:r>
            <w:r>
              <w:rPr>
                <w:rFonts w:hint="default" w:ascii="Times New Roman" w:hAnsi="Times New Roman" w:cs="Times New Roman"/>
                <w:b/>
                <w:bCs/>
                <w:color w:val="auto"/>
                <w:sz w:val="24"/>
                <w:szCs w:val="24"/>
                <w:u w:val="none"/>
              </w:rPr>
              <w:t>一览表</w:t>
            </w:r>
            <w:r>
              <w:rPr>
                <w:rFonts w:hint="eastAsia" w:cs="Times New Roman"/>
                <w:b/>
                <w:bCs/>
                <w:color w:val="auto"/>
                <w:sz w:val="24"/>
                <w:szCs w:val="24"/>
                <w:u w:val="none"/>
                <w:lang w:val="en-US" w:eastAsia="zh-CN"/>
              </w:rPr>
              <w:t xml:space="preserve">      单位：万元</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05"/>
              <w:gridCol w:w="6273"/>
              <w:gridCol w:w="531"/>
            </w:tblGrid>
            <w:tr w14:paraId="6DBC5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tcBorders>
                    <w:tl2br w:val="nil"/>
                    <w:tr2bl w:val="nil"/>
                  </w:tcBorders>
                  <w:vAlign w:val="center"/>
                </w:tcPr>
                <w:p w14:paraId="69F9C83B">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b/>
                      <w:color w:val="auto"/>
                      <w:kern w:val="2"/>
                      <w:sz w:val="21"/>
                      <w:szCs w:val="21"/>
                      <w:u w:val="none"/>
                    </w:rPr>
                  </w:pPr>
                  <w:r>
                    <w:rPr>
                      <w:rFonts w:hint="default" w:ascii="Times New Roman" w:hAnsi="Times New Roman" w:cs="Times New Roman" w:eastAsiaTheme="minorEastAsia"/>
                      <w:b/>
                      <w:color w:val="auto"/>
                      <w:kern w:val="2"/>
                      <w:sz w:val="21"/>
                      <w:szCs w:val="21"/>
                      <w:u w:val="none"/>
                    </w:rPr>
                    <w:t>环保项目</w:t>
                  </w:r>
                </w:p>
              </w:tc>
              <w:tc>
                <w:tcPr>
                  <w:tcW w:w="4068" w:type="pct"/>
                  <w:tcBorders>
                    <w:tl2br w:val="nil"/>
                    <w:tr2bl w:val="nil"/>
                  </w:tcBorders>
                  <w:vAlign w:val="center"/>
                </w:tcPr>
                <w:p w14:paraId="58244FC4">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b/>
                      <w:color w:val="auto"/>
                      <w:kern w:val="2"/>
                      <w:sz w:val="21"/>
                      <w:szCs w:val="21"/>
                      <w:u w:val="none"/>
                    </w:rPr>
                  </w:pPr>
                  <w:r>
                    <w:rPr>
                      <w:rFonts w:hint="default" w:ascii="Times New Roman" w:hAnsi="Times New Roman" w:cs="Times New Roman" w:eastAsiaTheme="minorEastAsia"/>
                      <w:b/>
                      <w:color w:val="auto"/>
                      <w:kern w:val="2"/>
                      <w:sz w:val="21"/>
                      <w:szCs w:val="21"/>
                      <w:u w:val="none"/>
                    </w:rPr>
                    <w:t>环保措施</w:t>
                  </w:r>
                </w:p>
              </w:tc>
              <w:tc>
                <w:tcPr>
                  <w:tcW w:w="344" w:type="pct"/>
                  <w:tcBorders>
                    <w:tl2br w:val="nil"/>
                    <w:tr2bl w:val="nil"/>
                  </w:tcBorders>
                  <w:vAlign w:val="center"/>
                </w:tcPr>
                <w:p w14:paraId="2ADE14B4">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b/>
                      <w:color w:val="auto"/>
                      <w:kern w:val="2"/>
                      <w:sz w:val="21"/>
                      <w:szCs w:val="21"/>
                      <w:u w:val="none"/>
                    </w:rPr>
                  </w:pPr>
                  <w:r>
                    <w:rPr>
                      <w:rFonts w:hint="default" w:ascii="Times New Roman" w:hAnsi="Times New Roman" w:cs="Times New Roman" w:eastAsiaTheme="minorEastAsia"/>
                      <w:b/>
                      <w:color w:val="auto"/>
                      <w:kern w:val="2"/>
                      <w:sz w:val="21"/>
                      <w:szCs w:val="21"/>
                      <w:u w:val="none"/>
                    </w:rPr>
                    <w:t>金额</w:t>
                  </w:r>
                </w:p>
              </w:tc>
            </w:tr>
            <w:tr w14:paraId="1E038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restart"/>
                  <w:tcBorders>
                    <w:tl2br w:val="nil"/>
                    <w:tr2bl w:val="nil"/>
                  </w:tcBorders>
                  <w:vAlign w:val="center"/>
                </w:tcPr>
                <w:p w14:paraId="08394499">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lang w:eastAsia="zh-CN"/>
                    </w:rPr>
                  </w:pPr>
                  <w:r>
                    <w:rPr>
                      <w:rFonts w:hint="default" w:ascii="Times New Roman" w:hAnsi="Times New Roman" w:cs="Times New Roman" w:eastAsiaTheme="minorEastAsia"/>
                      <w:color w:val="auto"/>
                      <w:kern w:val="2"/>
                      <w:sz w:val="21"/>
                      <w:szCs w:val="21"/>
                      <w:u w:val="none"/>
                      <w:lang w:eastAsia="zh-CN"/>
                    </w:rPr>
                    <w:t>大气污染防治</w:t>
                  </w:r>
                </w:p>
              </w:tc>
              <w:tc>
                <w:tcPr>
                  <w:tcW w:w="6273" w:type="dxa"/>
                  <w:tcBorders>
                    <w:tl2br w:val="nil"/>
                    <w:tr2bl w:val="nil"/>
                  </w:tcBorders>
                  <w:vAlign w:val="center"/>
                </w:tcPr>
                <w:p w14:paraId="45873342">
                  <w:pPr>
                    <w:pStyle w:val="61"/>
                    <w:keepNext w:val="0"/>
                    <w:keepLines w:val="0"/>
                    <w:pageBreakBefore w:val="0"/>
                    <w:kinsoku/>
                    <w:wordWrap/>
                    <w:overflowPunct/>
                    <w:topLinePunct w:val="0"/>
                    <w:autoSpaceDE/>
                    <w:autoSpaceDN/>
                    <w:bidi w:val="0"/>
                    <w:spacing w:before="0" w:beforeLines="0" w:after="0" w:afterLines="0" w:line="240" w:lineRule="auto"/>
                    <w:ind w:left="0" w:leftChars="0" w:firstLine="0" w:firstLineChars="0"/>
                    <w:rPr>
                      <w:rFonts w:hint="default" w:ascii="Times New Roman" w:hAnsi="Times New Roman" w:cs="Times New Roman" w:eastAsiaTheme="minorEastAsia"/>
                      <w:color w:val="auto"/>
                      <w:sz w:val="21"/>
                      <w:szCs w:val="21"/>
                      <w:u w:val="none"/>
                    </w:rPr>
                  </w:pPr>
                  <w:r>
                    <w:rPr>
                      <w:rFonts w:hint="eastAsia" w:ascii="Times New Roman" w:cs="Times New Roman" w:eastAsiaTheme="minorEastAsia"/>
                      <w:color w:val="auto"/>
                      <w:sz w:val="21"/>
                      <w:szCs w:val="21"/>
                      <w:highlight w:val="none"/>
                      <w:u w:val="single" w:color="auto"/>
                      <w:lang w:val="en-US" w:eastAsia="zh-CN"/>
                    </w:rPr>
                    <w:t>蒸汽发生器</w:t>
                  </w:r>
                  <w:r>
                    <w:rPr>
                      <w:rFonts w:hint="default" w:ascii="Times New Roman" w:hAnsi="Times New Roman" w:cs="Times New Roman" w:eastAsiaTheme="minorEastAsia"/>
                      <w:color w:val="auto"/>
                      <w:sz w:val="21"/>
                      <w:szCs w:val="21"/>
                      <w:highlight w:val="none"/>
                      <w:u w:val="single" w:color="auto"/>
                      <w:lang w:eastAsia="zh-CN"/>
                    </w:rPr>
                    <w:t>采用低氮燃烧、</w:t>
                  </w:r>
                  <w:r>
                    <w:rPr>
                      <w:rFonts w:hint="default" w:ascii="Times New Roman" w:hAnsi="Times New Roman" w:cs="Times New Roman" w:eastAsiaTheme="minorEastAsia"/>
                      <w:color w:val="auto"/>
                      <w:sz w:val="21"/>
                      <w:szCs w:val="21"/>
                      <w:u w:val="single" w:color="auto"/>
                      <w:lang w:eastAsia="zh-CN"/>
                    </w:rPr>
                    <w:t>布袋</w:t>
                  </w:r>
                  <w:r>
                    <w:rPr>
                      <w:rFonts w:hint="default" w:ascii="Times New Roman" w:hAnsi="Times New Roman" w:cs="Times New Roman" w:eastAsiaTheme="minorEastAsia"/>
                      <w:color w:val="auto"/>
                      <w:sz w:val="21"/>
                      <w:szCs w:val="21"/>
                      <w:u w:val="single" w:color="auto"/>
                      <w:lang w:val="en-US" w:eastAsia="zh-CN"/>
                    </w:rPr>
                    <w:t>除尘装置</w:t>
                  </w:r>
                  <w:r>
                    <w:rPr>
                      <w:rFonts w:hint="default" w:ascii="Times New Roman" w:hAnsi="Times New Roman" w:cs="Times New Roman" w:eastAsiaTheme="minorEastAsia"/>
                      <w:color w:val="auto"/>
                      <w:sz w:val="21"/>
                      <w:szCs w:val="21"/>
                      <w:u w:val="single" w:color="auto"/>
                      <w:lang w:eastAsia="zh-CN"/>
                    </w:rPr>
                    <w:t>处理后</w:t>
                  </w:r>
                  <w:r>
                    <w:rPr>
                      <w:rFonts w:hint="default" w:ascii="Times New Roman" w:hAnsi="Times New Roman" w:cs="Times New Roman" w:eastAsiaTheme="minorEastAsia"/>
                      <w:color w:val="auto"/>
                      <w:sz w:val="21"/>
                      <w:szCs w:val="21"/>
                      <w:u w:val="single" w:color="auto"/>
                      <w:lang w:val="en-US" w:eastAsia="zh-CN"/>
                    </w:rPr>
                    <w:t>通过15m高排气筒</w:t>
                  </w:r>
                  <w:r>
                    <w:rPr>
                      <w:rFonts w:hint="eastAsia" w:ascii="Times New Roman" w:cs="Times New Roman" w:eastAsiaTheme="minorEastAsia"/>
                      <w:color w:val="auto"/>
                      <w:sz w:val="21"/>
                      <w:szCs w:val="21"/>
                      <w:u w:val="single" w:color="auto"/>
                      <w:lang w:val="en-US" w:eastAsia="zh-CN"/>
                    </w:rPr>
                    <w:t>（DA001）</w:t>
                  </w:r>
                  <w:r>
                    <w:rPr>
                      <w:rFonts w:hint="default" w:ascii="Times New Roman" w:hAnsi="Times New Roman" w:cs="Times New Roman" w:eastAsiaTheme="minorEastAsia"/>
                      <w:color w:val="auto"/>
                      <w:sz w:val="21"/>
                      <w:szCs w:val="21"/>
                      <w:u w:val="single" w:color="auto"/>
                      <w:lang w:val="en-US" w:eastAsia="zh-CN"/>
                    </w:rPr>
                    <w:t>排放</w:t>
                  </w:r>
                  <w:r>
                    <w:rPr>
                      <w:rFonts w:hint="eastAsia" w:ascii="Times New Roman" w:cs="Times New Roman" w:eastAsiaTheme="minorEastAsia"/>
                      <w:color w:val="auto"/>
                      <w:sz w:val="21"/>
                      <w:szCs w:val="21"/>
                      <w:u w:val="single" w:color="auto"/>
                      <w:lang w:val="en-US" w:eastAsia="zh-CN"/>
                    </w:rPr>
                    <w:t>；热风炉废气经</w:t>
                  </w:r>
                  <w:r>
                    <w:rPr>
                      <w:rFonts w:hint="eastAsia" w:ascii="Times New Roman" w:cs="Times New Roman"/>
                      <w:color w:val="auto"/>
                      <w:sz w:val="21"/>
                      <w:szCs w:val="21"/>
                      <w:u w:val="single" w:color="auto"/>
                      <w:lang w:val="en-US" w:eastAsia="zh-CN"/>
                    </w:rPr>
                    <w:t>“布袋除尘+活性炭”</w:t>
                  </w:r>
                  <w:r>
                    <w:rPr>
                      <w:rFonts w:hint="default" w:ascii="Times New Roman" w:hAnsi="Times New Roman" w:cs="Times New Roman" w:eastAsiaTheme="minorEastAsia"/>
                      <w:color w:val="auto"/>
                      <w:sz w:val="21"/>
                      <w:szCs w:val="21"/>
                      <w:u w:val="single" w:color="auto"/>
                      <w:lang w:eastAsia="zh-CN"/>
                    </w:rPr>
                    <w:t>处理后</w:t>
                  </w:r>
                  <w:r>
                    <w:rPr>
                      <w:rFonts w:hint="default" w:ascii="Times New Roman" w:hAnsi="Times New Roman" w:cs="Times New Roman" w:eastAsiaTheme="minorEastAsia"/>
                      <w:color w:val="auto"/>
                      <w:sz w:val="21"/>
                      <w:szCs w:val="21"/>
                      <w:u w:val="single" w:color="auto"/>
                      <w:lang w:val="en-US" w:eastAsia="zh-CN"/>
                    </w:rPr>
                    <w:t>通过15m高排气筒</w:t>
                  </w:r>
                  <w:r>
                    <w:rPr>
                      <w:rFonts w:hint="eastAsia" w:ascii="Times New Roman" w:cs="Times New Roman" w:eastAsiaTheme="minorEastAsia"/>
                      <w:color w:val="auto"/>
                      <w:sz w:val="21"/>
                      <w:szCs w:val="21"/>
                      <w:u w:val="single" w:color="auto"/>
                      <w:lang w:val="en-US" w:eastAsia="zh-CN"/>
                    </w:rPr>
                    <w:t>（DA002）</w:t>
                  </w:r>
                  <w:r>
                    <w:rPr>
                      <w:rFonts w:hint="default" w:ascii="Times New Roman" w:hAnsi="Times New Roman" w:cs="Times New Roman" w:eastAsiaTheme="minorEastAsia"/>
                      <w:color w:val="auto"/>
                      <w:sz w:val="21"/>
                      <w:szCs w:val="21"/>
                      <w:u w:val="single" w:color="auto"/>
                      <w:lang w:val="en-US" w:eastAsia="zh-CN"/>
                    </w:rPr>
                    <w:t>排放</w:t>
                  </w:r>
                </w:p>
              </w:tc>
              <w:tc>
                <w:tcPr>
                  <w:tcW w:w="531" w:type="dxa"/>
                  <w:tcBorders>
                    <w:tl2br w:val="nil"/>
                    <w:tr2bl w:val="nil"/>
                  </w:tcBorders>
                  <w:vAlign w:val="center"/>
                </w:tcPr>
                <w:p w14:paraId="7E8092BE">
                  <w:pPr>
                    <w:keepNext w:val="0"/>
                    <w:keepLines w:val="0"/>
                    <w:pageBreakBefore w:val="0"/>
                    <w:widowControl/>
                    <w:kinsoku/>
                    <w:wordWrap/>
                    <w:overflowPunct/>
                    <w:topLinePunct w:val="0"/>
                    <w:autoSpaceDE/>
                    <w:autoSpaceDN/>
                    <w:bidi w:val="0"/>
                    <w:ind w:left="0" w:leftChars="0" w:firstLine="0" w:firstLineChars="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eastAsia" w:cs="Times New Roman" w:eastAsiaTheme="minorEastAsia"/>
                      <w:color w:val="auto"/>
                      <w:kern w:val="0"/>
                      <w:sz w:val="21"/>
                      <w:szCs w:val="21"/>
                      <w:u w:val="single" w:color="auto"/>
                      <w:lang w:val="en-US" w:eastAsia="zh-CN"/>
                    </w:rPr>
                    <w:t>10</w:t>
                  </w:r>
                </w:p>
              </w:tc>
            </w:tr>
            <w:tr w14:paraId="545F1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continue"/>
                  <w:tcBorders>
                    <w:tl2br w:val="nil"/>
                    <w:tr2bl w:val="nil"/>
                  </w:tcBorders>
                  <w:vAlign w:val="center"/>
                </w:tcPr>
                <w:p w14:paraId="1C97D644">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lang w:eastAsia="zh-CN"/>
                    </w:rPr>
                  </w:pPr>
                </w:p>
              </w:tc>
              <w:tc>
                <w:tcPr>
                  <w:tcW w:w="4068" w:type="pct"/>
                  <w:tcBorders>
                    <w:tl2br w:val="nil"/>
                    <w:tr2bl w:val="nil"/>
                  </w:tcBorders>
                  <w:vAlign w:val="center"/>
                </w:tcPr>
                <w:p w14:paraId="2AED9632">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粉碎粉尘采用布袋除尘器处理后排放</w:t>
                  </w:r>
                </w:p>
              </w:tc>
              <w:tc>
                <w:tcPr>
                  <w:tcW w:w="344" w:type="pct"/>
                  <w:tcBorders>
                    <w:tl2br w:val="nil"/>
                    <w:tr2bl w:val="nil"/>
                  </w:tcBorders>
                  <w:vAlign w:val="center"/>
                </w:tcPr>
                <w:p w14:paraId="4A99BD85">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kern w:val="0"/>
                      <w:sz w:val="21"/>
                      <w:szCs w:val="21"/>
                      <w:u w:val="none"/>
                      <w:lang w:val="en-US" w:eastAsia="zh-CN"/>
                    </w:rPr>
                    <w:t>1</w:t>
                  </w:r>
                </w:p>
              </w:tc>
            </w:tr>
            <w:tr w14:paraId="19A57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continue"/>
                  <w:tcBorders>
                    <w:tl2br w:val="nil"/>
                    <w:tr2bl w:val="nil"/>
                  </w:tcBorders>
                  <w:vAlign w:val="center"/>
                </w:tcPr>
                <w:p w14:paraId="22F6CA1C">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lang w:eastAsia="zh-CN"/>
                    </w:rPr>
                  </w:pPr>
                </w:p>
              </w:tc>
              <w:tc>
                <w:tcPr>
                  <w:tcW w:w="4068" w:type="pct"/>
                  <w:tcBorders>
                    <w:tl2br w:val="nil"/>
                    <w:tr2bl w:val="nil"/>
                  </w:tcBorders>
                  <w:vAlign w:val="center"/>
                </w:tcPr>
                <w:p w14:paraId="5F3E1D02">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食堂油烟经高效油烟净化器处理后经专用排烟管道引至食堂楼顶高空排放</w:t>
                  </w:r>
                </w:p>
              </w:tc>
              <w:tc>
                <w:tcPr>
                  <w:tcW w:w="344" w:type="pct"/>
                  <w:tcBorders>
                    <w:tl2br w:val="nil"/>
                    <w:tr2bl w:val="nil"/>
                  </w:tcBorders>
                  <w:vAlign w:val="center"/>
                </w:tcPr>
                <w:p w14:paraId="489D013C">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kern w:val="0"/>
                      <w:sz w:val="21"/>
                      <w:szCs w:val="21"/>
                      <w:u w:val="none"/>
                      <w:lang w:val="en-US" w:eastAsia="zh-CN"/>
                    </w:rPr>
                    <w:t>1</w:t>
                  </w:r>
                </w:p>
              </w:tc>
            </w:tr>
            <w:tr w14:paraId="60CF6E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restart"/>
                  <w:tcBorders>
                    <w:tl2br w:val="nil"/>
                    <w:tr2bl w:val="nil"/>
                  </w:tcBorders>
                  <w:vAlign w:val="center"/>
                </w:tcPr>
                <w:p w14:paraId="1640A8F6">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rPr>
                  </w:pPr>
                  <w:r>
                    <w:rPr>
                      <w:rFonts w:hint="default" w:ascii="Times New Roman" w:hAnsi="Times New Roman" w:cs="Times New Roman" w:eastAsiaTheme="minorEastAsia"/>
                      <w:color w:val="auto"/>
                      <w:kern w:val="2"/>
                      <w:sz w:val="21"/>
                      <w:szCs w:val="21"/>
                      <w:u w:val="none"/>
                    </w:rPr>
                    <w:t>水污染防治</w:t>
                  </w:r>
                </w:p>
              </w:tc>
              <w:tc>
                <w:tcPr>
                  <w:tcW w:w="4068" w:type="pct"/>
                  <w:tcBorders>
                    <w:tl2br w:val="nil"/>
                    <w:tr2bl w:val="nil"/>
                  </w:tcBorders>
                  <w:vAlign w:val="center"/>
                </w:tcPr>
                <w:p w14:paraId="6263679E">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lang w:val="en-US"/>
                    </w:rPr>
                  </w:pPr>
                  <w:r>
                    <w:rPr>
                      <w:rFonts w:hint="eastAsia" w:ascii="Times New Roman" w:cs="Times New Roman" w:eastAsiaTheme="minorEastAsia"/>
                      <w:color w:val="auto"/>
                      <w:kern w:val="2"/>
                      <w:sz w:val="21"/>
                      <w:szCs w:val="21"/>
                      <w:u w:val="none"/>
                      <w:lang w:val="en-US" w:eastAsia="zh-CN"/>
                    </w:rPr>
                    <w:t>食堂废水</w:t>
                  </w:r>
                  <w:r>
                    <w:rPr>
                      <w:rFonts w:hint="default" w:ascii="Times New Roman" w:hAnsi="Times New Roman" w:cs="Times New Roman" w:eastAsiaTheme="minorEastAsia"/>
                      <w:color w:val="auto"/>
                      <w:kern w:val="2"/>
                      <w:sz w:val="21"/>
                      <w:szCs w:val="21"/>
                      <w:u w:val="none"/>
                      <w:lang w:val="en-US" w:eastAsia="zh-CN"/>
                    </w:rPr>
                    <w:t>经油水分离</w:t>
                  </w:r>
                  <w:r>
                    <w:rPr>
                      <w:rFonts w:hint="eastAsia" w:ascii="Times New Roman" w:cs="Times New Roman" w:eastAsiaTheme="minorEastAsia"/>
                      <w:color w:val="auto"/>
                      <w:kern w:val="2"/>
                      <w:sz w:val="21"/>
                      <w:szCs w:val="21"/>
                      <w:u w:val="none"/>
                      <w:lang w:val="en-US" w:eastAsia="zh-CN"/>
                    </w:rPr>
                    <w:t>处理后与其他</w:t>
                  </w:r>
                  <w:r>
                    <w:rPr>
                      <w:rFonts w:hint="default" w:ascii="Times New Roman" w:hAnsi="Times New Roman" w:cs="Times New Roman" w:eastAsiaTheme="minorEastAsia"/>
                      <w:color w:val="auto"/>
                      <w:kern w:val="2"/>
                      <w:sz w:val="21"/>
                      <w:szCs w:val="21"/>
                      <w:u w:val="none"/>
                      <w:lang w:val="en-US" w:eastAsia="zh-CN"/>
                    </w:rPr>
                    <w:t>生活污水</w:t>
                  </w:r>
                  <w:r>
                    <w:rPr>
                      <w:rFonts w:hint="eastAsia" w:ascii="Times New Roman" w:cs="Times New Roman" w:eastAsiaTheme="minorEastAsia"/>
                      <w:color w:val="auto"/>
                      <w:kern w:val="2"/>
                      <w:sz w:val="21"/>
                      <w:szCs w:val="21"/>
                      <w:u w:val="none"/>
                      <w:lang w:val="en-US" w:eastAsia="zh-CN"/>
                    </w:rPr>
                    <w:t>、少量设备清洗废水汇入</w:t>
                  </w:r>
                  <w:r>
                    <w:rPr>
                      <w:rFonts w:hint="default" w:ascii="Times New Roman" w:hAnsi="Times New Roman" w:cs="Times New Roman" w:eastAsiaTheme="minorEastAsia"/>
                      <w:color w:val="auto"/>
                      <w:kern w:val="2"/>
                      <w:sz w:val="21"/>
                      <w:szCs w:val="21"/>
                      <w:u w:val="none"/>
                      <w:lang w:eastAsia="zh-CN"/>
                    </w:rPr>
                    <w:t>化粪池</w:t>
                  </w:r>
                  <w:r>
                    <w:rPr>
                      <w:rFonts w:hint="eastAsia" w:ascii="Times New Roman" w:cs="Times New Roman" w:eastAsiaTheme="minorEastAsia"/>
                      <w:color w:val="auto"/>
                      <w:kern w:val="2"/>
                      <w:sz w:val="21"/>
                      <w:szCs w:val="21"/>
                      <w:u w:val="none"/>
                      <w:lang w:val="en-US" w:eastAsia="zh-CN"/>
                    </w:rPr>
                    <w:t>处理</w:t>
                  </w:r>
                  <w:r>
                    <w:rPr>
                      <w:rFonts w:hint="default" w:ascii="Times New Roman" w:hAnsi="Times New Roman" w:cs="Times New Roman" w:eastAsiaTheme="minorEastAsia"/>
                      <w:color w:val="auto"/>
                      <w:kern w:val="2"/>
                      <w:sz w:val="21"/>
                      <w:szCs w:val="21"/>
                      <w:u w:val="none"/>
                      <w:lang w:val="en-US" w:eastAsia="zh-CN"/>
                    </w:rPr>
                    <w:t>后排放至市政污水管网；需新增油水分离器，</w:t>
                  </w:r>
                  <w:r>
                    <w:rPr>
                      <w:rFonts w:hint="default" w:ascii="Times New Roman" w:hAnsi="Times New Roman" w:cs="Times New Roman" w:eastAsiaTheme="minorEastAsia"/>
                      <w:color w:val="auto"/>
                      <w:kern w:val="0"/>
                      <w:sz w:val="21"/>
                      <w:szCs w:val="21"/>
                      <w:u w:val="none"/>
                      <w:lang w:val="en-US" w:eastAsia="zh-CN"/>
                    </w:rPr>
                    <w:t>化粪池依托租赁厂区已建</w:t>
                  </w:r>
                </w:p>
              </w:tc>
              <w:tc>
                <w:tcPr>
                  <w:tcW w:w="344" w:type="pct"/>
                  <w:tcBorders>
                    <w:tl2br w:val="nil"/>
                    <w:tr2bl w:val="nil"/>
                  </w:tcBorders>
                  <w:vAlign w:val="center"/>
                </w:tcPr>
                <w:p w14:paraId="380D330E">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kern w:val="0"/>
                      <w:sz w:val="21"/>
                      <w:szCs w:val="21"/>
                      <w:u w:val="none"/>
                      <w:lang w:val="en-US" w:eastAsia="zh-CN"/>
                    </w:rPr>
                    <w:t>1</w:t>
                  </w:r>
                </w:p>
              </w:tc>
            </w:tr>
            <w:tr w14:paraId="69E37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continue"/>
                  <w:tcBorders>
                    <w:tl2br w:val="nil"/>
                    <w:tr2bl w:val="nil"/>
                  </w:tcBorders>
                  <w:vAlign w:val="center"/>
                </w:tcPr>
                <w:p w14:paraId="41CD5E1A">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rPr>
                  </w:pPr>
                </w:p>
              </w:tc>
              <w:tc>
                <w:tcPr>
                  <w:tcW w:w="4068" w:type="pct"/>
                  <w:tcBorders>
                    <w:tl2br w:val="nil"/>
                    <w:tr2bl w:val="nil"/>
                  </w:tcBorders>
                  <w:vAlign w:val="center"/>
                </w:tcPr>
                <w:p w14:paraId="34E888FE">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lang w:val="en-US" w:eastAsia="zh-CN"/>
                    </w:rPr>
                  </w:pPr>
                  <w:r>
                    <w:rPr>
                      <w:rFonts w:hint="default" w:ascii="Times New Roman" w:hAnsi="Times New Roman" w:cs="Times New Roman" w:eastAsiaTheme="minorEastAsia"/>
                      <w:color w:val="auto"/>
                      <w:kern w:val="2"/>
                      <w:sz w:val="21"/>
                      <w:szCs w:val="21"/>
                      <w:u w:val="none"/>
                      <w:lang w:val="en-US" w:eastAsia="zh-CN"/>
                    </w:rPr>
                    <w:t>原辅材料清洗废水</w:t>
                  </w:r>
                  <w:r>
                    <w:rPr>
                      <w:rFonts w:hint="eastAsia" w:ascii="Times New Roman" w:cs="Times New Roman" w:eastAsiaTheme="minorEastAsia"/>
                      <w:color w:val="auto"/>
                      <w:kern w:val="2"/>
                      <w:sz w:val="21"/>
                      <w:szCs w:val="21"/>
                      <w:u w:val="none"/>
                      <w:lang w:val="en-US" w:eastAsia="zh-CN"/>
                    </w:rPr>
                    <w:t>、制软水废水</w:t>
                  </w:r>
                  <w:r>
                    <w:rPr>
                      <w:rFonts w:hint="default" w:ascii="Times New Roman" w:hAnsi="Times New Roman" w:cs="Times New Roman" w:eastAsiaTheme="minorEastAsia"/>
                      <w:color w:val="auto"/>
                      <w:kern w:val="2"/>
                      <w:sz w:val="21"/>
                      <w:szCs w:val="21"/>
                      <w:u w:val="none"/>
                      <w:lang w:val="en-US" w:eastAsia="zh-CN"/>
                    </w:rPr>
                    <w:t>经三级沉淀池处理后</w:t>
                  </w:r>
                  <w:r>
                    <w:rPr>
                      <w:rFonts w:hint="eastAsia"/>
                      <w:color w:val="auto"/>
                      <w:sz w:val="21"/>
                      <w:szCs w:val="21"/>
                      <w:highlight w:val="none"/>
                      <w:u w:val="single"/>
                      <w:lang w:val="en-US" w:eastAsia="zh-CN"/>
                    </w:rPr>
                    <w:t>回用作原材料清洗机循环用水，多余部分上清液外溢与经处理后的生活污水一并通过市政污水管网排入龙潭镇污水处理厂综合处理</w:t>
                  </w:r>
                  <w:r>
                    <w:rPr>
                      <w:rFonts w:hint="default" w:ascii="Times New Roman" w:hAnsi="Times New Roman" w:cs="Times New Roman" w:eastAsiaTheme="minorEastAsia"/>
                      <w:color w:val="auto"/>
                      <w:kern w:val="2"/>
                      <w:sz w:val="21"/>
                      <w:szCs w:val="21"/>
                      <w:highlight w:val="none"/>
                      <w:u w:val="none"/>
                      <w:lang w:val="en-US" w:eastAsia="zh-CN"/>
                    </w:rPr>
                    <w:t>；</w:t>
                  </w:r>
                  <w:r>
                    <w:rPr>
                      <w:rFonts w:hint="default" w:ascii="Times New Roman" w:hAnsi="Times New Roman" w:cs="Times New Roman"/>
                      <w:color w:val="auto"/>
                      <w:sz w:val="21"/>
                      <w:szCs w:val="21"/>
                      <w:lang w:val="en-US" w:eastAsia="zh-CN"/>
                    </w:rPr>
                    <w:t>地面清洗废水经沉淀池处理后用于厂区绿化。需新建</w:t>
                  </w:r>
                  <w:r>
                    <w:rPr>
                      <w:rFonts w:hint="default" w:ascii="Times New Roman" w:hAnsi="Times New Roman" w:cs="Times New Roman" w:eastAsiaTheme="minorEastAsia"/>
                      <w:color w:val="auto"/>
                      <w:kern w:val="2"/>
                      <w:sz w:val="21"/>
                      <w:szCs w:val="21"/>
                      <w:u w:val="none"/>
                      <w:lang w:val="en-US" w:eastAsia="zh-CN"/>
                    </w:rPr>
                    <w:t>三级沉淀池，</w:t>
                  </w:r>
                  <w:r>
                    <w:rPr>
                      <w:rFonts w:hint="default" w:ascii="Times New Roman" w:hAnsi="Times New Roman" w:cs="Times New Roman"/>
                      <w:color w:val="auto"/>
                      <w:sz w:val="21"/>
                      <w:szCs w:val="21"/>
                      <w:lang w:val="en-US" w:eastAsia="zh-CN"/>
                    </w:rPr>
                    <w:t>地面清洗废水经沉淀池依托厂区已建</w:t>
                  </w:r>
                </w:p>
              </w:tc>
              <w:tc>
                <w:tcPr>
                  <w:tcW w:w="344" w:type="pct"/>
                  <w:tcBorders>
                    <w:tl2br w:val="nil"/>
                    <w:tr2bl w:val="nil"/>
                  </w:tcBorders>
                  <w:vAlign w:val="center"/>
                </w:tcPr>
                <w:p w14:paraId="0287000D">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eastAsia" w:cs="Times New Roman" w:eastAsiaTheme="minorEastAsia"/>
                      <w:color w:val="auto"/>
                      <w:kern w:val="0"/>
                      <w:sz w:val="21"/>
                      <w:szCs w:val="21"/>
                      <w:u w:val="none"/>
                      <w:lang w:val="en-US" w:eastAsia="zh-CN"/>
                    </w:rPr>
                    <w:t>2</w:t>
                  </w:r>
                </w:p>
              </w:tc>
            </w:tr>
            <w:tr w14:paraId="602CC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vMerge w:val="restart"/>
                  <w:tcBorders>
                    <w:tl2br w:val="nil"/>
                    <w:tr2bl w:val="nil"/>
                  </w:tcBorders>
                  <w:vAlign w:val="center"/>
                </w:tcPr>
                <w:p w14:paraId="34B6EEE9">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rPr>
                  </w:pPr>
                  <w:r>
                    <w:rPr>
                      <w:rFonts w:hint="default" w:ascii="Times New Roman" w:hAnsi="Times New Roman" w:cs="Times New Roman" w:eastAsiaTheme="minorEastAsia"/>
                      <w:color w:val="auto"/>
                      <w:kern w:val="2"/>
                      <w:sz w:val="21"/>
                      <w:szCs w:val="21"/>
                      <w:u w:val="none"/>
                    </w:rPr>
                    <w:t>噪声防治</w:t>
                  </w:r>
                </w:p>
              </w:tc>
              <w:tc>
                <w:tcPr>
                  <w:tcW w:w="4068" w:type="pct"/>
                  <w:tcBorders>
                    <w:tl2br w:val="nil"/>
                    <w:tr2bl w:val="nil"/>
                  </w:tcBorders>
                  <w:vAlign w:val="center"/>
                </w:tcPr>
                <w:p w14:paraId="60F5A764">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rPr>
                  </w:pPr>
                  <w:r>
                    <w:rPr>
                      <w:rFonts w:hint="default" w:ascii="Times New Roman" w:hAnsi="Times New Roman" w:cs="Times New Roman" w:eastAsiaTheme="minorEastAsia"/>
                      <w:color w:val="auto"/>
                      <w:kern w:val="2"/>
                      <w:sz w:val="21"/>
                      <w:szCs w:val="21"/>
                      <w:u w:val="none"/>
                    </w:rPr>
                    <w:t>加强设备维护、减振措施、功能间密闭隔离、设备柔性连接等。</w:t>
                  </w:r>
                </w:p>
              </w:tc>
              <w:tc>
                <w:tcPr>
                  <w:tcW w:w="344" w:type="pct"/>
                  <w:vMerge w:val="restart"/>
                  <w:tcBorders>
                    <w:tl2br w:val="nil"/>
                    <w:tr2bl w:val="nil"/>
                  </w:tcBorders>
                  <w:vAlign w:val="center"/>
                </w:tcPr>
                <w:p w14:paraId="63BE4D72">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cs="Times New Roman" w:eastAsiaTheme="minorEastAsia"/>
                      <w:color w:val="auto"/>
                      <w:sz w:val="21"/>
                      <w:szCs w:val="21"/>
                      <w:u w:val="none"/>
                      <w:lang w:eastAsia="zh-CN"/>
                    </w:rPr>
                  </w:pPr>
                  <w:r>
                    <w:rPr>
                      <w:rFonts w:hint="eastAsia" w:cs="Times New Roman" w:eastAsiaTheme="minorEastAsia"/>
                      <w:color w:val="auto"/>
                      <w:kern w:val="0"/>
                      <w:sz w:val="21"/>
                      <w:szCs w:val="21"/>
                      <w:u w:val="none"/>
                      <w:lang w:val="en-US" w:eastAsia="zh-CN"/>
                    </w:rPr>
                    <w:t>1</w:t>
                  </w:r>
                </w:p>
              </w:tc>
            </w:tr>
            <w:tr w14:paraId="4EECB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86" w:type="pct"/>
                  <w:vMerge w:val="continue"/>
                  <w:tcBorders>
                    <w:tl2br w:val="nil"/>
                    <w:tr2bl w:val="nil"/>
                  </w:tcBorders>
                  <w:vAlign w:val="center"/>
                </w:tcPr>
                <w:p w14:paraId="6F6C639D">
                  <w:pPr>
                    <w:keepNext w:val="0"/>
                    <w:keepLines w:val="0"/>
                    <w:pageBreakBefore w:val="0"/>
                    <w:widowControl/>
                    <w:kinsoku/>
                    <w:wordWrap/>
                    <w:overflowPunct/>
                    <w:topLinePunct w:val="0"/>
                    <w:autoSpaceDE/>
                    <w:autoSpaceDN/>
                    <w:bidi w:val="0"/>
                    <w:ind w:left="0" w:firstLine="0" w:firstLineChars="0"/>
                    <w:jc w:val="center"/>
                    <w:rPr>
                      <w:rFonts w:hint="default" w:ascii="Times New Roman" w:hAnsi="Times New Roman" w:cs="Times New Roman" w:eastAsiaTheme="minorEastAsia"/>
                      <w:color w:val="auto"/>
                      <w:sz w:val="21"/>
                      <w:szCs w:val="21"/>
                      <w:u w:val="none"/>
                    </w:rPr>
                  </w:pPr>
                </w:p>
              </w:tc>
              <w:tc>
                <w:tcPr>
                  <w:tcW w:w="4068" w:type="pct"/>
                  <w:tcBorders>
                    <w:tl2br w:val="nil"/>
                    <w:tr2bl w:val="nil"/>
                  </w:tcBorders>
                  <w:vAlign w:val="center"/>
                </w:tcPr>
                <w:p w14:paraId="02AEDE1F">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rPr>
                  </w:pPr>
                  <w:r>
                    <w:rPr>
                      <w:rFonts w:hint="default" w:ascii="Times New Roman" w:hAnsi="Times New Roman" w:cs="Times New Roman" w:eastAsiaTheme="minorEastAsia"/>
                      <w:color w:val="auto"/>
                      <w:kern w:val="2"/>
                      <w:sz w:val="21"/>
                      <w:szCs w:val="21"/>
                      <w:u w:val="none"/>
                    </w:rPr>
                    <w:t>加强管理，禁止鸣笛，禁止喧哗等</w:t>
                  </w:r>
                </w:p>
              </w:tc>
              <w:tc>
                <w:tcPr>
                  <w:tcW w:w="344" w:type="pct"/>
                  <w:vMerge w:val="continue"/>
                  <w:tcBorders>
                    <w:tl2br w:val="nil"/>
                    <w:tr2bl w:val="nil"/>
                  </w:tcBorders>
                  <w:vAlign w:val="center"/>
                </w:tcPr>
                <w:p w14:paraId="0720FEB3">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rPr>
                  </w:pPr>
                </w:p>
              </w:tc>
            </w:tr>
            <w:tr w14:paraId="00FD7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86" w:type="pct"/>
                  <w:tcBorders>
                    <w:tl2br w:val="nil"/>
                    <w:tr2bl w:val="nil"/>
                  </w:tcBorders>
                  <w:vAlign w:val="center"/>
                </w:tcPr>
                <w:p w14:paraId="0839B777">
                  <w:pPr>
                    <w:keepNext w:val="0"/>
                    <w:keepLines w:val="0"/>
                    <w:pageBreakBefore w:val="0"/>
                    <w:widowControl/>
                    <w:kinsoku/>
                    <w:wordWrap/>
                    <w:overflowPunct/>
                    <w:topLinePunct w:val="0"/>
                    <w:autoSpaceDE/>
                    <w:autoSpaceDN/>
                    <w:bidi w:val="0"/>
                    <w:ind w:left="0" w:firstLine="0" w:firstLineChars="0"/>
                    <w:jc w:val="center"/>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固体废物</w:t>
                  </w:r>
                </w:p>
              </w:tc>
              <w:tc>
                <w:tcPr>
                  <w:tcW w:w="4068" w:type="pct"/>
                  <w:tcBorders>
                    <w:tl2br w:val="nil"/>
                    <w:tr2bl w:val="nil"/>
                  </w:tcBorders>
                  <w:vAlign w:val="center"/>
                </w:tcPr>
                <w:p w14:paraId="7B70B72B">
                  <w:pPr>
                    <w:keepNext w:val="0"/>
                    <w:keepLines w:val="0"/>
                    <w:pageBreakBefore w:val="0"/>
                    <w:kinsoku/>
                    <w:wordWrap/>
                    <w:overflowPunct/>
                    <w:topLinePunct w:val="0"/>
                    <w:autoSpaceDE/>
                    <w:autoSpaceDN/>
                    <w:bidi w:val="0"/>
                    <w:ind w:left="0" w:firstLine="0" w:firstLineChars="0"/>
                    <w:jc w:val="center"/>
                    <w:rPr>
                      <w:rFonts w:hint="default" w:ascii="Times New Roman" w:hAnsi="Times New Roman" w:cs="Times New Roman" w:eastAsiaTheme="minorEastAsia"/>
                      <w:color w:val="auto"/>
                      <w:sz w:val="21"/>
                      <w:szCs w:val="21"/>
                      <w:u w:val="none"/>
                      <w:lang w:val="en-US"/>
                    </w:rPr>
                  </w:pPr>
                  <w:r>
                    <w:rPr>
                      <w:rFonts w:hint="default" w:ascii="Times New Roman" w:hAnsi="Times New Roman" w:cs="Times New Roman"/>
                      <w:color w:val="auto"/>
                      <w:sz w:val="21"/>
                      <w:szCs w:val="21"/>
                      <w:u w:val="none"/>
                      <w:lang w:val="en-US" w:eastAsia="zh-CN"/>
                    </w:rPr>
                    <w:t>改造原生产车间架空层及周边可利用空间，增加约100m</w:t>
                  </w:r>
                  <w:r>
                    <w:rPr>
                      <w:rFonts w:hint="default" w:ascii="Times New Roman" w:hAnsi="Times New Roman" w:cs="Times New Roman"/>
                      <w:color w:val="auto"/>
                      <w:sz w:val="21"/>
                      <w:szCs w:val="21"/>
                      <w:u w:val="none"/>
                      <w:vertAlign w:val="superscript"/>
                      <w:lang w:val="en-US" w:eastAsia="zh-CN"/>
                    </w:rPr>
                    <w:t>2</w:t>
                  </w:r>
                  <w:r>
                    <w:rPr>
                      <w:rFonts w:hint="default" w:ascii="Times New Roman" w:hAnsi="Times New Roman" w:cs="Times New Roman"/>
                      <w:color w:val="auto"/>
                      <w:sz w:val="21"/>
                      <w:szCs w:val="21"/>
                      <w:u w:val="none"/>
                      <w:lang w:val="en-US" w:eastAsia="zh-CN"/>
                    </w:rPr>
                    <w:t>钢架雨棚用于暂存</w:t>
                  </w:r>
                  <w:r>
                    <w:rPr>
                      <w:rFonts w:hint="default" w:ascii="Times New Roman" w:hAnsi="Times New Roman" w:cs="Times New Roman"/>
                      <w:color w:val="auto"/>
                      <w:kern w:val="0"/>
                      <w:sz w:val="21"/>
                      <w:szCs w:val="21"/>
                      <w:u w:val="none"/>
                      <w:lang w:eastAsia="zh-CN"/>
                    </w:rPr>
                    <w:t>筛分废弃</w:t>
                  </w:r>
                  <w:r>
                    <w:rPr>
                      <w:rFonts w:hint="default" w:ascii="Times New Roman" w:hAnsi="Times New Roman" w:eastAsia="宋体" w:cs="Times New Roman"/>
                      <w:color w:val="auto"/>
                      <w:kern w:val="2"/>
                      <w:sz w:val="21"/>
                      <w:szCs w:val="21"/>
                      <w:u w:val="none"/>
                      <w:lang w:val="en-US" w:eastAsia="zh-CN" w:bidi="ar-SA"/>
                    </w:rPr>
                    <w:t>中药材尾料</w:t>
                  </w:r>
                  <w:r>
                    <w:rPr>
                      <w:rFonts w:hint="eastAsia" w:cs="Times New Roman"/>
                      <w:color w:val="auto"/>
                      <w:kern w:val="2"/>
                      <w:sz w:val="21"/>
                      <w:szCs w:val="21"/>
                      <w:u w:val="none"/>
                      <w:lang w:val="en-US" w:eastAsia="zh-CN" w:bidi="ar-SA"/>
                    </w:rPr>
                    <w:t>，</w:t>
                  </w:r>
                  <w:r>
                    <w:rPr>
                      <w:rFonts w:hint="eastAsia" w:cs="Times New Roman"/>
                      <w:color w:val="FF0000"/>
                      <w:sz w:val="21"/>
                      <w:szCs w:val="21"/>
                      <w:u w:val="none"/>
                      <w:lang w:val="en-US" w:eastAsia="zh-CN"/>
                    </w:rPr>
                    <w:t>危险废物暂存及委托有资质单位处置</w:t>
                  </w:r>
                </w:p>
              </w:tc>
              <w:tc>
                <w:tcPr>
                  <w:tcW w:w="344" w:type="pct"/>
                  <w:tcBorders>
                    <w:tl2br w:val="nil"/>
                    <w:tr2bl w:val="nil"/>
                  </w:tcBorders>
                  <w:vAlign w:val="center"/>
                </w:tcPr>
                <w:p w14:paraId="6AA97034">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eastAsia" w:cs="Times New Roman" w:eastAsiaTheme="minorEastAsia"/>
                      <w:color w:val="auto"/>
                      <w:kern w:val="0"/>
                      <w:sz w:val="21"/>
                      <w:szCs w:val="21"/>
                      <w:u w:val="none"/>
                      <w:lang w:val="en-US" w:eastAsia="zh-CN"/>
                    </w:rPr>
                    <w:t>2</w:t>
                  </w:r>
                </w:p>
              </w:tc>
            </w:tr>
            <w:tr w14:paraId="199FF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pct"/>
                  <w:tcBorders>
                    <w:tl2br w:val="nil"/>
                    <w:tr2bl w:val="nil"/>
                  </w:tcBorders>
                  <w:vAlign w:val="center"/>
                </w:tcPr>
                <w:p w14:paraId="4BB5B1DA">
                  <w:pPr>
                    <w:keepNext w:val="0"/>
                    <w:keepLines w:val="0"/>
                    <w:pageBreakBefore w:val="0"/>
                    <w:widowControl/>
                    <w:kinsoku/>
                    <w:wordWrap/>
                    <w:overflowPunct/>
                    <w:topLinePunct w:val="0"/>
                    <w:autoSpaceDE/>
                    <w:autoSpaceDN/>
                    <w:bidi w:val="0"/>
                    <w:ind w:left="0" w:firstLine="0" w:firstLineChars="0"/>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环境风险防范</w:t>
                  </w:r>
                </w:p>
              </w:tc>
              <w:tc>
                <w:tcPr>
                  <w:tcW w:w="4068" w:type="pct"/>
                  <w:tcBorders>
                    <w:tl2br w:val="nil"/>
                    <w:tr2bl w:val="nil"/>
                  </w:tcBorders>
                  <w:vAlign w:val="center"/>
                </w:tcPr>
                <w:p w14:paraId="050425D7">
                  <w:pPr>
                    <w:keepNext w:val="0"/>
                    <w:keepLines w:val="0"/>
                    <w:pageBreakBefore w:val="0"/>
                    <w:kinsoku/>
                    <w:wordWrap/>
                    <w:overflowPunct/>
                    <w:topLinePunct w:val="0"/>
                    <w:autoSpaceDE/>
                    <w:autoSpaceDN/>
                    <w:bidi w:val="0"/>
                    <w:ind w:left="0" w:firstLine="0" w:firstLineChars="0"/>
                    <w:jc w:val="center"/>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消防设施定期检查、维护</w:t>
                  </w:r>
                  <w:r>
                    <w:rPr>
                      <w:rFonts w:hint="eastAsia" w:ascii="Times New Roman" w:hAnsi="Times New Roman" w:cs="Times New Roman" w:eastAsiaTheme="minorEastAsia"/>
                      <w:color w:val="auto"/>
                      <w:sz w:val="21"/>
                      <w:szCs w:val="21"/>
                      <w:u w:val="none"/>
                      <w:lang w:eastAsia="zh-CN"/>
                    </w:rPr>
                    <w:t>，对</w:t>
                  </w:r>
                  <w:r>
                    <w:rPr>
                      <w:rFonts w:hint="default" w:ascii="Times New Roman" w:hAnsi="Times New Roman" w:cs="Times New Roman" w:eastAsiaTheme="minorEastAsia"/>
                      <w:color w:val="auto"/>
                      <w:sz w:val="21"/>
                      <w:szCs w:val="21"/>
                      <w:u w:val="none"/>
                    </w:rPr>
                    <w:t>电器线路定期进行检查、维修、保养，设置灭火器、消防沙袋等消防器材</w:t>
                  </w:r>
                </w:p>
              </w:tc>
              <w:tc>
                <w:tcPr>
                  <w:tcW w:w="344" w:type="pct"/>
                  <w:tcBorders>
                    <w:tl2br w:val="nil"/>
                    <w:tr2bl w:val="nil"/>
                  </w:tcBorders>
                  <w:vAlign w:val="center"/>
                </w:tcPr>
                <w:p w14:paraId="0E5EE169">
                  <w:pPr>
                    <w:keepNext w:val="0"/>
                    <w:keepLines w:val="0"/>
                    <w:pageBreakBefore w:val="0"/>
                    <w:widowControl/>
                    <w:kinsoku/>
                    <w:wordWrap/>
                    <w:overflowPunct/>
                    <w:topLinePunct w:val="0"/>
                    <w:autoSpaceDE/>
                    <w:autoSpaceDN/>
                    <w:bidi w:val="0"/>
                    <w:ind w:left="0" w:firstLine="0" w:firstLineChars="0"/>
                    <w:jc w:val="center"/>
                    <w:textAlignment w:val="center"/>
                    <w:rPr>
                      <w:rFonts w:hint="default" w:ascii="Times New Roman" w:hAnsi="Times New Roman" w:cs="Times New Roman" w:eastAsiaTheme="minorEastAsia"/>
                      <w:color w:val="auto"/>
                      <w:kern w:val="0"/>
                      <w:sz w:val="21"/>
                      <w:szCs w:val="21"/>
                      <w:u w:val="none"/>
                      <w:lang w:val="en-US" w:eastAsia="zh-CN"/>
                    </w:rPr>
                  </w:pPr>
                  <w:r>
                    <w:rPr>
                      <w:rFonts w:hint="default" w:ascii="Times New Roman" w:hAnsi="Times New Roman" w:cs="Times New Roman" w:eastAsiaTheme="minorEastAsia"/>
                      <w:color w:val="auto"/>
                      <w:kern w:val="0"/>
                      <w:sz w:val="21"/>
                      <w:szCs w:val="21"/>
                      <w:u w:val="none"/>
                      <w:lang w:val="en-US" w:eastAsia="zh-CN"/>
                    </w:rPr>
                    <w:t>2</w:t>
                  </w:r>
                </w:p>
              </w:tc>
            </w:tr>
            <w:tr w14:paraId="2D6A8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55" w:type="pct"/>
                  <w:gridSpan w:val="2"/>
                  <w:tcBorders>
                    <w:tl2br w:val="nil"/>
                    <w:tr2bl w:val="nil"/>
                  </w:tcBorders>
                  <w:vAlign w:val="center"/>
                </w:tcPr>
                <w:p w14:paraId="5436E7D1">
                  <w:pPr>
                    <w:pStyle w:val="61"/>
                    <w:keepNext w:val="0"/>
                    <w:keepLines w:val="0"/>
                    <w:pageBreakBefore w:val="0"/>
                    <w:kinsoku/>
                    <w:wordWrap/>
                    <w:overflowPunct/>
                    <w:topLinePunct w:val="0"/>
                    <w:autoSpaceDE/>
                    <w:autoSpaceDN/>
                    <w:bidi w:val="0"/>
                    <w:spacing w:before="0" w:beforeLines="0" w:after="0" w:afterLines="0" w:line="240" w:lineRule="auto"/>
                    <w:ind w:left="0" w:firstLine="0" w:firstLineChars="0"/>
                    <w:rPr>
                      <w:rFonts w:hint="default" w:ascii="Times New Roman" w:hAnsi="Times New Roman" w:cs="Times New Roman" w:eastAsiaTheme="minorEastAsia"/>
                      <w:color w:val="auto"/>
                      <w:kern w:val="2"/>
                      <w:sz w:val="21"/>
                      <w:szCs w:val="21"/>
                      <w:u w:val="none"/>
                    </w:rPr>
                  </w:pPr>
                  <w:r>
                    <w:rPr>
                      <w:rFonts w:hint="default" w:ascii="Times New Roman" w:hAnsi="Times New Roman" w:cs="Times New Roman" w:eastAsiaTheme="minorEastAsia"/>
                      <w:color w:val="auto"/>
                      <w:kern w:val="2"/>
                      <w:sz w:val="21"/>
                      <w:szCs w:val="21"/>
                      <w:u w:val="none"/>
                    </w:rPr>
                    <w:t>合计</w:t>
                  </w:r>
                </w:p>
              </w:tc>
              <w:tc>
                <w:tcPr>
                  <w:tcW w:w="344" w:type="pct"/>
                  <w:tcBorders>
                    <w:tl2br w:val="nil"/>
                    <w:tr2bl w:val="nil"/>
                  </w:tcBorders>
                  <w:vAlign w:val="center"/>
                </w:tcPr>
                <w:p w14:paraId="0F12E300">
                  <w:pPr>
                    <w:keepNext w:val="0"/>
                    <w:keepLines w:val="0"/>
                    <w:pageBreakBefore w:val="0"/>
                    <w:kinsoku/>
                    <w:wordWrap/>
                    <w:overflowPunct/>
                    <w:topLinePunct w:val="0"/>
                    <w:autoSpaceDE/>
                    <w:autoSpaceDN/>
                    <w:bidi w:val="0"/>
                    <w:ind w:left="0" w:firstLine="0" w:firstLineChars="0"/>
                    <w:jc w:val="center"/>
                    <w:rPr>
                      <w:rFonts w:hint="default" w:ascii="Times New Roman" w:hAnsi="Times New Roman" w:cs="Times New Roman" w:eastAsiaTheme="minorEastAsia"/>
                      <w:color w:val="auto"/>
                      <w:sz w:val="21"/>
                      <w:szCs w:val="21"/>
                      <w:u w:val="none"/>
                      <w:lang w:val="en-US" w:eastAsia="zh-CN"/>
                    </w:rPr>
                  </w:pPr>
                  <w:r>
                    <w:rPr>
                      <w:rFonts w:hint="eastAsia" w:ascii="Times New Roman" w:hAnsi="Times New Roman" w:cs="Times New Roman" w:eastAsiaTheme="minorEastAsia"/>
                      <w:color w:val="auto"/>
                      <w:sz w:val="21"/>
                      <w:szCs w:val="21"/>
                      <w:u w:val="none"/>
                      <w:lang w:val="en-US" w:eastAsia="zh-CN"/>
                    </w:rPr>
                    <w:t>20</w:t>
                  </w:r>
                </w:p>
              </w:tc>
            </w:tr>
          </w:tbl>
          <w:p w14:paraId="50885EE1">
            <w:pPr>
              <w:adjustRightInd w:val="0"/>
              <w:snapToGrid w:val="0"/>
              <w:spacing w:line="360" w:lineRule="auto"/>
              <w:ind w:firstLine="525" w:firstLineChars="250"/>
              <w:rPr>
                <w:rFonts w:hint="default" w:ascii="Times New Roman" w:hAnsi="Times New Roman" w:cs="Times New Roman"/>
                <w:color w:val="auto"/>
              </w:rPr>
            </w:pPr>
          </w:p>
          <w:p w14:paraId="6AA9385C">
            <w:pPr>
              <w:adjustRightInd w:val="0"/>
              <w:snapToGrid w:val="0"/>
              <w:spacing w:line="360" w:lineRule="auto"/>
              <w:ind w:firstLine="525" w:firstLineChars="250"/>
              <w:rPr>
                <w:rFonts w:hint="default"/>
                <w:color w:val="auto"/>
              </w:rPr>
            </w:pPr>
          </w:p>
          <w:p w14:paraId="14FBCCAB">
            <w:pPr>
              <w:adjustRightInd w:val="0"/>
              <w:snapToGrid w:val="0"/>
              <w:spacing w:line="360" w:lineRule="auto"/>
              <w:ind w:firstLine="525" w:firstLineChars="250"/>
              <w:rPr>
                <w:rFonts w:hint="default"/>
                <w:color w:val="auto"/>
              </w:rPr>
            </w:pPr>
          </w:p>
          <w:p w14:paraId="5D94043C">
            <w:pPr>
              <w:adjustRightInd w:val="0"/>
              <w:snapToGrid w:val="0"/>
              <w:spacing w:line="360" w:lineRule="auto"/>
              <w:ind w:firstLine="525" w:firstLineChars="250"/>
              <w:rPr>
                <w:rFonts w:hint="default"/>
                <w:color w:val="auto"/>
              </w:rPr>
            </w:pPr>
          </w:p>
          <w:p w14:paraId="504DDA16">
            <w:pPr>
              <w:adjustRightInd w:val="0"/>
              <w:snapToGrid w:val="0"/>
              <w:spacing w:line="360" w:lineRule="auto"/>
              <w:ind w:firstLine="525" w:firstLineChars="250"/>
              <w:rPr>
                <w:rFonts w:hint="default"/>
                <w:color w:val="auto"/>
              </w:rPr>
            </w:pPr>
          </w:p>
          <w:p w14:paraId="53E640F0">
            <w:pPr>
              <w:adjustRightInd w:val="0"/>
              <w:snapToGrid w:val="0"/>
              <w:spacing w:line="360" w:lineRule="auto"/>
              <w:ind w:firstLine="525" w:firstLineChars="250"/>
              <w:rPr>
                <w:rFonts w:hint="default"/>
                <w:color w:val="auto"/>
              </w:rPr>
            </w:pPr>
          </w:p>
          <w:p w14:paraId="397A57B1">
            <w:pPr>
              <w:adjustRightInd w:val="0"/>
              <w:snapToGrid w:val="0"/>
              <w:spacing w:line="360" w:lineRule="auto"/>
              <w:ind w:firstLine="525" w:firstLineChars="250"/>
              <w:rPr>
                <w:rFonts w:hint="default"/>
                <w:color w:val="auto"/>
              </w:rPr>
            </w:pPr>
          </w:p>
          <w:p w14:paraId="33D5DD29">
            <w:pPr>
              <w:adjustRightInd w:val="0"/>
              <w:snapToGrid w:val="0"/>
              <w:spacing w:line="360" w:lineRule="auto"/>
              <w:ind w:firstLine="525" w:firstLineChars="250"/>
              <w:rPr>
                <w:rFonts w:hint="default"/>
                <w:color w:val="auto"/>
              </w:rPr>
            </w:pPr>
          </w:p>
          <w:p w14:paraId="3988969B">
            <w:pPr>
              <w:adjustRightInd w:val="0"/>
              <w:snapToGrid w:val="0"/>
              <w:spacing w:line="360" w:lineRule="auto"/>
              <w:ind w:firstLine="525" w:firstLineChars="250"/>
              <w:rPr>
                <w:rFonts w:hint="default"/>
                <w:color w:val="auto"/>
              </w:rPr>
            </w:pPr>
          </w:p>
          <w:p w14:paraId="6C8283E4">
            <w:pPr>
              <w:adjustRightInd w:val="0"/>
              <w:snapToGrid w:val="0"/>
              <w:spacing w:line="360" w:lineRule="auto"/>
              <w:ind w:firstLine="525" w:firstLineChars="250"/>
              <w:rPr>
                <w:rFonts w:hint="default"/>
                <w:color w:val="auto"/>
              </w:rPr>
            </w:pPr>
          </w:p>
          <w:p w14:paraId="73A504C3">
            <w:pPr>
              <w:adjustRightInd w:val="0"/>
              <w:snapToGrid w:val="0"/>
              <w:spacing w:line="360" w:lineRule="auto"/>
              <w:ind w:firstLine="525" w:firstLineChars="250"/>
              <w:rPr>
                <w:rFonts w:hint="default"/>
                <w:color w:val="auto"/>
              </w:rPr>
            </w:pPr>
          </w:p>
          <w:p w14:paraId="43BFCCE1">
            <w:pPr>
              <w:adjustRightInd w:val="0"/>
              <w:snapToGrid w:val="0"/>
              <w:spacing w:line="360" w:lineRule="auto"/>
              <w:ind w:firstLine="525" w:firstLineChars="250"/>
              <w:rPr>
                <w:rFonts w:hint="default"/>
                <w:color w:val="auto"/>
              </w:rPr>
            </w:pPr>
          </w:p>
          <w:p w14:paraId="6ABD9C7F">
            <w:pPr>
              <w:adjustRightInd w:val="0"/>
              <w:snapToGrid w:val="0"/>
              <w:spacing w:line="360" w:lineRule="auto"/>
              <w:ind w:firstLine="525" w:firstLineChars="250"/>
              <w:rPr>
                <w:rFonts w:hint="default"/>
                <w:color w:val="auto"/>
              </w:rPr>
            </w:pPr>
          </w:p>
          <w:p w14:paraId="6EF4F184">
            <w:pPr>
              <w:adjustRightInd w:val="0"/>
              <w:snapToGrid w:val="0"/>
              <w:spacing w:line="360" w:lineRule="auto"/>
              <w:ind w:firstLine="525" w:firstLineChars="250"/>
              <w:rPr>
                <w:rFonts w:hint="default"/>
                <w:color w:val="auto"/>
              </w:rPr>
            </w:pPr>
          </w:p>
          <w:p w14:paraId="4FFD270B">
            <w:pPr>
              <w:adjustRightInd w:val="0"/>
              <w:snapToGrid w:val="0"/>
              <w:spacing w:line="360" w:lineRule="auto"/>
              <w:ind w:firstLine="525" w:firstLineChars="250"/>
              <w:rPr>
                <w:rFonts w:hint="default" w:ascii="Times New Roman" w:hAnsi="Times New Roman" w:cs="Times New Roman"/>
                <w:color w:val="auto"/>
              </w:rPr>
            </w:pPr>
          </w:p>
        </w:tc>
      </w:tr>
    </w:tbl>
    <w:p w14:paraId="488C3A42">
      <w:pPr>
        <w:rPr>
          <w:color w:val="auto"/>
        </w:rPr>
      </w:pPr>
    </w:p>
    <w:p w14:paraId="4F9151E1">
      <w:pPr>
        <w:rPr>
          <w:rFonts w:hint="default" w:ascii="Times New Roman" w:hAnsi="Times New Roman" w:cs="Times New Roman"/>
          <w:color w:val="auto"/>
        </w:rPr>
        <w:sectPr>
          <w:pgSz w:w="11905" w:h="16838"/>
          <w:pgMar w:top="1440" w:right="1803" w:bottom="1440" w:left="1803" w:header="851" w:footer="851" w:gutter="0"/>
          <w:pgBorders>
            <w:top w:val="none" w:sz="0" w:space="0"/>
            <w:left w:val="none" w:sz="0" w:space="0"/>
            <w:bottom w:val="none" w:sz="0" w:space="0"/>
            <w:right w:val="none" w:sz="0" w:space="0"/>
          </w:pgBorders>
          <w:pgNumType w:fmt="decimal"/>
          <w:cols w:space="0" w:num="1"/>
          <w:rtlGutter w:val="0"/>
          <w:docGrid w:linePitch="312" w:charSpace="0"/>
        </w:sectPr>
      </w:pPr>
    </w:p>
    <w:p w14:paraId="0059A7B3">
      <w:pPr>
        <w:pStyle w:val="2"/>
        <w:bidi w:val="0"/>
        <w:jc w:val="center"/>
        <w:rPr>
          <w:rFonts w:hint="default" w:asciiTheme="majorEastAsia" w:hAnsiTheme="majorEastAsia" w:eastAsiaTheme="majorEastAsia" w:cstheme="majorEastAsia"/>
          <w:b/>
          <w:bCs/>
          <w:color w:val="auto"/>
        </w:rPr>
      </w:pPr>
      <w:bookmarkStart w:id="21" w:name="_Hlk54167917"/>
      <w:bookmarkStart w:id="22" w:name="_Toc6049"/>
      <w:bookmarkStart w:id="23" w:name="_Toc6031"/>
      <w:bookmarkStart w:id="24" w:name="_Toc12262"/>
      <w:r>
        <w:rPr>
          <w:rFonts w:hint="eastAsia" w:asciiTheme="majorEastAsia" w:hAnsiTheme="majorEastAsia" w:eastAsiaTheme="majorEastAsia" w:cstheme="majorEastAsia"/>
          <w:b/>
          <w:bCs/>
          <w:color w:val="auto"/>
          <w:lang w:val="en-US" w:eastAsia="zh-CN"/>
        </w:rPr>
        <w:t>五、</w:t>
      </w:r>
      <w:r>
        <w:rPr>
          <w:rFonts w:hint="default" w:asciiTheme="majorEastAsia" w:hAnsiTheme="majorEastAsia" w:eastAsiaTheme="majorEastAsia" w:cstheme="majorEastAsia"/>
          <w:b/>
          <w:bCs/>
          <w:color w:val="auto"/>
        </w:rPr>
        <w:t>环境保护措施监督检查清单</w:t>
      </w:r>
      <w:bookmarkEnd w:id="21"/>
      <w:bookmarkEnd w:id="22"/>
      <w:bookmarkEnd w:id="23"/>
      <w:bookmarkEnd w:id="24"/>
    </w:p>
    <w:tbl>
      <w:tblPr>
        <w:tblStyle w:val="32"/>
        <w:tblW w:w="86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484"/>
        <w:gridCol w:w="1325"/>
        <w:gridCol w:w="1288"/>
        <w:gridCol w:w="1325"/>
        <w:gridCol w:w="2997"/>
      </w:tblGrid>
      <w:tr w14:paraId="19E7A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9" w:type="dxa"/>
            <w:tcBorders>
              <w:tl2br w:val="single" w:color="auto" w:sz="12" w:space="0"/>
            </w:tcBorders>
          </w:tcPr>
          <w:p w14:paraId="33520FBD">
            <w:pPr>
              <w:spacing w:line="240" w:lineRule="atLeast"/>
              <w:jc w:val="right"/>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内容</w:t>
            </w:r>
          </w:p>
          <w:p w14:paraId="54D158C5">
            <w:pPr>
              <w:spacing w:line="240" w:lineRule="atLeast"/>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要素</w:t>
            </w:r>
          </w:p>
        </w:tc>
        <w:tc>
          <w:tcPr>
            <w:tcW w:w="1809" w:type="dxa"/>
            <w:gridSpan w:val="2"/>
            <w:vAlign w:val="center"/>
          </w:tcPr>
          <w:p w14:paraId="4E20444C">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排放口</w:t>
            </w:r>
            <w:r>
              <w:rPr>
                <w:rFonts w:hint="eastAsia" w:cs="Times New Roman"/>
                <w:b/>
                <w:bCs/>
                <w:color w:val="auto"/>
                <w:sz w:val="24"/>
                <w:szCs w:val="24"/>
                <w:u w:val="none"/>
                <w:lang w:eastAsia="zh-CN"/>
              </w:rPr>
              <w:t>（</w:t>
            </w:r>
            <w:r>
              <w:rPr>
                <w:rFonts w:hint="default" w:ascii="Times New Roman" w:hAnsi="Times New Roman" w:cs="Times New Roman"/>
                <w:b/>
                <w:bCs/>
                <w:color w:val="auto"/>
                <w:sz w:val="24"/>
                <w:szCs w:val="24"/>
                <w:u w:val="none"/>
              </w:rPr>
              <w:t>编号、名称</w:t>
            </w:r>
            <w:r>
              <w:rPr>
                <w:rFonts w:hint="eastAsia" w:cs="Times New Roman"/>
                <w:b/>
                <w:bCs/>
                <w:color w:val="auto"/>
                <w:sz w:val="24"/>
                <w:szCs w:val="24"/>
                <w:u w:val="none"/>
                <w:lang w:eastAsia="zh-CN"/>
              </w:rPr>
              <w:t>）</w:t>
            </w:r>
            <w:r>
              <w:rPr>
                <w:rFonts w:hint="default" w:ascii="Times New Roman" w:hAnsi="Times New Roman" w:cs="Times New Roman"/>
                <w:b/>
                <w:bCs/>
                <w:color w:val="auto"/>
                <w:sz w:val="24"/>
                <w:szCs w:val="24"/>
                <w:u w:val="none"/>
              </w:rPr>
              <w:t>/污染源</w:t>
            </w:r>
          </w:p>
        </w:tc>
        <w:tc>
          <w:tcPr>
            <w:tcW w:w="1288" w:type="dxa"/>
            <w:vAlign w:val="center"/>
          </w:tcPr>
          <w:p w14:paraId="38324E61">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污染物项目</w:t>
            </w:r>
          </w:p>
        </w:tc>
        <w:tc>
          <w:tcPr>
            <w:tcW w:w="1325" w:type="dxa"/>
            <w:vAlign w:val="center"/>
          </w:tcPr>
          <w:p w14:paraId="665EF2C4">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环境保护措施</w:t>
            </w:r>
          </w:p>
        </w:tc>
        <w:tc>
          <w:tcPr>
            <w:tcW w:w="2997" w:type="dxa"/>
            <w:vAlign w:val="center"/>
          </w:tcPr>
          <w:p w14:paraId="57C27C97">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执行标准</w:t>
            </w:r>
          </w:p>
        </w:tc>
      </w:tr>
      <w:tr w14:paraId="69C8D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9" w:type="dxa"/>
            <w:vMerge w:val="restart"/>
            <w:vAlign w:val="center"/>
          </w:tcPr>
          <w:p w14:paraId="61EFC2ED">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大气环境</w:t>
            </w:r>
          </w:p>
        </w:tc>
        <w:tc>
          <w:tcPr>
            <w:tcW w:w="484" w:type="dxa"/>
            <w:vMerge w:val="restart"/>
            <w:vAlign w:val="center"/>
          </w:tcPr>
          <w:p w14:paraId="5DE2536F">
            <w:pPr>
              <w:tabs>
                <w:tab w:val="left" w:pos="8820"/>
                <w:tab w:val="left" w:pos="9000"/>
              </w:tabs>
              <w:spacing w:line="240" w:lineRule="atLeast"/>
              <w:jc w:val="center"/>
              <w:rPr>
                <w:rFonts w:hint="default" w:ascii="Times New Roman" w:hAnsi="Times New Roman" w:eastAsia="宋体" w:cs="Times New Roman"/>
                <w:color w:val="auto"/>
                <w:sz w:val="24"/>
                <w:szCs w:val="24"/>
                <w:u w:val="none"/>
                <w:lang w:eastAsia="zh-CN"/>
              </w:rPr>
            </w:pPr>
            <w:r>
              <w:rPr>
                <w:rFonts w:hint="default" w:ascii="Times New Roman" w:hAnsi="Times New Roman" w:cs="Times New Roman"/>
                <w:color w:val="auto"/>
                <w:sz w:val="24"/>
                <w:szCs w:val="24"/>
                <w:u w:val="none"/>
                <w:lang w:eastAsia="zh-CN"/>
              </w:rPr>
              <w:t>有组织</w:t>
            </w:r>
          </w:p>
        </w:tc>
        <w:tc>
          <w:tcPr>
            <w:tcW w:w="1325" w:type="dxa"/>
            <w:vAlign w:val="center"/>
          </w:tcPr>
          <w:p w14:paraId="51443649">
            <w:pPr>
              <w:keepNext w:val="0"/>
              <w:keepLines w:val="0"/>
              <w:pageBreakBefore w:val="0"/>
              <w:widowControl w:val="0"/>
              <w:kinsoku/>
              <w:wordWrap/>
              <w:overflowPunct/>
              <w:topLinePunct w:val="0"/>
              <w:autoSpaceDE w:val="0"/>
              <w:autoSpaceDN w:val="0"/>
              <w:bidi w:val="0"/>
              <w:snapToGrid/>
              <w:ind w:left="0" w:leftChars="0" w:right="0" w:rightChars="0" w:firstLine="0" w:firstLineChars="0"/>
              <w:jc w:val="center"/>
              <w:textAlignment w:val="auto"/>
              <w:rPr>
                <w:rFonts w:hint="default" w:ascii="Times New Roman" w:hAnsi="Times New Roman" w:cs="Times New Roman"/>
                <w:color w:val="auto"/>
                <w:sz w:val="24"/>
                <w:szCs w:val="24"/>
                <w:u w:val="none"/>
                <w:lang w:val="en-US" w:eastAsia="zh-CN"/>
              </w:rPr>
            </w:pPr>
            <w:r>
              <w:rPr>
                <w:rFonts w:hint="eastAsia" w:ascii="Times New Roman" w:hAnsi="Times New Roman" w:eastAsia="宋体" w:cs="Times New Roman"/>
                <w:color w:val="auto"/>
                <w:sz w:val="24"/>
                <w:szCs w:val="24"/>
                <w:u w:val="none" w:color="auto"/>
                <w:lang w:val="en-US" w:eastAsia="zh-CN"/>
              </w:rPr>
              <w:t>蒸汽发生器废气（DA0</w:t>
            </w:r>
            <w:r>
              <w:rPr>
                <w:rFonts w:hint="eastAsia" w:ascii="Times New Roman" w:hAnsi="Times New Roman" w:cs="Times New Roman"/>
                <w:color w:val="auto"/>
                <w:sz w:val="24"/>
                <w:szCs w:val="24"/>
                <w:u w:val="none" w:color="auto"/>
                <w:lang w:val="en-US" w:eastAsia="zh-CN"/>
              </w:rPr>
              <w:t>01）</w:t>
            </w:r>
          </w:p>
        </w:tc>
        <w:tc>
          <w:tcPr>
            <w:tcW w:w="1288" w:type="dxa"/>
            <w:vAlign w:val="center"/>
          </w:tcPr>
          <w:p w14:paraId="4CEB6B90">
            <w:pPr>
              <w:tabs>
                <w:tab w:val="left" w:pos="8820"/>
                <w:tab w:val="left" w:pos="9000"/>
              </w:tabs>
              <w:spacing w:line="240" w:lineRule="atLeast"/>
              <w:jc w:val="center"/>
              <w:rPr>
                <w:rFonts w:hint="default" w:ascii="Times New Roman" w:hAnsi="Times New Roman" w:eastAsia="宋体" w:cs="Times New Roman"/>
                <w:color w:val="auto"/>
                <w:sz w:val="24"/>
                <w:szCs w:val="24"/>
                <w:u w:val="none"/>
                <w:lang w:eastAsia="zh-CN"/>
              </w:rPr>
            </w:pPr>
            <w:r>
              <w:rPr>
                <w:rFonts w:hint="default" w:ascii="Times New Roman" w:hAnsi="Times New Roman" w:cs="Times New Roman"/>
                <w:color w:val="auto"/>
                <w:sz w:val="24"/>
                <w:szCs w:val="24"/>
                <w:u w:val="none"/>
                <w:lang w:eastAsia="zh-CN"/>
              </w:rPr>
              <w:t>二氧化硫、氮氧化物、颗粒物</w:t>
            </w:r>
          </w:p>
        </w:tc>
        <w:tc>
          <w:tcPr>
            <w:tcW w:w="1325" w:type="dxa"/>
            <w:vAlign w:val="center"/>
          </w:tcPr>
          <w:p w14:paraId="0EF3AD9B">
            <w:pPr>
              <w:tabs>
                <w:tab w:val="left" w:pos="8820"/>
                <w:tab w:val="left" w:pos="9000"/>
              </w:tabs>
              <w:spacing w:line="240" w:lineRule="atLeast"/>
              <w:jc w:val="center"/>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eastAsia="zh-CN"/>
              </w:rPr>
              <w:t>低氮燃烧装置、</w:t>
            </w:r>
            <w:r>
              <w:rPr>
                <w:rFonts w:hint="eastAsia" w:ascii="Times New Roman" w:hAnsi="Times New Roman" w:cs="Times New Roman"/>
                <w:color w:val="auto"/>
                <w:sz w:val="24"/>
                <w:szCs w:val="24"/>
                <w:u w:val="none"/>
                <w:lang w:eastAsia="zh-CN"/>
              </w:rPr>
              <w:t>布袋</w:t>
            </w:r>
            <w:r>
              <w:rPr>
                <w:rFonts w:hint="default" w:ascii="Times New Roman" w:hAnsi="Times New Roman" w:cs="Times New Roman"/>
                <w:color w:val="auto"/>
                <w:sz w:val="24"/>
                <w:szCs w:val="24"/>
                <w:u w:val="none"/>
                <w:lang w:eastAsia="zh-CN"/>
              </w:rPr>
              <w:t>除尘处理后</w:t>
            </w:r>
            <w:r>
              <w:rPr>
                <w:rFonts w:hint="default" w:ascii="Times New Roman" w:hAnsi="Times New Roman" w:cs="Times New Roman"/>
                <w:color w:val="auto"/>
                <w:sz w:val="24"/>
                <w:szCs w:val="24"/>
                <w:u w:val="none"/>
                <w:lang w:val="en-US" w:eastAsia="zh-CN"/>
              </w:rPr>
              <w:t>+</w:t>
            </w:r>
            <w:r>
              <w:rPr>
                <w:rFonts w:hint="eastAsia" w:cs="Times New Roman"/>
                <w:color w:val="auto"/>
                <w:sz w:val="24"/>
                <w:szCs w:val="24"/>
                <w:u w:val="none"/>
                <w:lang w:val="en-US" w:eastAsia="zh-CN"/>
              </w:rPr>
              <w:t>1</w:t>
            </w:r>
            <w:r>
              <w:rPr>
                <w:rFonts w:hint="default" w:ascii="Times New Roman" w:hAnsi="Times New Roman" w:cs="Times New Roman"/>
                <w:color w:val="auto"/>
                <w:sz w:val="24"/>
                <w:szCs w:val="24"/>
                <w:u w:val="none"/>
                <w:lang w:val="en-US" w:eastAsia="zh-CN"/>
              </w:rPr>
              <w:t>5m高排气筒排放</w:t>
            </w:r>
          </w:p>
        </w:tc>
        <w:tc>
          <w:tcPr>
            <w:tcW w:w="2997" w:type="dxa"/>
            <w:vAlign w:val="center"/>
          </w:tcPr>
          <w:p w14:paraId="06511DC4">
            <w:pPr>
              <w:tabs>
                <w:tab w:val="left" w:pos="8820"/>
                <w:tab w:val="left" w:pos="9000"/>
              </w:tabs>
              <w:spacing w:line="240" w:lineRule="atLeast"/>
              <w:jc w:val="center"/>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《锅炉大气污染物排放标准》（GB13271-2014）表2新建锅炉大气污染物排放浓度限值中的燃煤锅炉标准</w:t>
            </w:r>
          </w:p>
        </w:tc>
      </w:tr>
      <w:tr w14:paraId="7DD87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9" w:type="dxa"/>
            <w:vMerge w:val="continue"/>
            <w:vAlign w:val="center"/>
          </w:tcPr>
          <w:p w14:paraId="23E95875">
            <w:pPr>
              <w:spacing w:line="240" w:lineRule="atLeast"/>
              <w:jc w:val="center"/>
              <w:rPr>
                <w:rFonts w:hint="default" w:ascii="Times New Roman" w:hAnsi="Times New Roman" w:cs="Times New Roman"/>
                <w:b/>
                <w:bCs/>
                <w:color w:val="auto"/>
                <w:sz w:val="24"/>
                <w:szCs w:val="24"/>
                <w:u w:val="none"/>
              </w:rPr>
            </w:pPr>
          </w:p>
        </w:tc>
        <w:tc>
          <w:tcPr>
            <w:tcW w:w="484" w:type="dxa"/>
            <w:vMerge w:val="continue"/>
            <w:vAlign w:val="center"/>
          </w:tcPr>
          <w:p w14:paraId="44AC1072">
            <w:pPr>
              <w:tabs>
                <w:tab w:val="left" w:pos="8820"/>
                <w:tab w:val="left" w:pos="9000"/>
              </w:tabs>
              <w:spacing w:line="240" w:lineRule="atLeast"/>
              <w:jc w:val="center"/>
              <w:rPr>
                <w:rFonts w:hint="default" w:ascii="Times New Roman" w:hAnsi="Times New Roman" w:cs="Times New Roman"/>
                <w:color w:val="auto"/>
                <w:sz w:val="24"/>
                <w:szCs w:val="24"/>
                <w:u w:val="none"/>
                <w:lang w:eastAsia="zh-CN"/>
              </w:rPr>
            </w:pPr>
          </w:p>
        </w:tc>
        <w:tc>
          <w:tcPr>
            <w:tcW w:w="1325" w:type="dxa"/>
            <w:vAlign w:val="center"/>
          </w:tcPr>
          <w:p w14:paraId="1A83AF1A">
            <w:pPr>
              <w:tabs>
                <w:tab w:val="left" w:pos="8820"/>
                <w:tab w:val="left" w:pos="9000"/>
              </w:tabs>
              <w:spacing w:line="240" w:lineRule="atLeast"/>
              <w:jc w:val="center"/>
              <w:rPr>
                <w:rFonts w:hint="eastAsia" w:cs="Times New Roman"/>
                <w:color w:val="auto"/>
                <w:sz w:val="24"/>
                <w:szCs w:val="24"/>
                <w:u w:val="none"/>
                <w:lang w:val="en-US" w:eastAsia="zh-CN"/>
              </w:rPr>
            </w:pPr>
            <w:r>
              <w:rPr>
                <w:rFonts w:hint="eastAsia" w:ascii="Times New Roman" w:hAnsi="Times New Roman" w:eastAsia="宋体" w:cs="Times New Roman"/>
                <w:color w:val="auto"/>
                <w:sz w:val="24"/>
                <w:szCs w:val="24"/>
                <w:u w:val="single"/>
                <w:lang w:val="en-US" w:eastAsia="zh-CN"/>
              </w:rPr>
              <w:t>热风炉废气（DA002）</w:t>
            </w:r>
          </w:p>
        </w:tc>
        <w:tc>
          <w:tcPr>
            <w:tcW w:w="1288" w:type="dxa"/>
            <w:vAlign w:val="center"/>
          </w:tcPr>
          <w:p w14:paraId="44640F29">
            <w:pPr>
              <w:tabs>
                <w:tab w:val="left" w:pos="8820"/>
                <w:tab w:val="left" w:pos="9000"/>
              </w:tabs>
              <w:spacing w:line="240" w:lineRule="atLeast"/>
              <w:jc w:val="center"/>
              <w:rPr>
                <w:rFonts w:hint="default" w:ascii="Times New Roman" w:hAnsi="Times New Roman" w:cs="Times New Roman"/>
                <w:color w:val="auto"/>
                <w:sz w:val="24"/>
                <w:szCs w:val="24"/>
                <w:u w:val="none"/>
                <w:lang w:eastAsia="zh-CN"/>
              </w:rPr>
            </w:pPr>
            <w:r>
              <w:rPr>
                <w:rFonts w:hint="default" w:ascii="Times New Roman" w:hAnsi="Times New Roman" w:eastAsia="宋体" w:cs="Times New Roman"/>
                <w:color w:val="auto"/>
                <w:sz w:val="24"/>
                <w:szCs w:val="24"/>
                <w:u w:val="single"/>
                <w:lang w:val="en-US" w:eastAsia="zh-CN"/>
              </w:rPr>
              <w:t>二氧化硫、氮氧化物、颗粒物</w:t>
            </w:r>
          </w:p>
        </w:tc>
        <w:tc>
          <w:tcPr>
            <w:tcW w:w="1325" w:type="dxa"/>
            <w:vAlign w:val="center"/>
          </w:tcPr>
          <w:p w14:paraId="42E5D55D">
            <w:pPr>
              <w:tabs>
                <w:tab w:val="left" w:pos="8820"/>
                <w:tab w:val="left" w:pos="9000"/>
              </w:tabs>
              <w:spacing w:line="240" w:lineRule="atLeast"/>
              <w:jc w:val="center"/>
              <w:rPr>
                <w:rFonts w:hint="default" w:ascii="Times New Roman" w:hAnsi="Times New Roman" w:cs="Times New Roman"/>
                <w:color w:val="auto"/>
                <w:sz w:val="24"/>
                <w:szCs w:val="24"/>
                <w:u w:val="none"/>
                <w:lang w:eastAsia="zh-CN"/>
              </w:rPr>
            </w:pPr>
            <w:r>
              <w:rPr>
                <w:rFonts w:hint="default" w:ascii="Times New Roman" w:hAnsi="Times New Roman" w:eastAsia="宋体" w:cs="Times New Roman"/>
                <w:color w:val="auto"/>
                <w:sz w:val="24"/>
                <w:szCs w:val="24"/>
                <w:u w:val="single"/>
                <w:lang w:val="en-US" w:eastAsia="zh-CN"/>
              </w:rPr>
              <w:t>低氮燃烧、</w:t>
            </w:r>
            <w:r>
              <w:rPr>
                <w:rFonts w:hint="eastAsia" w:cs="Times New Roman"/>
                <w:color w:val="auto"/>
                <w:sz w:val="24"/>
                <w:szCs w:val="24"/>
                <w:u w:val="single"/>
                <w:lang w:val="en-US" w:eastAsia="zh-CN"/>
              </w:rPr>
              <w:t>“布袋除尘+活性炭”</w:t>
            </w:r>
            <w:r>
              <w:rPr>
                <w:rFonts w:hint="default" w:ascii="Times New Roman" w:hAnsi="Times New Roman" w:eastAsia="宋体" w:cs="Times New Roman"/>
                <w:color w:val="auto"/>
                <w:sz w:val="24"/>
                <w:szCs w:val="24"/>
                <w:u w:val="single"/>
                <w:lang w:val="en-US" w:eastAsia="zh-CN"/>
              </w:rPr>
              <w:t>+15m排气筒高空排放</w:t>
            </w:r>
          </w:p>
        </w:tc>
        <w:tc>
          <w:tcPr>
            <w:tcW w:w="2997" w:type="dxa"/>
            <w:vAlign w:val="center"/>
          </w:tcPr>
          <w:p w14:paraId="220B6F52">
            <w:pPr>
              <w:tabs>
                <w:tab w:val="left" w:pos="8820"/>
                <w:tab w:val="left" w:pos="9000"/>
              </w:tabs>
              <w:spacing w:line="240" w:lineRule="atLeast"/>
              <w:jc w:val="center"/>
              <w:rPr>
                <w:rFonts w:hint="default" w:ascii="Times New Roman" w:hAnsi="Times New Roman" w:cs="Times New Roman"/>
                <w:color w:val="auto"/>
                <w:sz w:val="24"/>
                <w:szCs w:val="24"/>
                <w:u w:val="none"/>
              </w:rPr>
            </w:pPr>
            <w:r>
              <w:rPr>
                <w:rFonts w:hint="eastAsia" w:ascii="Times New Roman" w:hAnsi="Times New Roman" w:eastAsia="宋体" w:cs="Times New Roman"/>
                <w:color w:val="FF0000"/>
                <w:sz w:val="24"/>
                <w:szCs w:val="24"/>
                <w:u w:val="single"/>
                <w:lang w:val="en-US" w:eastAsia="zh-CN"/>
              </w:rPr>
              <w:t>参照执行</w:t>
            </w:r>
            <w:r>
              <w:rPr>
                <w:rFonts w:hint="default" w:ascii="Times New Roman" w:hAnsi="Times New Roman" w:eastAsia="宋体" w:cs="Times New Roman"/>
                <w:color w:val="FF0000"/>
                <w:sz w:val="24"/>
                <w:szCs w:val="24"/>
                <w:u w:val="single"/>
                <w:lang w:val="en-US" w:eastAsia="zh-CN"/>
              </w:rPr>
              <w:t>《湖南省工业炉窑大气污染综合治理实施方案》中现阶段长沙市、株洲市、湘潭市以及常德市、岳阳市、益阳市等传输通道城市</w:t>
            </w:r>
            <w:r>
              <w:rPr>
                <w:rFonts w:hint="eastAsia" w:ascii="Times New Roman" w:hAnsi="Times New Roman" w:eastAsia="宋体" w:cs="Times New Roman"/>
                <w:color w:val="FF0000"/>
                <w:sz w:val="24"/>
                <w:szCs w:val="24"/>
                <w:u w:val="single"/>
                <w:lang w:val="en-US" w:eastAsia="zh-CN"/>
              </w:rPr>
              <w:t>“</w:t>
            </w:r>
            <w:r>
              <w:rPr>
                <w:rFonts w:hint="default" w:ascii="Times New Roman" w:hAnsi="Times New Roman" w:eastAsia="宋体" w:cs="Times New Roman"/>
                <w:color w:val="FF0000"/>
                <w:sz w:val="24"/>
                <w:szCs w:val="24"/>
                <w:u w:val="single"/>
                <w:lang w:val="en-US" w:eastAsia="zh-CN"/>
              </w:rPr>
              <w:t>暂未制订行业排放标准的工业炉窑</w:t>
            </w:r>
            <w:r>
              <w:rPr>
                <w:rFonts w:hint="eastAsia" w:ascii="Times New Roman" w:hAnsi="Times New Roman" w:eastAsia="宋体" w:cs="Times New Roman"/>
                <w:color w:val="FF0000"/>
                <w:sz w:val="24"/>
                <w:szCs w:val="24"/>
                <w:u w:val="single"/>
                <w:lang w:val="en-US" w:eastAsia="zh-CN"/>
              </w:rPr>
              <w:t>”的排放</w:t>
            </w:r>
            <w:r>
              <w:rPr>
                <w:rFonts w:hint="default" w:ascii="Times New Roman" w:hAnsi="Times New Roman" w:eastAsia="宋体" w:cs="Times New Roman"/>
                <w:color w:val="FF0000"/>
                <w:sz w:val="24"/>
                <w:szCs w:val="24"/>
                <w:u w:val="single"/>
                <w:lang w:val="en-US" w:eastAsia="zh-CN"/>
              </w:rPr>
              <w:t>限值</w:t>
            </w:r>
            <w:r>
              <w:rPr>
                <w:rFonts w:hint="eastAsia" w:ascii="Times New Roman" w:hAnsi="Times New Roman" w:eastAsia="宋体" w:cs="Times New Roman"/>
                <w:color w:val="FF0000"/>
                <w:sz w:val="24"/>
                <w:szCs w:val="24"/>
                <w:u w:val="single"/>
                <w:lang w:val="en-US" w:eastAsia="zh-CN"/>
              </w:rPr>
              <w:t>（颗粒物、二氧化硫、氮氧化物排放限值分别不高于30、200、300毫克/立方米）</w:t>
            </w:r>
          </w:p>
        </w:tc>
      </w:tr>
      <w:tr w14:paraId="0ABBC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259" w:type="dxa"/>
            <w:vMerge w:val="continue"/>
            <w:vAlign w:val="center"/>
          </w:tcPr>
          <w:p w14:paraId="78FC09EF">
            <w:pPr>
              <w:spacing w:line="240" w:lineRule="atLeast"/>
              <w:jc w:val="center"/>
              <w:rPr>
                <w:rFonts w:hint="default" w:ascii="Times New Roman" w:hAnsi="Times New Roman" w:cs="Times New Roman"/>
                <w:b/>
                <w:bCs/>
                <w:color w:val="auto"/>
                <w:sz w:val="24"/>
                <w:szCs w:val="24"/>
                <w:u w:val="none"/>
              </w:rPr>
            </w:pPr>
          </w:p>
        </w:tc>
        <w:tc>
          <w:tcPr>
            <w:tcW w:w="484" w:type="dxa"/>
            <w:vMerge w:val="continue"/>
            <w:vAlign w:val="center"/>
          </w:tcPr>
          <w:p w14:paraId="18E7F8D6">
            <w:pPr>
              <w:tabs>
                <w:tab w:val="left" w:pos="8820"/>
                <w:tab w:val="left" w:pos="9000"/>
              </w:tabs>
              <w:spacing w:line="240" w:lineRule="atLeast"/>
              <w:jc w:val="center"/>
              <w:rPr>
                <w:rFonts w:hint="default" w:ascii="Times New Roman" w:hAnsi="Times New Roman" w:eastAsia="宋体" w:cs="Times New Roman"/>
                <w:color w:val="auto"/>
                <w:sz w:val="24"/>
                <w:szCs w:val="24"/>
                <w:u w:val="none"/>
                <w:lang w:eastAsia="zh-CN"/>
              </w:rPr>
            </w:pPr>
          </w:p>
        </w:tc>
        <w:tc>
          <w:tcPr>
            <w:tcW w:w="1325" w:type="dxa"/>
            <w:vAlign w:val="center"/>
          </w:tcPr>
          <w:p w14:paraId="00B5F615">
            <w:pPr>
              <w:tabs>
                <w:tab w:val="left" w:pos="8820"/>
                <w:tab w:val="left" w:pos="9000"/>
              </w:tabs>
              <w:spacing w:line="240" w:lineRule="atLeast"/>
              <w:jc w:val="center"/>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食堂烟囱</w:t>
            </w:r>
            <w:r>
              <w:rPr>
                <w:rFonts w:hint="eastAsia" w:ascii="Times New Roman" w:hAnsi="Times New Roman" w:eastAsia="宋体" w:cs="Times New Roman"/>
                <w:color w:val="auto"/>
                <w:sz w:val="24"/>
                <w:szCs w:val="24"/>
                <w:u w:val="none"/>
                <w:lang w:val="en-US" w:eastAsia="zh-CN"/>
              </w:rPr>
              <w:t>（DA003）</w:t>
            </w:r>
          </w:p>
        </w:tc>
        <w:tc>
          <w:tcPr>
            <w:tcW w:w="1288" w:type="dxa"/>
            <w:vAlign w:val="center"/>
          </w:tcPr>
          <w:p w14:paraId="2A2A2329">
            <w:pPr>
              <w:tabs>
                <w:tab w:val="left" w:pos="8820"/>
                <w:tab w:val="left" w:pos="9000"/>
              </w:tabs>
              <w:spacing w:line="240" w:lineRule="atLeast"/>
              <w:jc w:val="center"/>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食堂油烟</w:t>
            </w:r>
          </w:p>
        </w:tc>
        <w:tc>
          <w:tcPr>
            <w:tcW w:w="1325" w:type="dxa"/>
            <w:vAlign w:val="center"/>
          </w:tcPr>
          <w:p w14:paraId="68A34131">
            <w:pPr>
              <w:tabs>
                <w:tab w:val="left" w:pos="8820"/>
                <w:tab w:val="left" w:pos="9000"/>
              </w:tabs>
              <w:spacing w:line="240" w:lineRule="atLeast"/>
              <w:jc w:val="center"/>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油烟净化器</w:t>
            </w:r>
          </w:p>
        </w:tc>
        <w:tc>
          <w:tcPr>
            <w:tcW w:w="2997" w:type="dxa"/>
            <w:vAlign w:val="center"/>
          </w:tcPr>
          <w:p w14:paraId="6F2D2F2F">
            <w:pPr>
              <w:tabs>
                <w:tab w:val="left" w:pos="8820"/>
                <w:tab w:val="left" w:pos="9000"/>
              </w:tabs>
              <w:spacing w:line="240" w:lineRule="atLeast"/>
              <w:jc w:val="center"/>
              <w:rPr>
                <w:rFonts w:hint="default"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lang w:eastAsia="zh-CN"/>
              </w:rPr>
              <w:t>《饮食业油烟排放标准（试行）》（GB18483-2001）</w:t>
            </w:r>
          </w:p>
        </w:tc>
      </w:tr>
      <w:tr w14:paraId="080B7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259" w:type="dxa"/>
            <w:vMerge w:val="continue"/>
            <w:vAlign w:val="center"/>
          </w:tcPr>
          <w:p w14:paraId="0367D11A">
            <w:pPr>
              <w:spacing w:line="240" w:lineRule="atLeast"/>
              <w:jc w:val="center"/>
              <w:rPr>
                <w:rFonts w:hint="default" w:ascii="Times New Roman" w:hAnsi="Times New Roman" w:cs="Times New Roman"/>
                <w:b/>
                <w:bCs/>
                <w:color w:val="auto"/>
                <w:sz w:val="24"/>
                <w:szCs w:val="24"/>
                <w:u w:val="none"/>
              </w:rPr>
            </w:pPr>
          </w:p>
        </w:tc>
        <w:tc>
          <w:tcPr>
            <w:tcW w:w="484" w:type="dxa"/>
            <w:vMerge w:val="restart"/>
            <w:vAlign w:val="center"/>
          </w:tcPr>
          <w:p w14:paraId="1269CF5A">
            <w:pPr>
              <w:tabs>
                <w:tab w:val="left" w:pos="8820"/>
                <w:tab w:val="left" w:pos="9000"/>
              </w:tabs>
              <w:spacing w:line="240" w:lineRule="atLeast"/>
              <w:jc w:val="center"/>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无组织</w:t>
            </w:r>
          </w:p>
        </w:tc>
        <w:tc>
          <w:tcPr>
            <w:tcW w:w="1325" w:type="dxa"/>
            <w:vAlign w:val="center"/>
          </w:tcPr>
          <w:p w14:paraId="15D04A4E">
            <w:pPr>
              <w:tabs>
                <w:tab w:val="left" w:pos="8820"/>
                <w:tab w:val="left" w:pos="9000"/>
              </w:tabs>
              <w:spacing w:line="240" w:lineRule="atLeast"/>
              <w:jc w:val="center"/>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干燥、蒸制异味</w:t>
            </w:r>
          </w:p>
        </w:tc>
        <w:tc>
          <w:tcPr>
            <w:tcW w:w="1288" w:type="dxa"/>
            <w:vAlign w:val="center"/>
          </w:tcPr>
          <w:p w14:paraId="26F69B85">
            <w:pPr>
              <w:tabs>
                <w:tab w:val="left" w:pos="8820"/>
                <w:tab w:val="left" w:pos="9000"/>
              </w:tabs>
              <w:spacing w:line="240" w:lineRule="atLeast"/>
              <w:jc w:val="center"/>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臭气浓度</w:t>
            </w:r>
          </w:p>
        </w:tc>
        <w:tc>
          <w:tcPr>
            <w:tcW w:w="1325" w:type="dxa"/>
            <w:vAlign w:val="center"/>
          </w:tcPr>
          <w:p w14:paraId="3F813AA1">
            <w:pPr>
              <w:tabs>
                <w:tab w:val="left" w:pos="8820"/>
                <w:tab w:val="left" w:pos="9000"/>
              </w:tabs>
              <w:spacing w:line="240" w:lineRule="atLeast"/>
              <w:jc w:val="center"/>
              <w:rPr>
                <w:rFonts w:hint="default" w:ascii="Times New Roman" w:hAnsi="Times New Roman" w:eastAsia="宋体" w:cs="Times New Roman"/>
                <w:color w:val="auto"/>
                <w:sz w:val="24"/>
                <w:szCs w:val="24"/>
                <w:u w:val="none"/>
                <w:lang w:val="en-US" w:eastAsia="zh-CN"/>
              </w:rPr>
            </w:pPr>
            <w:r>
              <w:rPr>
                <w:rFonts w:hint="eastAsia" w:cs="Times New Roman"/>
                <w:color w:val="auto"/>
                <w:sz w:val="24"/>
                <w:szCs w:val="24"/>
                <w:u w:val="none"/>
                <w:lang w:val="en-US" w:eastAsia="zh-CN"/>
              </w:rPr>
              <w:t>/</w:t>
            </w:r>
          </w:p>
        </w:tc>
        <w:tc>
          <w:tcPr>
            <w:tcW w:w="2997" w:type="dxa"/>
            <w:vAlign w:val="center"/>
          </w:tcPr>
          <w:p w14:paraId="6F3FBB77">
            <w:pPr>
              <w:tabs>
                <w:tab w:val="left" w:pos="8820"/>
                <w:tab w:val="left" w:pos="9000"/>
              </w:tabs>
              <w:spacing w:line="240" w:lineRule="atLeast"/>
              <w:jc w:val="center"/>
              <w:rPr>
                <w:rFonts w:hint="default" w:ascii="Times New Roman" w:hAnsi="Times New Roman" w:eastAsia="宋体" w:cs="Times New Roman"/>
                <w:color w:val="auto"/>
                <w:sz w:val="24"/>
                <w:szCs w:val="24"/>
                <w:u w:val="none"/>
                <w:lang w:eastAsia="zh-CN"/>
              </w:rPr>
            </w:pPr>
            <w:r>
              <w:rPr>
                <w:rFonts w:hint="eastAsia" w:ascii="Times New Roman" w:hAnsi="Times New Roman" w:eastAsia="宋体" w:cs="Times New Roman"/>
                <w:color w:val="auto"/>
                <w:sz w:val="24"/>
                <w:szCs w:val="24"/>
                <w:u w:val="none"/>
                <w:lang w:eastAsia="zh-CN"/>
              </w:rPr>
              <w:t>《恶臭污染物排放标准》（GB14554-93）</w:t>
            </w:r>
          </w:p>
        </w:tc>
      </w:tr>
      <w:tr w14:paraId="5A1C0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259" w:type="dxa"/>
            <w:vMerge w:val="continue"/>
            <w:vAlign w:val="center"/>
          </w:tcPr>
          <w:p w14:paraId="5D702E71">
            <w:pPr>
              <w:spacing w:line="240" w:lineRule="atLeast"/>
              <w:jc w:val="center"/>
              <w:rPr>
                <w:rFonts w:hint="default" w:ascii="Times New Roman" w:hAnsi="Times New Roman" w:cs="Times New Roman"/>
                <w:b/>
                <w:bCs/>
                <w:color w:val="auto"/>
                <w:sz w:val="24"/>
                <w:szCs w:val="24"/>
                <w:u w:val="none"/>
              </w:rPr>
            </w:pPr>
          </w:p>
        </w:tc>
        <w:tc>
          <w:tcPr>
            <w:tcW w:w="484" w:type="dxa"/>
            <w:vMerge w:val="continue"/>
            <w:vAlign w:val="center"/>
          </w:tcPr>
          <w:p w14:paraId="18D7C654">
            <w:pPr>
              <w:tabs>
                <w:tab w:val="left" w:pos="8820"/>
                <w:tab w:val="left" w:pos="9000"/>
              </w:tabs>
              <w:spacing w:line="240" w:lineRule="atLeast"/>
              <w:jc w:val="center"/>
              <w:rPr>
                <w:rFonts w:hint="eastAsia" w:cs="Times New Roman"/>
                <w:color w:val="auto"/>
                <w:sz w:val="24"/>
                <w:szCs w:val="24"/>
                <w:u w:val="none"/>
                <w:lang w:val="en-US" w:eastAsia="zh-CN"/>
              </w:rPr>
            </w:pPr>
          </w:p>
        </w:tc>
        <w:tc>
          <w:tcPr>
            <w:tcW w:w="1325" w:type="dxa"/>
            <w:shd w:val="clear" w:color="auto" w:fill="auto"/>
            <w:vAlign w:val="center"/>
          </w:tcPr>
          <w:p w14:paraId="05AFBF45">
            <w:pPr>
              <w:tabs>
                <w:tab w:val="left" w:pos="8820"/>
                <w:tab w:val="left" w:pos="9000"/>
              </w:tabs>
              <w:spacing w:line="240" w:lineRule="atLeast"/>
              <w:jc w:val="center"/>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sz w:val="24"/>
                <w:szCs w:val="24"/>
                <w:u w:val="none"/>
                <w:lang w:val="en-US" w:eastAsia="zh-CN"/>
              </w:rPr>
              <w:t>粉碎粉尘</w:t>
            </w:r>
          </w:p>
        </w:tc>
        <w:tc>
          <w:tcPr>
            <w:tcW w:w="1288" w:type="dxa"/>
            <w:shd w:val="clear" w:color="auto" w:fill="auto"/>
            <w:vAlign w:val="center"/>
          </w:tcPr>
          <w:p w14:paraId="0A072F9A">
            <w:pPr>
              <w:tabs>
                <w:tab w:val="left" w:pos="8820"/>
                <w:tab w:val="left" w:pos="9000"/>
              </w:tabs>
              <w:spacing w:line="240" w:lineRule="atLeast"/>
              <w:jc w:val="center"/>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sz w:val="24"/>
                <w:szCs w:val="24"/>
                <w:u w:val="none"/>
                <w:lang w:val="en-US" w:eastAsia="zh-CN"/>
              </w:rPr>
              <w:t>颗粒物</w:t>
            </w:r>
          </w:p>
        </w:tc>
        <w:tc>
          <w:tcPr>
            <w:tcW w:w="1325" w:type="dxa"/>
            <w:shd w:val="clear" w:color="auto" w:fill="auto"/>
            <w:vAlign w:val="center"/>
          </w:tcPr>
          <w:p w14:paraId="7F74D75E">
            <w:pPr>
              <w:tabs>
                <w:tab w:val="left" w:pos="8820"/>
                <w:tab w:val="left" w:pos="9000"/>
              </w:tabs>
              <w:spacing w:line="240" w:lineRule="atLeast"/>
              <w:jc w:val="center"/>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sz w:val="24"/>
                <w:szCs w:val="24"/>
                <w:u w:val="none"/>
                <w:lang w:val="en-US" w:eastAsia="zh-CN"/>
              </w:rPr>
              <w:t>袋除尘器处理后在车间内呈无组织排放</w:t>
            </w:r>
          </w:p>
        </w:tc>
        <w:tc>
          <w:tcPr>
            <w:tcW w:w="2997" w:type="dxa"/>
            <w:shd w:val="clear" w:color="auto" w:fill="auto"/>
            <w:vAlign w:val="center"/>
          </w:tcPr>
          <w:p w14:paraId="089E2660">
            <w:pPr>
              <w:tabs>
                <w:tab w:val="left" w:pos="8820"/>
                <w:tab w:val="left" w:pos="9000"/>
              </w:tabs>
              <w:spacing w:line="240" w:lineRule="atLeast"/>
              <w:jc w:val="center"/>
              <w:rPr>
                <w:rFonts w:hint="eastAsia" w:ascii="Times New Roman" w:hAnsi="Times New Roman" w:eastAsia="宋体" w:cs="Times New Roman"/>
                <w:color w:val="auto"/>
                <w:kern w:val="2"/>
                <w:sz w:val="24"/>
                <w:szCs w:val="24"/>
                <w:u w:val="none"/>
                <w:lang w:val="en-US" w:eastAsia="zh-CN" w:bidi="ar-SA"/>
              </w:rPr>
            </w:pPr>
            <w:r>
              <w:rPr>
                <w:rFonts w:hint="eastAsia" w:ascii="Times New Roman" w:hAnsi="Times New Roman" w:eastAsia="宋体" w:cs="Times New Roman"/>
                <w:color w:val="auto"/>
                <w:sz w:val="24"/>
                <w:szCs w:val="24"/>
                <w:u w:val="none"/>
                <w:lang w:val="en-US" w:eastAsia="zh-CN"/>
              </w:rPr>
              <w:t>颗粒物排放执行《大气污染物综合排放标准》（GB16297-1996）表2中无组织排放监控浓度限值</w:t>
            </w:r>
          </w:p>
        </w:tc>
      </w:tr>
      <w:tr w14:paraId="12488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259" w:type="dxa"/>
            <w:vAlign w:val="center"/>
          </w:tcPr>
          <w:p w14:paraId="4BE4BAF8">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地表水环境</w:t>
            </w:r>
          </w:p>
        </w:tc>
        <w:tc>
          <w:tcPr>
            <w:tcW w:w="1809" w:type="dxa"/>
            <w:gridSpan w:val="2"/>
            <w:vAlign w:val="center"/>
          </w:tcPr>
          <w:p w14:paraId="6E4415C8">
            <w:pPr>
              <w:tabs>
                <w:tab w:val="left" w:pos="8820"/>
                <w:tab w:val="left" w:pos="9000"/>
              </w:tabs>
              <w:spacing w:line="240" w:lineRule="atLeast"/>
              <w:jc w:val="center"/>
              <w:rPr>
                <w:rFonts w:hint="eastAsia" w:ascii="Times New Roman" w:hAnsi="Times New Roman" w:eastAsia="宋体" w:cs="Times New Roman"/>
                <w:color w:val="auto"/>
                <w:sz w:val="24"/>
                <w:szCs w:val="24"/>
                <w:u w:val="none"/>
                <w:lang w:eastAsia="zh-CN"/>
              </w:rPr>
            </w:pPr>
            <w:r>
              <w:rPr>
                <w:rFonts w:hint="eastAsia" w:cs="Times New Roman"/>
                <w:color w:val="auto"/>
                <w:sz w:val="24"/>
                <w:szCs w:val="24"/>
                <w:u w:val="none"/>
                <w:lang w:val="en-US" w:eastAsia="zh-CN"/>
              </w:rPr>
              <w:t>生活</w:t>
            </w:r>
            <w:r>
              <w:rPr>
                <w:rFonts w:hint="default" w:ascii="Times New Roman" w:hAnsi="Times New Roman" w:cs="Times New Roman"/>
                <w:color w:val="auto"/>
                <w:sz w:val="24"/>
                <w:szCs w:val="24"/>
                <w:u w:val="none"/>
              </w:rPr>
              <w:t>污</w:t>
            </w:r>
            <w:r>
              <w:rPr>
                <w:rFonts w:hint="default" w:cs="Times New Roman"/>
                <w:color w:val="auto"/>
                <w:sz w:val="24"/>
                <w:szCs w:val="24"/>
                <w:u w:val="none"/>
                <w:lang w:val="en-US" w:eastAsia="zh-CN"/>
              </w:rPr>
              <w:t>水</w:t>
            </w:r>
            <w:r>
              <w:rPr>
                <w:rFonts w:hint="eastAsia" w:cs="Times New Roman"/>
                <w:color w:val="auto"/>
                <w:sz w:val="24"/>
                <w:szCs w:val="24"/>
                <w:u w:val="none"/>
                <w:lang w:val="en-US" w:eastAsia="zh-CN"/>
              </w:rPr>
              <w:t>、生产废水</w:t>
            </w:r>
          </w:p>
        </w:tc>
        <w:tc>
          <w:tcPr>
            <w:tcW w:w="1288" w:type="dxa"/>
            <w:vAlign w:val="center"/>
          </w:tcPr>
          <w:p w14:paraId="03E1D770">
            <w:pPr>
              <w:tabs>
                <w:tab w:val="left" w:pos="8820"/>
                <w:tab w:val="left" w:pos="9000"/>
              </w:tabs>
              <w:spacing w:line="240" w:lineRule="atLeast"/>
              <w:jc w:val="center"/>
              <w:rPr>
                <w:rFonts w:hint="eastAsia" w:ascii="Times New Roman" w:hAnsi="Times New Roman" w:eastAsia="宋体" w:cs="Times New Roman"/>
                <w:color w:val="auto"/>
                <w:sz w:val="24"/>
                <w:szCs w:val="24"/>
                <w:u w:val="none"/>
                <w:lang w:val="en-US" w:eastAsia="zh-CN"/>
              </w:rPr>
            </w:pPr>
            <w:r>
              <w:rPr>
                <w:rFonts w:hint="eastAsia" w:ascii="Times New Roman" w:hAnsi="Times New Roman" w:cs="Times New Roman"/>
                <w:color w:val="auto"/>
                <w:sz w:val="24"/>
                <w:szCs w:val="24"/>
                <w:u w:val="none"/>
                <w:lang w:val="en-US" w:eastAsia="zh-CN"/>
              </w:rPr>
              <w:t>PH、</w:t>
            </w:r>
            <w:r>
              <w:rPr>
                <w:rFonts w:hint="default" w:ascii="Times New Roman" w:hAnsi="Times New Roman" w:cs="Times New Roman"/>
                <w:color w:val="auto"/>
                <w:sz w:val="24"/>
                <w:szCs w:val="24"/>
                <w:u w:val="none"/>
              </w:rPr>
              <w:t>COD、BOD</w:t>
            </w:r>
            <w:r>
              <w:rPr>
                <w:rFonts w:hint="default" w:ascii="Times New Roman" w:hAnsi="Times New Roman" w:cs="Times New Roman"/>
                <w:color w:val="auto"/>
                <w:sz w:val="24"/>
                <w:szCs w:val="24"/>
                <w:u w:val="none"/>
                <w:vertAlign w:val="subscript"/>
              </w:rPr>
              <w:t>5</w:t>
            </w:r>
            <w:r>
              <w:rPr>
                <w:rFonts w:hint="default" w:ascii="Times New Roman" w:hAnsi="Times New Roman" w:cs="Times New Roman"/>
                <w:color w:val="auto"/>
                <w:sz w:val="24"/>
                <w:szCs w:val="24"/>
                <w:u w:val="none"/>
              </w:rPr>
              <w:t>、SS、</w:t>
            </w:r>
            <w:r>
              <w:rPr>
                <w:rFonts w:hint="default" w:ascii="Times New Roman" w:hAnsi="Times New Roman" w:cs="Times New Roman"/>
                <w:bCs/>
                <w:color w:val="auto"/>
                <w:kern w:val="2"/>
                <w:sz w:val="24"/>
                <w:szCs w:val="24"/>
                <w:u w:val="none"/>
                <w:lang w:val="en-US" w:eastAsia="zh-CN"/>
              </w:rPr>
              <w:t>TP</w:t>
            </w:r>
            <w:r>
              <w:rPr>
                <w:rFonts w:hint="eastAsia" w:ascii="Times New Roman" w:hAnsi="Times New Roman" w:cs="Times New Roman"/>
                <w:bCs/>
                <w:color w:val="auto"/>
                <w:kern w:val="2"/>
                <w:sz w:val="24"/>
                <w:szCs w:val="24"/>
                <w:u w:val="none"/>
                <w:lang w:val="en-US" w:eastAsia="zh-CN"/>
              </w:rPr>
              <w:t>、</w:t>
            </w:r>
            <w:r>
              <w:rPr>
                <w:rFonts w:hint="default" w:ascii="Times New Roman" w:hAnsi="Times New Roman" w:cs="Times New Roman"/>
                <w:bCs/>
                <w:color w:val="auto"/>
                <w:kern w:val="2"/>
                <w:sz w:val="24"/>
                <w:szCs w:val="24"/>
                <w:u w:val="none"/>
                <w:lang w:val="en-US" w:eastAsia="zh-CN"/>
              </w:rPr>
              <w:t>TN</w:t>
            </w:r>
            <w:r>
              <w:rPr>
                <w:rFonts w:hint="eastAsia" w:cs="Times New Roman"/>
                <w:color w:val="auto"/>
                <w:sz w:val="24"/>
                <w:szCs w:val="24"/>
                <w:u w:val="none"/>
                <w:lang w:eastAsia="zh-CN"/>
              </w:rPr>
              <w:t>、</w:t>
            </w:r>
            <w:r>
              <w:rPr>
                <w:rFonts w:hint="default" w:ascii="Times New Roman" w:hAnsi="Times New Roman" w:cs="Times New Roman"/>
                <w:color w:val="auto"/>
                <w:sz w:val="24"/>
                <w:szCs w:val="24"/>
                <w:u w:val="none"/>
              </w:rPr>
              <w:t>氨氮、</w:t>
            </w:r>
            <w:r>
              <w:rPr>
                <w:rFonts w:hint="eastAsia" w:ascii="Times New Roman" w:hAnsi="Times New Roman" w:cs="Times New Roman"/>
                <w:color w:val="auto"/>
                <w:sz w:val="24"/>
                <w:szCs w:val="24"/>
                <w:u w:val="none"/>
                <w:lang w:eastAsia="zh-CN"/>
              </w:rPr>
              <w:t>动植物油</w:t>
            </w:r>
          </w:p>
        </w:tc>
        <w:tc>
          <w:tcPr>
            <w:tcW w:w="1325" w:type="dxa"/>
            <w:vAlign w:val="center"/>
          </w:tcPr>
          <w:p w14:paraId="6BE6C07E">
            <w:pPr>
              <w:tabs>
                <w:tab w:val="left" w:pos="8820"/>
                <w:tab w:val="left" w:pos="9000"/>
              </w:tabs>
              <w:spacing w:line="240" w:lineRule="atLeast"/>
              <w:jc w:val="center"/>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进入市政污水管网排入</w:t>
            </w:r>
            <w:r>
              <w:rPr>
                <w:rFonts w:hint="default" w:ascii="Times New Roman" w:hAnsi="Times New Roman" w:cs="Times New Roman"/>
                <w:color w:val="auto"/>
                <w:sz w:val="24"/>
                <w:szCs w:val="24"/>
                <w:u w:val="none"/>
                <w:lang w:eastAsia="zh-CN"/>
              </w:rPr>
              <w:t>龙潭镇</w:t>
            </w:r>
            <w:r>
              <w:rPr>
                <w:rFonts w:hint="default" w:ascii="Times New Roman" w:hAnsi="Times New Roman" w:cs="Times New Roman"/>
                <w:color w:val="auto"/>
                <w:sz w:val="24"/>
                <w:szCs w:val="24"/>
                <w:u w:val="none"/>
              </w:rPr>
              <w:t>污水处理厂</w:t>
            </w:r>
          </w:p>
        </w:tc>
        <w:tc>
          <w:tcPr>
            <w:tcW w:w="2997" w:type="dxa"/>
            <w:vAlign w:val="center"/>
          </w:tcPr>
          <w:p w14:paraId="53A6235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24"/>
                <w:u w:val="none"/>
              </w:rPr>
            </w:pPr>
            <w:r>
              <w:rPr>
                <w:rFonts w:hint="eastAsia" w:cs="Times New Roman"/>
                <w:b w:val="0"/>
                <w:color w:val="auto"/>
                <w:sz w:val="24"/>
                <w:szCs w:val="24"/>
                <w:u w:val="none"/>
                <w:lang w:eastAsia="zh-CN"/>
              </w:rPr>
              <w:t>《污水综合排放标准》（GB8978-1996）</w:t>
            </w:r>
            <w:r>
              <w:rPr>
                <w:rFonts w:hint="eastAsia" w:ascii="Times New Roman" w:hAnsi="Times New Roman" w:eastAsia="宋体" w:cs="Times New Roman"/>
                <w:b w:val="0"/>
                <w:color w:val="auto"/>
                <w:sz w:val="24"/>
                <w:szCs w:val="24"/>
                <w:u w:val="none"/>
                <w:lang w:val="en-US" w:eastAsia="zh-CN"/>
              </w:rPr>
              <w:t>表4中三级排放标准</w:t>
            </w:r>
            <w:r>
              <w:rPr>
                <w:rFonts w:hint="eastAsia" w:ascii="Times New Roman" w:hAnsi="Times New Roman" w:eastAsia="宋体" w:cs="Times New Roman"/>
                <w:color w:val="FF0000"/>
                <w:sz w:val="24"/>
                <w:szCs w:val="24"/>
                <w:lang w:val="en-US" w:eastAsia="zh-CN"/>
              </w:rPr>
              <w:t>及龙潭镇污水处理厂进水水质标准中较严格的限值</w:t>
            </w:r>
          </w:p>
        </w:tc>
      </w:tr>
      <w:tr w14:paraId="6B334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9" w:type="dxa"/>
            <w:vAlign w:val="center"/>
          </w:tcPr>
          <w:p w14:paraId="4A3C0D4F">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声环境</w:t>
            </w:r>
          </w:p>
        </w:tc>
        <w:tc>
          <w:tcPr>
            <w:tcW w:w="1809" w:type="dxa"/>
            <w:gridSpan w:val="2"/>
            <w:vAlign w:val="center"/>
          </w:tcPr>
          <w:p w14:paraId="062E5AC2">
            <w:pPr>
              <w:spacing w:line="240" w:lineRule="atLeast"/>
              <w:jc w:val="center"/>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生产设备</w:t>
            </w:r>
          </w:p>
        </w:tc>
        <w:tc>
          <w:tcPr>
            <w:tcW w:w="1288" w:type="dxa"/>
            <w:vAlign w:val="center"/>
          </w:tcPr>
          <w:p w14:paraId="54FAF488">
            <w:pPr>
              <w:spacing w:line="240" w:lineRule="atLeast"/>
              <w:jc w:val="center"/>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噪声</w:t>
            </w:r>
          </w:p>
        </w:tc>
        <w:tc>
          <w:tcPr>
            <w:tcW w:w="1325" w:type="dxa"/>
            <w:vAlign w:val="center"/>
          </w:tcPr>
          <w:p w14:paraId="4E15062B">
            <w:pPr>
              <w:spacing w:line="240" w:lineRule="atLeast"/>
              <w:jc w:val="center"/>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消音减振、隔声降噪、距离衰减</w:t>
            </w:r>
          </w:p>
        </w:tc>
        <w:tc>
          <w:tcPr>
            <w:tcW w:w="2997" w:type="dxa"/>
            <w:vAlign w:val="center"/>
          </w:tcPr>
          <w:p w14:paraId="623B5909">
            <w:pPr>
              <w:spacing w:line="240" w:lineRule="atLeast"/>
              <w:jc w:val="center"/>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《工业企业厂界环境噪声排放标准》</w:t>
            </w:r>
            <w:r>
              <w:rPr>
                <w:rFonts w:hint="eastAsia" w:cs="Times New Roman"/>
                <w:color w:val="auto"/>
                <w:sz w:val="24"/>
                <w:szCs w:val="24"/>
                <w:u w:val="none"/>
                <w:lang w:eastAsia="zh-CN"/>
              </w:rPr>
              <w:t>（</w:t>
            </w:r>
            <w:r>
              <w:rPr>
                <w:rFonts w:hint="default" w:ascii="Times New Roman" w:hAnsi="Times New Roman" w:cs="Times New Roman"/>
                <w:color w:val="auto"/>
                <w:sz w:val="24"/>
                <w:szCs w:val="24"/>
                <w:u w:val="none"/>
              </w:rPr>
              <w:t>GB12348-2008</w:t>
            </w:r>
            <w:r>
              <w:rPr>
                <w:rFonts w:hint="eastAsia" w:cs="Times New Roman"/>
                <w:color w:val="auto"/>
                <w:sz w:val="24"/>
                <w:szCs w:val="24"/>
                <w:u w:val="none"/>
                <w:lang w:eastAsia="zh-CN"/>
              </w:rPr>
              <w:t>）</w:t>
            </w:r>
            <w:r>
              <w:rPr>
                <w:rFonts w:hint="default" w:ascii="Times New Roman" w:hAnsi="Times New Roman" w:cs="Times New Roman"/>
                <w:color w:val="auto"/>
                <w:sz w:val="24"/>
                <w:szCs w:val="24"/>
                <w:u w:val="none"/>
              </w:rPr>
              <w:t>中2类标准</w:t>
            </w:r>
          </w:p>
        </w:tc>
      </w:tr>
      <w:tr w14:paraId="45F04A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9" w:type="dxa"/>
            <w:vAlign w:val="center"/>
          </w:tcPr>
          <w:p w14:paraId="787450CD">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电磁辐射</w:t>
            </w:r>
          </w:p>
        </w:tc>
        <w:tc>
          <w:tcPr>
            <w:tcW w:w="7419" w:type="dxa"/>
            <w:gridSpan w:val="5"/>
            <w:vAlign w:val="center"/>
          </w:tcPr>
          <w:p w14:paraId="2B235682">
            <w:pPr>
              <w:spacing w:line="240" w:lineRule="atLeast"/>
              <w:jc w:val="center"/>
              <w:rPr>
                <w:rFonts w:hint="default" w:ascii="Times New Roman" w:hAnsi="Times New Roman" w:eastAsia="宋体" w:cs="Times New Roman"/>
                <w:color w:val="auto"/>
                <w:sz w:val="24"/>
                <w:szCs w:val="24"/>
                <w:u w:val="none"/>
                <w:lang w:val="en-US" w:eastAsia="zh-CN"/>
              </w:rPr>
            </w:pPr>
            <w:r>
              <w:rPr>
                <w:rFonts w:hint="default" w:ascii="Times New Roman" w:hAnsi="Times New Roman" w:cs="Times New Roman"/>
                <w:color w:val="auto"/>
                <w:sz w:val="24"/>
                <w:szCs w:val="24"/>
                <w:u w:val="none"/>
                <w:lang w:eastAsia="zh-CN"/>
              </w:rPr>
              <w:t>不</w:t>
            </w:r>
            <w:r>
              <w:rPr>
                <w:rFonts w:hint="eastAsia" w:cs="Times New Roman"/>
                <w:color w:val="auto"/>
                <w:sz w:val="24"/>
                <w:szCs w:val="24"/>
                <w:u w:val="none"/>
                <w:lang w:val="en-US" w:eastAsia="zh-CN"/>
              </w:rPr>
              <w:t>涉及</w:t>
            </w:r>
          </w:p>
        </w:tc>
      </w:tr>
      <w:tr w14:paraId="3A9FB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259" w:type="dxa"/>
            <w:vAlign w:val="center"/>
          </w:tcPr>
          <w:p w14:paraId="2CEA9F46">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固体废物</w:t>
            </w:r>
          </w:p>
        </w:tc>
        <w:tc>
          <w:tcPr>
            <w:tcW w:w="7419" w:type="dxa"/>
            <w:gridSpan w:val="5"/>
            <w:vAlign w:val="center"/>
          </w:tcPr>
          <w:p w14:paraId="4EB79B4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color w:val="auto"/>
                <w:sz w:val="24"/>
                <w:szCs w:val="24"/>
                <w:u w:val="none"/>
                <w:lang w:val="en-US" w:eastAsia="zh-CN"/>
              </w:rPr>
            </w:pPr>
            <w:r>
              <w:rPr>
                <w:rFonts w:hint="default" w:ascii="Times New Roman" w:hAnsi="Times New Roman" w:cs="Times New Roman"/>
                <w:color w:val="auto"/>
                <w:sz w:val="24"/>
                <w:szCs w:val="24"/>
                <w:u w:val="none"/>
              </w:rPr>
              <w:t>生</w:t>
            </w:r>
            <w:r>
              <w:rPr>
                <w:rFonts w:hint="default" w:ascii="Times New Roman" w:hAnsi="Times New Roman" w:eastAsia="宋体" w:cs="Times New Roman"/>
                <w:color w:val="auto"/>
                <w:sz w:val="24"/>
                <w:szCs w:val="24"/>
                <w:u w:val="none"/>
              </w:rPr>
              <w:t>活垃圾由环卫部门清运处置；</w:t>
            </w:r>
            <w:r>
              <w:rPr>
                <w:rFonts w:hint="eastAsia" w:ascii="Times New Roman" w:hAnsi="Times New Roman" w:eastAsia="宋体" w:cs="Times New Roman"/>
                <w:color w:val="auto"/>
                <w:sz w:val="24"/>
                <w:szCs w:val="24"/>
                <w:u w:val="none"/>
                <w:lang w:eastAsia="zh-CN"/>
              </w:rPr>
              <w:t>废包装袋外售给物资回收公司，</w:t>
            </w:r>
            <w:r>
              <w:rPr>
                <w:rFonts w:hint="eastAsia" w:ascii="Times New Roman" w:hAnsi="Times New Roman" w:eastAsia="宋体" w:cs="Times New Roman"/>
                <w:color w:val="auto"/>
                <w:sz w:val="24"/>
                <w:szCs w:val="24"/>
                <w:u w:val="none"/>
                <w:lang w:val="en-US" w:eastAsia="zh-CN"/>
              </w:rPr>
              <w:t>中药材尾料委托湖南坤凡农业有限公司资源化利用，废弃泥土委托溆浦县龙潭页岩砖厂资源化利用</w:t>
            </w:r>
            <w:r>
              <w:rPr>
                <w:rFonts w:hint="eastAsia" w:cs="Times New Roman"/>
                <w:color w:val="auto"/>
                <w:sz w:val="24"/>
                <w:szCs w:val="24"/>
                <w:u w:val="none"/>
                <w:lang w:eastAsia="zh-CN"/>
              </w:rPr>
              <w:t>；</w:t>
            </w:r>
            <w:r>
              <w:rPr>
                <w:rFonts w:hint="eastAsia" w:cs="Times New Roman"/>
                <w:color w:val="FF0000"/>
                <w:sz w:val="24"/>
                <w:szCs w:val="24"/>
                <w:u w:val="none"/>
                <w:lang w:val="en-US" w:eastAsia="zh-CN"/>
              </w:rPr>
              <w:t>危险废物分类暂存，委托有资质单位定期外运处置</w:t>
            </w:r>
          </w:p>
        </w:tc>
      </w:tr>
      <w:tr w14:paraId="1E094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9" w:type="dxa"/>
            <w:vAlign w:val="center"/>
          </w:tcPr>
          <w:p w14:paraId="0BB32BBB">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土壤及地下水污染防治措施</w:t>
            </w:r>
          </w:p>
        </w:tc>
        <w:tc>
          <w:tcPr>
            <w:tcW w:w="7419" w:type="dxa"/>
            <w:gridSpan w:val="5"/>
            <w:vAlign w:val="center"/>
          </w:tcPr>
          <w:p w14:paraId="18A3845F">
            <w:pPr>
              <w:spacing w:line="360" w:lineRule="auto"/>
              <w:jc w:val="center"/>
              <w:rPr>
                <w:rFonts w:hint="default" w:ascii="Times New Roman" w:hAnsi="Times New Roman" w:cs="Times New Roman"/>
                <w:color w:val="auto"/>
                <w:sz w:val="24"/>
                <w:szCs w:val="24"/>
                <w:u w:val="none"/>
              </w:rPr>
            </w:pPr>
            <w:r>
              <w:rPr>
                <w:rFonts w:hint="eastAsia" w:cs="Times New Roman"/>
                <w:color w:val="auto"/>
                <w:sz w:val="24"/>
                <w:szCs w:val="24"/>
                <w:u w:val="none"/>
                <w:lang w:val="en-US" w:eastAsia="zh-CN"/>
              </w:rPr>
              <w:t>厂区</w:t>
            </w:r>
            <w:r>
              <w:rPr>
                <w:rFonts w:hint="default" w:ascii="Times New Roman" w:hAnsi="Times New Roman" w:cs="Times New Roman"/>
                <w:color w:val="auto"/>
                <w:sz w:val="24"/>
                <w:szCs w:val="24"/>
                <w:u w:val="none"/>
                <w:lang w:eastAsia="zh-CN"/>
              </w:rPr>
              <w:t>场地地面</w:t>
            </w:r>
            <w:r>
              <w:rPr>
                <w:rFonts w:hint="eastAsia" w:ascii="Times New Roman" w:hAnsi="Times New Roman" w:cs="Times New Roman"/>
                <w:color w:val="auto"/>
                <w:sz w:val="24"/>
                <w:szCs w:val="24"/>
                <w:u w:val="none"/>
                <w:lang w:eastAsia="zh-CN"/>
              </w:rPr>
              <w:t>硬化</w:t>
            </w:r>
          </w:p>
        </w:tc>
      </w:tr>
      <w:tr w14:paraId="41CE7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9" w:type="dxa"/>
            <w:vAlign w:val="center"/>
          </w:tcPr>
          <w:p w14:paraId="6CA317D4">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生态保护措施</w:t>
            </w:r>
          </w:p>
        </w:tc>
        <w:tc>
          <w:tcPr>
            <w:tcW w:w="7419" w:type="dxa"/>
            <w:gridSpan w:val="5"/>
            <w:vAlign w:val="center"/>
          </w:tcPr>
          <w:p w14:paraId="5386B045">
            <w:pPr>
              <w:spacing w:line="240" w:lineRule="atLeast"/>
              <w:jc w:val="center"/>
              <w:rPr>
                <w:rFonts w:hint="eastAsia" w:ascii="Times New Roman" w:hAnsi="Times New Roman" w:eastAsia="宋体" w:cs="Times New Roman"/>
                <w:color w:val="auto"/>
                <w:sz w:val="24"/>
                <w:szCs w:val="24"/>
                <w:u w:val="none"/>
                <w:lang w:eastAsia="zh-CN"/>
              </w:rPr>
            </w:pPr>
            <w:r>
              <w:rPr>
                <w:rFonts w:hint="eastAsia" w:ascii="Times New Roman" w:hAnsi="Times New Roman" w:cs="Times New Roman"/>
                <w:color w:val="auto"/>
                <w:sz w:val="24"/>
                <w:szCs w:val="24"/>
                <w:u w:val="none"/>
                <w:lang w:eastAsia="zh-CN"/>
              </w:rPr>
              <w:t>绿化</w:t>
            </w:r>
          </w:p>
        </w:tc>
      </w:tr>
      <w:tr w14:paraId="47476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9" w:type="dxa"/>
            <w:vAlign w:val="center"/>
          </w:tcPr>
          <w:p w14:paraId="4E196F47">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环境风险</w:t>
            </w:r>
          </w:p>
          <w:p w14:paraId="630156C0">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防范措施</w:t>
            </w:r>
          </w:p>
        </w:tc>
        <w:tc>
          <w:tcPr>
            <w:tcW w:w="7419" w:type="dxa"/>
            <w:gridSpan w:val="5"/>
            <w:vAlign w:val="center"/>
          </w:tcPr>
          <w:p w14:paraId="69FAD234">
            <w:pPr>
              <w:rPr>
                <w:rFonts w:hint="default" w:ascii="Times New Roman" w:hAnsi="Times New Roman" w:eastAsia="宋体" w:cs="Times New Roman"/>
                <w:color w:val="auto"/>
                <w:sz w:val="24"/>
                <w:szCs w:val="24"/>
                <w:u w:val="none"/>
              </w:rPr>
            </w:pPr>
            <w:r>
              <w:rPr>
                <w:rFonts w:hint="default" w:ascii="Times New Roman" w:hAnsi="Times New Roman" w:cs="Times New Roman"/>
                <w:b w:val="0"/>
                <w:bCs w:val="0"/>
                <w:color w:val="auto"/>
                <w:sz w:val="24"/>
                <w:szCs w:val="24"/>
                <w:u w:val="none"/>
                <w:vertAlign w:val="baseline"/>
                <w:lang w:eastAsia="zh-CN"/>
              </w:rPr>
              <w:t>①</w:t>
            </w:r>
            <w:r>
              <w:rPr>
                <w:rFonts w:hint="eastAsia" w:ascii="Times New Roman" w:hAnsi="Times New Roman" w:cs="Times New Roman"/>
                <w:b w:val="0"/>
                <w:bCs w:val="0"/>
                <w:color w:val="auto"/>
                <w:sz w:val="24"/>
                <w:szCs w:val="24"/>
                <w:u w:val="none"/>
                <w:vertAlign w:val="baseline"/>
                <w:lang w:eastAsia="zh-CN"/>
              </w:rPr>
              <w:t>注意用火安全，进入原料堆场等场所时禁止使用明火</w:t>
            </w:r>
            <w:r>
              <w:rPr>
                <w:rFonts w:hint="default" w:ascii="Times New Roman" w:hAnsi="Times New Roman" w:eastAsia="宋体" w:cs="Times New Roman"/>
                <w:color w:val="auto"/>
                <w:sz w:val="24"/>
                <w:szCs w:val="24"/>
                <w:u w:val="none"/>
              </w:rPr>
              <w:t>。</w:t>
            </w:r>
          </w:p>
          <w:p w14:paraId="42E20996">
            <w:pPr>
              <w:spacing w:line="360" w:lineRule="auto"/>
              <w:jc w:val="left"/>
              <w:rPr>
                <w:rFonts w:hint="default" w:ascii="Times New Roman" w:hAnsi="Times New Roman" w:cs="Times New Roman"/>
                <w:color w:val="auto"/>
                <w:sz w:val="24"/>
                <w:szCs w:val="24"/>
                <w:u w:val="none"/>
              </w:rPr>
            </w:pPr>
            <w:r>
              <w:rPr>
                <w:rFonts w:hint="default" w:ascii="Times New Roman" w:hAnsi="Times New Roman" w:eastAsia="宋体" w:cs="Times New Roman"/>
                <w:color w:val="auto"/>
                <w:sz w:val="24"/>
                <w:szCs w:val="24"/>
                <w:u w:val="none"/>
                <w:lang w:val="en-US" w:eastAsia="zh-CN"/>
              </w:rPr>
              <w:t>②</w:t>
            </w:r>
            <w:r>
              <w:rPr>
                <w:rFonts w:hint="eastAsia" w:ascii="Times New Roman" w:hAnsi="Times New Roman" w:eastAsia="宋体" w:cs="Times New Roman"/>
                <w:color w:val="auto"/>
                <w:sz w:val="24"/>
                <w:szCs w:val="24"/>
                <w:u w:val="none"/>
                <w:lang w:val="en-US" w:eastAsia="zh-CN"/>
              </w:rPr>
              <w:t>定期检查电路，及时更换老旧电器设备及电路</w:t>
            </w:r>
            <w:r>
              <w:rPr>
                <w:rFonts w:hint="default" w:ascii="Times New Roman" w:hAnsi="Times New Roman" w:eastAsia="宋体" w:cs="Times New Roman"/>
                <w:color w:val="auto"/>
                <w:sz w:val="24"/>
                <w:szCs w:val="24"/>
                <w:u w:val="none"/>
              </w:rPr>
              <w:t>。</w:t>
            </w:r>
          </w:p>
        </w:tc>
      </w:tr>
      <w:tr w14:paraId="3AD4F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59" w:type="dxa"/>
            <w:vAlign w:val="center"/>
          </w:tcPr>
          <w:p w14:paraId="70CF10C2">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其他环境</w:t>
            </w:r>
          </w:p>
          <w:p w14:paraId="08248C45">
            <w:pPr>
              <w:spacing w:line="240" w:lineRule="atLeast"/>
              <w:jc w:val="center"/>
              <w:rPr>
                <w:rFonts w:hint="default" w:ascii="Times New Roman" w:hAnsi="Times New Roman" w:cs="Times New Roman"/>
                <w:b/>
                <w:bCs/>
                <w:color w:val="auto"/>
                <w:sz w:val="24"/>
                <w:szCs w:val="24"/>
                <w:u w:val="none"/>
              </w:rPr>
            </w:pPr>
            <w:r>
              <w:rPr>
                <w:rFonts w:hint="default" w:ascii="Times New Roman" w:hAnsi="Times New Roman" w:cs="Times New Roman"/>
                <w:b/>
                <w:bCs/>
                <w:color w:val="auto"/>
                <w:sz w:val="24"/>
                <w:szCs w:val="24"/>
                <w:u w:val="none"/>
              </w:rPr>
              <w:t>管理要求</w:t>
            </w:r>
          </w:p>
        </w:tc>
        <w:tc>
          <w:tcPr>
            <w:tcW w:w="7419" w:type="dxa"/>
            <w:gridSpan w:val="5"/>
            <w:vAlign w:val="center"/>
          </w:tcPr>
          <w:p w14:paraId="14219984">
            <w:pPr>
              <w:spacing w:line="360" w:lineRule="auto"/>
              <w:ind w:firstLine="482" w:firstLineChars="200"/>
              <w:jc w:val="left"/>
              <w:rPr>
                <w:rFonts w:hint="default" w:ascii="Times New Roman" w:hAnsi="Times New Roman" w:cs="Times New Roman"/>
                <w:color w:val="auto"/>
                <w:szCs w:val="21"/>
                <w:u w:val="single"/>
              </w:rPr>
            </w:pPr>
            <w:r>
              <w:rPr>
                <w:rFonts w:hint="eastAsia" w:ascii="Times New Roman" w:hAnsi="Times New Roman" w:eastAsia="宋体" w:cs="Times New Roman"/>
                <w:b/>
                <w:bCs/>
                <w:color w:val="auto"/>
                <w:spacing w:val="0"/>
                <w:w w:val="100"/>
                <w:position w:val="0"/>
                <w:sz w:val="24"/>
                <w:szCs w:val="24"/>
                <w:lang w:val="en-US" w:eastAsia="zh-CN"/>
              </w:rPr>
              <w:t>1</w:t>
            </w:r>
            <w:r>
              <w:rPr>
                <w:rFonts w:ascii="Times New Roman" w:hAnsi="Times New Roman" w:eastAsia="Times New Roman" w:cs="Times New Roman"/>
                <w:b/>
                <w:bCs/>
                <w:color w:val="auto"/>
                <w:spacing w:val="0"/>
                <w:w w:val="100"/>
                <w:position w:val="0"/>
                <w:sz w:val="24"/>
                <w:szCs w:val="24"/>
              </w:rPr>
              <w:t>、项目竣工环境保护验收</w:t>
            </w:r>
          </w:p>
          <w:p w14:paraId="0D30822A">
            <w:pPr>
              <w:spacing w:line="360" w:lineRule="auto"/>
              <w:ind w:firstLine="480" w:firstLineChars="200"/>
              <w:jc w:val="both"/>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本项目竣工后建设单位应依据《建设项目环境保护管理条例》（2017年10月1日起施行）和《建设项目竣工环境保护验收暂行办法》（国环规环评〔2017〕4号，2017年11月22日发布）、《建设项目竣工环境保护验收技术指南污染影响类》（公告2018年第9号，2018年5月16日印发），对配套建设的环境保护设施进行验收，编制验收报告。</w:t>
            </w:r>
          </w:p>
          <w:p w14:paraId="21EF5B93">
            <w:pPr>
              <w:spacing w:line="360" w:lineRule="auto"/>
              <w:ind w:firstLine="480" w:firstLineChars="200"/>
              <w:jc w:val="left"/>
              <w:rPr>
                <w:rFonts w:ascii="Times New Roman" w:hAnsi="Times New Roman" w:eastAsia="Times New Roman" w:cs="Times New Roman"/>
                <w:b/>
                <w:bCs/>
                <w:color w:val="auto"/>
                <w:spacing w:val="0"/>
                <w:w w:val="100"/>
                <w:position w:val="0"/>
                <w:sz w:val="24"/>
                <w:szCs w:val="24"/>
              </w:rPr>
            </w:pPr>
            <w:r>
              <w:rPr>
                <w:rFonts w:hint="eastAsia" w:ascii="Times New Roman" w:hAnsi="Times New Roman" w:eastAsia="Times New Roman" w:cs="Times New Roman"/>
                <w:b/>
                <w:bCs/>
                <w:color w:val="auto"/>
                <w:spacing w:val="0"/>
                <w:w w:val="100"/>
                <w:position w:val="0"/>
                <w:sz w:val="24"/>
                <w:szCs w:val="24"/>
                <w:lang w:val="en-US" w:eastAsia="zh-CN"/>
              </w:rPr>
              <w:t>2、</w:t>
            </w:r>
            <w:r>
              <w:rPr>
                <w:rFonts w:ascii="Times New Roman" w:hAnsi="Times New Roman" w:eastAsia="Times New Roman" w:cs="Times New Roman"/>
                <w:b/>
                <w:bCs/>
                <w:color w:val="auto"/>
                <w:spacing w:val="0"/>
                <w:w w:val="100"/>
                <w:position w:val="0"/>
                <w:sz w:val="24"/>
                <w:szCs w:val="24"/>
              </w:rPr>
              <w:t>排污</w:t>
            </w:r>
          </w:p>
          <w:p w14:paraId="037D9EAB">
            <w:pPr>
              <w:spacing w:line="360" w:lineRule="auto"/>
              <w:ind w:firstLine="480" w:firstLineChars="200"/>
              <w:jc w:val="left"/>
              <w:rPr>
                <w:rFonts w:hint="eastAsia" w:ascii="Times New Roman" w:hAnsi="Times New Roman" w:eastAsia="Times New Roman" w:cs="Times New Roman"/>
                <w:b/>
                <w:bCs/>
                <w:color w:val="auto"/>
                <w:spacing w:val="0"/>
                <w:w w:val="100"/>
                <w:position w:val="0"/>
                <w:sz w:val="24"/>
                <w:szCs w:val="24"/>
                <w:lang w:val="en-US" w:eastAsia="zh-CN"/>
              </w:rPr>
            </w:pPr>
            <w:r>
              <w:rPr>
                <w:rFonts w:ascii="Times New Roman" w:hAnsi="Times New Roman" w:eastAsia="宋体" w:cs="Times New Roman"/>
                <w:color w:val="auto"/>
                <w:spacing w:val="0"/>
                <w:w w:val="100"/>
                <w:position w:val="0"/>
                <w:sz w:val="24"/>
                <w:szCs w:val="24"/>
              </w:rPr>
              <w:t>（1）排污许可制度</w:t>
            </w:r>
          </w:p>
          <w:p w14:paraId="561A8544">
            <w:pPr>
              <w:spacing w:line="360" w:lineRule="auto"/>
              <w:ind w:firstLine="480" w:firstLineChars="200"/>
              <w:jc w:val="both"/>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根据《排污许可管理条例》（中华人民共和国国务院令 第736号）、《排污许可管理办法（试行）》（部令第48号），建设项目发生实际排污行为之前，排污单位应当按照国家环境保护相关法律法规以及排污许可证申请与核发技术规范要求申请排污许可证，不得无证排污或不按证排污，环境保护部门通过对企事业单位发放排污许可证并依证监管实施排污许可制。</w:t>
            </w:r>
          </w:p>
          <w:p w14:paraId="613172F1">
            <w:pPr>
              <w:spacing w:line="360" w:lineRule="auto"/>
              <w:ind w:firstLine="480" w:firstLineChars="200"/>
              <w:jc w:val="both"/>
              <w:rPr>
                <w:rFonts w:hint="default" w:ascii="Times New Roman" w:hAnsi="Times New Roman" w:eastAsia="宋体" w:cs="Times New Roman"/>
                <w:color w:val="auto"/>
                <w:spacing w:val="0"/>
                <w:w w:val="100"/>
                <w:position w:val="0"/>
                <w:sz w:val="24"/>
                <w:szCs w:val="24"/>
              </w:rPr>
            </w:pPr>
            <w:r>
              <w:rPr>
                <w:rFonts w:hint="default" w:ascii="Times New Roman" w:hAnsi="Times New Roman" w:eastAsia="宋体" w:cs="Times New Roman"/>
                <w:color w:val="auto"/>
                <w:spacing w:val="0"/>
                <w:w w:val="100"/>
                <w:position w:val="0"/>
                <w:sz w:val="24"/>
                <w:szCs w:val="24"/>
              </w:rPr>
              <w:t>③根据《固定污染源排污许可分类管理名录（2019年版）》，本项目竣工后在发生实际排污行为之前，建设单位应当按照国家环境保护相关法律法规以及排污许可证申请与核发技术规范要求</w:t>
            </w:r>
            <w:r>
              <w:rPr>
                <w:rFonts w:hint="default" w:ascii="Times New Roman" w:hAnsi="Times New Roman" w:eastAsia="宋体" w:cs="Times New Roman"/>
                <w:color w:val="auto"/>
                <w:spacing w:val="0"/>
                <w:w w:val="100"/>
                <w:position w:val="0"/>
                <w:sz w:val="24"/>
                <w:szCs w:val="24"/>
                <w:lang w:eastAsia="zh-CN"/>
              </w:rPr>
              <w:t>进行排污许可</w:t>
            </w:r>
            <w:r>
              <w:rPr>
                <w:rFonts w:hint="eastAsia" w:ascii="Times New Roman" w:hAnsi="Times New Roman" w:eastAsia="宋体" w:cs="Times New Roman"/>
                <w:color w:val="auto"/>
                <w:spacing w:val="0"/>
                <w:w w:val="100"/>
                <w:position w:val="0"/>
                <w:sz w:val="24"/>
                <w:szCs w:val="24"/>
                <w:lang w:eastAsia="zh-CN"/>
              </w:rPr>
              <w:t>登记</w:t>
            </w:r>
            <w:r>
              <w:rPr>
                <w:rFonts w:hint="default" w:ascii="Times New Roman" w:hAnsi="Times New Roman" w:eastAsia="宋体" w:cs="Times New Roman"/>
                <w:color w:val="auto"/>
                <w:spacing w:val="0"/>
                <w:w w:val="100"/>
                <w:position w:val="0"/>
                <w:sz w:val="24"/>
                <w:szCs w:val="24"/>
                <w:lang w:eastAsia="zh-CN"/>
              </w:rPr>
              <w:t>管理</w:t>
            </w:r>
            <w:r>
              <w:rPr>
                <w:rFonts w:hint="default" w:ascii="Times New Roman" w:hAnsi="Times New Roman" w:eastAsia="宋体" w:cs="Times New Roman"/>
                <w:color w:val="auto"/>
                <w:spacing w:val="0"/>
                <w:w w:val="100"/>
                <w:position w:val="0"/>
                <w:sz w:val="24"/>
                <w:szCs w:val="24"/>
              </w:rPr>
              <w:t>。</w:t>
            </w:r>
          </w:p>
          <w:p w14:paraId="20109D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pacing w:val="0"/>
                <w:w w:val="100"/>
                <w:position w:val="0"/>
                <w:sz w:val="24"/>
                <w:szCs w:val="24"/>
              </w:rPr>
            </w:pPr>
            <w:r>
              <w:rPr>
                <w:rFonts w:ascii="Times New Roman" w:hAnsi="Times New Roman" w:eastAsia="宋体" w:cs="Times New Roman"/>
                <w:color w:val="auto"/>
                <w:spacing w:val="0"/>
                <w:w w:val="100"/>
                <w:position w:val="0"/>
                <w:sz w:val="24"/>
                <w:szCs w:val="24"/>
              </w:rPr>
              <w:t>（2）排污口规范化</w:t>
            </w:r>
          </w:p>
          <w:p w14:paraId="644902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pacing w:val="0"/>
                <w:w w:val="100"/>
                <w:position w:val="0"/>
                <w:sz w:val="24"/>
                <w:szCs w:val="24"/>
              </w:rPr>
            </w:pPr>
            <w:r>
              <w:rPr>
                <w:rFonts w:ascii="Times New Roman" w:hAnsi="Times New Roman" w:eastAsia="宋体" w:cs="Times New Roman"/>
                <w:color w:val="auto"/>
                <w:spacing w:val="0"/>
                <w:w w:val="100"/>
                <w:position w:val="0"/>
                <w:sz w:val="24"/>
                <w:szCs w:val="24"/>
              </w:rPr>
              <w:t>废水排放口、固定噪声源、固体废物贮存和排气筒和危险废物等必须按照国家和江西省的有关规定进行建设，应符合</w:t>
            </w:r>
            <w:r>
              <w:rPr>
                <w:rFonts w:hint="eastAsia" w:cs="Times New Roman"/>
                <w:color w:val="auto"/>
                <w:spacing w:val="0"/>
                <w:w w:val="100"/>
                <w:position w:val="0"/>
                <w:sz w:val="24"/>
                <w:szCs w:val="24"/>
                <w:lang w:eastAsia="zh-CN"/>
              </w:rPr>
              <w:t>“</w:t>
            </w:r>
            <w:r>
              <w:rPr>
                <w:rFonts w:ascii="Times New Roman" w:hAnsi="Times New Roman" w:eastAsia="宋体" w:cs="Times New Roman"/>
                <w:color w:val="auto"/>
                <w:spacing w:val="0"/>
                <w:w w:val="100"/>
                <w:position w:val="0"/>
                <w:sz w:val="24"/>
                <w:szCs w:val="24"/>
              </w:rPr>
              <w:t>一明显、二合理、三便于</w:t>
            </w:r>
            <w:r>
              <w:rPr>
                <w:rFonts w:hint="eastAsia" w:cs="Times New Roman"/>
                <w:color w:val="auto"/>
                <w:spacing w:val="0"/>
                <w:w w:val="100"/>
                <w:position w:val="0"/>
                <w:sz w:val="24"/>
                <w:szCs w:val="24"/>
                <w:lang w:eastAsia="zh-CN"/>
              </w:rPr>
              <w:t>”</w:t>
            </w:r>
            <w:r>
              <w:rPr>
                <w:rFonts w:ascii="Times New Roman" w:hAnsi="Times New Roman" w:eastAsia="宋体" w:cs="Times New Roman"/>
                <w:color w:val="auto"/>
                <w:spacing w:val="0"/>
                <w:w w:val="100"/>
                <w:position w:val="0"/>
                <w:sz w:val="24"/>
                <w:szCs w:val="24"/>
              </w:rPr>
              <w:t>的要求，即环保标志明显，排污口设置合理，便于采集样品、便于监测计量、便于公众参与和监督管理。同时要求按照国家环保总局制定的《环境保护图形标志实施细则（试行）》的规定，设置与排污口相应的图形标志牌。</w:t>
            </w:r>
          </w:p>
          <w:p w14:paraId="1A1D21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pacing w:val="0"/>
                <w:w w:val="100"/>
                <w:position w:val="0"/>
                <w:sz w:val="24"/>
                <w:szCs w:val="24"/>
              </w:rPr>
            </w:pPr>
            <w:r>
              <w:rPr>
                <w:rFonts w:ascii="Times New Roman" w:hAnsi="Times New Roman" w:eastAsia="宋体" w:cs="Times New Roman"/>
                <w:color w:val="auto"/>
                <w:spacing w:val="0"/>
                <w:w w:val="100"/>
                <w:position w:val="0"/>
                <w:sz w:val="24"/>
                <w:szCs w:val="24"/>
              </w:rPr>
              <w:t>①排气筒设置取样口，并具备采样</w:t>
            </w:r>
            <w:r>
              <w:rPr>
                <w:rFonts w:hint="eastAsia" w:ascii="Times New Roman" w:hAnsi="Times New Roman" w:eastAsia="宋体" w:cs="Times New Roman"/>
                <w:color w:val="auto"/>
                <w:spacing w:val="0"/>
                <w:w w:val="100"/>
                <w:position w:val="0"/>
                <w:sz w:val="24"/>
                <w:szCs w:val="24"/>
                <w:lang w:eastAsia="zh-CN"/>
              </w:rPr>
              <w:t>检测</w:t>
            </w:r>
            <w:r>
              <w:rPr>
                <w:rFonts w:ascii="Times New Roman" w:hAnsi="Times New Roman" w:eastAsia="宋体" w:cs="Times New Roman"/>
                <w:color w:val="auto"/>
                <w:spacing w:val="0"/>
                <w:w w:val="100"/>
                <w:position w:val="0"/>
                <w:sz w:val="24"/>
                <w:szCs w:val="24"/>
              </w:rPr>
              <w:t>条件，</w:t>
            </w:r>
            <w:r>
              <w:rPr>
                <w:rFonts w:hint="eastAsia" w:ascii="Times New Roman" w:hAnsi="Times New Roman" w:eastAsia="宋体" w:cs="Times New Roman"/>
                <w:color w:val="auto"/>
                <w:spacing w:val="0"/>
                <w:w w:val="100"/>
                <w:position w:val="0"/>
                <w:sz w:val="24"/>
                <w:szCs w:val="24"/>
                <w:lang w:eastAsia="zh-CN"/>
              </w:rPr>
              <w:t>在</w:t>
            </w:r>
            <w:r>
              <w:rPr>
                <w:rFonts w:ascii="Times New Roman" w:hAnsi="Times New Roman" w:eastAsia="宋体" w:cs="Times New Roman"/>
                <w:color w:val="auto"/>
                <w:spacing w:val="0"/>
                <w:w w:val="100"/>
                <w:position w:val="0"/>
                <w:sz w:val="24"/>
                <w:szCs w:val="24"/>
              </w:rPr>
              <w:t>废水排放口附近</w:t>
            </w:r>
            <w:r>
              <w:rPr>
                <w:rFonts w:hint="eastAsia" w:cs="Times New Roman"/>
                <w:color w:val="auto"/>
                <w:spacing w:val="0"/>
                <w:w w:val="100"/>
                <w:position w:val="0"/>
                <w:sz w:val="24"/>
                <w:szCs w:val="24"/>
                <w:lang w:eastAsia="zh-CN"/>
              </w:rPr>
              <w:t>竖立</w:t>
            </w:r>
            <w:r>
              <w:rPr>
                <w:rFonts w:ascii="Times New Roman" w:hAnsi="Times New Roman" w:eastAsia="宋体" w:cs="Times New Roman"/>
                <w:color w:val="auto"/>
                <w:spacing w:val="0"/>
                <w:w w:val="100"/>
                <w:position w:val="0"/>
                <w:sz w:val="24"/>
                <w:szCs w:val="24"/>
              </w:rPr>
              <w:t>图形标志牌。</w:t>
            </w:r>
          </w:p>
          <w:p w14:paraId="59F54C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pacing w:val="0"/>
                <w:w w:val="100"/>
                <w:position w:val="0"/>
                <w:sz w:val="24"/>
                <w:szCs w:val="24"/>
              </w:rPr>
            </w:pPr>
            <w:r>
              <w:rPr>
                <w:rFonts w:ascii="Times New Roman" w:hAnsi="Times New Roman" w:eastAsia="宋体" w:cs="Times New Roman"/>
                <w:color w:val="auto"/>
                <w:spacing w:val="0"/>
                <w:w w:val="100"/>
                <w:position w:val="0"/>
                <w:sz w:val="24"/>
                <w:szCs w:val="24"/>
              </w:rPr>
              <w:t>②排污口管理。建设单位应在各个排污口处</w:t>
            </w:r>
            <w:r>
              <w:rPr>
                <w:rFonts w:hint="eastAsia" w:ascii="Times New Roman" w:hAnsi="Times New Roman" w:eastAsia="宋体" w:cs="Times New Roman"/>
                <w:color w:val="auto"/>
                <w:spacing w:val="0"/>
                <w:w w:val="100"/>
                <w:position w:val="0"/>
                <w:sz w:val="24"/>
                <w:szCs w:val="24"/>
                <w:lang w:eastAsia="zh-CN"/>
              </w:rPr>
              <w:t>竖立标志牌</w:t>
            </w:r>
            <w:r>
              <w:rPr>
                <w:rFonts w:ascii="Times New Roman" w:hAnsi="Times New Roman" w:eastAsia="宋体" w:cs="Times New Roman"/>
                <w:color w:val="auto"/>
                <w:spacing w:val="0"/>
                <w:w w:val="100"/>
                <w:position w:val="0"/>
                <w:sz w:val="24"/>
                <w:szCs w:val="24"/>
              </w:rPr>
              <w:t>，并如实填写《中华人民共和国规范化排污口标记登记证》，由环保部门签发。生态环境主管部门和建设单位可分别按以下内容建立排污口管理的专门档案：排污口性质和编号；位置；排放主要污染物种类、数量、浓度；排放去向；达标情况；治理设施运行情况及整改意见。</w:t>
            </w:r>
          </w:p>
          <w:p w14:paraId="00BFFD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pacing w:val="0"/>
                <w:w w:val="100"/>
                <w:position w:val="0"/>
                <w:sz w:val="24"/>
                <w:szCs w:val="24"/>
              </w:rPr>
            </w:pPr>
            <w:r>
              <w:rPr>
                <w:rFonts w:ascii="Times New Roman" w:hAnsi="Times New Roman" w:eastAsia="宋体" w:cs="Times New Roman"/>
                <w:color w:val="auto"/>
                <w:spacing w:val="0"/>
                <w:w w:val="100"/>
                <w:position w:val="0"/>
                <w:sz w:val="24"/>
                <w:szCs w:val="24"/>
              </w:rPr>
              <w:t>③环境保护图形标志</w:t>
            </w:r>
          </w:p>
          <w:p w14:paraId="6102EA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pacing w:val="0"/>
                <w:w w:val="100"/>
                <w:position w:val="0"/>
                <w:sz w:val="24"/>
                <w:szCs w:val="24"/>
              </w:rPr>
            </w:pPr>
            <w:r>
              <w:rPr>
                <w:rFonts w:ascii="Times New Roman" w:hAnsi="Times New Roman" w:eastAsia="宋体" w:cs="Times New Roman"/>
                <w:color w:val="auto"/>
                <w:spacing w:val="0"/>
                <w:w w:val="100"/>
                <w:position w:val="0"/>
                <w:sz w:val="24"/>
                <w:szCs w:val="24"/>
              </w:rPr>
              <w:t>在厂区的废气排放源、固体废物贮存处置场应设置环境保护图形标志，图形符号分为提示图形和警告图形符号两种，分别按《环境保护图形标志》排放口</w:t>
            </w:r>
            <w:r>
              <w:rPr>
                <w:rFonts w:hint="eastAsia" w:ascii="Times New Roman" w:hAnsi="Times New Roman" w:eastAsia="宋体" w:cs="Times New Roman"/>
                <w:color w:val="auto"/>
                <w:spacing w:val="0"/>
                <w:w w:val="100"/>
                <w:position w:val="0"/>
                <w:sz w:val="24"/>
                <w:szCs w:val="24"/>
                <w:lang w:eastAsia="zh-CN"/>
              </w:rPr>
              <w:t>（</w:t>
            </w:r>
            <w:r>
              <w:rPr>
                <w:rFonts w:ascii="Times New Roman" w:hAnsi="Times New Roman" w:eastAsia="宋体" w:cs="Times New Roman"/>
                <w:color w:val="auto"/>
                <w:spacing w:val="0"/>
                <w:w w:val="100"/>
                <w:position w:val="0"/>
                <w:sz w:val="24"/>
                <w:szCs w:val="24"/>
              </w:rPr>
              <w:t>源</w:t>
            </w:r>
            <w:r>
              <w:rPr>
                <w:rFonts w:hint="eastAsia" w:ascii="Times New Roman" w:hAnsi="Times New Roman" w:eastAsia="宋体" w:cs="Times New Roman"/>
                <w:color w:val="auto"/>
                <w:spacing w:val="0"/>
                <w:w w:val="100"/>
                <w:position w:val="0"/>
                <w:sz w:val="24"/>
                <w:szCs w:val="24"/>
                <w:lang w:eastAsia="zh-CN"/>
              </w:rPr>
              <w:t>）（</w:t>
            </w:r>
            <w:r>
              <w:rPr>
                <w:rFonts w:ascii="Times New Roman" w:hAnsi="Times New Roman" w:eastAsia="宋体" w:cs="Times New Roman"/>
                <w:color w:val="auto"/>
                <w:spacing w:val="0"/>
                <w:w w:val="100"/>
                <w:position w:val="0"/>
                <w:sz w:val="24"/>
                <w:szCs w:val="24"/>
              </w:rPr>
              <w:t>GB15562.1-1995</w:t>
            </w:r>
            <w:r>
              <w:rPr>
                <w:rFonts w:hint="eastAsia" w:ascii="Times New Roman" w:hAnsi="Times New Roman" w:eastAsia="宋体" w:cs="Times New Roman"/>
                <w:color w:val="auto"/>
                <w:spacing w:val="0"/>
                <w:w w:val="100"/>
                <w:position w:val="0"/>
                <w:sz w:val="24"/>
                <w:szCs w:val="24"/>
                <w:lang w:eastAsia="zh-CN"/>
              </w:rPr>
              <w:t>）</w:t>
            </w:r>
            <w:r>
              <w:rPr>
                <w:rFonts w:ascii="Times New Roman" w:hAnsi="Times New Roman" w:eastAsia="宋体" w:cs="Times New Roman"/>
                <w:color w:val="auto"/>
                <w:spacing w:val="0"/>
                <w:w w:val="100"/>
                <w:position w:val="0"/>
                <w:sz w:val="24"/>
                <w:szCs w:val="24"/>
              </w:rPr>
              <w:t>、《环境保护图形标志》固体废物贮存</w:t>
            </w:r>
            <w:r>
              <w:rPr>
                <w:rFonts w:hint="eastAsia" w:ascii="Times New Roman" w:hAnsi="Times New Roman" w:eastAsia="宋体" w:cs="Times New Roman"/>
                <w:color w:val="auto"/>
                <w:spacing w:val="0"/>
                <w:w w:val="100"/>
                <w:position w:val="0"/>
                <w:sz w:val="24"/>
                <w:szCs w:val="24"/>
                <w:lang w:eastAsia="zh-CN"/>
              </w:rPr>
              <w:t>（</w:t>
            </w:r>
            <w:r>
              <w:rPr>
                <w:rFonts w:ascii="Times New Roman" w:hAnsi="Times New Roman" w:eastAsia="宋体" w:cs="Times New Roman"/>
                <w:color w:val="auto"/>
                <w:spacing w:val="0"/>
                <w:w w:val="100"/>
                <w:position w:val="0"/>
                <w:sz w:val="24"/>
                <w:szCs w:val="24"/>
              </w:rPr>
              <w:t>处置</w:t>
            </w:r>
            <w:r>
              <w:rPr>
                <w:rFonts w:hint="eastAsia" w:ascii="Times New Roman" w:hAnsi="Times New Roman" w:eastAsia="宋体" w:cs="Times New Roman"/>
                <w:color w:val="auto"/>
                <w:spacing w:val="0"/>
                <w:w w:val="100"/>
                <w:position w:val="0"/>
                <w:sz w:val="24"/>
                <w:szCs w:val="24"/>
                <w:lang w:eastAsia="zh-CN"/>
              </w:rPr>
              <w:t>）</w:t>
            </w:r>
            <w:r>
              <w:rPr>
                <w:rFonts w:ascii="Times New Roman" w:hAnsi="Times New Roman" w:eastAsia="宋体" w:cs="Times New Roman"/>
                <w:color w:val="auto"/>
                <w:spacing w:val="0"/>
                <w:w w:val="100"/>
                <w:position w:val="0"/>
                <w:sz w:val="24"/>
                <w:szCs w:val="24"/>
              </w:rPr>
              <w:t>场</w:t>
            </w:r>
            <w:r>
              <w:rPr>
                <w:rFonts w:hint="eastAsia" w:ascii="Times New Roman" w:hAnsi="Times New Roman" w:eastAsia="宋体" w:cs="Times New Roman"/>
                <w:color w:val="auto"/>
                <w:spacing w:val="0"/>
                <w:w w:val="100"/>
                <w:position w:val="0"/>
                <w:sz w:val="24"/>
                <w:szCs w:val="24"/>
                <w:lang w:eastAsia="zh-CN"/>
              </w:rPr>
              <w:t>（</w:t>
            </w:r>
            <w:r>
              <w:rPr>
                <w:rFonts w:ascii="Times New Roman" w:hAnsi="Times New Roman" w:eastAsia="宋体" w:cs="Times New Roman"/>
                <w:color w:val="auto"/>
                <w:spacing w:val="0"/>
                <w:w w:val="100"/>
                <w:position w:val="0"/>
                <w:sz w:val="24"/>
                <w:szCs w:val="24"/>
              </w:rPr>
              <w:t>GB15562.2-1995</w:t>
            </w:r>
            <w:r>
              <w:rPr>
                <w:rFonts w:hint="eastAsia" w:ascii="Times New Roman" w:hAnsi="Times New Roman" w:eastAsia="宋体" w:cs="Times New Roman"/>
                <w:color w:val="auto"/>
                <w:spacing w:val="0"/>
                <w:w w:val="100"/>
                <w:position w:val="0"/>
                <w:sz w:val="24"/>
                <w:szCs w:val="24"/>
                <w:lang w:eastAsia="zh-CN"/>
              </w:rPr>
              <w:t>）</w:t>
            </w:r>
            <w:r>
              <w:rPr>
                <w:rFonts w:ascii="Times New Roman" w:hAnsi="Times New Roman" w:eastAsia="宋体" w:cs="Times New Roman"/>
                <w:color w:val="auto"/>
                <w:spacing w:val="0"/>
                <w:w w:val="100"/>
                <w:position w:val="0"/>
                <w:sz w:val="24"/>
                <w:szCs w:val="24"/>
              </w:rPr>
              <w:t>及2023年修改单执行。环境保护图形标志的形状及颜色见表5-1，环境保护图形符号见表5-2。</w:t>
            </w:r>
          </w:p>
          <w:p w14:paraId="5780F731">
            <w:pPr>
              <w:pStyle w:val="125"/>
              <w:spacing w:line="222" w:lineRule="auto"/>
              <w:jc w:val="center"/>
              <w:rPr>
                <w:rFonts w:hint="default" w:ascii="Times New Roman" w:hAnsi="Times New Roman" w:cs="Times New Roman" w:eastAsiaTheme="minorEastAsia"/>
                <w:color w:val="auto"/>
                <w:spacing w:val="0"/>
                <w:w w:val="100"/>
                <w:position w:val="0"/>
                <w:sz w:val="24"/>
                <w:szCs w:val="24"/>
              </w:rPr>
            </w:pPr>
            <w:r>
              <w:rPr>
                <w:rFonts w:hint="default" w:ascii="Times New Roman" w:hAnsi="Times New Roman" w:cs="Times New Roman" w:eastAsiaTheme="minorEastAsia"/>
                <w:b/>
                <w:bCs/>
                <w:color w:val="auto"/>
                <w:spacing w:val="0"/>
                <w:w w:val="100"/>
                <w:position w:val="0"/>
                <w:sz w:val="24"/>
                <w:szCs w:val="24"/>
              </w:rPr>
              <w:t>表5-1   环境保护图形标志的形状及颜色表</w:t>
            </w:r>
          </w:p>
          <w:tbl>
            <w:tblPr>
              <w:tblStyle w:val="126"/>
              <w:tblW w:w="7198" w:type="dxa"/>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03"/>
              <w:gridCol w:w="2022"/>
              <w:gridCol w:w="1700"/>
              <w:gridCol w:w="1773"/>
            </w:tblGrid>
            <w:tr w14:paraId="44BCC8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2" w:type="pct"/>
                  <w:tcBorders>
                    <w:tl2br w:val="nil"/>
                    <w:tr2bl w:val="nil"/>
                  </w:tcBorders>
                  <w:noWrap w:val="0"/>
                  <w:vAlign w:val="center"/>
                </w:tcPr>
                <w:p w14:paraId="1C0A180C">
                  <w:pPr>
                    <w:pStyle w:val="125"/>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b/>
                      <w:bCs/>
                      <w:color w:val="auto"/>
                      <w:spacing w:val="0"/>
                      <w:w w:val="100"/>
                      <w:position w:val="0"/>
                      <w:sz w:val="21"/>
                      <w:szCs w:val="21"/>
                    </w:rPr>
                    <w:t>标志名称</w:t>
                  </w:r>
                </w:p>
              </w:tc>
              <w:tc>
                <w:tcPr>
                  <w:tcW w:w="1404" w:type="pct"/>
                  <w:tcBorders>
                    <w:tl2br w:val="nil"/>
                    <w:tr2bl w:val="nil"/>
                  </w:tcBorders>
                  <w:noWrap w:val="0"/>
                  <w:vAlign w:val="center"/>
                </w:tcPr>
                <w:p w14:paraId="6CA25B6C">
                  <w:pPr>
                    <w:pStyle w:val="125"/>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b/>
                      <w:bCs/>
                      <w:color w:val="auto"/>
                      <w:spacing w:val="0"/>
                      <w:w w:val="100"/>
                      <w:position w:val="0"/>
                      <w:sz w:val="21"/>
                      <w:szCs w:val="21"/>
                    </w:rPr>
                    <w:t>形状</w:t>
                  </w:r>
                </w:p>
              </w:tc>
              <w:tc>
                <w:tcPr>
                  <w:tcW w:w="1180" w:type="pct"/>
                  <w:tcBorders>
                    <w:tl2br w:val="nil"/>
                    <w:tr2bl w:val="nil"/>
                  </w:tcBorders>
                  <w:noWrap w:val="0"/>
                  <w:vAlign w:val="center"/>
                </w:tcPr>
                <w:p w14:paraId="4F8E4B9C">
                  <w:pPr>
                    <w:pStyle w:val="125"/>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b/>
                      <w:bCs/>
                      <w:color w:val="auto"/>
                      <w:spacing w:val="0"/>
                      <w:w w:val="100"/>
                      <w:position w:val="0"/>
                      <w:sz w:val="21"/>
                      <w:szCs w:val="21"/>
                    </w:rPr>
                    <w:t>背景颜色</w:t>
                  </w:r>
                </w:p>
              </w:tc>
              <w:tc>
                <w:tcPr>
                  <w:tcW w:w="1231" w:type="pct"/>
                  <w:tcBorders>
                    <w:tl2br w:val="nil"/>
                    <w:tr2bl w:val="nil"/>
                  </w:tcBorders>
                  <w:noWrap w:val="0"/>
                  <w:vAlign w:val="center"/>
                </w:tcPr>
                <w:p w14:paraId="42AC58E9">
                  <w:pPr>
                    <w:pStyle w:val="125"/>
                    <w:keepNext w:val="0"/>
                    <w:keepLines w:val="0"/>
                    <w:pageBreakBefore w:val="0"/>
                    <w:widowControl w:val="0"/>
                    <w:kinsoku/>
                    <w:wordWrap/>
                    <w:overflowPunct/>
                    <w:topLinePunct w:val="0"/>
                    <w:autoSpaceDE/>
                    <w:autoSpaceDN/>
                    <w:bidi w:val="0"/>
                    <w:adjustRightInd/>
                    <w:snapToGrid/>
                    <w:spacing w:line="230"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b/>
                      <w:bCs/>
                      <w:color w:val="auto"/>
                      <w:spacing w:val="0"/>
                      <w:w w:val="100"/>
                      <w:position w:val="0"/>
                      <w:sz w:val="21"/>
                      <w:szCs w:val="21"/>
                    </w:rPr>
                    <w:t>图形颜色</w:t>
                  </w:r>
                </w:p>
              </w:tc>
            </w:tr>
            <w:tr w14:paraId="2AE77E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2" w:type="pct"/>
                  <w:tcBorders>
                    <w:tl2br w:val="nil"/>
                    <w:tr2bl w:val="nil"/>
                  </w:tcBorders>
                  <w:noWrap w:val="0"/>
                  <w:vAlign w:val="center"/>
                </w:tcPr>
                <w:p w14:paraId="1091D57C">
                  <w:pPr>
                    <w:pStyle w:val="125"/>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警告标志</w:t>
                  </w:r>
                </w:p>
              </w:tc>
              <w:tc>
                <w:tcPr>
                  <w:tcW w:w="1404" w:type="pct"/>
                  <w:tcBorders>
                    <w:tl2br w:val="nil"/>
                    <w:tr2bl w:val="nil"/>
                  </w:tcBorders>
                  <w:noWrap w:val="0"/>
                  <w:vAlign w:val="center"/>
                </w:tcPr>
                <w:p w14:paraId="4039D0D9">
                  <w:pPr>
                    <w:pStyle w:val="125"/>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三角形边框</w:t>
                  </w:r>
                </w:p>
              </w:tc>
              <w:tc>
                <w:tcPr>
                  <w:tcW w:w="1180" w:type="pct"/>
                  <w:tcBorders>
                    <w:tl2br w:val="nil"/>
                    <w:tr2bl w:val="nil"/>
                  </w:tcBorders>
                  <w:noWrap w:val="0"/>
                  <w:vAlign w:val="center"/>
                </w:tcPr>
                <w:p w14:paraId="13531DF4">
                  <w:pPr>
                    <w:pStyle w:val="125"/>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黄色</w:t>
                  </w:r>
                </w:p>
              </w:tc>
              <w:tc>
                <w:tcPr>
                  <w:tcW w:w="1231" w:type="pct"/>
                  <w:tcBorders>
                    <w:tl2br w:val="nil"/>
                    <w:tr2bl w:val="nil"/>
                  </w:tcBorders>
                  <w:noWrap w:val="0"/>
                  <w:vAlign w:val="center"/>
                </w:tcPr>
                <w:p w14:paraId="22FD2248">
                  <w:pPr>
                    <w:pStyle w:val="125"/>
                    <w:keepNext w:val="0"/>
                    <w:keepLines w:val="0"/>
                    <w:pageBreakBefore w:val="0"/>
                    <w:widowControl w:val="0"/>
                    <w:kinsoku/>
                    <w:wordWrap/>
                    <w:overflowPunct/>
                    <w:topLinePunct w:val="0"/>
                    <w:autoSpaceDE/>
                    <w:autoSpaceDN/>
                    <w:bidi w:val="0"/>
                    <w:adjustRightInd/>
                    <w:snapToGrid/>
                    <w:spacing w:line="233"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黑色</w:t>
                  </w:r>
                </w:p>
              </w:tc>
            </w:tr>
            <w:tr w14:paraId="0474F1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2" w:type="pct"/>
                  <w:tcBorders>
                    <w:tl2br w:val="nil"/>
                    <w:tr2bl w:val="nil"/>
                  </w:tcBorders>
                  <w:noWrap w:val="0"/>
                  <w:vAlign w:val="center"/>
                </w:tcPr>
                <w:p w14:paraId="6D46F5AA">
                  <w:pPr>
                    <w:pStyle w:val="125"/>
                    <w:keepNext w:val="0"/>
                    <w:keepLines w:val="0"/>
                    <w:pageBreakBefore w:val="0"/>
                    <w:widowControl w:val="0"/>
                    <w:kinsoku/>
                    <w:wordWrap/>
                    <w:overflowPunct/>
                    <w:topLinePunct w:val="0"/>
                    <w:autoSpaceDE/>
                    <w:autoSpaceDN/>
                    <w:bidi w:val="0"/>
                    <w:adjustRightInd/>
                    <w:snapToGrid/>
                    <w:spacing w:line="229"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提示标志</w:t>
                  </w:r>
                </w:p>
              </w:tc>
              <w:tc>
                <w:tcPr>
                  <w:tcW w:w="1404" w:type="pct"/>
                  <w:tcBorders>
                    <w:tl2br w:val="nil"/>
                    <w:tr2bl w:val="nil"/>
                  </w:tcBorders>
                  <w:noWrap w:val="0"/>
                  <w:vAlign w:val="center"/>
                </w:tcPr>
                <w:p w14:paraId="0DD28631">
                  <w:pPr>
                    <w:pStyle w:val="125"/>
                    <w:keepNext w:val="0"/>
                    <w:keepLines w:val="0"/>
                    <w:pageBreakBefore w:val="0"/>
                    <w:widowControl w:val="0"/>
                    <w:kinsoku/>
                    <w:wordWrap/>
                    <w:overflowPunct/>
                    <w:topLinePunct w:val="0"/>
                    <w:autoSpaceDE/>
                    <w:autoSpaceDN/>
                    <w:bidi w:val="0"/>
                    <w:adjustRightInd/>
                    <w:snapToGrid/>
                    <w:spacing w:line="228"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正方形边框</w:t>
                  </w:r>
                </w:p>
              </w:tc>
              <w:tc>
                <w:tcPr>
                  <w:tcW w:w="1180" w:type="pct"/>
                  <w:tcBorders>
                    <w:tl2br w:val="nil"/>
                    <w:tr2bl w:val="nil"/>
                  </w:tcBorders>
                  <w:noWrap w:val="0"/>
                  <w:vAlign w:val="center"/>
                </w:tcPr>
                <w:p w14:paraId="1B7FF5A8">
                  <w:pPr>
                    <w:pStyle w:val="125"/>
                    <w:keepNext w:val="0"/>
                    <w:keepLines w:val="0"/>
                    <w:pageBreakBefore w:val="0"/>
                    <w:widowControl w:val="0"/>
                    <w:kinsoku/>
                    <w:wordWrap/>
                    <w:overflowPunct/>
                    <w:topLinePunct w:val="0"/>
                    <w:autoSpaceDE/>
                    <w:autoSpaceDN/>
                    <w:bidi w:val="0"/>
                    <w:adjustRightInd/>
                    <w:snapToGrid/>
                    <w:spacing w:line="230"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绿色</w:t>
                  </w:r>
                </w:p>
              </w:tc>
              <w:tc>
                <w:tcPr>
                  <w:tcW w:w="1231" w:type="pct"/>
                  <w:tcBorders>
                    <w:tl2br w:val="nil"/>
                    <w:tr2bl w:val="nil"/>
                  </w:tcBorders>
                  <w:noWrap w:val="0"/>
                  <w:vAlign w:val="center"/>
                </w:tcPr>
                <w:p w14:paraId="63E3DDEE">
                  <w:pPr>
                    <w:pStyle w:val="125"/>
                    <w:keepNext w:val="0"/>
                    <w:keepLines w:val="0"/>
                    <w:pageBreakBefore w:val="0"/>
                    <w:widowControl w:val="0"/>
                    <w:kinsoku/>
                    <w:wordWrap/>
                    <w:overflowPunct/>
                    <w:topLinePunct w:val="0"/>
                    <w:autoSpaceDE/>
                    <w:autoSpaceDN/>
                    <w:bidi w:val="0"/>
                    <w:adjustRightInd/>
                    <w:snapToGrid/>
                    <w:spacing w:line="231" w:lineRule="auto"/>
                    <w:ind w:left="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白色</w:t>
                  </w:r>
                </w:p>
              </w:tc>
            </w:tr>
          </w:tbl>
          <w:p w14:paraId="6B11BA99">
            <w:pPr>
              <w:pStyle w:val="125"/>
              <w:keepNext w:val="0"/>
              <w:keepLines w:val="0"/>
              <w:pageBreakBefore w:val="0"/>
              <w:widowControl w:val="0"/>
              <w:kinsoku/>
              <w:wordWrap/>
              <w:overflowPunct/>
              <w:topLinePunct w:val="0"/>
              <w:autoSpaceDE/>
              <w:autoSpaceDN/>
              <w:bidi w:val="0"/>
              <w:adjustRightInd/>
              <w:snapToGrid/>
              <w:spacing w:before="157" w:beforeLines="50" w:line="224" w:lineRule="auto"/>
              <w:ind w:left="2064"/>
              <w:textAlignment w:val="auto"/>
              <w:rPr>
                <w:rFonts w:ascii="Times New Roman" w:hAnsi="Times New Roman" w:eastAsia="Times New Roman" w:cs="Times New Roman"/>
                <w:b/>
                <w:bCs/>
                <w:color w:val="auto"/>
                <w:spacing w:val="0"/>
                <w:w w:val="100"/>
                <w:position w:val="0"/>
                <w:sz w:val="24"/>
                <w:szCs w:val="24"/>
              </w:rPr>
            </w:pPr>
            <w:r>
              <w:rPr>
                <w:rFonts w:ascii="Times New Roman" w:hAnsi="Times New Roman" w:eastAsia="Times New Roman" w:cs="Times New Roman"/>
                <w:b/>
                <w:bCs/>
                <w:color w:val="auto"/>
                <w:spacing w:val="0"/>
                <w:w w:val="100"/>
                <w:position w:val="0"/>
                <w:sz w:val="24"/>
                <w:szCs w:val="24"/>
              </w:rPr>
              <w:t>表5-2   环境保护图形符号一览表</w:t>
            </w:r>
          </w:p>
          <w:tbl>
            <w:tblPr>
              <w:tblStyle w:val="126"/>
              <w:tblW w:w="7256" w:type="dxa"/>
              <w:tblInd w:w="-1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23"/>
              <w:gridCol w:w="1358"/>
              <w:gridCol w:w="1234"/>
              <w:gridCol w:w="1301"/>
              <w:gridCol w:w="1483"/>
              <w:gridCol w:w="1357"/>
            </w:tblGrid>
            <w:tr w14:paraId="70E81A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360" w:type="pct"/>
                  <w:tcBorders>
                    <w:tl2br w:val="nil"/>
                    <w:tr2bl w:val="nil"/>
                  </w:tcBorders>
                  <w:noWrap w:val="0"/>
                  <w:vAlign w:val="center"/>
                </w:tcPr>
                <w:p w14:paraId="3F4C75F3">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名称</w:t>
                  </w:r>
                </w:p>
              </w:tc>
              <w:tc>
                <w:tcPr>
                  <w:tcW w:w="935" w:type="pct"/>
                  <w:tcBorders>
                    <w:tl2br w:val="nil"/>
                    <w:tr2bl w:val="nil"/>
                  </w:tcBorders>
                  <w:noWrap w:val="0"/>
                  <w:vAlign w:val="center"/>
                </w:tcPr>
                <w:p w14:paraId="29E2A502">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噪声排放源</w:t>
                  </w:r>
                </w:p>
              </w:tc>
              <w:tc>
                <w:tcPr>
                  <w:tcW w:w="850" w:type="pct"/>
                  <w:tcBorders>
                    <w:tl2br w:val="nil"/>
                    <w:tr2bl w:val="nil"/>
                  </w:tcBorders>
                  <w:noWrap w:val="0"/>
                  <w:vAlign w:val="center"/>
                </w:tcPr>
                <w:p w14:paraId="2319012E">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废水排放口</w:t>
                  </w:r>
                </w:p>
              </w:tc>
              <w:tc>
                <w:tcPr>
                  <w:tcW w:w="896" w:type="pct"/>
                  <w:tcBorders>
                    <w:tl2br w:val="nil"/>
                    <w:tr2bl w:val="nil"/>
                  </w:tcBorders>
                  <w:noWrap w:val="0"/>
                  <w:vAlign w:val="center"/>
                </w:tcPr>
                <w:p w14:paraId="602BCC99">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废气排放口</w:t>
                  </w:r>
                </w:p>
              </w:tc>
              <w:tc>
                <w:tcPr>
                  <w:tcW w:w="1021" w:type="pct"/>
                  <w:tcBorders>
                    <w:tl2br w:val="nil"/>
                    <w:tr2bl w:val="nil"/>
                  </w:tcBorders>
                  <w:noWrap w:val="0"/>
                  <w:vAlign w:val="center"/>
                </w:tcPr>
                <w:p w14:paraId="00718F64">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一般固体废物</w:t>
                  </w:r>
                </w:p>
              </w:tc>
              <w:tc>
                <w:tcPr>
                  <w:tcW w:w="935" w:type="pct"/>
                  <w:tcBorders>
                    <w:tl2br w:val="nil"/>
                    <w:tr2bl w:val="nil"/>
                  </w:tcBorders>
                  <w:noWrap w:val="0"/>
                  <w:vAlign w:val="center"/>
                </w:tcPr>
                <w:p w14:paraId="392AC815">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危险废物</w:t>
                  </w:r>
                </w:p>
              </w:tc>
            </w:tr>
            <w:tr w14:paraId="249DB3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83" w:hRule="atLeast"/>
              </w:trPr>
              <w:tc>
                <w:tcPr>
                  <w:tcW w:w="360" w:type="pct"/>
                  <w:tcBorders>
                    <w:tl2br w:val="nil"/>
                    <w:tr2bl w:val="nil"/>
                  </w:tcBorders>
                  <w:noWrap w:val="0"/>
                  <w:vAlign w:val="center"/>
                </w:tcPr>
                <w:p w14:paraId="55F62BB1">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图形符号</w:t>
                  </w:r>
                </w:p>
              </w:tc>
              <w:tc>
                <w:tcPr>
                  <w:tcW w:w="935" w:type="pct"/>
                  <w:tcBorders>
                    <w:tl2br w:val="nil"/>
                    <w:tr2bl w:val="nil"/>
                  </w:tcBorders>
                  <w:noWrap w:val="0"/>
                  <w:vAlign w:val="center"/>
                </w:tcPr>
                <w:p w14:paraId="67E9CC5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drawing>
                      <wp:inline distT="0" distB="0" distL="114300" distR="114300">
                        <wp:extent cx="828675" cy="816610"/>
                        <wp:effectExtent l="0" t="0" r="9525" b="2540"/>
                        <wp:docPr id="9" name="图片 6"/>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21"/>
                                <a:stretch>
                                  <a:fillRect/>
                                </a:stretch>
                              </pic:blipFill>
                              <pic:spPr>
                                <a:xfrm>
                                  <a:off x="0" y="0"/>
                                  <a:ext cx="828675" cy="816610"/>
                                </a:xfrm>
                                <a:prstGeom prst="rect">
                                  <a:avLst/>
                                </a:prstGeom>
                                <a:noFill/>
                                <a:ln>
                                  <a:noFill/>
                                </a:ln>
                              </pic:spPr>
                            </pic:pic>
                          </a:graphicData>
                        </a:graphic>
                      </wp:inline>
                    </w:drawing>
                  </w:r>
                </w:p>
              </w:tc>
              <w:tc>
                <w:tcPr>
                  <w:tcW w:w="850" w:type="pct"/>
                  <w:tcBorders>
                    <w:tl2br w:val="nil"/>
                    <w:tr2bl w:val="nil"/>
                  </w:tcBorders>
                  <w:noWrap w:val="0"/>
                  <w:vAlign w:val="center"/>
                </w:tcPr>
                <w:p w14:paraId="6D1117C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drawing>
                      <wp:inline distT="0" distB="0" distL="114300" distR="114300">
                        <wp:extent cx="743585" cy="802640"/>
                        <wp:effectExtent l="0" t="0" r="18415" b="16510"/>
                        <wp:docPr id="51" name="图片 7"/>
                        <wp:cNvGraphicFramePr/>
                        <a:graphic xmlns:a="http://schemas.openxmlformats.org/drawingml/2006/main">
                          <a:graphicData uri="http://schemas.openxmlformats.org/drawingml/2006/picture">
                            <pic:pic xmlns:pic="http://schemas.openxmlformats.org/drawingml/2006/picture">
                              <pic:nvPicPr>
                                <pic:cNvPr id="51" name="图片 7"/>
                                <pic:cNvPicPr/>
                              </pic:nvPicPr>
                              <pic:blipFill>
                                <a:blip r:embed="rId22"/>
                                <a:stretch>
                                  <a:fillRect/>
                                </a:stretch>
                              </pic:blipFill>
                              <pic:spPr>
                                <a:xfrm>
                                  <a:off x="0" y="0"/>
                                  <a:ext cx="743585" cy="802640"/>
                                </a:xfrm>
                                <a:prstGeom prst="rect">
                                  <a:avLst/>
                                </a:prstGeom>
                                <a:noFill/>
                                <a:ln>
                                  <a:noFill/>
                                </a:ln>
                              </pic:spPr>
                            </pic:pic>
                          </a:graphicData>
                        </a:graphic>
                      </wp:inline>
                    </w:drawing>
                  </w:r>
                </w:p>
              </w:tc>
              <w:tc>
                <w:tcPr>
                  <w:tcW w:w="896" w:type="pct"/>
                  <w:tcBorders>
                    <w:tl2br w:val="nil"/>
                    <w:tr2bl w:val="nil"/>
                  </w:tcBorders>
                  <w:noWrap w:val="0"/>
                  <w:vAlign w:val="center"/>
                </w:tcPr>
                <w:p w14:paraId="0590416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drawing>
                      <wp:inline distT="0" distB="0" distL="114300" distR="114300">
                        <wp:extent cx="799465" cy="836295"/>
                        <wp:effectExtent l="0" t="0" r="635" b="190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3"/>
                                <a:stretch>
                                  <a:fillRect/>
                                </a:stretch>
                              </pic:blipFill>
                              <pic:spPr>
                                <a:xfrm>
                                  <a:off x="0" y="0"/>
                                  <a:ext cx="799465" cy="836295"/>
                                </a:xfrm>
                                <a:prstGeom prst="rect">
                                  <a:avLst/>
                                </a:prstGeom>
                                <a:noFill/>
                                <a:ln>
                                  <a:noFill/>
                                </a:ln>
                              </pic:spPr>
                            </pic:pic>
                          </a:graphicData>
                        </a:graphic>
                      </wp:inline>
                    </w:drawing>
                  </w:r>
                </w:p>
              </w:tc>
              <w:tc>
                <w:tcPr>
                  <w:tcW w:w="1021" w:type="pct"/>
                  <w:tcBorders>
                    <w:tl2br w:val="nil"/>
                    <w:tr2bl w:val="nil"/>
                  </w:tcBorders>
                  <w:noWrap w:val="0"/>
                  <w:vAlign w:val="center"/>
                </w:tcPr>
                <w:p w14:paraId="12EE203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drawing>
                      <wp:inline distT="0" distB="0" distL="114300" distR="114300">
                        <wp:extent cx="836930" cy="861060"/>
                        <wp:effectExtent l="0" t="0" r="1270" b="15240"/>
                        <wp:docPr id="5" name="图片 9"/>
                        <wp:cNvGraphicFramePr/>
                        <a:graphic xmlns:a="http://schemas.openxmlformats.org/drawingml/2006/main">
                          <a:graphicData uri="http://schemas.openxmlformats.org/drawingml/2006/picture">
                            <pic:pic xmlns:pic="http://schemas.openxmlformats.org/drawingml/2006/picture">
                              <pic:nvPicPr>
                                <pic:cNvPr id="5" name="图片 9"/>
                                <pic:cNvPicPr/>
                              </pic:nvPicPr>
                              <pic:blipFill>
                                <a:blip r:embed="rId24"/>
                                <a:stretch>
                                  <a:fillRect/>
                                </a:stretch>
                              </pic:blipFill>
                              <pic:spPr>
                                <a:xfrm>
                                  <a:off x="0" y="0"/>
                                  <a:ext cx="836930" cy="861060"/>
                                </a:xfrm>
                                <a:prstGeom prst="rect">
                                  <a:avLst/>
                                </a:prstGeom>
                                <a:noFill/>
                                <a:ln>
                                  <a:noFill/>
                                </a:ln>
                              </pic:spPr>
                            </pic:pic>
                          </a:graphicData>
                        </a:graphic>
                      </wp:inline>
                    </w:drawing>
                  </w:r>
                </w:p>
              </w:tc>
              <w:tc>
                <w:tcPr>
                  <w:tcW w:w="935" w:type="pct"/>
                  <w:tcBorders>
                    <w:tl2br w:val="nil"/>
                    <w:tr2bl w:val="nil"/>
                  </w:tcBorders>
                  <w:noWrap w:val="0"/>
                  <w:vAlign w:val="center"/>
                </w:tcPr>
                <w:p w14:paraId="6DD6741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drawing>
                      <wp:inline distT="0" distB="0" distL="114300" distR="114300">
                        <wp:extent cx="836930" cy="661670"/>
                        <wp:effectExtent l="0" t="0" r="1270" b="5080"/>
                        <wp:docPr id="6" name="图片 10"/>
                        <wp:cNvGraphicFramePr/>
                        <a:graphic xmlns:a="http://schemas.openxmlformats.org/drawingml/2006/main">
                          <a:graphicData uri="http://schemas.openxmlformats.org/drawingml/2006/picture">
                            <pic:pic xmlns:pic="http://schemas.openxmlformats.org/drawingml/2006/picture">
                              <pic:nvPicPr>
                                <pic:cNvPr id="6" name="图片 10"/>
                                <pic:cNvPicPr/>
                              </pic:nvPicPr>
                              <pic:blipFill>
                                <a:blip r:embed="rId25"/>
                                <a:stretch>
                                  <a:fillRect/>
                                </a:stretch>
                              </pic:blipFill>
                              <pic:spPr>
                                <a:xfrm>
                                  <a:off x="0" y="0"/>
                                  <a:ext cx="836930" cy="661670"/>
                                </a:xfrm>
                                <a:prstGeom prst="rect">
                                  <a:avLst/>
                                </a:prstGeom>
                                <a:noFill/>
                                <a:ln>
                                  <a:noFill/>
                                </a:ln>
                              </pic:spPr>
                            </pic:pic>
                          </a:graphicData>
                        </a:graphic>
                      </wp:inline>
                    </w:drawing>
                  </w:r>
                </w:p>
              </w:tc>
            </w:tr>
            <w:tr w14:paraId="2D16D4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360" w:type="pct"/>
                  <w:tcBorders>
                    <w:tl2br w:val="nil"/>
                    <w:tr2bl w:val="nil"/>
                  </w:tcBorders>
                  <w:noWrap w:val="0"/>
                  <w:vAlign w:val="center"/>
                </w:tcPr>
                <w:p w14:paraId="519D928E">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功能</w:t>
                  </w:r>
                </w:p>
              </w:tc>
              <w:tc>
                <w:tcPr>
                  <w:tcW w:w="935" w:type="pct"/>
                  <w:tcBorders>
                    <w:tl2br w:val="nil"/>
                    <w:tr2bl w:val="nil"/>
                  </w:tcBorders>
                  <w:noWrap w:val="0"/>
                  <w:vAlign w:val="center"/>
                </w:tcPr>
                <w:p w14:paraId="12C44678">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表示噪声向外环境排放</w:t>
                  </w:r>
                </w:p>
              </w:tc>
              <w:tc>
                <w:tcPr>
                  <w:tcW w:w="850" w:type="pct"/>
                  <w:tcBorders>
                    <w:tl2br w:val="nil"/>
                    <w:tr2bl w:val="nil"/>
                  </w:tcBorders>
                  <w:noWrap w:val="0"/>
                  <w:vAlign w:val="center"/>
                </w:tcPr>
                <w:p w14:paraId="53DDEC5F">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表示废水向外环境排放</w:t>
                  </w:r>
                </w:p>
              </w:tc>
              <w:tc>
                <w:tcPr>
                  <w:tcW w:w="896" w:type="pct"/>
                  <w:tcBorders>
                    <w:tl2br w:val="nil"/>
                    <w:tr2bl w:val="nil"/>
                  </w:tcBorders>
                  <w:noWrap w:val="0"/>
                  <w:vAlign w:val="center"/>
                </w:tcPr>
                <w:p w14:paraId="51177A81">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表示废气向</w:t>
                  </w:r>
                </w:p>
                <w:p w14:paraId="3B26C0D4">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大气环境排放</w:t>
                  </w:r>
                </w:p>
              </w:tc>
              <w:tc>
                <w:tcPr>
                  <w:tcW w:w="1021" w:type="pct"/>
                  <w:tcBorders>
                    <w:tl2br w:val="nil"/>
                    <w:tr2bl w:val="nil"/>
                  </w:tcBorders>
                  <w:noWrap w:val="0"/>
                  <w:vAlign w:val="center"/>
                </w:tcPr>
                <w:p w14:paraId="796CCAB7">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表示一般固体废物贮存、处置场</w:t>
                  </w:r>
                </w:p>
              </w:tc>
              <w:tc>
                <w:tcPr>
                  <w:tcW w:w="935" w:type="pct"/>
                  <w:tcBorders>
                    <w:tl2br w:val="nil"/>
                    <w:tr2bl w:val="nil"/>
                  </w:tcBorders>
                  <w:noWrap w:val="0"/>
                  <w:vAlign w:val="center"/>
                </w:tcPr>
                <w:p w14:paraId="59B9A461">
                  <w:pPr>
                    <w:pStyle w:val="12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eastAsiaTheme="minorEastAsia"/>
                      <w:color w:val="auto"/>
                      <w:spacing w:val="0"/>
                      <w:w w:val="100"/>
                      <w:position w:val="0"/>
                      <w:sz w:val="21"/>
                      <w:szCs w:val="21"/>
                    </w:rPr>
                  </w:pPr>
                  <w:r>
                    <w:rPr>
                      <w:rFonts w:hint="default" w:ascii="Times New Roman" w:hAnsi="Times New Roman" w:cs="Times New Roman" w:eastAsiaTheme="minorEastAsia"/>
                      <w:color w:val="auto"/>
                      <w:spacing w:val="0"/>
                      <w:w w:val="100"/>
                      <w:position w:val="0"/>
                      <w:sz w:val="21"/>
                      <w:szCs w:val="21"/>
                    </w:rPr>
                    <w:t>表示危险废物贮存、处置场</w:t>
                  </w:r>
                </w:p>
              </w:tc>
            </w:tr>
          </w:tbl>
          <w:p w14:paraId="1D997D74">
            <w:pPr>
              <w:spacing w:line="360" w:lineRule="auto"/>
              <w:ind w:firstLine="480" w:firstLineChars="200"/>
              <w:jc w:val="left"/>
              <w:rPr>
                <w:rFonts w:ascii="Times New Roman" w:hAnsi="Times New Roman" w:eastAsia="宋体" w:cs="Times New Roman"/>
                <w:color w:val="auto"/>
                <w:spacing w:val="0"/>
                <w:w w:val="100"/>
                <w:position w:val="0"/>
                <w:sz w:val="24"/>
                <w:szCs w:val="24"/>
              </w:rPr>
            </w:pPr>
            <w:r>
              <w:rPr>
                <w:rFonts w:ascii="Times New Roman" w:hAnsi="Times New Roman" w:eastAsia="宋体" w:cs="Times New Roman"/>
                <w:color w:val="auto"/>
                <w:spacing w:val="0"/>
                <w:w w:val="100"/>
                <w:position w:val="0"/>
                <w:sz w:val="24"/>
                <w:szCs w:val="24"/>
              </w:rPr>
              <w:t>使用国家环保部门统一印制的《中华人民共和国规范化排污口标志登记证》，并按要求填写有关内容，项目建成后，应将主要污染物种类、数量、浓度、排放去向、立标情况及设施运行情况记录于档案。</w:t>
            </w:r>
          </w:p>
          <w:p w14:paraId="41366CBD">
            <w:pPr>
              <w:spacing w:line="360" w:lineRule="auto"/>
              <w:ind w:firstLine="480" w:firstLineChars="200"/>
              <w:jc w:val="left"/>
              <w:rPr>
                <w:rFonts w:hint="eastAsia" w:ascii="Times New Roman" w:hAnsi="Times New Roman" w:eastAsia="Times New Roman" w:cs="Times New Roman"/>
                <w:b/>
                <w:bCs/>
                <w:color w:val="auto"/>
                <w:spacing w:val="0"/>
                <w:w w:val="100"/>
                <w:position w:val="0"/>
                <w:sz w:val="24"/>
                <w:szCs w:val="24"/>
                <w:u w:val="single"/>
                <w:lang w:val="en-US" w:eastAsia="zh-CN"/>
              </w:rPr>
            </w:pPr>
            <w:r>
              <w:rPr>
                <w:rFonts w:hint="eastAsia" w:ascii="Times New Roman" w:hAnsi="Times New Roman" w:eastAsia="Times New Roman" w:cs="Times New Roman"/>
                <w:b/>
                <w:bCs/>
                <w:color w:val="auto"/>
                <w:spacing w:val="0"/>
                <w:w w:val="100"/>
                <w:position w:val="0"/>
                <w:sz w:val="24"/>
                <w:szCs w:val="24"/>
                <w:u w:val="single"/>
                <w:lang w:val="en-US" w:eastAsia="zh-CN"/>
              </w:rPr>
              <w:t>3、突发环境事件应急预案</w:t>
            </w:r>
          </w:p>
          <w:p w14:paraId="5DFE2A83">
            <w:pPr>
              <w:spacing w:line="360" w:lineRule="auto"/>
              <w:ind w:firstLine="480" w:firstLineChars="200"/>
              <w:jc w:val="left"/>
              <w:rPr>
                <w:rFonts w:ascii="Times New Roman" w:hAnsi="Times New Roman" w:eastAsia="宋体" w:cs="Times New Roman"/>
                <w:color w:val="auto"/>
                <w:spacing w:val="0"/>
                <w:w w:val="100"/>
                <w:position w:val="0"/>
                <w:sz w:val="24"/>
                <w:szCs w:val="24"/>
              </w:rPr>
            </w:pPr>
            <w:r>
              <w:rPr>
                <w:rFonts w:ascii="Times New Roman" w:hAnsi="Times New Roman" w:eastAsia="宋体" w:cs="Times New Roman"/>
                <w:color w:val="auto"/>
                <w:sz w:val="24"/>
                <w:u w:val="single"/>
              </w:rPr>
              <w:t>项目在正常生产后开展本企业的突发环境事件应急预案编制工作，并按要求到生态环境主管部门进行备案</w:t>
            </w:r>
            <w:r>
              <w:rPr>
                <w:rFonts w:hint="eastAsia" w:cs="Times New Roman"/>
                <w:color w:val="auto"/>
                <w:sz w:val="24"/>
                <w:u w:val="single"/>
                <w:lang w:eastAsia="zh-CN"/>
              </w:rPr>
              <w:t>；</w:t>
            </w:r>
            <w:r>
              <w:rPr>
                <w:rFonts w:ascii="Times New Roman" w:hAnsi="Times New Roman" w:eastAsia="宋体" w:cs="Times New Roman"/>
                <w:color w:val="auto"/>
                <w:sz w:val="24"/>
                <w:u w:val="single"/>
              </w:rPr>
              <w:t>若符合《湖南省突发环境事件应急预案管理办法（修订版）》的通知（湘环发〔2024〕49号）中豁免，须向属地县级生态环境主管部门提供环境应急预案豁免管理申请表并得到同意。</w:t>
            </w:r>
          </w:p>
          <w:p w14:paraId="59FA0C0C">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45A42EDD">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3D90EFA4">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301846FA">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2B31A6E1">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41AECD68">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23A37418">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2FA5CAFF">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268F8082">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392F5735">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5A51F3CA">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1DB1E11F">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474525ED">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68A82FB5">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10BFD676">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7B12E597">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32C1E34F">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196A718E">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0692C0A1">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76019A9B">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3AD4F89E">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41101F4F">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794B26DA">
            <w:pPr>
              <w:spacing w:line="360" w:lineRule="auto"/>
              <w:ind w:firstLine="480" w:firstLineChars="200"/>
              <w:jc w:val="left"/>
              <w:rPr>
                <w:rFonts w:ascii="Times New Roman" w:hAnsi="Times New Roman" w:eastAsia="宋体" w:cs="Times New Roman"/>
                <w:color w:val="auto"/>
                <w:spacing w:val="0"/>
                <w:w w:val="100"/>
                <w:position w:val="0"/>
                <w:sz w:val="24"/>
                <w:szCs w:val="24"/>
              </w:rPr>
            </w:pPr>
          </w:p>
          <w:p w14:paraId="317A65B8">
            <w:pPr>
              <w:spacing w:line="360" w:lineRule="auto"/>
              <w:ind w:firstLine="480" w:firstLineChars="200"/>
              <w:jc w:val="left"/>
              <w:rPr>
                <w:rFonts w:hint="default" w:ascii="Times New Roman" w:hAnsi="Times New Roman" w:eastAsia="宋体" w:cs="Times New Roman"/>
                <w:color w:val="auto"/>
                <w:spacing w:val="0"/>
                <w:w w:val="100"/>
                <w:position w:val="0"/>
                <w:sz w:val="24"/>
                <w:szCs w:val="24"/>
              </w:rPr>
            </w:pPr>
          </w:p>
        </w:tc>
      </w:tr>
    </w:tbl>
    <w:p w14:paraId="37599818">
      <w:pPr>
        <w:pStyle w:val="2"/>
        <w:bidi w:val="0"/>
        <w:jc w:val="center"/>
        <w:rPr>
          <w:rFonts w:hint="eastAsia" w:asciiTheme="majorEastAsia" w:hAnsiTheme="majorEastAsia" w:eastAsiaTheme="majorEastAsia" w:cstheme="majorEastAsia"/>
          <w:b/>
          <w:bCs/>
          <w:color w:val="auto"/>
        </w:rPr>
      </w:pPr>
      <w:r>
        <w:rPr>
          <w:rFonts w:hint="default" w:ascii="Times New Roman" w:hAnsi="Times New Roman" w:cs="Times New Roman"/>
          <w:snapToGrid w:val="0"/>
          <w:color w:val="auto"/>
          <w:u w:val="single"/>
        </w:rPr>
        <w:br w:type="page"/>
      </w:r>
      <w:bookmarkStart w:id="25" w:name="_Toc25183"/>
      <w:bookmarkStart w:id="26" w:name="_Toc4579"/>
      <w:bookmarkStart w:id="27" w:name="_Toc18042"/>
      <w:r>
        <w:rPr>
          <w:rFonts w:hint="eastAsia" w:asciiTheme="majorEastAsia" w:hAnsiTheme="majorEastAsia" w:eastAsiaTheme="majorEastAsia" w:cstheme="majorEastAsia"/>
          <w:b/>
          <w:bCs/>
          <w:color w:val="auto"/>
        </w:rPr>
        <w:t>六、结论</w:t>
      </w:r>
      <w:bookmarkEnd w:id="25"/>
      <w:bookmarkEnd w:id="26"/>
      <w:bookmarkEnd w:id="27"/>
    </w:p>
    <w:tbl>
      <w:tblPr>
        <w:tblStyle w:val="32"/>
        <w:tblW w:w="87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38"/>
      </w:tblGrid>
      <w:tr w14:paraId="18EE1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738" w:type="dxa"/>
            <w:vAlign w:val="top"/>
          </w:tcPr>
          <w:p w14:paraId="71BAF8AF">
            <w:pPr>
              <w:pStyle w:val="47"/>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jc w:val="both"/>
              <w:textAlignment w:val="auto"/>
              <w:rPr>
                <w:rFonts w:hint="eastAsia" w:ascii="Times New Roman" w:hAnsi="Times New Roman" w:eastAsia="宋体" w:cs="Times New Roman"/>
                <w:bCs/>
                <w:color w:val="auto"/>
                <w:lang w:eastAsia="zh-CN"/>
              </w:rPr>
            </w:pPr>
            <w:r>
              <w:rPr>
                <w:rFonts w:hint="default" w:ascii="Times New Roman" w:hAnsi="Times New Roman" w:cs="Times New Roman"/>
                <w:bCs/>
                <w:color w:val="auto"/>
              </w:rPr>
              <w:t>综上所述，</w:t>
            </w:r>
            <w:r>
              <w:rPr>
                <w:rFonts w:hint="eastAsia" w:ascii="Times New Roman" w:hAnsi="Times New Roman" w:cs="Times New Roman"/>
                <w:color w:val="auto"/>
                <w:sz w:val="24"/>
                <w:lang w:eastAsia="zh-CN"/>
              </w:rPr>
              <w:t>怀化崇实农业开发有限公司年产800吨中药材产地趁鲜加工及药食同源食品开发项目</w:t>
            </w:r>
            <w:r>
              <w:rPr>
                <w:rFonts w:hint="default" w:ascii="Times New Roman" w:hAnsi="Times New Roman" w:cs="Times New Roman"/>
                <w:bCs/>
                <w:color w:val="auto"/>
              </w:rPr>
              <w:t>符合</w:t>
            </w:r>
            <w:r>
              <w:rPr>
                <w:rFonts w:hint="eastAsia" w:ascii="Times New Roman" w:hAnsi="Times New Roman" w:cs="Times New Roman"/>
                <w:bCs/>
                <w:color w:val="auto"/>
                <w:lang w:val="en-US" w:eastAsia="zh-CN"/>
              </w:rPr>
              <w:t>当前</w:t>
            </w:r>
            <w:r>
              <w:rPr>
                <w:rFonts w:hint="default" w:ascii="Times New Roman" w:hAnsi="Times New Roman" w:cs="Times New Roman"/>
                <w:bCs/>
                <w:color w:val="auto"/>
              </w:rPr>
              <w:t>国家和地方的相关产业政策，</w:t>
            </w:r>
            <w:r>
              <w:rPr>
                <w:rFonts w:hint="eastAsia" w:ascii="Times New Roman" w:hAnsi="Times New Roman" w:eastAsia="宋体" w:cs="Times New Roman"/>
                <w:color w:val="auto"/>
                <w:sz w:val="24"/>
              </w:rPr>
              <w:t>各</w:t>
            </w:r>
            <w:r>
              <w:rPr>
                <w:bCs/>
                <w:color w:val="auto"/>
                <w:sz w:val="24"/>
              </w:rPr>
              <w:t>项污染物经采取相应环保对策、措施后，其环境影响可得到减缓或消除。在严格按环保</w:t>
            </w:r>
            <w:r>
              <w:rPr>
                <w:rFonts w:hint="eastAsia"/>
                <w:bCs/>
                <w:color w:val="auto"/>
                <w:sz w:val="24"/>
                <w:lang w:eastAsia="zh-CN"/>
              </w:rPr>
              <w:t>“</w:t>
            </w:r>
            <w:r>
              <w:rPr>
                <w:bCs/>
                <w:color w:val="auto"/>
                <w:sz w:val="24"/>
              </w:rPr>
              <w:t>三同时</w:t>
            </w:r>
            <w:r>
              <w:rPr>
                <w:rFonts w:hint="eastAsia"/>
                <w:bCs/>
                <w:color w:val="auto"/>
                <w:sz w:val="24"/>
                <w:lang w:eastAsia="zh-CN"/>
              </w:rPr>
              <w:t>”</w:t>
            </w:r>
            <w:r>
              <w:rPr>
                <w:bCs/>
                <w:color w:val="auto"/>
                <w:sz w:val="24"/>
              </w:rPr>
              <w:t>制度落实本报告提出的各项环保对策、措施，保证治理资金落实到位，加强污染治理措施和设备运行管理的前提下，本项目建设和运营从环保角度分析是可行的。</w:t>
            </w:r>
          </w:p>
          <w:p w14:paraId="6B9BA8F0">
            <w:pPr>
              <w:spacing w:line="360" w:lineRule="auto"/>
              <w:ind w:firstLine="480" w:firstLineChars="200"/>
              <w:jc w:val="both"/>
              <w:rPr>
                <w:rFonts w:hint="default" w:ascii="Times New Roman" w:hAnsi="Times New Roman" w:cs="Times New Roman"/>
                <w:bCs/>
                <w:color w:val="auto"/>
                <w:kern w:val="0"/>
                <w:sz w:val="24"/>
                <w:szCs w:val="20"/>
              </w:rPr>
            </w:pPr>
          </w:p>
          <w:p w14:paraId="7573E6DC">
            <w:pPr>
              <w:spacing w:line="360" w:lineRule="auto"/>
              <w:ind w:firstLine="480" w:firstLineChars="200"/>
              <w:jc w:val="both"/>
              <w:rPr>
                <w:rFonts w:hint="default" w:ascii="Times New Roman" w:hAnsi="Times New Roman" w:cs="Times New Roman"/>
                <w:bCs/>
                <w:color w:val="auto"/>
                <w:kern w:val="0"/>
                <w:sz w:val="24"/>
                <w:szCs w:val="20"/>
              </w:rPr>
            </w:pPr>
          </w:p>
          <w:p w14:paraId="601BD142">
            <w:pPr>
              <w:pStyle w:val="4"/>
              <w:spacing w:line="360" w:lineRule="auto"/>
              <w:ind w:firstLine="482" w:firstLineChars="200"/>
              <w:jc w:val="both"/>
              <w:rPr>
                <w:rFonts w:hint="default" w:ascii="Times New Roman" w:hAnsi="Times New Roman" w:cs="Times New Roman"/>
                <w:bCs/>
                <w:color w:val="auto"/>
                <w:kern w:val="0"/>
                <w:sz w:val="24"/>
                <w:szCs w:val="20"/>
              </w:rPr>
            </w:pPr>
          </w:p>
          <w:p w14:paraId="7620617D">
            <w:pPr>
              <w:spacing w:line="360" w:lineRule="auto"/>
              <w:ind w:firstLine="480" w:firstLineChars="200"/>
              <w:jc w:val="both"/>
              <w:rPr>
                <w:rFonts w:hint="default" w:ascii="Times New Roman" w:hAnsi="Times New Roman" w:cs="Times New Roman"/>
                <w:bCs/>
                <w:color w:val="auto"/>
                <w:kern w:val="0"/>
                <w:sz w:val="24"/>
                <w:szCs w:val="20"/>
              </w:rPr>
            </w:pPr>
          </w:p>
          <w:p w14:paraId="3FED18CA">
            <w:pPr>
              <w:pStyle w:val="4"/>
              <w:spacing w:line="360" w:lineRule="auto"/>
              <w:ind w:firstLine="482" w:firstLineChars="200"/>
              <w:jc w:val="both"/>
              <w:rPr>
                <w:rFonts w:hint="default" w:ascii="Times New Roman" w:hAnsi="Times New Roman" w:cs="Times New Roman"/>
                <w:bCs/>
                <w:color w:val="auto"/>
                <w:kern w:val="0"/>
                <w:sz w:val="24"/>
                <w:szCs w:val="20"/>
              </w:rPr>
            </w:pPr>
          </w:p>
          <w:p w14:paraId="32589772">
            <w:pPr>
              <w:spacing w:line="360" w:lineRule="auto"/>
              <w:ind w:firstLine="480" w:firstLineChars="200"/>
              <w:jc w:val="both"/>
              <w:rPr>
                <w:rFonts w:hint="default" w:ascii="Times New Roman" w:hAnsi="Times New Roman" w:cs="Times New Roman"/>
                <w:bCs/>
                <w:color w:val="auto"/>
                <w:kern w:val="0"/>
                <w:sz w:val="24"/>
                <w:szCs w:val="20"/>
              </w:rPr>
            </w:pPr>
          </w:p>
          <w:p w14:paraId="15E32954">
            <w:pPr>
              <w:pStyle w:val="4"/>
              <w:spacing w:line="360" w:lineRule="auto"/>
              <w:ind w:firstLine="482" w:firstLineChars="200"/>
              <w:jc w:val="both"/>
              <w:rPr>
                <w:rFonts w:hint="default" w:ascii="Times New Roman" w:hAnsi="Times New Roman" w:cs="Times New Roman"/>
                <w:bCs/>
                <w:color w:val="auto"/>
                <w:kern w:val="0"/>
                <w:sz w:val="24"/>
                <w:szCs w:val="20"/>
              </w:rPr>
            </w:pPr>
          </w:p>
          <w:p w14:paraId="789048CD">
            <w:pPr>
              <w:spacing w:line="360" w:lineRule="auto"/>
              <w:ind w:firstLine="480" w:firstLineChars="200"/>
              <w:jc w:val="both"/>
              <w:rPr>
                <w:rFonts w:hint="default" w:ascii="Times New Roman" w:hAnsi="Times New Roman" w:cs="Times New Roman"/>
                <w:bCs/>
                <w:color w:val="auto"/>
                <w:kern w:val="0"/>
                <w:sz w:val="24"/>
                <w:szCs w:val="20"/>
              </w:rPr>
            </w:pPr>
          </w:p>
          <w:p w14:paraId="4CC0AF77">
            <w:pPr>
              <w:pStyle w:val="4"/>
              <w:spacing w:line="360" w:lineRule="auto"/>
              <w:ind w:firstLine="482" w:firstLineChars="200"/>
              <w:jc w:val="both"/>
              <w:rPr>
                <w:rFonts w:hint="default" w:ascii="Times New Roman" w:hAnsi="Times New Roman" w:cs="Times New Roman"/>
                <w:bCs/>
                <w:color w:val="auto"/>
                <w:kern w:val="0"/>
                <w:sz w:val="24"/>
                <w:szCs w:val="20"/>
              </w:rPr>
            </w:pPr>
          </w:p>
          <w:p w14:paraId="4596EFA6">
            <w:pPr>
              <w:spacing w:line="360" w:lineRule="auto"/>
              <w:ind w:firstLine="480" w:firstLineChars="200"/>
              <w:jc w:val="both"/>
              <w:rPr>
                <w:rFonts w:hint="default" w:ascii="Times New Roman" w:hAnsi="Times New Roman" w:cs="Times New Roman"/>
                <w:bCs/>
                <w:color w:val="auto"/>
                <w:kern w:val="0"/>
                <w:sz w:val="24"/>
                <w:szCs w:val="20"/>
              </w:rPr>
            </w:pPr>
          </w:p>
          <w:p w14:paraId="257D5549">
            <w:pPr>
              <w:pStyle w:val="4"/>
              <w:spacing w:line="360" w:lineRule="auto"/>
              <w:ind w:firstLine="482" w:firstLineChars="200"/>
              <w:jc w:val="both"/>
              <w:rPr>
                <w:rFonts w:hint="default" w:ascii="Times New Roman" w:hAnsi="Times New Roman" w:cs="Times New Roman"/>
                <w:bCs/>
                <w:color w:val="auto"/>
                <w:kern w:val="0"/>
                <w:sz w:val="24"/>
                <w:szCs w:val="20"/>
              </w:rPr>
            </w:pPr>
          </w:p>
          <w:p w14:paraId="232BE812">
            <w:pPr>
              <w:spacing w:line="360" w:lineRule="auto"/>
              <w:ind w:firstLine="480" w:firstLineChars="200"/>
              <w:jc w:val="both"/>
              <w:rPr>
                <w:rFonts w:hint="default" w:ascii="Times New Roman" w:hAnsi="Times New Roman" w:cs="Times New Roman"/>
                <w:bCs/>
                <w:color w:val="auto"/>
                <w:kern w:val="0"/>
                <w:sz w:val="24"/>
                <w:szCs w:val="20"/>
              </w:rPr>
            </w:pPr>
          </w:p>
          <w:p w14:paraId="7BD43F46">
            <w:pPr>
              <w:pStyle w:val="4"/>
              <w:spacing w:line="360" w:lineRule="auto"/>
              <w:ind w:firstLine="482" w:firstLineChars="200"/>
              <w:jc w:val="both"/>
              <w:rPr>
                <w:rFonts w:hint="default" w:ascii="Times New Roman" w:hAnsi="Times New Roman" w:cs="Times New Roman"/>
                <w:bCs/>
                <w:color w:val="auto"/>
                <w:kern w:val="0"/>
                <w:sz w:val="24"/>
                <w:szCs w:val="20"/>
              </w:rPr>
            </w:pPr>
          </w:p>
          <w:p w14:paraId="1D01A610">
            <w:pPr>
              <w:spacing w:line="360" w:lineRule="auto"/>
              <w:ind w:firstLine="480" w:firstLineChars="200"/>
              <w:jc w:val="both"/>
              <w:rPr>
                <w:rFonts w:hint="default" w:ascii="Times New Roman" w:hAnsi="Times New Roman" w:cs="Times New Roman"/>
                <w:bCs/>
                <w:color w:val="auto"/>
                <w:kern w:val="0"/>
                <w:sz w:val="24"/>
                <w:szCs w:val="20"/>
              </w:rPr>
            </w:pPr>
          </w:p>
          <w:p w14:paraId="74257776">
            <w:pPr>
              <w:pStyle w:val="4"/>
              <w:spacing w:line="360" w:lineRule="auto"/>
              <w:ind w:firstLine="482" w:firstLineChars="200"/>
              <w:jc w:val="both"/>
              <w:rPr>
                <w:rFonts w:hint="default" w:ascii="Times New Roman" w:hAnsi="Times New Roman" w:cs="Times New Roman"/>
                <w:bCs/>
                <w:color w:val="auto"/>
                <w:kern w:val="0"/>
                <w:sz w:val="24"/>
                <w:szCs w:val="20"/>
              </w:rPr>
            </w:pPr>
          </w:p>
          <w:p w14:paraId="4385CBDC">
            <w:pPr>
              <w:spacing w:line="360" w:lineRule="auto"/>
              <w:ind w:firstLine="480" w:firstLineChars="200"/>
              <w:jc w:val="both"/>
              <w:rPr>
                <w:rFonts w:hint="default" w:ascii="Times New Roman" w:hAnsi="Times New Roman" w:cs="Times New Roman"/>
                <w:bCs/>
                <w:color w:val="auto"/>
                <w:kern w:val="0"/>
                <w:sz w:val="24"/>
                <w:szCs w:val="20"/>
              </w:rPr>
            </w:pPr>
          </w:p>
          <w:p w14:paraId="01A6F03A">
            <w:pPr>
              <w:pStyle w:val="4"/>
              <w:spacing w:line="360" w:lineRule="auto"/>
              <w:ind w:firstLine="482" w:firstLineChars="200"/>
              <w:jc w:val="both"/>
              <w:rPr>
                <w:rFonts w:hint="default" w:ascii="Times New Roman" w:hAnsi="Times New Roman" w:cs="Times New Roman"/>
                <w:bCs/>
                <w:color w:val="auto"/>
                <w:kern w:val="0"/>
                <w:sz w:val="24"/>
                <w:szCs w:val="20"/>
              </w:rPr>
            </w:pPr>
          </w:p>
          <w:p w14:paraId="0A5BB952">
            <w:pPr>
              <w:spacing w:line="360" w:lineRule="auto"/>
              <w:ind w:firstLine="480" w:firstLineChars="200"/>
              <w:jc w:val="both"/>
              <w:rPr>
                <w:rFonts w:hint="default" w:ascii="Times New Roman" w:hAnsi="Times New Roman" w:cs="Times New Roman"/>
                <w:bCs/>
                <w:color w:val="auto"/>
                <w:kern w:val="0"/>
                <w:sz w:val="24"/>
                <w:szCs w:val="20"/>
              </w:rPr>
            </w:pPr>
          </w:p>
          <w:p w14:paraId="28F62978">
            <w:pPr>
              <w:pStyle w:val="4"/>
              <w:spacing w:line="360" w:lineRule="auto"/>
              <w:ind w:firstLine="482" w:firstLineChars="200"/>
              <w:jc w:val="both"/>
              <w:rPr>
                <w:rFonts w:hint="default" w:ascii="Times New Roman" w:hAnsi="Times New Roman" w:cs="Times New Roman"/>
                <w:bCs/>
                <w:color w:val="auto"/>
                <w:kern w:val="0"/>
                <w:sz w:val="24"/>
                <w:szCs w:val="20"/>
              </w:rPr>
            </w:pPr>
          </w:p>
          <w:p w14:paraId="02E1B35A">
            <w:pPr>
              <w:spacing w:line="360" w:lineRule="auto"/>
              <w:ind w:firstLine="480" w:firstLineChars="200"/>
              <w:jc w:val="both"/>
              <w:rPr>
                <w:rFonts w:hint="default" w:ascii="Times New Roman" w:hAnsi="Times New Roman" w:cs="Times New Roman"/>
                <w:bCs/>
                <w:color w:val="auto"/>
                <w:kern w:val="0"/>
                <w:sz w:val="24"/>
                <w:szCs w:val="20"/>
              </w:rPr>
            </w:pPr>
          </w:p>
          <w:p w14:paraId="41EC36FA">
            <w:pPr>
              <w:pStyle w:val="4"/>
              <w:spacing w:line="360" w:lineRule="auto"/>
              <w:ind w:firstLine="482" w:firstLineChars="200"/>
              <w:jc w:val="both"/>
              <w:rPr>
                <w:rFonts w:hint="default" w:ascii="Times New Roman" w:hAnsi="Times New Roman" w:cs="Times New Roman"/>
                <w:bCs/>
                <w:color w:val="auto"/>
                <w:kern w:val="0"/>
                <w:sz w:val="24"/>
                <w:szCs w:val="20"/>
              </w:rPr>
            </w:pPr>
          </w:p>
          <w:p w14:paraId="312B8971">
            <w:pPr>
              <w:spacing w:line="360" w:lineRule="auto"/>
              <w:ind w:firstLine="480" w:firstLineChars="200"/>
              <w:jc w:val="both"/>
              <w:rPr>
                <w:rFonts w:hint="default" w:ascii="Times New Roman" w:hAnsi="Times New Roman" w:cs="Times New Roman"/>
                <w:bCs/>
                <w:color w:val="auto"/>
                <w:kern w:val="0"/>
                <w:sz w:val="24"/>
                <w:szCs w:val="20"/>
              </w:rPr>
            </w:pPr>
          </w:p>
          <w:p w14:paraId="444487A0">
            <w:pPr>
              <w:pStyle w:val="4"/>
              <w:spacing w:line="360" w:lineRule="auto"/>
              <w:ind w:firstLine="482" w:firstLineChars="200"/>
              <w:jc w:val="both"/>
              <w:rPr>
                <w:rFonts w:hint="default" w:ascii="Times New Roman" w:hAnsi="Times New Roman" w:cs="Times New Roman"/>
                <w:bCs/>
                <w:color w:val="auto"/>
                <w:kern w:val="0"/>
                <w:sz w:val="24"/>
                <w:szCs w:val="20"/>
              </w:rPr>
            </w:pPr>
          </w:p>
          <w:p w14:paraId="72F4F46D">
            <w:pPr>
              <w:pStyle w:val="4"/>
              <w:spacing w:line="360" w:lineRule="auto"/>
              <w:ind w:firstLine="482" w:firstLineChars="200"/>
              <w:jc w:val="both"/>
              <w:rPr>
                <w:rFonts w:hint="default" w:ascii="Times New Roman" w:hAnsi="Times New Roman" w:cs="Times New Roman"/>
                <w:bCs/>
                <w:color w:val="auto"/>
                <w:kern w:val="0"/>
                <w:sz w:val="24"/>
                <w:szCs w:val="20"/>
              </w:rPr>
            </w:pPr>
          </w:p>
          <w:p w14:paraId="707F7C5B">
            <w:pPr>
              <w:pStyle w:val="47"/>
              <w:jc w:val="both"/>
              <w:rPr>
                <w:rFonts w:hint="default" w:ascii="Times New Roman" w:hAnsi="Times New Roman" w:cs="Times New Roman"/>
                <w:color w:val="auto"/>
              </w:rPr>
            </w:pPr>
          </w:p>
        </w:tc>
      </w:tr>
    </w:tbl>
    <w:p w14:paraId="4E1AAAF3">
      <w:pPr>
        <w:pStyle w:val="2"/>
        <w:bidi w:val="0"/>
        <w:jc w:val="both"/>
        <w:rPr>
          <w:rFonts w:hint="default" w:asciiTheme="majorEastAsia" w:hAnsiTheme="majorEastAsia" w:eastAsiaTheme="majorEastAsia" w:cstheme="majorEastAsia"/>
          <w:b/>
          <w:bCs/>
          <w:color w:val="auto"/>
          <w:lang w:val="zh-CN"/>
        </w:rPr>
        <w:sectPr>
          <w:footerReference r:id="rId5" w:type="default"/>
          <w:pgSz w:w="11905" w:h="16838"/>
          <w:pgMar w:top="1440" w:right="1803" w:bottom="1440" w:left="1803" w:header="851" w:footer="850" w:gutter="0"/>
          <w:pgBorders>
            <w:top w:val="none" w:sz="0" w:space="0"/>
            <w:left w:val="none" w:sz="0" w:space="0"/>
            <w:bottom w:val="none" w:sz="0" w:space="0"/>
            <w:right w:val="none" w:sz="0" w:space="0"/>
          </w:pgBorders>
          <w:pgNumType w:fmt="decimal"/>
          <w:cols w:space="0" w:num="1"/>
          <w:rtlGutter w:val="0"/>
          <w:docGrid w:linePitch="312" w:charSpace="0"/>
        </w:sectPr>
      </w:pPr>
      <w:bookmarkStart w:id="28" w:name="_Toc3342"/>
      <w:bookmarkStart w:id="29" w:name="_Toc24386"/>
    </w:p>
    <w:p w14:paraId="71C82328">
      <w:pPr>
        <w:pStyle w:val="2"/>
        <w:keepNext/>
        <w:keepLines w:val="0"/>
        <w:pageBreakBefore w:val="0"/>
        <w:widowControl w:val="0"/>
        <w:kinsoku/>
        <w:wordWrap/>
        <w:overflowPunct w:val="0"/>
        <w:topLinePunct w:val="0"/>
        <w:autoSpaceDE/>
        <w:autoSpaceDN/>
        <w:bidi w:val="0"/>
        <w:adjustRightInd/>
        <w:snapToGrid w:val="0"/>
        <w:spacing w:before="100" w:after="100" w:line="240" w:lineRule="auto"/>
        <w:ind w:left="0" w:firstLine="0"/>
        <w:jc w:val="both"/>
        <w:textAlignment w:val="auto"/>
        <w:rPr>
          <w:rFonts w:hint="default" w:asciiTheme="majorEastAsia" w:hAnsiTheme="majorEastAsia" w:eastAsiaTheme="majorEastAsia" w:cstheme="majorEastAsia"/>
          <w:b/>
          <w:bCs/>
          <w:color w:val="auto"/>
          <w:lang w:val="zh-CN"/>
        </w:rPr>
      </w:pPr>
      <w:bookmarkStart w:id="30" w:name="_Toc15538"/>
      <w:r>
        <w:rPr>
          <w:rFonts w:hint="default" w:asciiTheme="majorEastAsia" w:hAnsiTheme="majorEastAsia" w:eastAsiaTheme="majorEastAsia" w:cstheme="majorEastAsia"/>
          <w:b/>
          <w:bCs/>
          <w:color w:val="auto"/>
          <w:lang w:val="zh-CN"/>
        </w:rPr>
        <w:t>附表</w:t>
      </w:r>
      <w:bookmarkEnd w:id="28"/>
      <w:bookmarkEnd w:id="29"/>
      <w:bookmarkEnd w:id="30"/>
    </w:p>
    <w:p w14:paraId="5E89A260">
      <w:pPr>
        <w:jc w:val="center"/>
        <w:rPr>
          <w:rFonts w:hint="default" w:ascii="Times New Roman" w:hAnsi="Times New Roman" w:cs="Times New Roman"/>
          <w:b/>
          <w:bCs/>
          <w:color w:val="auto"/>
          <w:sz w:val="32"/>
          <w:szCs w:val="32"/>
          <w:u w:val="none"/>
        </w:rPr>
      </w:pPr>
      <w:bookmarkStart w:id="31" w:name="_Toc17087"/>
      <w:r>
        <w:rPr>
          <w:rFonts w:hint="default" w:ascii="Times New Roman" w:hAnsi="Times New Roman" w:cs="Times New Roman"/>
          <w:b/>
          <w:bCs/>
          <w:color w:val="auto"/>
          <w:sz w:val="32"/>
          <w:szCs w:val="32"/>
          <w:highlight w:val="none"/>
          <w:u w:val="none"/>
        </w:rPr>
        <w:t>建设项目污染物排放量</w:t>
      </w:r>
      <w:r>
        <w:rPr>
          <w:rFonts w:hint="default" w:ascii="Times New Roman" w:hAnsi="Times New Roman" w:cs="Times New Roman"/>
          <w:b/>
          <w:bCs/>
          <w:color w:val="auto"/>
          <w:sz w:val="32"/>
          <w:szCs w:val="32"/>
          <w:u w:val="none"/>
        </w:rPr>
        <w:t>汇总表</w:t>
      </w:r>
      <w:bookmarkEnd w:id="31"/>
    </w:p>
    <w:tbl>
      <w:tblPr>
        <w:tblStyle w:val="32"/>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175"/>
        <w:gridCol w:w="1785"/>
        <w:gridCol w:w="1152"/>
        <w:gridCol w:w="1750"/>
        <w:gridCol w:w="1637"/>
        <w:gridCol w:w="1673"/>
        <w:gridCol w:w="1365"/>
        <w:gridCol w:w="1373"/>
      </w:tblGrid>
      <w:tr w14:paraId="0ADC1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tcBorders>
              <w:tl2br w:val="single" w:color="auto" w:sz="12" w:space="0"/>
            </w:tcBorders>
            <w:tcMar>
              <w:left w:w="28" w:type="dxa"/>
              <w:right w:w="28" w:type="dxa"/>
            </w:tcMar>
            <w:vAlign w:val="center"/>
          </w:tcPr>
          <w:p w14:paraId="16680317">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jc w:val="right"/>
              <w:rPr>
                <w:rFonts w:hint="default" w:ascii="Times New Roman" w:hAnsi="Times New Roman" w:cs="Times New Roman"/>
                <w:b/>
                <w:bCs/>
                <w:snapToGrid w:val="0"/>
                <w:color w:val="auto"/>
                <w:spacing w:val="-6"/>
                <w:kern w:val="21"/>
                <w:sz w:val="21"/>
                <w:szCs w:val="21"/>
                <w:u w:val="none"/>
                <w:lang w:val="en-US" w:eastAsia="zh-CN"/>
              </w:rPr>
            </w:pPr>
            <w:r>
              <w:rPr>
                <w:rFonts w:hint="default" w:ascii="Times New Roman" w:hAnsi="Times New Roman" w:cs="Times New Roman"/>
                <w:b/>
                <w:bCs/>
                <w:snapToGrid w:val="0"/>
                <w:color w:val="auto"/>
                <w:spacing w:val="-6"/>
                <w:kern w:val="21"/>
                <w:sz w:val="21"/>
                <w:szCs w:val="21"/>
                <w:u w:val="none"/>
                <w:lang w:val="en-US" w:eastAsia="zh-CN"/>
              </w:rPr>
              <w:t>项目</w:t>
            </w:r>
          </w:p>
          <w:p w14:paraId="7CA09E1C">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jc w:val="left"/>
              <w:rPr>
                <w:rFonts w:hint="default" w:ascii="Times New Roman" w:hAnsi="Times New Roman" w:cs="Times New Roman"/>
                <w:b/>
                <w:bCs/>
                <w:snapToGrid w:val="0"/>
                <w:color w:val="auto"/>
                <w:spacing w:val="-6"/>
                <w:kern w:val="21"/>
                <w:sz w:val="21"/>
                <w:szCs w:val="21"/>
                <w:u w:val="none"/>
                <w:lang w:val="en-US" w:eastAsia="zh-CN"/>
              </w:rPr>
            </w:pPr>
            <w:r>
              <w:rPr>
                <w:rFonts w:hint="default" w:ascii="Times New Roman" w:hAnsi="Times New Roman" w:cs="Times New Roman"/>
                <w:b/>
                <w:bCs/>
                <w:snapToGrid w:val="0"/>
                <w:color w:val="auto"/>
                <w:spacing w:val="-6"/>
                <w:kern w:val="21"/>
                <w:sz w:val="21"/>
                <w:szCs w:val="21"/>
                <w:u w:val="none"/>
                <w:lang w:val="en-US" w:eastAsia="zh-CN"/>
              </w:rPr>
              <w:t>分类</w:t>
            </w:r>
          </w:p>
        </w:tc>
        <w:tc>
          <w:tcPr>
            <w:tcW w:w="776" w:type="pct"/>
            <w:tcMar>
              <w:left w:w="28" w:type="dxa"/>
              <w:right w:w="28" w:type="dxa"/>
            </w:tcMar>
            <w:vAlign w:val="center"/>
          </w:tcPr>
          <w:p w14:paraId="33D9E006">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b/>
                <w:bCs/>
                <w:snapToGrid w:val="0"/>
                <w:color w:val="auto"/>
                <w:spacing w:val="-6"/>
                <w:kern w:val="21"/>
                <w:sz w:val="21"/>
                <w:szCs w:val="21"/>
                <w:u w:val="none"/>
                <w:lang w:val="en-US" w:eastAsia="zh-CN"/>
              </w:rPr>
            </w:pPr>
            <w:r>
              <w:rPr>
                <w:rFonts w:hint="default" w:ascii="Times New Roman" w:hAnsi="Times New Roman" w:cs="Times New Roman"/>
                <w:b/>
                <w:bCs/>
                <w:snapToGrid w:val="0"/>
                <w:color w:val="auto"/>
                <w:spacing w:val="-6"/>
                <w:kern w:val="21"/>
                <w:sz w:val="21"/>
                <w:szCs w:val="21"/>
                <w:u w:val="none"/>
                <w:lang w:val="en-US" w:eastAsia="zh-CN"/>
              </w:rPr>
              <w:t>污染物名称</w:t>
            </w:r>
          </w:p>
        </w:tc>
        <w:tc>
          <w:tcPr>
            <w:tcW w:w="637" w:type="pct"/>
            <w:tcMar>
              <w:left w:w="28" w:type="dxa"/>
              <w:right w:w="28" w:type="dxa"/>
            </w:tcMar>
            <w:vAlign w:val="center"/>
          </w:tcPr>
          <w:p w14:paraId="7C1504A3">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b/>
                <w:bCs/>
                <w:snapToGrid w:val="0"/>
                <w:color w:val="auto"/>
                <w:spacing w:val="-6"/>
                <w:kern w:val="21"/>
                <w:sz w:val="21"/>
                <w:szCs w:val="21"/>
                <w:u w:val="none"/>
                <w:lang w:val="en-US" w:eastAsia="zh-CN"/>
              </w:rPr>
            </w:pPr>
            <w:r>
              <w:rPr>
                <w:rFonts w:hint="default" w:ascii="Times New Roman" w:hAnsi="Times New Roman" w:cs="Times New Roman"/>
                <w:b/>
                <w:bCs/>
                <w:snapToGrid w:val="0"/>
                <w:color w:val="auto"/>
                <w:spacing w:val="-6"/>
                <w:kern w:val="21"/>
                <w:sz w:val="21"/>
                <w:szCs w:val="21"/>
                <w:u w:val="none"/>
                <w:lang w:val="en-US" w:eastAsia="zh-CN"/>
              </w:rPr>
              <w:t>现有工程排放量（固体废物产生量）</w:t>
            </w:r>
            <w:r>
              <w:rPr>
                <w:rFonts w:hint="default" w:ascii="Times New Roman" w:hAnsi="Times New Roman" w:cs="Times New Roman"/>
                <w:b/>
                <w:bCs/>
                <w:snapToGrid w:val="0"/>
                <w:color w:val="auto"/>
                <w:spacing w:val="-6"/>
                <w:kern w:val="21"/>
                <w:sz w:val="21"/>
                <w:szCs w:val="21"/>
                <w:u w:val="none"/>
                <w:lang w:val="en-US" w:eastAsia="zh-CN"/>
              </w:rPr>
              <w:fldChar w:fldCharType="begin"/>
            </w:r>
            <w:r>
              <w:rPr>
                <w:rFonts w:hint="default" w:ascii="Times New Roman" w:hAnsi="Times New Roman" w:cs="Times New Roman"/>
                <w:b/>
                <w:bCs/>
                <w:snapToGrid w:val="0"/>
                <w:color w:val="auto"/>
                <w:spacing w:val="-6"/>
                <w:kern w:val="21"/>
                <w:sz w:val="21"/>
                <w:szCs w:val="21"/>
                <w:u w:val="none"/>
                <w:lang w:val="en-US" w:eastAsia="zh-CN"/>
              </w:rPr>
              <w:instrText xml:space="preserve"> = 1 \* GB3 \* MERGEFORMAT </w:instrText>
            </w:r>
            <w:r>
              <w:rPr>
                <w:rFonts w:hint="default" w:ascii="Times New Roman" w:hAnsi="Times New Roman" w:cs="Times New Roman"/>
                <w:b/>
                <w:bCs/>
                <w:snapToGrid w:val="0"/>
                <w:color w:val="auto"/>
                <w:spacing w:val="-6"/>
                <w:kern w:val="21"/>
                <w:sz w:val="21"/>
                <w:szCs w:val="21"/>
                <w:u w:val="none"/>
                <w:lang w:val="en-US" w:eastAsia="zh-CN"/>
              </w:rPr>
              <w:fldChar w:fldCharType="separate"/>
            </w:r>
            <w:r>
              <w:rPr>
                <w:rFonts w:hint="default" w:ascii="Times New Roman" w:hAnsi="Times New Roman" w:cs="Times New Roman"/>
                <w:b/>
                <w:bCs/>
                <w:color w:val="auto"/>
                <w:kern w:val="2"/>
                <w:sz w:val="21"/>
                <w:szCs w:val="21"/>
                <w:u w:val="none"/>
                <w:lang w:val="en-US" w:eastAsia="zh-CN"/>
              </w:rPr>
              <w:t>①</w:t>
            </w:r>
            <w:r>
              <w:rPr>
                <w:rFonts w:hint="default" w:ascii="Times New Roman" w:hAnsi="Times New Roman" w:cs="Times New Roman"/>
                <w:b/>
                <w:bCs/>
                <w:snapToGrid w:val="0"/>
                <w:color w:val="auto"/>
                <w:spacing w:val="-6"/>
                <w:kern w:val="21"/>
                <w:sz w:val="21"/>
                <w:szCs w:val="21"/>
                <w:u w:val="none"/>
                <w:lang w:val="en-US" w:eastAsia="zh-CN"/>
              </w:rPr>
              <w:fldChar w:fldCharType="end"/>
            </w:r>
          </w:p>
        </w:tc>
        <w:tc>
          <w:tcPr>
            <w:tcW w:w="411" w:type="pct"/>
            <w:tcMar>
              <w:left w:w="28" w:type="dxa"/>
              <w:right w:w="28" w:type="dxa"/>
            </w:tcMar>
            <w:vAlign w:val="center"/>
          </w:tcPr>
          <w:p w14:paraId="1D1000BD">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b/>
                <w:bCs/>
                <w:snapToGrid w:val="0"/>
                <w:color w:val="auto"/>
                <w:spacing w:val="-6"/>
                <w:kern w:val="21"/>
                <w:sz w:val="21"/>
                <w:szCs w:val="21"/>
                <w:u w:val="none"/>
                <w:lang w:val="en-US" w:eastAsia="zh-CN"/>
              </w:rPr>
            </w:pPr>
            <w:r>
              <w:rPr>
                <w:rFonts w:hint="default" w:ascii="Times New Roman" w:hAnsi="Times New Roman" w:cs="Times New Roman"/>
                <w:b/>
                <w:bCs/>
                <w:snapToGrid w:val="0"/>
                <w:color w:val="auto"/>
                <w:spacing w:val="-6"/>
                <w:kern w:val="21"/>
                <w:sz w:val="21"/>
                <w:szCs w:val="21"/>
                <w:u w:val="none"/>
                <w:lang w:val="en-US" w:eastAsia="zh-CN"/>
              </w:rPr>
              <w:t>现有工程许可排放量</w:t>
            </w:r>
            <w:r>
              <w:rPr>
                <w:rFonts w:hint="default" w:ascii="Times New Roman" w:hAnsi="Times New Roman" w:cs="Times New Roman"/>
                <w:b/>
                <w:bCs/>
                <w:snapToGrid w:val="0"/>
                <w:color w:val="auto"/>
                <w:spacing w:val="-6"/>
                <w:kern w:val="21"/>
                <w:sz w:val="21"/>
                <w:szCs w:val="21"/>
                <w:u w:val="none"/>
                <w:lang w:val="en-US" w:eastAsia="zh-CN"/>
              </w:rPr>
              <w:fldChar w:fldCharType="begin"/>
            </w:r>
            <w:r>
              <w:rPr>
                <w:rFonts w:hint="default" w:ascii="Times New Roman" w:hAnsi="Times New Roman" w:cs="Times New Roman"/>
                <w:b/>
                <w:bCs/>
                <w:snapToGrid w:val="0"/>
                <w:color w:val="auto"/>
                <w:spacing w:val="-6"/>
                <w:kern w:val="21"/>
                <w:sz w:val="21"/>
                <w:szCs w:val="21"/>
                <w:u w:val="none"/>
                <w:lang w:val="en-US" w:eastAsia="zh-CN"/>
              </w:rPr>
              <w:instrText xml:space="preserve"> = 2 \* GB3 \* MERGEFORMAT </w:instrText>
            </w:r>
            <w:r>
              <w:rPr>
                <w:rFonts w:hint="default" w:ascii="Times New Roman" w:hAnsi="Times New Roman" w:cs="Times New Roman"/>
                <w:b/>
                <w:bCs/>
                <w:snapToGrid w:val="0"/>
                <w:color w:val="auto"/>
                <w:spacing w:val="-6"/>
                <w:kern w:val="21"/>
                <w:sz w:val="21"/>
                <w:szCs w:val="21"/>
                <w:u w:val="none"/>
                <w:lang w:val="en-US" w:eastAsia="zh-CN"/>
              </w:rPr>
              <w:fldChar w:fldCharType="separate"/>
            </w:r>
            <w:r>
              <w:rPr>
                <w:rFonts w:hint="default" w:ascii="Times New Roman" w:hAnsi="Times New Roman" w:cs="Times New Roman"/>
                <w:b/>
                <w:bCs/>
                <w:snapToGrid w:val="0"/>
                <w:color w:val="auto"/>
                <w:spacing w:val="-6"/>
                <w:kern w:val="21"/>
                <w:sz w:val="21"/>
                <w:szCs w:val="21"/>
                <w:u w:val="none"/>
                <w:lang w:val="en-US" w:eastAsia="zh-CN"/>
              </w:rPr>
              <w:t>②</w:t>
            </w:r>
            <w:r>
              <w:rPr>
                <w:rFonts w:hint="default" w:ascii="Times New Roman" w:hAnsi="Times New Roman" w:cs="Times New Roman"/>
                <w:b/>
                <w:bCs/>
                <w:snapToGrid w:val="0"/>
                <w:color w:val="auto"/>
                <w:spacing w:val="-6"/>
                <w:kern w:val="21"/>
                <w:sz w:val="21"/>
                <w:szCs w:val="21"/>
                <w:u w:val="none"/>
                <w:lang w:val="en-US" w:eastAsia="zh-CN"/>
              </w:rPr>
              <w:fldChar w:fldCharType="end"/>
            </w:r>
          </w:p>
        </w:tc>
        <w:tc>
          <w:tcPr>
            <w:tcW w:w="624" w:type="pct"/>
            <w:tcMar>
              <w:left w:w="28" w:type="dxa"/>
              <w:right w:w="28" w:type="dxa"/>
            </w:tcMar>
            <w:vAlign w:val="center"/>
          </w:tcPr>
          <w:p w14:paraId="7FE8F6C7">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b/>
                <w:bCs/>
                <w:snapToGrid w:val="0"/>
                <w:color w:val="auto"/>
                <w:spacing w:val="-6"/>
                <w:kern w:val="21"/>
                <w:sz w:val="21"/>
                <w:szCs w:val="21"/>
                <w:u w:val="none"/>
                <w:lang w:val="en-US" w:eastAsia="zh-CN"/>
              </w:rPr>
            </w:pPr>
            <w:r>
              <w:rPr>
                <w:rFonts w:hint="default" w:ascii="Times New Roman" w:hAnsi="Times New Roman" w:cs="Times New Roman"/>
                <w:b/>
                <w:bCs/>
                <w:snapToGrid w:val="0"/>
                <w:color w:val="auto"/>
                <w:spacing w:val="-6"/>
                <w:kern w:val="21"/>
                <w:sz w:val="21"/>
                <w:szCs w:val="21"/>
                <w:u w:val="none"/>
                <w:lang w:val="en-US" w:eastAsia="zh-CN"/>
              </w:rPr>
              <w:t>在建工程排放量（固体废物产生量）</w:t>
            </w:r>
            <w:r>
              <w:rPr>
                <w:rFonts w:hint="default" w:ascii="Times New Roman" w:hAnsi="Times New Roman" w:cs="Times New Roman"/>
                <w:b/>
                <w:bCs/>
                <w:snapToGrid w:val="0"/>
                <w:color w:val="auto"/>
                <w:spacing w:val="-6"/>
                <w:kern w:val="21"/>
                <w:sz w:val="21"/>
                <w:szCs w:val="21"/>
                <w:u w:val="none"/>
                <w:lang w:val="en-US" w:eastAsia="zh-CN"/>
              </w:rPr>
              <w:fldChar w:fldCharType="begin"/>
            </w:r>
            <w:r>
              <w:rPr>
                <w:rFonts w:hint="default" w:ascii="Times New Roman" w:hAnsi="Times New Roman" w:cs="Times New Roman"/>
                <w:b/>
                <w:bCs/>
                <w:snapToGrid w:val="0"/>
                <w:color w:val="auto"/>
                <w:spacing w:val="-6"/>
                <w:kern w:val="21"/>
                <w:sz w:val="21"/>
                <w:szCs w:val="21"/>
                <w:u w:val="none"/>
                <w:lang w:val="en-US" w:eastAsia="zh-CN"/>
              </w:rPr>
              <w:instrText xml:space="preserve"> = 3 \* GB3 \* MERGEFORMAT </w:instrText>
            </w:r>
            <w:r>
              <w:rPr>
                <w:rFonts w:hint="default" w:ascii="Times New Roman" w:hAnsi="Times New Roman" w:cs="Times New Roman"/>
                <w:b/>
                <w:bCs/>
                <w:snapToGrid w:val="0"/>
                <w:color w:val="auto"/>
                <w:spacing w:val="-6"/>
                <w:kern w:val="21"/>
                <w:sz w:val="21"/>
                <w:szCs w:val="21"/>
                <w:u w:val="none"/>
                <w:lang w:val="en-US" w:eastAsia="zh-CN"/>
              </w:rPr>
              <w:fldChar w:fldCharType="separate"/>
            </w:r>
            <w:r>
              <w:rPr>
                <w:rFonts w:hint="default" w:ascii="Times New Roman" w:hAnsi="Times New Roman" w:cs="Times New Roman"/>
                <w:b/>
                <w:bCs/>
                <w:color w:val="auto"/>
                <w:kern w:val="2"/>
                <w:sz w:val="21"/>
                <w:szCs w:val="21"/>
                <w:u w:val="none"/>
                <w:lang w:val="en-US" w:eastAsia="zh-CN"/>
              </w:rPr>
              <w:t>③</w:t>
            </w:r>
            <w:r>
              <w:rPr>
                <w:rFonts w:hint="default" w:ascii="Times New Roman" w:hAnsi="Times New Roman" w:cs="Times New Roman"/>
                <w:b/>
                <w:bCs/>
                <w:snapToGrid w:val="0"/>
                <w:color w:val="auto"/>
                <w:spacing w:val="-6"/>
                <w:kern w:val="21"/>
                <w:sz w:val="21"/>
                <w:szCs w:val="21"/>
                <w:u w:val="none"/>
                <w:lang w:val="en-US" w:eastAsia="zh-CN"/>
              </w:rPr>
              <w:fldChar w:fldCharType="end"/>
            </w:r>
          </w:p>
        </w:tc>
        <w:tc>
          <w:tcPr>
            <w:tcW w:w="584" w:type="pct"/>
            <w:tcMar>
              <w:left w:w="28" w:type="dxa"/>
              <w:right w:w="28" w:type="dxa"/>
            </w:tcMar>
            <w:vAlign w:val="center"/>
          </w:tcPr>
          <w:p w14:paraId="774EC8A4">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b/>
                <w:bCs/>
                <w:snapToGrid w:val="0"/>
                <w:color w:val="auto"/>
                <w:spacing w:val="-6"/>
                <w:kern w:val="21"/>
                <w:sz w:val="21"/>
                <w:szCs w:val="21"/>
                <w:u w:val="none"/>
                <w:lang w:val="en-US" w:eastAsia="zh-CN"/>
              </w:rPr>
            </w:pPr>
            <w:r>
              <w:rPr>
                <w:rFonts w:hint="default" w:ascii="Times New Roman" w:hAnsi="Times New Roman" w:cs="Times New Roman"/>
                <w:b/>
                <w:bCs/>
                <w:snapToGrid w:val="0"/>
                <w:color w:val="auto"/>
                <w:spacing w:val="-6"/>
                <w:kern w:val="21"/>
                <w:sz w:val="21"/>
                <w:szCs w:val="21"/>
                <w:u w:val="none"/>
                <w:lang w:val="en-US" w:eastAsia="zh-CN"/>
              </w:rPr>
              <w:t>本项目排放量（固体废物产生量）</w:t>
            </w:r>
            <w:r>
              <w:rPr>
                <w:rFonts w:hint="default" w:ascii="Times New Roman" w:hAnsi="Times New Roman" w:cs="Times New Roman"/>
                <w:b/>
                <w:bCs/>
                <w:snapToGrid w:val="0"/>
                <w:color w:val="auto"/>
                <w:spacing w:val="-6"/>
                <w:kern w:val="21"/>
                <w:sz w:val="21"/>
                <w:szCs w:val="21"/>
                <w:u w:val="none"/>
                <w:lang w:val="en-US" w:eastAsia="zh-CN"/>
              </w:rPr>
              <w:fldChar w:fldCharType="begin"/>
            </w:r>
            <w:r>
              <w:rPr>
                <w:rFonts w:hint="default" w:ascii="Times New Roman" w:hAnsi="Times New Roman" w:cs="Times New Roman"/>
                <w:b/>
                <w:bCs/>
                <w:snapToGrid w:val="0"/>
                <w:color w:val="auto"/>
                <w:spacing w:val="-6"/>
                <w:kern w:val="21"/>
                <w:sz w:val="21"/>
                <w:szCs w:val="21"/>
                <w:u w:val="none"/>
                <w:lang w:val="en-US" w:eastAsia="zh-CN"/>
              </w:rPr>
              <w:instrText xml:space="preserve"> = 4 \* GB3 \* MERGEFORMAT </w:instrText>
            </w:r>
            <w:r>
              <w:rPr>
                <w:rFonts w:hint="default" w:ascii="Times New Roman" w:hAnsi="Times New Roman" w:cs="Times New Roman"/>
                <w:b/>
                <w:bCs/>
                <w:snapToGrid w:val="0"/>
                <w:color w:val="auto"/>
                <w:spacing w:val="-6"/>
                <w:kern w:val="21"/>
                <w:sz w:val="21"/>
                <w:szCs w:val="21"/>
                <w:u w:val="none"/>
                <w:lang w:val="en-US" w:eastAsia="zh-CN"/>
              </w:rPr>
              <w:fldChar w:fldCharType="separate"/>
            </w:r>
            <w:r>
              <w:rPr>
                <w:rFonts w:hint="default" w:ascii="Times New Roman" w:hAnsi="Times New Roman" w:cs="Times New Roman"/>
                <w:b/>
                <w:bCs/>
                <w:color w:val="auto"/>
                <w:kern w:val="2"/>
                <w:sz w:val="21"/>
                <w:szCs w:val="21"/>
                <w:u w:val="none"/>
                <w:lang w:val="en-US" w:eastAsia="zh-CN"/>
              </w:rPr>
              <w:t>④</w:t>
            </w:r>
            <w:r>
              <w:rPr>
                <w:rFonts w:hint="default" w:ascii="Times New Roman" w:hAnsi="Times New Roman" w:cs="Times New Roman"/>
                <w:b/>
                <w:bCs/>
                <w:snapToGrid w:val="0"/>
                <w:color w:val="auto"/>
                <w:spacing w:val="-6"/>
                <w:kern w:val="21"/>
                <w:sz w:val="21"/>
                <w:szCs w:val="21"/>
                <w:u w:val="none"/>
                <w:lang w:val="en-US" w:eastAsia="zh-CN"/>
              </w:rPr>
              <w:fldChar w:fldCharType="end"/>
            </w:r>
          </w:p>
        </w:tc>
        <w:tc>
          <w:tcPr>
            <w:tcW w:w="597" w:type="pct"/>
            <w:tcMar>
              <w:left w:w="28" w:type="dxa"/>
              <w:right w:w="28" w:type="dxa"/>
            </w:tcMar>
            <w:vAlign w:val="center"/>
          </w:tcPr>
          <w:p w14:paraId="37784422">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b/>
                <w:bCs/>
                <w:snapToGrid w:val="0"/>
                <w:color w:val="auto"/>
                <w:spacing w:val="-16"/>
                <w:kern w:val="21"/>
                <w:sz w:val="21"/>
                <w:szCs w:val="21"/>
                <w:u w:val="none"/>
                <w:lang w:val="en-US" w:eastAsia="zh-CN"/>
              </w:rPr>
            </w:pPr>
            <w:r>
              <w:rPr>
                <w:rFonts w:hint="default" w:ascii="Times New Roman" w:hAnsi="Times New Roman" w:cs="Times New Roman"/>
                <w:b/>
                <w:bCs/>
                <w:snapToGrid w:val="0"/>
                <w:color w:val="auto"/>
                <w:spacing w:val="-16"/>
                <w:kern w:val="21"/>
                <w:sz w:val="21"/>
                <w:szCs w:val="21"/>
                <w:u w:val="none"/>
                <w:lang w:val="en-US" w:eastAsia="zh-CN"/>
              </w:rPr>
              <w:t>以新带老削减量（新建项目不填）</w:t>
            </w:r>
            <w:r>
              <w:rPr>
                <w:rFonts w:hint="default" w:ascii="Times New Roman" w:hAnsi="Times New Roman" w:cs="Times New Roman"/>
                <w:b/>
                <w:bCs/>
                <w:snapToGrid w:val="0"/>
                <w:color w:val="auto"/>
                <w:spacing w:val="-16"/>
                <w:kern w:val="21"/>
                <w:sz w:val="21"/>
                <w:szCs w:val="21"/>
                <w:u w:val="none"/>
                <w:lang w:val="en-US" w:eastAsia="zh-CN"/>
              </w:rPr>
              <w:fldChar w:fldCharType="begin"/>
            </w:r>
            <w:r>
              <w:rPr>
                <w:rFonts w:hint="default" w:ascii="Times New Roman" w:hAnsi="Times New Roman" w:cs="Times New Roman"/>
                <w:b/>
                <w:bCs/>
                <w:snapToGrid w:val="0"/>
                <w:color w:val="auto"/>
                <w:spacing w:val="-16"/>
                <w:kern w:val="21"/>
                <w:sz w:val="21"/>
                <w:szCs w:val="21"/>
                <w:u w:val="none"/>
                <w:lang w:val="en-US" w:eastAsia="zh-CN"/>
              </w:rPr>
              <w:instrText xml:space="preserve"> = 5 \* GB3 \* MERGEFORMAT </w:instrText>
            </w:r>
            <w:r>
              <w:rPr>
                <w:rFonts w:hint="default" w:ascii="Times New Roman" w:hAnsi="Times New Roman" w:cs="Times New Roman"/>
                <w:b/>
                <w:bCs/>
                <w:snapToGrid w:val="0"/>
                <w:color w:val="auto"/>
                <w:spacing w:val="-16"/>
                <w:kern w:val="21"/>
                <w:sz w:val="21"/>
                <w:szCs w:val="21"/>
                <w:u w:val="none"/>
                <w:lang w:val="en-US" w:eastAsia="zh-CN"/>
              </w:rPr>
              <w:fldChar w:fldCharType="separate"/>
            </w:r>
            <w:r>
              <w:rPr>
                <w:rFonts w:hint="default" w:ascii="Times New Roman" w:hAnsi="Times New Roman" w:cs="Times New Roman"/>
                <w:b/>
                <w:bCs/>
                <w:color w:val="auto"/>
                <w:kern w:val="2"/>
                <w:sz w:val="21"/>
                <w:szCs w:val="21"/>
                <w:u w:val="none"/>
                <w:lang w:val="en-US" w:eastAsia="zh-CN"/>
              </w:rPr>
              <w:t>⑤</w:t>
            </w:r>
            <w:r>
              <w:rPr>
                <w:rFonts w:hint="default" w:ascii="Times New Roman" w:hAnsi="Times New Roman" w:cs="Times New Roman"/>
                <w:b/>
                <w:bCs/>
                <w:snapToGrid w:val="0"/>
                <w:color w:val="auto"/>
                <w:spacing w:val="-16"/>
                <w:kern w:val="21"/>
                <w:sz w:val="21"/>
                <w:szCs w:val="21"/>
                <w:u w:val="none"/>
                <w:lang w:val="en-US" w:eastAsia="zh-CN"/>
              </w:rPr>
              <w:fldChar w:fldCharType="end"/>
            </w:r>
          </w:p>
        </w:tc>
        <w:tc>
          <w:tcPr>
            <w:tcW w:w="487" w:type="pct"/>
            <w:tcMar>
              <w:left w:w="28" w:type="dxa"/>
              <w:right w:w="28" w:type="dxa"/>
            </w:tcMar>
            <w:vAlign w:val="center"/>
          </w:tcPr>
          <w:p w14:paraId="757D74F4">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b/>
                <w:bCs/>
                <w:snapToGrid w:val="0"/>
                <w:color w:val="auto"/>
                <w:spacing w:val="-16"/>
                <w:kern w:val="21"/>
                <w:sz w:val="21"/>
                <w:szCs w:val="21"/>
                <w:u w:val="none"/>
                <w:lang w:val="en-US" w:eastAsia="zh-CN"/>
              </w:rPr>
            </w:pPr>
            <w:r>
              <w:rPr>
                <w:rFonts w:hint="default" w:ascii="Times New Roman" w:hAnsi="Times New Roman" w:cs="Times New Roman"/>
                <w:b/>
                <w:bCs/>
                <w:snapToGrid w:val="0"/>
                <w:color w:val="auto"/>
                <w:spacing w:val="-16"/>
                <w:kern w:val="21"/>
                <w:sz w:val="21"/>
                <w:szCs w:val="21"/>
                <w:u w:val="none"/>
                <w:lang w:val="en-US" w:eastAsia="zh-CN"/>
              </w:rPr>
              <w:t>本项目建成后全厂排放量（固体废物产生量）</w:t>
            </w:r>
            <w:r>
              <w:rPr>
                <w:rFonts w:hint="default" w:ascii="Times New Roman" w:hAnsi="Times New Roman" w:cs="Times New Roman"/>
                <w:b/>
                <w:bCs/>
                <w:snapToGrid w:val="0"/>
                <w:color w:val="auto"/>
                <w:spacing w:val="-16"/>
                <w:kern w:val="21"/>
                <w:sz w:val="21"/>
                <w:szCs w:val="21"/>
                <w:u w:val="none"/>
                <w:lang w:val="en-US" w:eastAsia="zh-CN"/>
              </w:rPr>
              <w:fldChar w:fldCharType="begin"/>
            </w:r>
            <w:r>
              <w:rPr>
                <w:rFonts w:hint="default" w:ascii="Times New Roman" w:hAnsi="Times New Roman" w:cs="Times New Roman"/>
                <w:b/>
                <w:bCs/>
                <w:snapToGrid w:val="0"/>
                <w:color w:val="auto"/>
                <w:spacing w:val="-16"/>
                <w:kern w:val="21"/>
                <w:sz w:val="21"/>
                <w:szCs w:val="21"/>
                <w:u w:val="none"/>
                <w:lang w:val="en-US" w:eastAsia="zh-CN"/>
              </w:rPr>
              <w:instrText xml:space="preserve"> = 6 \* GB3 \* MERGEFORMAT </w:instrText>
            </w:r>
            <w:r>
              <w:rPr>
                <w:rFonts w:hint="default" w:ascii="Times New Roman" w:hAnsi="Times New Roman" w:cs="Times New Roman"/>
                <w:b/>
                <w:bCs/>
                <w:snapToGrid w:val="0"/>
                <w:color w:val="auto"/>
                <w:spacing w:val="-16"/>
                <w:kern w:val="21"/>
                <w:sz w:val="21"/>
                <w:szCs w:val="21"/>
                <w:u w:val="none"/>
                <w:lang w:val="en-US" w:eastAsia="zh-CN"/>
              </w:rPr>
              <w:fldChar w:fldCharType="separate"/>
            </w:r>
            <w:r>
              <w:rPr>
                <w:rFonts w:hint="default" w:ascii="Times New Roman" w:hAnsi="Times New Roman" w:cs="Times New Roman"/>
                <w:b/>
                <w:bCs/>
                <w:color w:val="auto"/>
                <w:kern w:val="2"/>
                <w:sz w:val="21"/>
                <w:szCs w:val="21"/>
                <w:u w:val="none"/>
                <w:lang w:val="en-US" w:eastAsia="zh-CN"/>
              </w:rPr>
              <w:t>⑥</w:t>
            </w:r>
            <w:r>
              <w:rPr>
                <w:rFonts w:hint="default" w:ascii="Times New Roman" w:hAnsi="Times New Roman" w:cs="Times New Roman"/>
                <w:b/>
                <w:bCs/>
                <w:snapToGrid w:val="0"/>
                <w:color w:val="auto"/>
                <w:spacing w:val="-16"/>
                <w:kern w:val="21"/>
                <w:sz w:val="21"/>
                <w:szCs w:val="21"/>
                <w:u w:val="none"/>
                <w:lang w:val="en-US" w:eastAsia="zh-CN"/>
              </w:rPr>
              <w:fldChar w:fldCharType="end"/>
            </w:r>
          </w:p>
        </w:tc>
        <w:tc>
          <w:tcPr>
            <w:tcW w:w="490" w:type="pct"/>
            <w:tcMar>
              <w:left w:w="28" w:type="dxa"/>
              <w:right w:w="28" w:type="dxa"/>
            </w:tcMar>
            <w:vAlign w:val="center"/>
          </w:tcPr>
          <w:p w14:paraId="088DAD6A">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b/>
                <w:bCs/>
                <w:snapToGrid w:val="0"/>
                <w:color w:val="auto"/>
                <w:spacing w:val="-6"/>
                <w:kern w:val="21"/>
                <w:sz w:val="21"/>
                <w:szCs w:val="21"/>
                <w:u w:val="none"/>
                <w:lang w:val="en-US" w:eastAsia="zh-CN"/>
              </w:rPr>
            </w:pPr>
            <w:r>
              <w:rPr>
                <w:rFonts w:hint="default" w:ascii="Times New Roman" w:hAnsi="Times New Roman" w:cs="Times New Roman"/>
                <w:b/>
                <w:bCs/>
                <w:snapToGrid w:val="0"/>
                <w:color w:val="auto"/>
                <w:spacing w:val="-6"/>
                <w:kern w:val="21"/>
                <w:sz w:val="21"/>
                <w:szCs w:val="21"/>
                <w:u w:val="none"/>
                <w:lang w:val="en-US" w:eastAsia="zh-CN"/>
              </w:rPr>
              <w:t>变化量</w:t>
            </w:r>
            <w:r>
              <w:rPr>
                <w:rFonts w:hint="default" w:ascii="Times New Roman" w:hAnsi="Times New Roman" w:cs="Times New Roman"/>
                <w:b/>
                <w:bCs/>
                <w:snapToGrid w:val="0"/>
                <w:color w:val="auto"/>
                <w:spacing w:val="-6"/>
                <w:kern w:val="21"/>
                <w:sz w:val="21"/>
                <w:szCs w:val="21"/>
                <w:u w:val="none"/>
                <w:lang w:val="en-US" w:eastAsia="zh-CN"/>
              </w:rPr>
              <w:fldChar w:fldCharType="begin"/>
            </w:r>
            <w:r>
              <w:rPr>
                <w:rFonts w:hint="default" w:ascii="Times New Roman" w:hAnsi="Times New Roman" w:cs="Times New Roman"/>
                <w:b/>
                <w:bCs/>
                <w:snapToGrid w:val="0"/>
                <w:color w:val="auto"/>
                <w:spacing w:val="-6"/>
                <w:kern w:val="21"/>
                <w:sz w:val="21"/>
                <w:szCs w:val="21"/>
                <w:u w:val="none"/>
                <w:lang w:val="en-US" w:eastAsia="zh-CN"/>
              </w:rPr>
              <w:instrText xml:space="preserve"> = 7 \* GB3 \* MERGEFORMAT </w:instrText>
            </w:r>
            <w:r>
              <w:rPr>
                <w:rFonts w:hint="default" w:ascii="Times New Roman" w:hAnsi="Times New Roman" w:cs="Times New Roman"/>
                <w:b/>
                <w:bCs/>
                <w:snapToGrid w:val="0"/>
                <w:color w:val="auto"/>
                <w:spacing w:val="-6"/>
                <w:kern w:val="21"/>
                <w:sz w:val="21"/>
                <w:szCs w:val="21"/>
                <w:u w:val="none"/>
                <w:lang w:val="en-US" w:eastAsia="zh-CN"/>
              </w:rPr>
              <w:fldChar w:fldCharType="separate"/>
            </w:r>
            <w:r>
              <w:rPr>
                <w:rFonts w:hint="default" w:ascii="Times New Roman" w:hAnsi="Times New Roman" w:cs="Times New Roman"/>
                <w:b/>
                <w:bCs/>
                <w:color w:val="auto"/>
                <w:kern w:val="2"/>
                <w:sz w:val="21"/>
                <w:szCs w:val="21"/>
                <w:u w:val="none"/>
                <w:lang w:val="en-US" w:eastAsia="zh-CN"/>
              </w:rPr>
              <w:t>⑦</w:t>
            </w:r>
            <w:r>
              <w:rPr>
                <w:rFonts w:hint="default" w:ascii="Times New Roman" w:hAnsi="Times New Roman" w:cs="Times New Roman"/>
                <w:b/>
                <w:bCs/>
                <w:snapToGrid w:val="0"/>
                <w:color w:val="auto"/>
                <w:spacing w:val="-6"/>
                <w:kern w:val="21"/>
                <w:sz w:val="21"/>
                <w:szCs w:val="21"/>
                <w:u w:val="none"/>
                <w:lang w:val="en-US" w:eastAsia="zh-CN"/>
              </w:rPr>
              <w:fldChar w:fldCharType="end"/>
            </w:r>
          </w:p>
        </w:tc>
      </w:tr>
      <w:tr w14:paraId="33F77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restart"/>
            <w:vAlign w:val="center"/>
          </w:tcPr>
          <w:p w14:paraId="3450307F">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lang w:eastAsia="zh-CN"/>
              </w:rPr>
              <w:t>废气</w:t>
            </w:r>
          </w:p>
        </w:tc>
        <w:tc>
          <w:tcPr>
            <w:tcW w:w="776" w:type="pct"/>
            <w:vAlign w:val="center"/>
          </w:tcPr>
          <w:p w14:paraId="0BD0C26C">
            <w:pPr>
              <w:keepNext w:val="0"/>
              <w:keepLines w:val="0"/>
              <w:pageBreakBefore w:val="0"/>
              <w:kinsoku/>
              <w:wordWrap/>
              <w:overflowPunct/>
              <w:topLinePunct w:val="0"/>
              <w:autoSpaceDE w:val="0"/>
              <w:autoSpaceDN w:val="0"/>
              <w:bidi w:val="0"/>
              <w:adjustRightInd/>
              <w:spacing w:line="240" w:lineRule="auto"/>
              <w:ind w:left="0"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637" w:type="pct"/>
            <w:vAlign w:val="center"/>
          </w:tcPr>
          <w:p w14:paraId="4E4FC4D8">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6ADBED0B">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3ADC0406">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vAlign w:val="center"/>
          </w:tcPr>
          <w:p w14:paraId="48F31137">
            <w:pPr>
              <w:keepNext w:val="0"/>
              <w:keepLines w:val="0"/>
              <w:widowControl/>
              <w:suppressLineNumbers w:val="0"/>
              <w:jc w:val="center"/>
              <w:textAlignment w:val="center"/>
              <w:rPr>
                <w:rFonts w:hint="default" w:ascii="Times New Roman" w:hAnsi="Times New Roman" w:cs="Times New Roman"/>
                <w:color w:val="FF0000"/>
                <w:sz w:val="21"/>
                <w:szCs w:val="21"/>
                <w:u w:val="none"/>
                <w:lang w:val="en-US"/>
              </w:rPr>
            </w:pPr>
            <w:r>
              <w:rPr>
                <w:rFonts w:hint="eastAsia" w:cs="Times New Roman"/>
                <w:color w:val="FF0000"/>
                <w:spacing w:val="6"/>
                <w:sz w:val="21"/>
                <w:szCs w:val="21"/>
                <w:u w:val="single"/>
                <w:lang w:val="en-US" w:eastAsia="zh-CN"/>
              </w:rPr>
              <w:t>0.559t/a</w:t>
            </w:r>
          </w:p>
        </w:tc>
        <w:tc>
          <w:tcPr>
            <w:tcW w:w="597" w:type="pct"/>
            <w:vAlign w:val="center"/>
          </w:tcPr>
          <w:p w14:paraId="3A1D6212">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FF0000"/>
                <w:kern w:val="21"/>
                <w:sz w:val="21"/>
                <w:szCs w:val="21"/>
                <w:u w:val="none"/>
              </w:rPr>
            </w:pPr>
            <w:r>
              <w:rPr>
                <w:rFonts w:hint="default" w:ascii="Times New Roman" w:hAnsi="Times New Roman" w:cs="Times New Roman"/>
                <w:snapToGrid w:val="0"/>
                <w:color w:val="FF0000"/>
                <w:kern w:val="21"/>
                <w:sz w:val="21"/>
                <w:szCs w:val="21"/>
                <w:u w:val="none"/>
                <w:lang w:val="en-US" w:eastAsia="zh-CN"/>
              </w:rPr>
              <w:t>/</w:t>
            </w:r>
          </w:p>
        </w:tc>
        <w:tc>
          <w:tcPr>
            <w:tcW w:w="487" w:type="pct"/>
            <w:vAlign w:val="center"/>
          </w:tcPr>
          <w:p w14:paraId="46F810D6">
            <w:pPr>
              <w:keepNext w:val="0"/>
              <w:keepLines w:val="0"/>
              <w:widowControl/>
              <w:suppressLineNumbers w:val="0"/>
              <w:jc w:val="center"/>
              <w:textAlignment w:val="center"/>
              <w:rPr>
                <w:rFonts w:hint="default" w:ascii="Times New Roman" w:hAnsi="Times New Roman" w:cs="Times New Roman"/>
                <w:color w:val="FF0000"/>
                <w:kern w:val="2"/>
                <w:sz w:val="21"/>
                <w:szCs w:val="21"/>
                <w:u w:val="none"/>
                <w:lang w:val="en-US" w:eastAsia="zh-CN" w:bidi="ar-SA"/>
              </w:rPr>
            </w:pPr>
            <w:r>
              <w:rPr>
                <w:rFonts w:hint="eastAsia" w:cs="Times New Roman"/>
                <w:color w:val="FF0000"/>
                <w:spacing w:val="6"/>
                <w:sz w:val="21"/>
                <w:szCs w:val="21"/>
                <w:u w:val="single"/>
                <w:lang w:val="en-US" w:eastAsia="zh-CN"/>
              </w:rPr>
              <w:t>0.559t/a</w:t>
            </w:r>
          </w:p>
        </w:tc>
        <w:tc>
          <w:tcPr>
            <w:tcW w:w="490" w:type="pct"/>
            <w:vAlign w:val="center"/>
          </w:tcPr>
          <w:p w14:paraId="2DEB8FE7">
            <w:pPr>
              <w:keepNext w:val="0"/>
              <w:keepLines w:val="0"/>
              <w:widowControl/>
              <w:suppressLineNumbers w:val="0"/>
              <w:jc w:val="center"/>
              <w:textAlignment w:val="center"/>
              <w:rPr>
                <w:rFonts w:hint="default" w:ascii="Times New Roman" w:hAnsi="Times New Roman" w:cs="Times New Roman"/>
                <w:snapToGrid w:val="0"/>
                <w:color w:val="FF0000"/>
                <w:kern w:val="21"/>
                <w:sz w:val="21"/>
                <w:szCs w:val="21"/>
                <w:u w:val="none"/>
                <w:lang w:val="en-US" w:eastAsia="zh-CN"/>
              </w:rPr>
            </w:pPr>
            <w:r>
              <w:rPr>
                <w:rFonts w:hint="eastAsia" w:cs="Times New Roman"/>
                <w:color w:val="FF0000"/>
                <w:spacing w:val="6"/>
                <w:sz w:val="21"/>
                <w:szCs w:val="21"/>
                <w:u w:val="single"/>
                <w:lang w:val="en-US" w:eastAsia="zh-CN"/>
              </w:rPr>
              <w:t>+0.559t/a</w:t>
            </w:r>
          </w:p>
        </w:tc>
      </w:tr>
      <w:tr w14:paraId="07619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4A2A8C51">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color w:val="auto"/>
                <w:sz w:val="21"/>
                <w:szCs w:val="21"/>
                <w:u w:val="none"/>
              </w:rPr>
            </w:pPr>
          </w:p>
        </w:tc>
        <w:tc>
          <w:tcPr>
            <w:tcW w:w="776" w:type="pct"/>
            <w:vAlign w:val="center"/>
          </w:tcPr>
          <w:p w14:paraId="27B19DD2">
            <w:pPr>
              <w:keepNext w:val="0"/>
              <w:keepLines w:val="0"/>
              <w:pageBreakBefore w:val="0"/>
              <w:kinsoku/>
              <w:wordWrap/>
              <w:overflowPunct/>
              <w:topLinePunct w:val="0"/>
              <w:autoSpaceDE w:val="0"/>
              <w:autoSpaceDN w:val="0"/>
              <w:bidi w:val="0"/>
              <w:adjustRightInd/>
              <w:spacing w:line="240" w:lineRule="auto"/>
              <w:ind w:left="0"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color="auto"/>
              </w:rPr>
              <w:t>NO</w:t>
            </w:r>
            <w:r>
              <w:rPr>
                <w:rFonts w:hint="default" w:ascii="Times New Roman" w:hAnsi="Times New Roman" w:eastAsia="宋体" w:cs="Times New Roman"/>
                <w:color w:val="auto"/>
                <w:sz w:val="21"/>
                <w:szCs w:val="21"/>
                <w:u w:val="none" w:color="auto"/>
                <w:vertAlign w:val="subscript"/>
              </w:rPr>
              <w:t>X</w:t>
            </w:r>
          </w:p>
        </w:tc>
        <w:tc>
          <w:tcPr>
            <w:tcW w:w="637" w:type="pct"/>
            <w:vAlign w:val="center"/>
          </w:tcPr>
          <w:p w14:paraId="221AB0EF">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32560519">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4715E40B">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vAlign w:val="center"/>
          </w:tcPr>
          <w:p w14:paraId="2466874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spacing w:val="6"/>
                <w:sz w:val="21"/>
                <w:szCs w:val="21"/>
                <w:u w:val="none"/>
                <w:lang w:val="en-US" w:eastAsia="zh-CN"/>
              </w:rPr>
              <w:t>0.526t/a</w:t>
            </w:r>
          </w:p>
        </w:tc>
        <w:tc>
          <w:tcPr>
            <w:tcW w:w="597" w:type="pct"/>
            <w:vAlign w:val="center"/>
          </w:tcPr>
          <w:p w14:paraId="4CF4D82C">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2A5C891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spacing w:val="6"/>
                <w:sz w:val="21"/>
                <w:szCs w:val="21"/>
                <w:u w:val="none"/>
                <w:lang w:val="en-US" w:eastAsia="zh-CN"/>
              </w:rPr>
              <w:t>0.526t/a</w:t>
            </w:r>
          </w:p>
        </w:tc>
        <w:tc>
          <w:tcPr>
            <w:tcW w:w="490" w:type="pct"/>
            <w:vAlign w:val="center"/>
          </w:tcPr>
          <w:p w14:paraId="7396DDDF">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u w:val="none"/>
                <w:lang w:val="en-US" w:eastAsia="zh-CN"/>
              </w:rPr>
            </w:pPr>
            <w:r>
              <w:rPr>
                <w:rFonts w:hint="eastAsia" w:cs="Times New Roman"/>
                <w:color w:val="auto"/>
                <w:spacing w:val="6"/>
                <w:sz w:val="21"/>
                <w:szCs w:val="21"/>
                <w:u w:val="none"/>
                <w:lang w:val="en-US" w:eastAsia="zh-CN"/>
              </w:rPr>
              <w:t>+0.526t/a</w:t>
            </w:r>
          </w:p>
        </w:tc>
      </w:tr>
      <w:tr w14:paraId="5F272D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5B792206">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color w:val="auto"/>
                <w:sz w:val="21"/>
                <w:szCs w:val="21"/>
                <w:u w:val="none"/>
              </w:rPr>
            </w:pPr>
          </w:p>
        </w:tc>
        <w:tc>
          <w:tcPr>
            <w:tcW w:w="776" w:type="pct"/>
            <w:vAlign w:val="center"/>
          </w:tcPr>
          <w:p w14:paraId="191649D8">
            <w:pPr>
              <w:keepNext w:val="0"/>
              <w:keepLines w:val="0"/>
              <w:pageBreakBefore w:val="0"/>
              <w:kinsoku/>
              <w:wordWrap/>
              <w:overflowPunct/>
              <w:topLinePunct w:val="0"/>
              <w:autoSpaceDE w:val="0"/>
              <w:autoSpaceDN w:val="0"/>
              <w:bidi w:val="0"/>
              <w:adjustRightInd/>
              <w:spacing w:line="240" w:lineRule="auto"/>
              <w:ind w:left="0"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color="auto"/>
              </w:rPr>
              <w:t>颗粒物</w:t>
            </w:r>
          </w:p>
        </w:tc>
        <w:tc>
          <w:tcPr>
            <w:tcW w:w="637" w:type="pct"/>
            <w:vAlign w:val="center"/>
          </w:tcPr>
          <w:p w14:paraId="0F8E7519">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148AD914">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77C810CA">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vAlign w:val="center"/>
          </w:tcPr>
          <w:p w14:paraId="19B6DB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spacing w:val="6"/>
                <w:sz w:val="21"/>
                <w:szCs w:val="21"/>
                <w:u w:val="none"/>
                <w:lang w:val="en-US" w:eastAsia="zh-CN"/>
              </w:rPr>
              <w:t>0.00368t/a</w:t>
            </w:r>
          </w:p>
        </w:tc>
        <w:tc>
          <w:tcPr>
            <w:tcW w:w="597" w:type="pct"/>
            <w:vAlign w:val="center"/>
          </w:tcPr>
          <w:p w14:paraId="16ED5FAB">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61BA190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spacing w:val="6"/>
                <w:sz w:val="21"/>
                <w:szCs w:val="21"/>
                <w:u w:val="none"/>
                <w:lang w:val="en-US" w:eastAsia="zh-CN"/>
              </w:rPr>
              <w:t>0.00368t/a</w:t>
            </w:r>
          </w:p>
        </w:tc>
        <w:tc>
          <w:tcPr>
            <w:tcW w:w="490" w:type="pct"/>
            <w:vAlign w:val="center"/>
          </w:tcPr>
          <w:p w14:paraId="6D73032F">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u w:val="none"/>
                <w:lang w:val="en-US" w:eastAsia="zh-CN"/>
              </w:rPr>
            </w:pPr>
            <w:r>
              <w:rPr>
                <w:rFonts w:hint="eastAsia" w:cs="Times New Roman"/>
                <w:color w:val="auto"/>
                <w:spacing w:val="6"/>
                <w:sz w:val="21"/>
                <w:szCs w:val="21"/>
                <w:u w:val="none"/>
                <w:lang w:val="en-US" w:eastAsia="zh-CN"/>
              </w:rPr>
              <w:t>+0.00368t/a</w:t>
            </w:r>
          </w:p>
        </w:tc>
      </w:tr>
      <w:tr w14:paraId="29902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377FF3D4">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color w:val="auto"/>
                <w:sz w:val="21"/>
                <w:szCs w:val="21"/>
                <w:u w:val="none"/>
              </w:rPr>
            </w:pPr>
          </w:p>
        </w:tc>
        <w:tc>
          <w:tcPr>
            <w:tcW w:w="776" w:type="pct"/>
            <w:vAlign w:val="center"/>
          </w:tcPr>
          <w:p w14:paraId="397E3636">
            <w:pPr>
              <w:keepNext w:val="0"/>
              <w:keepLines w:val="0"/>
              <w:pageBreakBefore w:val="0"/>
              <w:kinsoku/>
              <w:wordWrap/>
              <w:overflowPunct/>
              <w:topLinePunct w:val="0"/>
              <w:autoSpaceDE w:val="0"/>
              <w:autoSpaceDN w:val="0"/>
              <w:bidi w:val="0"/>
              <w:adjustRightInd/>
              <w:spacing w:line="240" w:lineRule="auto"/>
              <w:ind w:left="0" w:firstLine="0" w:firstLineChars="0"/>
              <w:jc w:val="center"/>
              <w:rPr>
                <w:rFonts w:hint="default" w:ascii="Times New Roman" w:hAnsi="Times New Roman" w:cs="Times New Roman"/>
                <w:color w:val="auto"/>
                <w:sz w:val="21"/>
                <w:szCs w:val="21"/>
                <w:u w:val="none"/>
                <w:lang w:eastAsia="zh-CN"/>
              </w:rPr>
            </w:pPr>
            <w:r>
              <w:rPr>
                <w:rFonts w:hint="default" w:ascii="Times New Roman" w:hAnsi="Times New Roman" w:eastAsia="宋体" w:cs="Times New Roman"/>
                <w:color w:val="auto"/>
                <w:sz w:val="21"/>
                <w:szCs w:val="21"/>
                <w:u w:val="none" w:color="auto"/>
                <w:lang w:val="en-US" w:eastAsia="zh-CN"/>
              </w:rPr>
              <w:t>油烟</w:t>
            </w:r>
          </w:p>
        </w:tc>
        <w:tc>
          <w:tcPr>
            <w:tcW w:w="637" w:type="pct"/>
            <w:vAlign w:val="center"/>
          </w:tcPr>
          <w:p w14:paraId="5063F39B">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38B502C3">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36635D02">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vAlign w:val="center"/>
          </w:tcPr>
          <w:p w14:paraId="5844D33C">
            <w:pPr>
              <w:keepNext w:val="0"/>
              <w:keepLines w:val="0"/>
              <w:pageBreakBefore w:val="0"/>
              <w:widowControl/>
              <w:suppressLineNumbers w:val="0"/>
              <w:kinsoku/>
              <w:wordWrap/>
              <w:overflowPunct/>
              <w:topLinePunct w:val="0"/>
              <w:bidi w:val="0"/>
              <w:adjustRightInd/>
              <w:spacing w:line="240" w:lineRule="auto"/>
              <w:ind w:left="0" w:firstLine="0" w:firstLineChars="0"/>
              <w:jc w:val="center"/>
              <w:textAlignment w:val="center"/>
              <w:rPr>
                <w:rFonts w:hint="default" w:ascii="Times New Roman" w:hAnsi="Times New Roman" w:cs="Times New Roman"/>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0.00283</w:t>
            </w:r>
            <w:r>
              <w:rPr>
                <w:rFonts w:hint="eastAsia" w:cs="Times New Roman"/>
                <w:color w:val="auto"/>
                <w:spacing w:val="6"/>
                <w:sz w:val="21"/>
                <w:szCs w:val="21"/>
                <w:u w:val="none"/>
                <w:lang w:val="en-US" w:eastAsia="zh-CN"/>
              </w:rPr>
              <w:t>t/a</w:t>
            </w:r>
          </w:p>
        </w:tc>
        <w:tc>
          <w:tcPr>
            <w:tcW w:w="597" w:type="pct"/>
            <w:vAlign w:val="center"/>
          </w:tcPr>
          <w:p w14:paraId="531A7187">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3444F73C">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cs="Times New Roman"/>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0.00283</w:t>
            </w:r>
            <w:r>
              <w:rPr>
                <w:rFonts w:hint="eastAsia" w:cs="Times New Roman"/>
                <w:color w:val="auto"/>
                <w:spacing w:val="6"/>
                <w:sz w:val="21"/>
                <w:szCs w:val="21"/>
                <w:u w:val="none"/>
                <w:lang w:val="en-US" w:eastAsia="zh-CN"/>
              </w:rPr>
              <w:t>t/a</w:t>
            </w:r>
          </w:p>
        </w:tc>
        <w:tc>
          <w:tcPr>
            <w:tcW w:w="490" w:type="pct"/>
            <w:vAlign w:val="center"/>
          </w:tcPr>
          <w:p w14:paraId="73B30E1A">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cs="Times New Roman"/>
                <w:snapToGrid w:val="0"/>
                <w:color w:val="auto"/>
                <w:kern w:val="21"/>
                <w:sz w:val="21"/>
                <w:szCs w:val="21"/>
                <w:u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0.00283</w:t>
            </w:r>
            <w:r>
              <w:rPr>
                <w:rFonts w:hint="eastAsia" w:cs="Times New Roman"/>
                <w:color w:val="auto"/>
                <w:spacing w:val="6"/>
                <w:sz w:val="21"/>
                <w:szCs w:val="21"/>
                <w:u w:val="none"/>
                <w:lang w:val="en-US" w:eastAsia="zh-CN"/>
              </w:rPr>
              <w:t>t/a</w:t>
            </w:r>
          </w:p>
        </w:tc>
      </w:tr>
      <w:tr w14:paraId="22A87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restart"/>
            <w:vAlign w:val="center"/>
          </w:tcPr>
          <w:p w14:paraId="55D24D8B">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废水</w:t>
            </w:r>
          </w:p>
        </w:tc>
        <w:tc>
          <w:tcPr>
            <w:tcW w:w="776" w:type="pct"/>
            <w:vAlign w:val="center"/>
          </w:tcPr>
          <w:p w14:paraId="69419C44">
            <w:pPr>
              <w:pStyle w:val="94"/>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color w:val="auto"/>
                <w:sz w:val="21"/>
                <w:szCs w:val="21"/>
                <w:u w:val="none"/>
              </w:rPr>
              <w:t>废水量</w:t>
            </w:r>
          </w:p>
        </w:tc>
        <w:tc>
          <w:tcPr>
            <w:tcW w:w="637" w:type="pct"/>
            <w:vAlign w:val="center"/>
          </w:tcPr>
          <w:p w14:paraId="66C8188C">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eastAsia="宋体"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77163704">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75342E73">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shd w:val="clear" w:color="auto" w:fill="auto"/>
            <w:vAlign w:val="center"/>
          </w:tcPr>
          <w:p w14:paraId="647DDDB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195</w:t>
            </w:r>
            <w:r>
              <w:rPr>
                <w:rFonts w:hint="eastAsia" w:cs="Times New Roman"/>
                <w:i w:val="0"/>
                <w:iCs w:val="0"/>
                <w:color w:val="auto"/>
                <w:kern w:val="0"/>
                <w:sz w:val="21"/>
                <w:szCs w:val="21"/>
                <w:u w:val="none"/>
                <w:lang w:val="en-US" w:eastAsia="zh-CN" w:bidi="ar"/>
              </w:rPr>
              <w:t>5.3</w:t>
            </w:r>
            <w:r>
              <w:rPr>
                <w:rFonts w:hint="default" w:ascii="Times New Roman" w:hAnsi="Times New Roman" w:eastAsia="宋体" w:cs="Times New Roman"/>
                <w:i w:val="0"/>
                <w:iCs w:val="0"/>
                <w:color w:val="auto"/>
                <w:kern w:val="0"/>
                <w:sz w:val="21"/>
                <w:szCs w:val="21"/>
                <w:u w:val="none"/>
                <w:lang w:val="en-US" w:eastAsia="zh-CN" w:bidi="ar"/>
              </w:rPr>
              <w:t>7</w:t>
            </w:r>
            <w:r>
              <w:rPr>
                <w:rFonts w:hint="eastAsia" w:cs="Times New Roman"/>
                <w:color w:val="auto"/>
                <w:spacing w:val="6"/>
                <w:sz w:val="21"/>
                <w:szCs w:val="21"/>
                <w:u w:val="none"/>
                <w:lang w:val="en-US" w:eastAsia="zh-CN"/>
              </w:rPr>
              <w:t>t/a</w:t>
            </w:r>
          </w:p>
        </w:tc>
        <w:tc>
          <w:tcPr>
            <w:tcW w:w="597" w:type="pct"/>
            <w:vAlign w:val="center"/>
          </w:tcPr>
          <w:p w14:paraId="67047D6F">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461C2AD3">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195</w:t>
            </w:r>
            <w:r>
              <w:rPr>
                <w:rFonts w:hint="eastAsia" w:cs="Times New Roman"/>
                <w:i w:val="0"/>
                <w:iCs w:val="0"/>
                <w:color w:val="auto"/>
                <w:kern w:val="0"/>
                <w:sz w:val="21"/>
                <w:szCs w:val="21"/>
                <w:u w:val="none"/>
                <w:lang w:val="en-US" w:eastAsia="zh-CN" w:bidi="ar"/>
              </w:rPr>
              <w:t>5.3</w:t>
            </w:r>
            <w:r>
              <w:rPr>
                <w:rFonts w:hint="default" w:ascii="Times New Roman" w:hAnsi="Times New Roman" w:eastAsia="宋体" w:cs="Times New Roman"/>
                <w:i w:val="0"/>
                <w:iCs w:val="0"/>
                <w:color w:val="auto"/>
                <w:kern w:val="0"/>
                <w:sz w:val="21"/>
                <w:szCs w:val="21"/>
                <w:u w:val="none"/>
                <w:lang w:val="en-US" w:eastAsia="zh-CN" w:bidi="ar"/>
              </w:rPr>
              <w:t>7</w:t>
            </w:r>
            <w:r>
              <w:rPr>
                <w:rFonts w:hint="eastAsia" w:cs="Times New Roman"/>
                <w:color w:val="auto"/>
                <w:spacing w:val="6"/>
                <w:sz w:val="21"/>
                <w:szCs w:val="21"/>
                <w:u w:val="none"/>
                <w:lang w:val="en-US" w:eastAsia="zh-CN"/>
              </w:rPr>
              <w:t>t/a</w:t>
            </w:r>
          </w:p>
        </w:tc>
        <w:tc>
          <w:tcPr>
            <w:tcW w:w="490" w:type="pct"/>
            <w:vAlign w:val="center"/>
          </w:tcPr>
          <w:p w14:paraId="060A28A4">
            <w:pPr>
              <w:keepNext w:val="0"/>
              <w:keepLines w:val="0"/>
              <w:widowControl/>
              <w:suppressLineNumbers w:val="0"/>
              <w:jc w:val="center"/>
              <w:textAlignment w:val="center"/>
              <w:rPr>
                <w:rFonts w:hint="default" w:ascii="Times New Roman" w:hAnsi="Times New Roman" w:cs="Times New Roman"/>
                <w:snapToGrid w:val="0"/>
                <w:color w:val="auto"/>
                <w:kern w:val="21"/>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195</w:t>
            </w:r>
            <w:r>
              <w:rPr>
                <w:rFonts w:hint="eastAsia" w:cs="Times New Roman"/>
                <w:i w:val="0"/>
                <w:iCs w:val="0"/>
                <w:color w:val="auto"/>
                <w:kern w:val="0"/>
                <w:sz w:val="21"/>
                <w:szCs w:val="21"/>
                <w:u w:val="none"/>
                <w:lang w:val="en-US" w:eastAsia="zh-CN" w:bidi="ar"/>
              </w:rPr>
              <w:t>5.3</w:t>
            </w:r>
            <w:r>
              <w:rPr>
                <w:rFonts w:hint="default" w:ascii="Times New Roman" w:hAnsi="Times New Roman" w:eastAsia="宋体" w:cs="Times New Roman"/>
                <w:i w:val="0"/>
                <w:iCs w:val="0"/>
                <w:color w:val="auto"/>
                <w:kern w:val="0"/>
                <w:sz w:val="21"/>
                <w:szCs w:val="21"/>
                <w:u w:val="none"/>
                <w:lang w:val="en-US" w:eastAsia="zh-CN" w:bidi="ar"/>
              </w:rPr>
              <w:t>7</w:t>
            </w:r>
            <w:r>
              <w:rPr>
                <w:rFonts w:hint="eastAsia" w:cs="Times New Roman"/>
                <w:color w:val="auto"/>
                <w:spacing w:val="6"/>
                <w:sz w:val="21"/>
                <w:szCs w:val="21"/>
                <w:u w:val="none"/>
                <w:lang w:val="en-US" w:eastAsia="zh-CN"/>
              </w:rPr>
              <w:t>t/a</w:t>
            </w:r>
          </w:p>
        </w:tc>
      </w:tr>
      <w:tr w14:paraId="1018F2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60C8548D">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0E44949F">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eastAsiaTheme="minorEastAsia"/>
                <w:color w:val="auto"/>
                <w:sz w:val="21"/>
                <w:szCs w:val="21"/>
                <w:u w:val="none"/>
              </w:rPr>
              <w:t>COD</w:t>
            </w:r>
          </w:p>
        </w:tc>
        <w:tc>
          <w:tcPr>
            <w:tcW w:w="637" w:type="pct"/>
            <w:vAlign w:val="center"/>
          </w:tcPr>
          <w:p w14:paraId="0B978CE6">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eastAsia="宋体"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3250F325">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4A944F96">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shd w:val="clear" w:color="auto" w:fill="auto"/>
            <w:vAlign w:val="center"/>
          </w:tcPr>
          <w:p w14:paraId="208FFEDD">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0.097</w:t>
            </w:r>
            <w:r>
              <w:rPr>
                <w:rFonts w:hint="eastAsia"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c>
          <w:tcPr>
            <w:tcW w:w="597" w:type="pct"/>
            <w:vAlign w:val="center"/>
          </w:tcPr>
          <w:p w14:paraId="7F20C97C">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539E4262">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0.097</w:t>
            </w:r>
            <w:r>
              <w:rPr>
                <w:rFonts w:hint="eastAsia"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c>
          <w:tcPr>
            <w:tcW w:w="490" w:type="pct"/>
            <w:vAlign w:val="center"/>
          </w:tcPr>
          <w:p w14:paraId="4911D247">
            <w:pPr>
              <w:keepNext w:val="0"/>
              <w:keepLines w:val="0"/>
              <w:widowControl/>
              <w:suppressLineNumbers w:val="0"/>
              <w:jc w:val="center"/>
              <w:textAlignment w:val="center"/>
              <w:rPr>
                <w:rFonts w:hint="default" w:ascii="Times New Roman" w:hAnsi="Times New Roman" w:cs="Times New Roman"/>
                <w:b/>
                <w:bCs/>
                <w:snapToGrid w:val="0"/>
                <w:color w:val="auto"/>
                <w:kern w:val="21"/>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0.097</w:t>
            </w:r>
            <w:r>
              <w:rPr>
                <w:rFonts w:hint="eastAsia"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r>
      <w:tr w14:paraId="5227F7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7FA5CC5F">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5EFBF2F8">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eastAsiaTheme="minorEastAsia"/>
                <w:color w:val="auto"/>
                <w:sz w:val="21"/>
                <w:szCs w:val="21"/>
                <w:u w:val="none"/>
              </w:rPr>
              <w:t>BOD</w:t>
            </w:r>
            <w:r>
              <w:rPr>
                <w:rFonts w:hint="default" w:ascii="Times New Roman" w:hAnsi="Times New Roman" w:cs="Times New Roman" w:eastAsiaTheme="minorEastAsia"/>
                <w:color w:val="auto"/>
                <w:sz w:val="21"/>
                <w:szCs w:val="21"/>
                <w:u w:val="none"/>
                <w:vertAlign w:val="subscript"/>
              </w:rPr>
              <w:t>5</w:t>
            </w:r>
          </w:p>
        </w:tc>
        <w:tc>
          <w:tcPr>
            <w:tcW w:w="637" w:type="pct"/>
            <w:vAlign w:val="center"/>
          </w:tcPr>
          <w:p w14:paraId="78FA193B">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eastAsia="宋体"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3F9F79EC">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628BFBB5">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shd w:val="clear" w:color="auto" w:fill="auto"/>
            <w:vAlign w:val="center"/>
          </w:tcPr>
          <w:p w14:paraId="17E8831B">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0.0195</w:t>
            </w:r>
            <w:r>
              <w:rPr>
                <w:rFonts w:hint="eastAsia" w:cs="Times New Roman"/>
                <w:color w:val="auto"/>
                <w:spacing w:val="6"/>
                <w:sz w:val="21"/>
                <w:szCs w:val="21"/>
                <w:u w:val="none"/>
                <w:lang w:val="en-US" w:eastAsia="zh-CN"/>
              </w:rPr>
              <w:t>t/a</w:t>
            </w:r>
          </w:p>
        </w:tc>
        <w:tc>
          <w:tcPr>
            <w:tcW w:w="597" w:type="pct"/>
            <w:vAlign w:val="center"/>
          </w:tcPr>
          <w:p w14:paraId="3DD103FB">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35EA9E46">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0.0195</w:t>
            </w:r>
            <w:r>
              <w:rPr>
                <w:rFonts w:hint="eastAsia" w:cs="Times New Roman"/>
                <w:color w:val="auto"/>
                <w:spacing w:val="6"/>
                <w:sz w:val="21"/>
                <w:szCs w:val="21"/>
                <w:u w:val="none"/>
                <w:lang w:val="en-US" w:eastAsia="zh-CN"/>
              </w:rPr>
              <w:t>t/a</w:t>
            </w:r>
          </w:p>
        </w:tc>
        <w:tc>
          <w:tcPr>
            <w:tcW w:w="490" w:type="pct"/>
            <w:vAlign w:val="center"/>
          </w:tcPr>
          <w:p w14:paraId="5CC5EBDF">
            <w:pPr>
              <w:keepNext w:val="0"/>
              <w:keepLines w:val="0"/>
              <w:widowControl/>
              <w:suppressLineNumbers w:val="0"/>
              <w:jc w:val="center"/>
              <w:textAlignment w:val="center"/>
              <w:rPr>
                <w:rFonts w:hint="default" w:ascii="Times New Roman" w:hAnsi="Times New Roman" w:cs="Times New Roman"/>
                <w:b/>
                <w:bCs/>
                <w:snapToGrid w:val="0"/>
                <w:color w:val="auto"/>
                <w:kern w:val="21"/>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0.0195</w:t>
            </w:r>
            <w:r>
              <w:rPr>
                <w:rFonts w:hint="eastAsia" w:cs="Times New Roman"/>
                <w:color w:val="auto"/>
                <w:spacing w:val="6"/>
                <w:sz w:val="21"/>
                <w:szCs w:val="21"/>
                <w:u w:val="none"/>
                <w:lang w:val="en-US" w:eastAsia="zh-CN"/>
              </w:rPr>
              <w:t>t/a</w:t>
            </w:r>
          </w:p>
        </w:tc>
      </w:tr>
      <w:tr w14:paraId="686CF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2EB4011E">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68866A0B">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eastAsiaTheme="minorEastAsia"/>
                <w:color w:val="auto"/>
                <w:sz w:val="21"/>
                <w:szCs w:val="21"/>
                <w:u w:val="none"/>
              </w:rPr>
              <w:t>SS</w:t>
            </w:r>
          </w:p>
        </w:tc>
        <w:tc>
          <w:tcPr>
            <w:tcW w:w="637" w:type="pct"/>
            <w:vAlign w:val="center"/>
          </w:tcPr>
          <w:p w14:paraId="479563BA">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eastAsia="宋体"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3B15F31D">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7E5DF652">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shd w:val="clear" w:color="auto" w:fill="auto"/>
            <w:vAlign w:val="center"/>
          </w:tcPr>
          <w:p w14:paraId="36CCAB4B">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0.0195</w:t>
            </w:r>
            <w:r>
              <w:rPr>
                <w:rFonts w:hint="eastAsia" w:cs="Times New Roman"/>
                <w:color w:val="auto"/>
                <w:spacing w:val="6"/>
                <w:sz w:val="21"/>
                <w:szCs w:val="21"/>
                <w:u w:val="none"/>
                <w:lang w:val="en-US" w:eastAsia="zh-CN"/>
              </w:rPr>
              <w:t>t/a</w:t>
            </w:r>
          </w:p>
        </w:tc>
        <w:tc>
          <w:tcPr>
            <w:tcW w:w="597" w:type="pct"/>
            <w:vAlign w:val="center"/>
          </w:tcPr>
          <w:p w14:paraId="31CD85B1">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11AEDECB">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0.0195</w:t>
            </w:r>
            <w:r>
              <w:rPr>
                <w:rFonts w:hint="eastAsia" w:cs="Times New Roman"/>
                <w:color w:val="auto"/>
                <w:spacing w:val="6"/>
                <w:sz w:val="21"/>
                <w:szCs w:val="21"/>
                <w:u w:val="none"/>
                <w:lang w:val="en-US" w:eastAsia="zh-CN"/>
              </w:rPr>
              <w:t>t/a</w:t>
            </w:r>
          </w:p>
        </w:tc>
        <w:tc>
          <w:tcPr>
            <w:tcW w:w="490" w:type="pct"/>
            <w:vAlign w:val="center"/>
          </w:tcPr>
          <w:p w14:paraId="1D13F305">
            <w:pPr>
              <w:keepNext w:val="0"/>
              <w:keepLines w:val="0"/>
              <w:widowControl/>
              <w:suppressLineNumbers w:val="0"/>
              <w:jc w:val="center"/>
              <w:textAlignment w:val="center"/>
              <w:rPr>
                <w:rFonts w:hint="default" w:ascii="Times New Roman" w:hAnsi="Times New Roman" w:cs="Times New Roman"/>
                <w:b/>
                <w:bCs/>
                <w:snapToGrid w:val="0"/>
                <w:color w:val="auto"/>
                <w:kern w:val="21"/>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0.0195</w:t>
            </w:r>
            <w:r>
              <w:rPr>
                <w:rFonts w:hint="eastAsia" w:cs="Times New Roman"/>
                <w:color w:val="auto"/>
                <w:spacing w:val="6"/>
                <w:sz w:val="21"/>
                <w:szCs w:val="21"/>
                <w:u w:val="none"/>
                <w:lang w:val="en-US" w:eastAsia="zh-CN"/>
              </w:rPr>
              <w:t>t/a</w:t>
            </w:r>
          </w:p>
        </w:tc>
      </w:tr>
      <w:tr w14:paraId="21758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5D61EAF3">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0D9978DD">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cs="Times New Roman" w:eastAsiaTheme="minorEastAsia"/>
                <w:color w:val="auto"/>
                <w:sz w:val="21"/>
                <w:szCs w:val="21"/>
                <w:u w:val="none"/>
              </w:rPr>
              <w:t>NH</w:t>
            </w:r>
            <w:r>
              <w:rPr>
                <w:rFonts w:hint="default" w:ascii="Times New Roman" w:hAnsi="Times New Roman" w:cs="Times New Roman" w:eastAsiaTheme="minorEastAsia"/>
                <w:color w:val="auto"/>
                <w:sz w:val="21"/>
                <w:szCs w:val="21"/>
                <w:u w:val="none"/>
                <w:vertAlign w:val="subscript"/>
              </w:rPr>
              <w:t>3</w:t>
            </w:r>
            <w:r>
              <w:rPr>
                <w:rFonts w:hint="default" w:ascii="Times New Roman" w:hAnsi="Times New Roman" w:cs="Times New Roman" w:eastAsiaTheme="minorEastAsia"/>
                <w:color w:val="auto"/>
                <w:sz w:val="21"/>
                <w:szCs w:val="21"/>
                <w:u w:val="none"/>
              </w:rPr>
              <w:t>-N</w:t>
            </w:r>
          </w:p>
        </w:tc>
        <w:tc>
          <w:tcPr>
            <w:tcW w:w="637" w:type="pct"/>
            <w:vAlign w:val="center"/>
          </w:tcPr>
          <w:p w14:paraId="6FA9BC81">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eastAsia="宋体"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1A093201">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51CAE05D">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shd w:val="clear" w:color="auto" w:fill="auto"/>
            <w:vAlign w:val="center"/>
          </w:tcPr>
          <w:p w14:paraId="178F2104">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0.0097</w:t>
            </w:r>
            <w:r>
              <w:rPr>
                <w:rFonts w:hint="eastAsia"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c>
          <w:tcPr>
            <w:tcW w:w="597" w:type="pct"/>
            <w:vAlign w:val="center"/>
          </w:tcPr>
          <w:p w14:paraId="2DB1D6AC">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6B002ABB">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0.0097</w:t>
            </w:r>
            <w:r>
              <w:rPr>
                <w:rFonts w:hint="eastAsia"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c>
          <w:tcPr>
            <w:tcW w:w="490" w:type="pct"/>
            <w:vAlign w:val="center"/>
          </w:tcPr>
          <w:p w14:paraId="18419973">
            <w:pPr>
              <w:keepNext w:val="0"/>
              <w:keepLines w:val="0"/>
              <w:widowControl/>
              <w:suppressLineNumbers w:val="0"/>
              <w:jc w:val="center"/>
              <w:textAlignment w:val="center"/>
              <w:rPr>
                <w:rFonts w:hint="default" w:ascii="Times New Roman" w:hAnsi="Times New Roman" w:cs="Times New Roman"/>
                <w:b/>
                <w:bCs/>
                <w:color w:val="auto"/>
                <w:kern w:val="0"/>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0.0097</w:t>
            </w:r>
            <w:r>
              <w:rPr>
                <w:rFonts w:hint="eastAsia"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r>
      <w:tr w14:paraId="403FD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30A2B1A1">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6D032C01">
            <w:pPr>
              <w:keepNext w:val="0"/>
              <w:keepLines w:val="0"/>
              <w:pageBreakBefore w:val="0"/>
              <w:widowControl/>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eastAsiaTheme="minorEastAsia"/>
                <w:color w:val="auto"/>
                <w:sz w:val="21"/>
                <w:szCs w:val="21"/>
                <w:u w:val="none"/>
                <w:lang w:val="en-US" w:eastAsia="zh-CN"/>
              </w:rPr>
              <w:t>动植物油</w:t>
            </w:r>
          </w:p>
        </w:tc>
        <w:tc>
          <w:tcPr>
            <w:tcW w:w="637" w:type="pct"/>
            <w:vAlign w:val="center"/>
          </w:tcPr>
          <w:p w14:paraId="096DDDAD">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eastAsia="宋体" w:cs="Times New Roman"/>
                <w:snapToGrid w:val="0"/>
                <w:color w:val="auto"/>
                <w:kern w:val="21"/>
                <w:sz w:val="21"/>
                <w:szCs w:val="21"/>
                <w:u w:val="none"/>
                <w:lang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3AA1DD3F">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00BE7E8B">
            <w:pPr>
              <w:keepNext w:val="0"/>
              <w:keepLines w:val="0"/>
              <w:pageBreakBefore w:val="0"/>
              <w:kinsoku/>
              <w:wordWrap/>
              <w:overflowPunct/>
              <w:topLinePunct w:val="0"/>
              <w:bidi w:val="0"/>
              <w:adjustRightInd/>
              <w:snapToGri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shd w:val="clear" w:color="auto" w:fill="auto"/>
            <w:vAlign w:val="center"/>
          </w:tcPr>
          <w:p w14:paraId="76A18CFE">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0.00097</w:t>
            </w:r>
            <w:r>
              <w:rPr>
                <w:rFonts w:hint="eastAsia"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c>
          <w:tcPr>
            <w:tcW w:w="597" w:type="pct"/>
            <w:vAlign w:val="center"/>
          </w:tcPr>
          <w:p w14:paraId="5C3E8FEC">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5FB0D732">
            <w:pPr>
              <w:keepNext w:val="0"/>
              <w:keepLines w:val="0"/>
              <w:widowControl/>
              <w:suppressLineNumbers w:val="0"/>
              <w:jc w:val="center"/>
              <w:textAlignment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0.00097</w:t>
            </w:r>
            <w:r>
              <w:rPr>
                <w:rFonts w:hint="eastAsia"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c>
          <w:tcPr>
            <w:tcW w:w="490" w:type="pct"/>
            <w:vAlign w:val="center"/>
          </w:tcPr>
          <w:p w14:paraId="41F6BA8F">
            <w:pPr>
              <w:keepNext w:val="0"/>
              <w:keepLines w:val="0"/>
              <w:widowControl/>
              <w:suppressLineNumbers w:val="0"/>
              <w:jc w:val="center"/>
              <w:textAlignment w:val="center"/>
              <w:rPr>
                <w:rFonts w:hint="default" w:ascii="Times New Roman" w:hAnsi="Times New Roman" w:eastAsia="宋体" w:cs="Times New Roman"/>
                <w:b/>
                <w:bCs/>
                <w:snapToGrid w:val="0"/>
                <w:color w:val="auto"/>
                <w:kern w:val="21"/>
                <w:sz w:val="21"/>
                <w:szCs w:val="21"/>
                <w:u w:val="none"/>
                <w:lang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0.00097</w:t>
            </w:r>
            <w:r>
              <w:rPr>
                <w:rFonts w:hint="eastAsia"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r>
      <w:tr w14:paraId="32147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restart"/>
            <w:vAlign w:val="center"/>
          </w:tcPr>
          <w:p w14:paraId="628D5B49">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一般固体废物</w:t>
            </w:r>
          </w:p>
        </w:tc>
        <w:tc>
          <w:tcPr>
            <w:tcW w:w="776" w:type="pct"/>
            <w:vAlign w:val="center"/>
          </w:tcPr>
          <w:p w14:paraId="2ECBB986">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u w:val="none"/>
                <w:lang w:eastAsia="zh-CN"/>
              </w:rPr>
            </w:pPr>
            <w:r>
              <w:rPr>
                <w:rFonts w:hint="default" w:ascii="Times New Roman" w:hAnsi="Times New Roman" w:cs="Times New Roman"/>
                <w:snapToGrid w:val="0"/>
                <w:color w:val="auto"/>
                <w:sz w:val="21"/>
                <w:szCs w:val="21"/>
                <w:u w:val="none"/>
                <w:lang w:eastAsia="zh-CN"/>
              </w:rPr>
              <w:t>废包装袋</w:t>
            </w:r>
          </w:p>
        </w:tc>
        <w:tc>
          <w:tcPr>
            <w:tcW w:w="637" w:type="pct"/>
            <w:vAlign w:val="center"/>
          </w:tcPr>
          <w:p w14:paraId="03D214BA">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46B718EA">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36B52938">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584" w:type="pct"/>
            <w:vAlign w:val="center"/>
          </w:tcPr>
          <w:p w14:paraId="0405A5C1">
            <w:pPr>
              <w:keepNext w:val="0"/>
              <w:keepLines w:val="0"/>
              <w:pageBreakBefore w:val="0"/>
              <w:widowControl/>
              <w:suppressLineNumbers w:val="0"/>
              <w:kinsoku/>
              <w:wordWrap/>
              <w:overflowPunct/>
              <w:topLinePunct w:val="0"/>
              <w:bidi w:val="0"/>
              <w:adjustRightInd/>
              <w:spacing w:line="240" w:lineRule="auto"/>
              <w:ind w:lef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w:t>
            </w:r>
            <w:r>
              <w:rPr>
                <w:rFonts w:hint="eastAsia" w:cs="Times New Roman"/>
                <w:color w:val="auto"/>
                <w:spacing w:val="6"/>
                <w:sz w:val="21"/>
                <w:szCs w:val="21"/>
                <w:u w:val="none"/>
                <w:lang w:val="en-US" w:eastAsia="zh-CN"/>
              </w:rPr>
              <w:t>t/a</w:t>
            </w:r>
          </w:p>
        </w:tc>
        <w:tc>
          <w:tcPr>
            <w:tcW w:w="597" w:type="pct"/>
            <w:vAlign w:val="center"/>
          </w:tcPr>
          <w:p w14:paraId="4874D36F">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62490821">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cs="Times New Roman"/>
                <w:snapToGrid w:val="0"/>
                <w:color w:val="auto"/>
                <w:kern w:val="21"/>
                <w:sz w:val="21"/>
                <w:szCs w:val="21"/>
                <w:u w:val="none"/>
                <w:lang w:eastAsia="zh-CN"/>
              </w:rPr>
            </w:pPr>
            <w:r>
              <w:rPr>
                <w:rFonts w:hint="default" w:ascii="Times New Roman" w:hAnsi="Times New Roman" w:eastAsia="宋体" w:cs="Times New Roman"/>
                <w:i w:val="0"/>
                <w:iCs w:val="0"/>
                <w:color w:val="auto"/>
                <w:kern w:val="0"/>
                <w:sz w:val="21"/>
                <w:szCs w:val="21"/>
                <w:u w:val="none"/>
                <w:lang w:val="en-US" w:eastAsia="zh-CN" w:bidi="ar"/>
              </w:rPr>
              <w:t>3.2</w:t>
            </w:r>
            <w:r>
              <w:rPr>
                <w:rFonts w:hint="eastAsia" w:cs="Times New Roman"/>
                <w:color w:val="auto"/>
                <w:spacing w:val="6"/>
                <w:sz w:val="21"/>
                <w:szCs w:val="21"/>
                <w:u w:val="none"/>
                <w:lang w:val="en-US" w:eastAsia="zh-CN"/>
              </w:rPr>
              <w:t>t/a</w:t>
            </w:r>
          </w:p>
        </w:tc>
        <w:tc>
          <w:tcPr>
            <w:tcW w:w="490" w:type="pct"/>
            <w:vAlign w:val="center"/>
          </w:tcPr>
          <w:p w14:paraId="467D2624">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cs="Times New Roman"/>
                <w:snapToGrid w:val="0"/>
                <w:color w:val="auto"/>
                <w:kern w:val="21"/>
                <w:sz w:val="21"/>
                <w:szCs w:val="21"/>
                <w:u w:val="none"/>
                <w:lang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3.2</w:t>
            </w:r>
            <w:r>
              <w:rPr>
                <w:rFonts w:hint="eastAsia" w:cs="Times New Roman"/>
                <w:color w:val="auto"/>
                <w:spacing w:val="6"/>
                <w:sz w:val="21"/>
                <w:szCs w:val="21"/>
                <w:u w:val="none"/>
                <w:lang w:val="en-US" w:eastAsia="zh-CN"/>
              </w:rPr>
              <w:t>t/a</w:t>
            </w:r>
          </w:p>
        </w:tc>
      </w:tr>
      <w:tr w14:paraId="3A1E3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15AF39C0">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4193E6DB">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u w:val="none"/>
                <w:lang w:eastAsia="zh-CN"/>
              </w:rPr>
            </w:pPr>
            <w:r>
              <w:rPr>
                <w:rFonts w:hint="default" w:ascii="Times New Roman" w:hAnsi="Times New Roman" w:cs="Times New Roman"/>
                <w:snapToGrid w:val="0"/>
                <w:color w:val="auto"/>
                <w:sz w:val="21"/>
                <w:szCs w:val="21"/>
                <w:u w:val="none"/>
                <w:lang w:eastAsia="zh-CN"/>
              </w:rPr>
              <w:t>筛选废弃叶子、树枝</w:t>
            </w:r>
          </w:p>
        </w:tc>
        <w:tc>
          <w:tcPr>
            <w:tcW w:w="637" w:type="pct"/>
            <w:vAlign w:val="center"/>
          </w:tcPr>
          <w:p w14:paraId="6A4B8104">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66C5DE2B">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66D3A0CC">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w:t>
            </w:r>
          </w:p>
        </w:tc>
        <w:tc>
          <w:tcPr>
            <w:tcW w:w="584" w:type="pct"/>
            <w:vAlign w:val="center"/>
          </w:tcPr>
          <w:p w14:paraId="552B25C0">
            <w:pPr>
              <w:keepNext w:val="0"/>
              <w:keepLines w:val="0"/>
              <w:pageBreakBefore w:val="0"/>
              <w:widowControl/>
              <w:suppressLineNumbers w:val="0"/>
              <w:kinsoku/>
              <w:wordWrap/>
              <w:overflowPunct/>
              <w:topLinePunct w:val="0"/>
              <w:bidi w:val="0"/>
              <w:adjustRightInd/>
              <w:spacing w:line="240" w:lineRule="auto"/>
              <w:ind w:lef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c>
          <w:tcPr>
            <w:tcW w:w="597" w:type="pct"/>
            <w:vAlign w:val="center"/>
          </w:tcPr>
          <w:p w14:paraId="2E9F0D23">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eastAsia="宋体" w:cs="Times New Roman"/>
                <w:snapToGrid w:val="0"/>
                <w:color w:val="auto"/>
                <w:kern w:val="21"/>
                <w:sz w:val="21"/>
                <w:szCs w:val="21"/>
                <w:u w:val="none"/>
                <w:lang w:val="en-US" w:eastAsia="zh-CN" w:bidi="ar-SA"/>
              </w:rPr>
            </w:pPr>
            <w:r>
              <w:rPr>
                <w:rFonts w:hint="default" w:ascii="Times New Roman" w:hAnsi="Times New Roman" w:eastAsia="宋体" w:cs="Times New Roman"/>
                <w:snapToGrid w:val="0"/>
                <w:color w:val="auto"/>
                <w:kern w:val="21"/>
                <w:sz w:val="21"/>
                <w:szCs w:val="21"/>
                <w:u w:val="none"/>
              </w:rPr>
              <w:t>/</w:t>
            </w:r>
          </w:p>
        </w:tc>
        <w:tc>
          <w:tcPr>
            <w:tcW w:w="487" w:type="pct"/>
            <w:vAlign w:val="center"/>
          </w:tcPr>
          <w:p w14:paraId="65EB62AE">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c>
          <w:tcPr>
            <w:tcW w:w="490" w:type="pct"/>
            <w:vAlign w:val="center"/>
          </w:tcPr>
          <w:p w14:paraId="2885FC34">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eastAsia="宋体" w:cs="Times New Roman"/>
                <w:color w:val="auto"/>
                <w:kern w:val="2"/>
                <w:sz w:val="21"/>
                <w:szCs w:val="21"/>
                <w:u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r>
      <w:tr w14:paraId="48CA5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5A4314A1">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38382D12">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u w:val="none"/>
                <w:lang w:eastAsia="zh-CN"/>
              </w:rPr>
            </w:pPr>
            <w:r>
              <w:rPr>
                <w:rFonts w:hint="default" w:ascii="Times New Roman" w:hAnsi="Times New Roman" w:cs="Times New Roman"/>
                <w:snapToGrid w:val="0"/>
                <w:color w:val="auto"/>
                <w:sz w:val="21"/>
                <w:szCs w:val="21"/>
                <w:u w:val="none"/>
                <w:lang w:val="en-US" w:eastAsia="zh-CN"/>
              </w:rPr>
              <w:t>筛分废弃中药材尾料</w:t>
            </w:r>
          </w:p>
        </w:tc>
        <w:tc>
          <w:tcPr>
            <w:tcW w:w="637" w:type="pct"/>
            <w:vAlign w:val="center"/>
          </w:tcPr>
          <w:p w14:paraId="5FF09C47">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411" w:type="pct"/>
            <w:vAlign w:val="center"/>
          </w:tcPr>
          <w:p w14:paraId="0B28CFDA">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624" w:type="pct"/>
            <w:vAlign w:val="center"/>
          </w:tcPr>
          <w:p w14:paraId="03C45061">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584" w:type="pct"/>
            <w:vAlign w:val="center"/>
          </w:tcPr>
          <w:p w14:paraId="62FD1B59">
            <w:pPr>
              <w:keepNext w:val="0"/>
              <w:keepLines w:val="0"/>
              <w:pageBreakBefore w:val="0"/>
              <w:widowControl/>
              <w:suppressLineNumbers w:val="0"/>
              <w:kinsoku/>
              <w:wordWrap/>
              <w:overflowPunct/>
              <w:topLinePunct w:val="0"/>
              <w:bidi w:val="0"/>
              <w:adjustRightInd/>
              <w:spacing w:line="240" w:lineRule="auto"/>
              <w:ind w:lef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c>
          <w:tcPr>
            <w:tcW w:w="597" w:type="pct"/>
            <w:vAlign w:val="center"/>
          </w:tcPr>
          <w:p w14:paraId="42AEB918">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eastAsia="宋体" w:cs="Times New Roman"/>
                <w:snapToGrid w:val="0"/>
                <w:color w:val="auto"/>
                <w:kern w:val="21"/>
                <w:sz w:val="21"/>
                <w:szCs w:val="21"/>
                <w:u w:val="none"/>
              </w:rPr>
            </w:pPr>
          </w:p>
        </w:tc>
        <w:tc>
          <w:tcPr>
            <w:tcW w:w="487" w:type="pct"/>
            <w:vAlign w:val="center"/>
          </w:tcPr>
          <w:p w14:paraId="30DAF6FA">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cs="Times New Roman"/>
                <w:snapToGrid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c>
          <w:tcPr>
            <w:tcW w:w="490" w:type="pct"/>
            <w:vAlign w:val="center"/>
          </w:tcPr>
          <w:p w14:paraId="2C761D65">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eastAsia="宋体" w:cs="Times New Roman"/>
                <w:snapToGrid w:val="0"/>
                <w:color w:val="auto"/>
                <w:kern w:val="21"/>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8</w:t>
            </w:r>
            <w:r>
              <w:rPr>
                <w:rFonts w:hint="eastAsia" w:cs="Times New Roman"/>
                <w:color w:val="auto"/>
                <w:spacing w:val="6"/>
                <w:sz w:val="21"/>
                <w:szCs w:val="21"/>
                <w:u w:val="none"/>
                <w:lang w:val="en-US" w:eastAsia="zh-CN"/>
              </w:rPr>
              <w:t>t/a</w:t>
            </w:r>
          </w:p>
        </w:tc>
      </w:tr>
      <w:tr w14:paraId="47295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2063E74D">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5DCF884A">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u w:val="none"/>
                <w:lang w:eastAsia="zh-CN"/>
              </w:rPr>
            </w:pPr>
            <w:r>
              <w:rPr>
                <w:rFonts w:hint="default" w:ascii="Times New Roman" w:hAnsi="Times New Roman" w:cs="Times New Roman"/>
                <w:snapToGrid w:val="0"/>
                <w:color w:val="auto"/>
                <w:sz w:val="21"/>
                <w:szCs w:val="21"/>
                <w:u w:val="none"/>
                <w:lang w:val="en-US" w:eastAsia="zh-CN"/>
              </w:rPr>
              <w:t>布袋收集粉尘</w:t>
            </w:r>
          </w:p>
        </w:tc>
        <w:tc>
          <w:tcPr>
            <w:tcW w:w="637" w:type="pct"/>
            <w:vAlign w:val="center"/>
          </w:tcPr>
          <w:p w14:paraId="358E00F3">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411" w:type="pct"/>
            <w:vAlign w:val="center"/>
          </w:tcPr>
          <w:p w14:paraId="6F55D6C8">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624" w:type="pct"/>
            <w:vAlign w:val="center"/>
          </w:tcPr>
          <w:p w14:paraId="1773548A">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584" w:type="pct"/>
            <w:vAlign w:val="center"/>
          </w:tcPr>
          <w:p w14:paraId="13219592">
            <w:pPr>
              <w:keepNext w:val="0"/>
              <w:keepLines w:val="0"/>
              <w:pageBreakBefore w:val="0"/>
              <w:widowControl/>
              <w:suppressLineNumbers w:val="0"/>
              <w:kinsoku/>
              <w:wordWrap/>
              <w:overflowPunct/>
              <w:topLinePunct w:val="0"/>
              <w:bidi w:val="0"/>
              <w:adjustRightInd/>
              <w:spacing w:line="240" w:lineRule="auto"/>
              <w:ind w:lef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0.16</w:t>
            </w:r>
            <w:r>
              <w:rPr>
                <w:rFonts w:hint="eastAsia" w:cs="Times New Roman"/>
                <w:color w:val="auto"/>
                <w:spacing w:val="6"/>
                <w:sz w:val="21"/>
                <w:szCs w:val="21"/>
                <w:u w:val="none"/>
                <w:lang w:val="en-US" w:eastAsia="zh-CN"/>
              </w:rPr>
              <w:t>t/a</w:t>
            </w:r>
          </w:p>
        </w:tc>
        <w:tc>
          <w:tcPr>
            <w:tcW w:w="597" w:type="pct"/>
            <w:vAlign w:val="center"/>
          </w:tcPr>
          <w:p w14:paraId="05AFD013">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eastAsia="宋体" w:cs="Times New Roman"/>
                <w:snapToGrid w:val="0"/>
                <w:color w:val="auto"/>
                <w:kern w:val="21"/>
                <w:sz w:val="21"/>
                <w:szCs w:val="21"/>
                <w:u w:val="none"/>
              </w:rPr>
            </w:pPr>
          </w:p>
        </w:tc>
        <w:tc>
          <w:tcPr>
            <w:tcW w:w="487" w:type="pct"/>
            <w:vAlign w:val="center"/>
          </w:tcPr>
          <w:p w14:paraId="22CB81A7">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cs="Times New Roman"/>
                <w:snapToGrid w:val="0"/>
                <w:color w:val="auto"/>
                <w:sz w:val="21"/>
                <w:szCs w:val="21"/>
                <w:u w:val="none"/>
                <w:lang w:val="en-US" w:eastAsia="zh-CN"/>
              </w:rPr>
            </w:pPr>
            <w:r>
              <w:rPr>
                <w:rFonts w:hint="eastAsia" w:cs="Times New Roman"/>
                <w:i w:val="0"/>
                <w:iCs w:val="0"/>
                <w:color w:val="auto"/>
                <w:kern w:val="0"/>
                <w:sz w:val="21"/>
                <w:szCs w:val="21"/>
                <w:u w:val="none"/>
                <w:lang w:val="en-US" w:eastAsia="zh-CN" w:bidi="ar"/>
              </w:rPr>
              <w:t>0.16</w:t>
            </w:r>
            <w:r>
              <w:rPr>
                <w:rFonts w:hint="eastAsia" w:cs="Times New Roman"/>
                <w:color w:val="auto"/>
                <w:spacing w:val="6"/>
                <w:sz w:val="21"/>
                <w:szCs w:val="21"/>
                <w:u w:val="none"/>
                <w:lang w:val="en-US" w:eastAsia="zh-CN"/>
              </w:rPr>
              <w:t>t/a</w:t>
            </w:r>
          </w:p>
        </w:tc>
        <w:tc>
          <w:tcPr>
            <w:tcW w:w="490" w:type="pct"/>
            <w:vAlign w:val="center"/>
          </w:tcPr>
          <w:p w14:paraId="183DC80C">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eastAsia="宋体" w:cs="Times New Roman"/>
                <w:snapToGrid w:val="0"/>
                <w:color w:val="auto"/>
                <w:kern w:val="21"/>
                <w:sz w:val="21"/>
                <w:szCs w:val="21"/>
                <w:u w:val="none"/>
              </w:rPr>
            </w:pPr>
            <w:r>
              <w:rPr>
                <w:rFonts w:hint="eastAsia" w:cs="Times New Roman"/>
                <w:i w:val="0"/>
                <w:iCs w:val="0"/>
                <w:color w:val="auto"/>
                <w:kern w:val="0"/>
                <w:sz w:val="21"/>
                <w:szCs w:val="21"/>
                <w:u w:val="none"/>
                <w:lang w:val="en-US" w:eastAsia="zh-CN" w:bidi="ar"/>
              </w:rPr>
              <w:t>+0.16</w:t>
            </w:r>
            <w:r>
              <w:rPr>
                <w:rFonts w:hint="eastAsia" w:cs="Times New Roman"/>
                <w:color w:val="auto"/>
                <w:spacing w:val="6"/>
                <w:sz w:val="21"/>
                <w:szCs w:val="21"/>
                <w:u w:val="none"/>
                <w:lang w:val="en-US" w:eastAsia="zh-CN"/>
              </w:rPr>
              <w:t>t/a</w:t>
            </w:r>
          </w:p>
        </w:tc>
      </w:tr>
      <w:tr w14:paraId="24B16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5CDAE229">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1DA4E9DB">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color w:val="auto"/>
                <w:sz w:val="21"/>
                <w:szCs w:val="21"/>
                <w:highlight w:val="none"/>
                <w:u w:val="none"/>
                <w:lang w:eastAsia="zh-CN"/>
              </w:rPr>
            </w:pPr>
            <w:r>
              <w:rPr>
                <w:rFonts w:hint="default" w:ascii="Times New Roman" w:hAnsi="Times New Roman" w:cs="Times New Roman"/>
                <w:snapToGrid w:val="0"/>
                <w:color w:val="auto"/>
                <w:sz w:val="21"/>
                <w:szCs w:val="21"/>
                <w:highlight w:val="none"/>
                <w:u w:val="none"/>
                <w:lang w:eastAsia="zh-CN"/>
              </w:rPr>
              <w:t>灰渣</w:t>
            </w:r>
          </w:p>
        </w:tc>
        <w:tc>
          <w:tcPr>
            <w:tcW w:w="637" w:type="pct"/>
            <w:vAlign w:val="center"/>
          </w:tcPr>
          <w:p w14:paraId="757F11A3">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highlight w:val="none"/>
                <w:u w:val="none"/>
                <w:lang w:val="en-US" w:eastAsia="zh-CN"/>
              </w:rPr>
            </w:pPr>
            <w:r>
              <w:rPr>
                <w:rFonts w:hint="default" w:ascii="Times New Roman" w:hAnsi="Times New Roman" w:cs="Times New Roman"/>
                <w:snapToGrid w:val="0"/>
                <w:color w:val="auto"/>
                <w:kern w:val="21"/>
                <w:sz w:val="21"/>
                <w:szCs w:val="21"/>
                <w:highlight w:val="none"/>
                <w:u w:val="none"/>
                <w:lang w:val="en-US" w:eastAsia="zh-CN"/>
              </w:rPr>
              <w:t>/</w:t>
            </w:r>
          </w:p>
        </w:tc>
        <w:tc>
          <w:tcPr>
            <w:tcW w:w="411" w:type="pct"/>
            <w:vAlign w:val="center"/>
          </w:tcPr>
          <w:p w14:paraId="2F99CD2E">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highlight w:val="none"/>
                <w:u w:val="none"/>
                <w:lang w:val="en-US" w:eastAsia="zh-CN"/>
              </w:rPr>
            </w:pPr>
            <w:r>
              <w:rPr>
                <w:rFonts w:hint="default" w:ascii="Times New Roman" w:hAnsi="Times New Roman" w:cs="Times New Roman"/>
                <w:snapToGrid w:val="0"/>
                <w:color w:val="auto"/>
                <w:kern w:val="21"/>
                <w:sz w:val="21"/>
                <w:szCs w:val="21"/>
                <w:highlight w:val="none"/>
                <w:u w:val="none"/>
                <w:lang w:val="en-US" w:eastAsia="zh-CN"/>
              </w:rPr>
              <w:t>/</w:t>
            </w:r>
          </w:p>
        </w:tc>
        <w:tc>
          <w:tcPr>
            <w:tcW w:w="624" w:type="pct"/>
            <w:vAlign w:val="center"/>
          </w:tcPr>
          <w:p w14:paraId="60C80936">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highlight w:val="none"/>
                <w:u w:val="none"/>
                <w:lang w:val="en-US" w:eastAsia="zh-CN"/>
              </w:rPr>
            </w:pPr>
            <w:r>
              <w:rPr>
                <w:rFonts w:hint="default" w:ascii="Times New Roman" w:hAnsi="Times New Roman" w:cs="Times New Roman"/>
                <w:snapToGrid w:val="0"/>
                <w:color w:val="auto"/>
                <w:kern w:val="21"/>
                <w:sz w:val="21"/>
                <w:szCs w:val="21"/>
                <w:highlight w:val="none"/>
                <w:u w:val="none"/>
                <w:lang w:val="en-US" w:eastAsia="zh-CN"/>
              </w:rPr>
              <w:t>/</w:t>
            </w:r>
          </w:p>
        </w:tc>
        <w:tc>
          <w:tcPr>
            <w:tcW w:w="584" w:type="pct"/>
            <w:vAlign w:val="center"/>
          </w:tcPr>
          <w:p w14:paraId="264F1DDA">
            <w:pPr>
              <w:keepNext w:val="0"/>
              <w:keepLines w:val="0"/>
              <w:pageBreakBefore w:val="0"/>
              <w:widowControl/>
              <w:suppressLineNumbers w:val="0"/>
              <w:kinsoku/>
              <w:wordWrap/>
              <w:overflowPunct/>
              <w:topLinePunct w:val="0"/>
              <w:bidi w:val="0"/>
              <w:adjustRightInd/>
              <w:spacing w:line="240" w:lineRule="auto"/>
              <w:ind w:lef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88.32</w:t>
            </w:r>
            <w:r>
              <w:rPr>
                <w:rFonts w:hint="eastAsia" w:cs="Times New Roman"/>
                <w:color w:val="auto"/>
                <w:spacing w:val="6"/>
                <w:sz w:val="21"/>
                <w:szCs w:val="21"/>
                <w:u w:val="none"/>
                <w:lang w:val="en-US" w:eastAsia="zh-CN"/>
              </w:rPr>
              <w:t>t/a</w:t>
            </w:r>
          </w:p>
        </w:tc>
        <w:tc>
          <w:tcPr>
            <w:tcW w:w="597" w:type="pct"/>
            <w:vAlign w:val="center"/>
          </w:tcPr>
          <w:p w14:paraId="210CBE18">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eastAsia="宋体" w:cs="Times New Roman"/>
                <w:snapToGrid w:val="0"/>
                <w:color w:val="auto"/>
                <w:kern w:val="21"/>
                <w:sz w:val="21"/>
                <w:szCs w:val="21"/>
                <w:highlight w:val="none"/>
                <w:u w:val="none"/>
                <w:lang w:val="en-US" w:eastAsia="zh-CN"/>
              </w:rPr>
            </w:pPr>
            <w:r>
              <w:rPr>
                <w:rFonts w:hint="default" w:ascii="Times New Roman" w:hAnsi="Times New Roman" w:eastAsia="宋体" w:cs="Times New Roman"/>
                <w:snapToGrid w:val="0"/>
                <w:color w:val="auto"/>
                <w:kern w:val="21"/>
                <w:sz w:val="21"/>
                <w:szCs w:val="21"/>
                <w:highlight w:val="none"/>
                <w:u w:val="none"/>
                <w:lang w:val="en-US" w:eastAsia="zh-CN"/>
              </w:rPr>
              <w:t>/</w:t>
            </w:r>
          </w:p>
        </w:tc>
        <w:tc>
          <w:tcPr>
            <w:tcW w:w="487" w:type="pct"/>
            <w:vAlign w:val="center"/>
          </w:tcPr>
          <w:p w14:paraId="3B777E45">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cs="Times New Roman"/>
                <w:snapToGrid w:val="0"/>
                <w:color w:val="auto"/>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88.32</w:t>
            </w:r>
            <w:r>
              <w:rPr>
                <w:rFonts w:hint="eastAsia" w:cs="Times New Roman"/>
                <w:color w:val="auto"/>
                <w:spacing w:val="6"/>
                <w:sz w:val="21"/>
                <w:szCs w:val="21"/>
                <w:u w:val="none"/>
                <w:lang w:val="en-US" w:eastAsia="zh-CN"/>
              </w:rPr>
              <w:t>t/a</w:t>
            </w:r>
          </w:p>
        </w:tc>
        <w:tc>
          <w:tcPr>
            <w:tcW w:w="490" w:type="pct"/>
            <w:vAlign w:val="center"/>
          </w:tcPr>
          <w:p w14:paraId="3FF3061F">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eastAsia="宋体" w:cs="Times New Roman"/>
                <w:snapToGrid w:val="0"/>
                <w:color w:val="auto"/>
                <w:kern w:val="21"/>
                <w:sz w:val="21"/>
                <w:szCs w:val="21"/>
                <w:highlight w:val="none"/>
                <w:u w:val="none"/>
                <w:lang w:val="en-US" w:eastAsia="zh-CN"/>
              </w:rPr>
            </w:pPr>
            <w:r>
              <w:rPr>
                <w:rFonts w:hint="eastAsia" w:cs="Times New Roman"/>
                <w:i w:val="0"/>
                <w:iCs w:val="0"/>
                <w:color w:val="auto"/>
                <w:kern w:val="0"/>
                <w:sz w:val="21"/>
                <w:szCs w:val="21"/>
                <w:highlight w:val="none"/>
                <w:u w:val="none"/>
                <w:lang w:val="en-US" w:eastAsia="zh-CN" w:bidi="ar"/>
              </w:rPr>
              <w:t>+88.32</w:t>
            </w:r>
            <w:r>
              <w:rPr>
                <w:rFonts w:hint="eastAsia" w:cs="Times New Roman"/>
                <w:color w:val="auto"/>
                <w:spacing w:val="6"/>
                <w:sz w:val="21"/>
                <w:szCs w:val="21"/>
                <w:u w:val="none"/>
                <w:lang w:val="en-US" w:eastAsia="zh-CN"/>
              </w:rPr>
              <w:t>t/a</w:t>
            </w:r>
          </w:p>
        </w:tc>
      </w:tr>
      <w:tr w14:paraId="4C683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70543C82">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shd w:val="clear" w:color="auto" w:fill="auto"/>
            <w:vAlign w:val="center"/>
          </w:tcPr>
          <w:p w14:paraId="48F69698">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cs="Times New Roman"/>
                <w:snapToGrid w:val="0"/>
                <w:color w:val="auto"/>
                <w:sz w:val="21"/>
                <w:szCs w:val="21"/>
                <w:u w:val="none"/>
                <w:lang w:val="en-US" w:eastAsia="zh-CN"/>
              </w:rPr>
              <w:t>沉淀池沉渣</w:t>
            </w:r>
          </w:p>
        </w:tc>
        <w:tc>
          <w:tcPr>
            <w:tcW w:w="637" w:type="pct"/>
            <w:shd w:val="clear" w:color="auto" w:fill="auto"/>
            <w:vAlign w:val="center"/>
          </w:tcPr>
          <w:p w14:paraId="671A7152">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eastAsia="宋体" w:cs="Times New Roman"/>
                <w:snapToGrid w:val="0"/>
                <w:color w:val="auto"/>
                <w:kern w:val="21"/>
                <w:sz w:val="21"/>
                <w:szCs w:val="21"/>
                <w:u w:val="none"/>
                <w:lang w:val="en-US" w:eastAsia="zh-CN" w:bidi="ar-SA"/>
              </w:rPr>
            </w:pPr>
            <w:r>
              <w:rPr>
                <w:rFonts w:hint="default" w:ascii="Times New Roman" w:hAnsi="Times New Roman" w:cs="Times New Roman"/>
                <w:snapToGrid w:val="0"/>
                <w:color w:val="auto"/>
                <w:kern w:val="21"/>
                <w:sz w:val="21"/>
                <w:szCs w:val="21"/>
                <w:u w:val="none"/>
                <w:lang w:val="en-US" w:eastAsia="zh-CN"/>
              </w:rPr>
              <w:t>/</w:t>
            </w:r>
          </w:p>
        </w:tc>
        <w:tc>
          <w:tcPr>
            <w:tcW w:w="411" w:type="pct"/>
            <w:shd w:val="clear" w:color="auto" w:fill="auto"/>
            <w:vAlign w:val="center"/>
          </w:tcPr>
          <w:p w14:paraId="51FF91E5">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eastAsia="宋体" w:cs="Times New Roman"/>
                <w:snapToGrid w:val="0"/>
                <w:color w:val="auto"/>
                <w:kern w:val="21"/>
                <w:sz w:val="21"/>
                <w:szCs w:val="21"/>
                <w:u w:val="none"/>
                <w:lang w:val="en-US" w:eastAsia="zh-CN" w:bidi="ar-SA"/>
              </w:rPr>
            </w:pPr>
            <w:r>
              <w:rPr>
                <w:rFonts w:hint="default" w:ascii="Times New Roman" w:hAnsi="Times New Roman" w:cs="Times New Roman"/>
                <w:snapToGrid w:val="0"/>
                <w:color w:val="auto"/>
                <w:kern w:val="21"/>
                <w:sz w:val="21"/>
                <w:szCs w:val="21"/>
                <w:u w:val="none"/>
                <w:lang w:val="en-US" w:eastAsia="zh-CN"/>
              </w:rPr>
              <w:t>/</w:t>
            </w:r>
          </w:p>
        </w:tc>
        <w:tc>
          <w:tcPr>
            <w:tcW w:w="624" w:type="pct"/>
            <w:shd w:val="clear" w:color="auto" w:fill="auto"/>
            <w:vAlign w:val="center"/>
          </w:tcPr>
          <w:p w14:paraId="29899AA3">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eastAsia="宋体" w:cs="Times New Roman"/>
                <w:snapToGrid w:val="0"/>
                <w:color w:val="auto"/>
                <w:kern w:val="21"/>
                <w:sz w:val="21"/>
                <w:szCs w:val="21"/>
                <w:u w:val="none"/>
                <w:lang w:val="en-US" w:eastAsia="zh-CN" w:bidi="ar-SA"/>
              </w:rPr>
            </w:pPr>
            <w:r>
              <w:rPr>
                <w:rFonts w:hint="default" w:ascii="Times New Roman" w:hAnsi="Times New Roman" w:cs="Times New Roman"/>
                <w:snapToGrid w:val="0"/>
                <w:color w:val="auto"/>
                <w:kern w:val="21"/>
                <w:sz w:val="21"/>
                <w:szCs w:val="21"/>
                <w:u w:val="none"/>
                <w:lang w:val="en-US" w:eastAsia="zh-CN"/>
              </w:rPr>
              <w:t>/</w:t>
            </w:r>
          </w:p>
        </w:tc>
        <w:tc>
          <w:tcPr>
            <w:tcW w:w="584" w:type="pct"/>
            <w:shd w:val="clear" w:color="auto" w:fill="auto"/>
            <w:vAlign w:val="center"/>
          </w:tcPr>
          <w:p w14:paraId="6A8E6C6C">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83.33</w:t>
            </w:r>
            <w:r>
              <w:rPr>
                <w:rFonts w:hint="eastAsia" w:cs="Times New Roman"/>
                <w:color w:val="auto"/>
                <w:spacing w:val="6"/>
                <w:sz w:val="21"/>
                <w:szCs w:val="21"/>
                <w:u w:val="none"/>
                <w:lang w:val="en-US" w:eastAsia="zh-CN"/>
              </w:rPr>
              <w:t>t/a</w:t>
            </w:r>
          </w:p>
        </w:tc>
        <w:tc>
          <w:tcPr>
            <w:tcW w:w="597" w:type="pct"/>
            <w:shd w:val="clear" w:color="auto" w:fill="auto"/>
            <w:vAlign w:val="center"/>
          </w:tcPr>
          <w:p w14:paraId="604FC38D">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eastAsia="宋体" w:cs="Times New Roman"/>
                <w:snapToGrid w:val="0"/>
                <w:color w:val="auto"/>
                <w:kern w:val="21"/>
                <w:sz w:val="21"/>
                <w:szCs w:val="21"/>
                <w:u w:val="none"/>
                <w:lang w:val="en-US" w:eastAsia="zh-CN" w:bidi="ar-SA"/>
              </w:rPr>
            </w:pPr>
            <w:r>
              <w:rPr>
                <w:rFonts w:hint="default" w:ascii="Times New Roman" w:hAnsi="Times New Roman" w:cs="Times New Roman"/>
                <w:snapToGrid w:val="0"/>
                <w:color w:val="auto"/>
                <w:kern w:val="21"/>
                <w:sz w:val="21"/>
                <w:szCs w:val="21"/>
                <w:u w:val="none"/>
                <w:lang w:val="en-US" w:eastAsia="zh-CN"/>
              </w:rPr>
              <w:t>/</w:t>
            </w:r>
          </w:p>
        </w:tc>
        <w:tc>
          <w:tcPr>
            <w:tcW w:w="487" w:type="pct"/>
            <w:shd w:val="clear" w:color="auto" w:fill="auto"/>
            <w:vAlign w:val="center"/>
          </w:tcPr>
          <w:p w14:paraId="47EC5974">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default" w:ascii="Times New Roman" w:hAnsi="Times New Roman" w:eastAsia="宋体" w:cs="Times New Roman"/>
                <w:snapToGrid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83.33</w:t>
            </w:r>
            <w:r>
              <w:rPr>
                <w:rFonts w:hint="eastAsia" w:cs="Times New Roman"/>
                <w:color w:val="auto"/>
                <w:spacing w:val="6"/>
                <w:sz w:val="21"/>
                <w:szCs w:val="21"/>
                <w:u w:val="none"/>
                <w:lang w:val="en-US" w:eastAsia="zh-CN"/>
              </w:rPr>
              <w:t>t/a</w:t>
            </w:r>
          </w:p>
        </w:tc>
        <w:tc>
          <w:tcPr>
            <w:tcW w:w="490" w:type="pct"/>
            <w:shd w:val="clear" w:color="auto" w:fill="auto"/>
            <w:vAlign w:val="center"/>
          </w:tcPr>
          <w:p w14:paraId="037135CE">
            <w:pPr>
              <w:keepNext w:val="0"/>
              <w:keepLines w:val="0"/>
              <w:pageBreakBefore w:val="0"/>
              <w:widowControl/>
              <w:suppressLineNumbers w:val="0"/>
              <w:kinsoku/>
              <w:wordWrap/>
              <w:overflowPunct/>
              <w:topLinePunct w:val="0"/>
              <w:bidi w:val="0"/>
              <w:adjustRightInd/>
              <w:spacing w:line="240" w:lineRule="auto"/>
              <w:ind w:left="0" w:leftChars="0" w:firstLine="0" w:firstLineChars="0"/>
              <w:jc w:val="center"/>
              <w:textAlignment w:val="center"/>
              <w:rPr>
                <w:rFonts w:hint="eastAsia" w:ascii="Times New Roman" w:hAnsi="Times New Roman" w:eastAsia="宋体" w:cs="Times New Roman"/>
                <w:snapToGrid w:val="0"/>
                <w:color w:val="auto"/>
                <w:kern w:val="21"/>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83.33</w:t>
            </w:r>
            <w:r>
              <w:rPr>
                <w:rFonts w:hint="eastAsia" w:cs="Times New Roman"/>
                <w:color w:val="auto"/>
                <w:spacing w:val="6"/>
                <w:sz w:val="21"/>
                <w:szCs w:val="21"/>
                <w:u w:val="none"/>
                <w:lang w:val="en-US" w:eastAsia="zh-CN"/>
              </w:rPr>
              <w:t>t/a</w:t>
            </w:r>
          </w:p>
        </w:tc>
      </w:tr>
      <w:tr w14:paraId="04D86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047F186E">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303121EB">
            <w:pPr>
              <w:pStyle w:val="134"/>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u w:val="single"/>
                <w:lang w:val="en-US" w:eastAsia="zh-CN"/>
              </w:rPr>
              <w:t>残液缩膏</w:t>
            </w:r>
          </w:p>
        </w:tc>
        <w:tc>
          <w:tcPr>
            <w:tcW w:w="637" w:type="pct"/>
            <w:vAlign w:val="center"/>
          </w:tcPr>
          <w:p w14:paraId="02534752">
            <w:pPr>
              <w:pStyle w:val="134"/>
              <w:rPr>
                <w:rFonts w:hint="default" w:ascii="Times New Roman" w:hAnsi="Times New Roman" w:cs="Times New Roman"/>
                <w:snapToGrid w:val="0"/>
                <w:color w:val="auto"/>
                <w:kern w:val="21"/>
                <w:sz w:val="21"/>
                <w:szCs w:val="21"/>
                <w:u w:val="none"/>
                <w:lang w:val="en-US" w:eastAsia="zh-CN"/>
              </w:rPr>
            </w:pPr>
          </w:p>
        </w:tc>
        <w:tc>
          <w:tcPr>
            <w:tcW w:w="411" w:type="pct"/>
            <w:vAlign w:val="center"/>
          </w:tcPr>
          <w:p w14:paraId="0AEF9888">
            <w:pPr>
              <w:pStyle w:val="134"/>
              <w:rPr>
                <w:rFonts w:hint="default" w:ascii="Times New Roman" w:hAnsi="Times New Roman" w:cs="Times New Roman"/>
                <w:snapToGrid w:val="0"/>
                <w:color w:val="auto"/>
                <w:kern w:val="21"/>
                <w:sz w:val="21"/>
                <w:szCs w:val="21"/>
                <w:u w:val="none"/>
                <w:lang w:val="en-US" w:eastAsia="zh-CN"/>
              </w:rPr>
            </w:pPr>
          </w:p>
        </w:tc>
        <w:tc>
          <w:tcPr>
            <w:tcW w:w="624" w:type="pct"/>
            <w:vAlign w:val="center"/>
          </w:tcPr>
          <w:p w14:paraId="708B7098">
            <w:pPr>
              <w:pStyle w:val="134"/>
              <w:rPr>
                <w:rFonts w:hint="default" w:ascii="Times New Roman" w:hAnsi="Times New Roman" w:cs="Times New Roman"/>
                <w:snapToGrid w:val="0"/>
                <w:color w:val="auto"/>
                <w:kern w:val="21"/>
                <w:sz w:val="21"/>
                <w:szCs w:val="21"/>
                <w:u w:val="none"/>
                <w:lang w:val="en-US" w:eastAsia="zh-CN"/>
              </w:rPr>
            </w:pPr>
          </w:p>
        </w:tc>
        <w:tc>
          <w:tcPr>
            <w:tcW w:w="584" w:type="pct"/>
            <w:vAlign w:val="center"/>
          </w:tcPr>
          <w:p w14:paraId="0656F643">
            <w:pPr>
              <w:pStyle w:val="134"/>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9</w:t>
            </w:r>
            <w:r>
              <w:rPr>
                <w:rFonts w:hint="eastAsia" w:cs="Times New Roman"/>
                <w:color w:val="auto"/>
                <w:spacing w:val="6"/>
                <w:sz w:val="21"/>
                <w:szCs w:val="21"/>
                <w:u w:val="none"/>
                <w:lang w:val="en-US" w:eastAsia="zh-CN"/>
              </w:rPr>
              <w:t>t/a</w:t>
            </w:r>
          </w:p>
        </w:tc>
        <w:tc>
          <w:tcPr>
            <w:tcW w:w="597" w:type="pct"/>
            <w:vAlign w:val="center"/>
          </w:tcPr>
          <w:p w14:paraId="46E83001">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eastAsia="宋体" w:cs="Times New Roman"/>
                <w:snapToGrid w:val="0"/>
                <w:color w:val="auto"/>
                <w:kern w:val="21"/>
                <w:sz w:val="21"/>
                <w:szCs w:val="21"/>
                <w:u w:val="none"/>
                <w:lang w:val="en-US" w:eastAsia="zh-CN"/>
              </w:rPr>
            </w:pPr>
          </w:p>
        </w:tc>
        <w:tc>
          <w:tcPr>
            <w:tcW w:w="487" w:type="pct"/>
            <w:vAlign w:val="center"/>
          </w:tcPr>
          <w:p w14:paraId="02FE4F97">
            <w:pPr>
              <w:pStyle w:val="134"/>
              <w:rPr>
                <w:rFonts w:hint="default" w:ascii="Times New Roman" w:hAnsi="Times New Roman" w:eastAsia="宋体" w:cs="Times New Roman"/>
                <w:color w:val="auto"/>
                <w:sz w:val="21"/>
                <w:szCs w:val="21"/>
                <w:lang w:val="en-US" w:eastAsia="zh-CN"/>
              </w:rPr>
            </w:pPr>
            <w:r>
              <w:rPr>
                <w:rFonts w:hint="eastAsia" w:cs="Times New Roman"/>
                <w:color w:val="auto"/>
                <w:sz w:val="21"/>
                <w:szCs w:val="21"/>
                <w:u w:val="none"/>
                <w:lang w:val="en-US" w:eastAsia="zh-CN"/>
              </w:rPr>
              <w:t>9</w:t>
            </w:r>
            <w:r>
              <w:rPr>
                <w:rFonts w:hint="eastAsia" w:cs="Times New Roman"/>
                <w:color w:val="auto"/>
                <w:spacing w:val="6"/>
                <w:sz w:val="21"/>
                <w:szCs w:val="21"/>
                <w:u w:val="none"/>
                <w:lang w:val="en-US" w:eastAsia="zh-CN"/>
              </w:rPr>
              <w:t>t/a</w:t>
            </w:r>
          </w:p>
        </w:tc>
        <w:tc>
          <w:tcPr>
            <w:tcW w:w="490" w:type="pct"/>
            <w:vAlign w:val="center"/>
          </w:tcPr>
          <w:p w14:paraId="1393EBBC">
            <w:pPr>
              <w:pStyle w:val="134"/>
              <w:rPr>
                <w:rFonts w:hint="default" w:cs="Times New Roman"/>
                <w:snapToGrid w:val="0"/>
                <w:color w:val="auto"/>
                <w:sz w:val="21"/>
                <w:szCs w:val="21"/>
                <w:u w:val="none"/>
                <w:lang w:val="en-US" w:eastAsia="zh-CN"/>
              </w:rPr>
            </w:pPr>
            <w:r>
              <w:rPr>
                <w:rFonts w:hint="eastAsia" w:cs="Times New Roman"/>
                <w:color w:val="auto"/>
                <w:sz w:val="21"/>
                <w:szCs w:val="21"/>
                <w:u w:val="none"/>
                <w:lang w:val="en-US" w:eastAsia="zh-CN"/>
              </w:rPr>
              <w:t>+9</w:t>
            </w:r>
            <w:r>
              <w:rPr>
                <w:rFonts w:hint="eastAsia" w:cs="Times New Roman"/>
                <w:color w:val="auto"/>
                <w:spacing w:val="6"/>
                <w:sz w:val="21"/>
                <w:szCs w:val="21"/>
                <w:u w:val="none"/>
                <w:lang w:val="en-US" w:eastAsia="zh-CN"/>
              </w:rPr>
              <w:t>t/a</w:t>
            </w:r>
          </w:p>
        </w:tc>
      </w:tr>
      <w:tr w14:paraId="3233F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5CA708A3">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63D2B931">
            <w:pPr>
              <w:pStyle w:val="134"/>
              <w:rPr>
                <w:rFonts w:hint="default" w:ascii="Times New Roman" w:hAnsi="Times New Roman"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废离子交换树脂</w:t>
            </w:r>
          </w:p>
        </w:tc>
        <w:tc>
          <w:tcPr>
            <w:tcW w:w="637" w:type="pct"/>
            <w:vAlign w:val="center"/>
          </w:tcPr>
          <w:p w14:paraId="0FE199BB">
            <w:pPr>
              <w:pStyle w:val="134"/>
              <w:rPr>
                <w:rFonts w:hint="default" w:ascii="Times New Roman" w:hAnsi="Times New Roman" w:cs="Times New Roman"/>
                <w:snapToGrid w:val="0"/>
                <w:color w:val="auto"/>
                <w:kern w:val="21"/>
                <w:sz w:val="21"/>
                <w:szCs w:val="21"/>
                <w:u w:val="none"/>
                <w:lang w:val="en-US" w:eastAsia="zh-CN"/>
              </w:rPr>
            </w:pPr>
          </w:p>
        </w:tc>
        <w:tc>
          <w:tcPr>
            <w:tcW w:w="411" w:type="pct"/>
            <w:vAlign w:val="center"/>
          </w:tcPr>
          <w:p w14:paraId="2E552ABD">
            <w:pPr>
              <w:pStyle w:val="134"/>
              <w:rPr>
                <w:rFonts w:hint="default" w:ascii="Times New Roman" w:hAnsi="Times New Roman" w:cs="Times New Roman"/>
                <w:snapToGrid w:val="0"/>
                <w:color w:val="auto"/>
                <w:kern w:val="21"/>
                <w:sz w:val="21"/>
                <w:szCs w:val="21"/>
                <w:u w:val="none"/>
                <w:lang w:val="en-US" w:eastAsia="zh-CN"/>
              </w:rPr>
            </w:pPr>
          </w:p>
        </w:tc>
        <w:tc>
          <w:tcPr>
            <w:tcW w:w="624" w:type="pct"/>
            <w:vAlign w:val="center"/>
          </w:tcPr>
          <w:p w14:paraId="5E737E49">
            <w:pPr>
              <w:pStyle w:val="134"/>
              <w:rPr>
                <w:rFonts w:hint="default" w:ascii="Times New Roman" w:hAnsi="Times New Roman" w:cs="Times New Roman"/>
                <w:snapToGrid w:val="0"/>
                <w:color w:val="auto"/>
                <w:kern w:val="21"/>
                <w:sz w:val="21"/>
                <w:szCs w:val="21"/>
                <w:u w:val="none"/>
                <w:lang w:val="en-US" w:eastAsia="zh-CN"/>
              </w:rPr>
            </w:pPr>
          </w:p>
        </w:tc>
        <w:tc>
          <w:tcPr>
            <w:tcW w:w="584" w:type="pct"/>
            <w:vAlign w:val="center"/>
          </w:tcPr>
          <w:p w14:paraId="4F1BEC8F">
            <w:pPr>
              <w:pStyle w:val="134"/>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auto"/>
                <w:sz w:val="21"/>
                <w:szCs w:val="21"/>
                <w:u w:val="none"/>
                <w:lang w:val="en-US" w:eastAsia="zh-CN"/>
              </w:rPr>
              <w:t>0.4</w:t>
            </w:r>
            <w:r>
              <w:rPr>
                <w:rFonts w:hint="eastAsia" w:cs="Times New Roman"/>
                <w:color w:val="auto"/>
                <w:spacing w:val="6"/>
                <w:sz w:val="21"/>
                <w:szCs w:val="21"/>
                <w:u w:val="none"/>
                <w:lang w:val="en-US" w:eastAsia="zh-CN"/>
              </w:rPr>
              <w:t>t/a</w:t>
            </w:r>
          </w:p>
        </w:tc>
        <w:tc>
          <w:tcPr>
            <w:tcW w:w="597" w:type="pct"/>
            <w:vAlign w:val="center"/>
          </w:tcPr>
          <w:p w14:paraId="4C681A0E">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eastAsia="宋体" w:cs="Times New Roman"/>
                <w:snapToGrid w:val="0"/>
                <w:color w:val="auto"/>
                <w:kern w:val="21"/>
                <w:sz w:val="21"/>
                <w:szCs w:val="21"/>
                <w:u w:val="none"/>
                <w:lang w:val="en-US" w:eastAsia="zh-CN"/>
              </w:rPr>
            </w:pPr>
          </w:p>
        </w:tc>
        <w:tc>
          <w:tcPr>
            <w:tcW w:w="487" w:type="pct"/>
            <w:vAlign w:val="center"/>
          </w:tcPr>
          <w:p w14:paraId="3A1C9744">
            <w:pPr>
              <w:pStyle w:val="134"/>
              <w:rPr>
                <w:rFonts w:hint="default" w:ascii="Times New Roman" w:hAnsi="Times New Roman" w:cs="Times New Roman"/>
                <w:snapToGrid w:val="0"/>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0.4</w:t>
            </w:r>
            <w:r>
              <w:rPr>
                <w:rFonts w:hint="eastAsia" w:cs="Times New Roman"/>
                <w:color w:val="auto"/>
                <w:spacing w:val="6"/>
                <w:sz w:val="21"/>
                <w:szCs w:val="21"/>
                <w:u w:val="none"/>
                <w:lang w:val="en-US" w:eastAsia="zh-CN"/>
              </w:rPr>
              <w:t>t/a</w:t>
            </w:r>
          </w:p>
        </w:tc>
        <w:tc>
          <w:tcPr>
            <w:tcW w:w="490" w:type="pct"/>
            <w:vAlign w:val="center"/>
          </w:tcPr>
          <w:p w14:paraId="0D1D9FDE">
            <w:pPr>
              <w:pStyle w:val="134"/>
              <w:rPr>
                <w:rFonts w:hint="default" w:ascii="Times New Roman" w:hAnsi="Times New Roman" w:eastAsia="宋体" w:cs="Times New Roman"/>
                <w:snapToGrid w:val="0"/>
                <w:color w:val="auto"/>
                <w:kern w:val="21"/>
                <w:sz w:val="21"/>
                <w:szCs w:val="21"/>
                <w:u w:val="none"/>
                <w:lang w:val="en-US" w:eastAsia="zh-CN"/>
              </w:rPr>
            </w:pPr>
            <w:r>
              <w:rPr>
                <w:rFonts w:hint="eastAsia" w:ascii="Times New Roman" w:hAnsi="Times New Roman" w:eastAsia="宋体" w:cs="Times New Roman"/>
                <w:color w:val="auto"/>
                <w:sz w:val="21"/>
                <w:szCs w:val="21"/>
                <w:u w:val="none"/>
                <w:lang w:val="en-US" w:eastAsia="zh-CN"/>
              </w:rPr>
              <w:t>+0.4</w:t>
            </w:r>
            <w:r>
              <w:rPr>
                <w:rFonts w:hint="eastAsia" w:cs="Times New Roman"/>
                <w:color w:val="auto"/>
                <w:spacing w:val="6"/>
                <w:sz w:val="21"/>
                <w:szCs w:val="21"/>
                <w:u w:val="none"/>
                <w:lang w:val="en-US" w:eastAsia="zh-CN"/>
              </w:rPr>
              <w:t>t/a</w:t>
            </w:r>
          </w:p>
        </w:tc>
      </w:tr>
      <w:tr w14:paraId="58EE1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restart"/>
            <w:vAlign w:val="center"/>
          </w:tcPr>
          <w:p w14:paraId="778A49FC">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r>
              <w:rPr>
                <w:rFonts w:hint="eastAsia" w:ascii="Times New Roman" w:cs="Times New Roman"/>
                <w:snapToGrid w:val="0"/>
                <w:color w:val="auto"/>
                <w:kern w:val="21"/>
                <w:sz w:val="21"/>
                <w:szCs w:val="21"/>
                <w:u w:val="none"/>
                <w:lang w:val="en-US" w:eastAsia="zh-CN"/>
              </w:rPr>
              <w:t>危险废物</w:t>
            </w:r>
          </w:p>
        </w:tc>
        <w:tc>
          <w:tcPr>
            <w:tcW w:w="776" w:type="pct"/>
            <w:vAlign w:val="center"/>
          </w:tcPr>
          <w:p w14:paraId="6988A0AA">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lang w:val="en-US" w:eastAsia="zh-CN"/>
              </w:rPr>
            </w:pPr>
            <w:r>
              <w:rPr>
                <w:color w:val="auto"/>
                <w:sz w:val="21"/>
                <w:szCs w:val="21"/>
              </w:rPr>
              <w:t>废润滑油</w:t>
            </w:r>
          </w:p>
        </w:tc>
        <w:tc>
          <w:tcPr>
            <w:tcW w:w="637" w:type="pct"/>
            <w:vAlign w:val="center"/>
          </w:tcPr>
          <w:p w14:paraId="16D3BA61">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411" w:type="pct"/>
            <w:vAlign w:val="center"/>
          </w:tcPr>
          <w:p w14:paraId="0389D9A5">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624" w:type="pct"/>
            <w:vAlign w:val="center"/>
          </w:tcPr>
          <w:p w14:paraId="43BDE59B">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584" w:type="pct"/>
            <w:vAlign w:val="center"/>
          </w:tcPr>
          <w:p w14:paraId="57D3D3A2">
            <w:pPr>
              <w:pStyle w:val="134"/>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u w:val="none"/>
              </w:rPr>
              <w:t>0.01</w:t>
            </w:r>
            <w:r>
              <w:rPr>
                <w:rFonts w:hint="eastAsia" w:cs="Times New Roman"/>
                <w:color w:val="auto"/>
                <w:spacing w:val="6"/>
                <w:sz w:val="21"/>
                <w:szCs w:val="21"/>
                <w:u w:val="none"/>
                <w:lang w:val="en-US" w:eastAsia="zh-CN"/>
              </w:rPr>
              <w:t>t/a</w:t>
            </w:r>
          </w:p>
        </w:tc>
        <w:tc>
          <w:tcPr>
            <w:tcW w:w="597" w:type="pct"/>
            <w:vAlign w:val="center"/>
          </w:tcPr>
          <w:p w14:paraId="55184B37">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487" w:type="pct"/>
            <w:vAlign w:val="center"/>
          </w:tcPr>
          <w:p w14:paraId="0237C5DB">
            <w:pPr>
              <w:pStyle w:val="134"/>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u w:val="none"/>
              </w:rPr>
              <w:t>0.01</w:t>
            </w:r>
            <w:r>
              <w:rPr>
                <w:rFonts w:hint="eastAsia" w:cs="Times New Roman"/>
                <w:color w:val="auto"/>
                <w:spacing w:val="6"/>
                <w:sz w:val="21"/>
                <w:szCs w:val="21"/>
                <w:u w:val="none"/>
                <w:lang w:val="en-US" w:eastAsia="zh-CN"/>
              </w:rPr>
              <w:t>t/a</w:t>
            </w:r>
          </w:p>
        </w:tc>
        <w:tc>
          <w:tcPr>
            <w:tcW w:w="490" w:type="pct"/>
            <w:vAlign w:val="center"/>
          </w:tcPr>
          <w:p w14:paraId="23005FCA">
            <w:pPr>
              <w:pStyle w:val="134"/>
              <w:rPr>
                <w:rFonts w:hint="eastAsia" w:cs="Times New Roman"/>
                <w:i w:val="0"/>
                <w:iCs w:val="0"/>
                <w:color w:val="auto"/>
                <w:kern w:val="0"/>
                <w:sz w:val="21"/>
                <w:szCs w:val="21"/>
                <w:u w:val="none"/>
                <w:lang w:val="en-US" w:eastAsia="zh-CN" w:bidi="ar"/>
              </w:rPr>
            </w:pPr>
            <w:r>
              <w:rPr>
                <w:rFonts w:hint="eastAsia"/>
                <w:color w:val="auto"/>
                <w:sz w:val="21"/>
                <w:szCs w:val="21"/>
                <w:u w:val="none"/>
                <w:lang w:val="en-US" w:eastAsia="zh-CN"/>
              </w:rPr>
              <w:t>+</w:t>
            </w:r>
            <w:r>
              <w:rPr>
                <w:rFonts w:hint="default"/>
                <w:color w:val="auto"/>
                <w:sz w:val="21"/>
                <w:szCs w:val="21"/>
                <w:u w:val="none"/>
              </w:rPr>
              <w:t>0.01</w:t>
            </w:r>
            <w:r>
              <w:rPr>
                <w:rFonts w:hint="eastAsia" w:cs="Times New Roman"/>
                <w:color w:val="auto"/>
                <w:spacing w:val="6"/>
                <w:sz w:val="21"/>
                <w:szCs w:val="21"/>
                <w:u w:val="none"/>
                <w:lang w:val="en-US" w:eastAsia="zh-CN"/>
              </w:rPr>
              <w:t>t/a</w:t>
            </w:r>
          </w:p>
        </w:tc>
      </w:tr>
      <w:tr w14:paraId="5F65CB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7047C3B2">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shd w:val="clear" w:color="auto" w:fill="auto"/>
            <w:vAlign w:val="center"/>
          </w:tcPr>
          <w:p w14:paraId="0FB7DEC6">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eastAsia="宋体" w:cs="Times New Roman"/>
                <w:snapToGrid w:val="0"/>
                <w:color w:val="auto"/>
                <w:kern w:val="0"/>
                <w:sz w:val="21"/>
                <w:szCs w:val="21"/>
                <w:u w:val="none"/>
                <w:lang w:val="en-US" w:eastAsia="zh-CN" w:bidi="ar-SA"/>
              </w:rPr>
            </w:pPr>
            <w:r>
              <w:rPr>
                <w:color w:val="auto"/>
                <w:sz w:val="21"/>
                <w:szCs w:val="21"/>
              </w:rPr>
              <w:t>含油抹布及手套</w:t>
            </w:r>
          </w:p>
        </w:tc>
        <w:tc>
          <w:tcPr>
            <w:tcW w:w="637" w:type="pct"/>
            <w:shd w:val="clear" w:color="auto" w:fill="auto"/>
            <w:vAlign w:val="center"/>
          </w:tcPr>
          <w:p w14:paraId="0F7BAB37">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eastAsia="宋体" w:cs="Times New Roman"/>
                <w:snapToGrid w:val="0"/>
                <w:color w:val="auto"/>
                <w:kern w:val="21"/>
                <w:sz w:val="21"/>
                <w:szCs w:val="21"/>
                <w:u w:val="none"/>
                <w:lang w:val="en-US" w:eastAsia="zh-CN" w:bidi="ar-SA"/>
              </w:rPr>
            </w:pPr>
          </w:p>
        </w:tc>
        <w:tc>
          <w:tcPr>
            <w:tcW w:w="411" w:type="pct"/>
            <w:shd w:val="clear" w:color="auto" w:fill="auto"/>
            <w:vAlign w:val="center"/>
          </w:tcPr>
          <w:p w14:paraId="45791EAB">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eastAsia="宋体" w:cs="Times New Roman"/>
                <w:snapToGrid w:val="0"/>
                <w:color w:val="auto"/>
                <w:kern w:val="21"/>
                <w:sz w:val="21"/>
                <w:szCs w:val="21"/>
                <w:u w:val="none"/>
                <w:lang w:val="en-US" w:eastAsia="zh-CN" w:bidi="ar-SA"/>
              </w:rPr>
            </w:pPr>
          </w:p>
        </w:tc>
        <w:tc>
          <w:tcPr>
            <w:tcW w:w="624" w:type="pct"/>
            <w:shd w:val="clear" w:color="auto" w:fill="auto"/>
            <w:vAlign w:val="center"/>
          </w:tcPr>
          <w:p w14:paraId="1A24E392">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eastAsia="宋体" w:cs="Times New Roman"/>
                <w:snapToGrid w:val="0"/>
                <w:color w:val="auto"/>
                <w:kern w:val="21"/>
                <w:sz w:val="21"/>
                <w:szCs w:val="21"/>
                <w:u w:val="none"/>
                <w:lang w:val="en-US" w:eastAsia="zh-CN" w:bidi="ar-SA"/>
              </w:rPr>
            </w:pPr>
          </w:p>
        </w:tc>
        <w:tc>
          <w:tcPr>
            <w:tcW w:w="584" w:type="pct"/>
            <w:shd w:val="clear" w:color="auto" w:fill="auto"/>
            <w:vAlign w:val="center"/>
          </w:tcPr>
          <w:p w14:paraId="750FC18B">
            <w:pPr>
              <w:pStyle w:val="134"/>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u w:val="none"/>
              </w:rPr>
              <w:t>0.01</w:t>
            </w:r>
            <w:r>
              <w:rPr>
                <w:rFonts w:hint="eastAsia" w:cs="Times New Roman"/>
                <w:color w:val="auto"/>
                <w:spacing w:val="6"/>
                <w:sz w:val="21"/>
                <w:szCs w:val="21"/>
                <w:u w:val="none"/>
                <w:lang w:val="en-US" w:eastAsia="zh-CN"/>
              </w:rPr>
              <w:t>t/a</w:t>
            </w:r>
          </w:p>
        </w:tc>
        <w:tc>
          <w:tcPr>
            <w:tcW w:w="597" w:type="pct"/>
            <w:shd w:val="clear" w:color="auto" w:fill="auto"/>
            <w:vAlign w:val="center"/>
          </w:tcPr>
          <w:p w14:paraId="7895D88C">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eastAsia="宋体" w:cs="Times New Roman"/>
                <w:snapToGrid w:val="0"/>
                <w:color w:val="auto"/>
                <w:kern w:val="21"/>
                <w:sz w:val="21"/>
                <w:szCs w:val="21"/>
                <w:u w:val="none"/>
                <w:lang w:val="en-US" w:eastAsia="zh-CN" w:bidi="ar-SA"/>
              </w:rPr>
            </w:pPr>
          </w:p>
        </w:tc>
        <w:tc>
          <w:tcPr>
            <w:tcW w:w="487" w:type="pct"/>
            <w:shd w:val="clear" w:color="auto" w:fill="auto"/>
            <w:vAlign w:val="center"/>
          </w:tcPr>
          <w:p w14:paraId="22F42B14">
            <w:pPr>
              <w:pStyle w:val="134"/>
              <w:rPr>
                <w:rFonts w:hint="default" w:ascii="Times New Roman" w:hAnsi="Times New Roman" w:eastAsia="宋体" w:cs="Times New Roman"/>
                <w:i w:val="0"/>
                <w:iCs w:val="0"/>
                <w:color w:val="auto"/>
                <w:kern w:val="0"/>
                <w:sz w:val="21"/>
                <w:szCs w:val="21"/>
                <w:u w:val="none"/>
                <w:lang w:val="en-US" w:eastAsia="zh-CN" w:bidi="ar"/>
              </w:rPr>
            </w:pPr>
            <w:r>
              <w:rPr>
                <w:rFonts w:hint="default"/>
                <w:color w:val="auto"/>
                <w:sz w:val="21"/>
                <w:szCs w:val="21"/>
                <w:u w:val="none"/>
              </w:rPr>
              <w:t>0.01</w:t>
            </w:r>
            <w:r>
              <w:rPr>
                <w:rFonts w:hint="eastAsia" w:cs="Times New Roman"/>
                <w:color w:val="auto"/>
                <w:spacing w:val="6"/>
                <w:sz w:val="21"/>
                <w:szCs w:val="21"/>
                <w:u w:val="none"/>
                <w:lang w:val="en-US" w:eastAsia="zh-CN"/>
              </w:rPr>
              <w:t>t/a</w:t>
            </w:r>
          </w:p>
        </w:tc>
        <w:tc>
          <w:tcPr>
            <w:tcW w:w="490" w:type="pct"/>
            <w:shd w:val="clear" w:color="auto" w:fill="auto"/>
            <w:vAlign w:val="center"/>
          </w:tcPr>
          <w:p w14:paraId="1CC196DB">
            <w:pPr>
              <w:pStyle w:val="134"/>
              <w:rPr>
                <w:rFonts w:hint="eastAsia" w:ascii="Times New Roman" w:hAnsi="Times New Roman" w:eastAsia="宋体" w:cs="Times New Roman"/>
                <w:i w:val="0"/>
                <w:iCs w:val="0"/>
                <w:color w:val="auto"/>
                <w:kern w:val="0"/>
                <w:sz w:val="21"/>
                <w:szCs w:val="21"/>
                <w:u w:val="none"/>
                <w:lang w:val="en-US" w:eastAsia="zh-CN" w:bidi="ar"/>
              </w:rPr>
            </w:pPr>
            <w:r>
              <w:rPr>
                <w:rFonts w:hint="eastAsia"/>
                <w:color w:val="auto"/>
                <w:sz w:val="21"/>
                <w:szCs w:val="21"/>
                <w:u w:val="none"/>
                <w:lang w:val="en-US" w:eastAsia="zh-CN"/>
              </w:rPr>
              <w:t>+</w:t>
            </w:r>
            <w:r>
              <w:rPr>
                <w:rFonts w:hint="default"/>
                <w:color w:val="auto"/>
                <w:sz w:val="21"/>
                <w:szCs w:val="21"/>
                <w:u w:val="none"/>
              </w:rPr>
              <w:t>0.01</w:t>
            </w:r>
            <w:r>
              <w:rPr>
                <w:rFonts w:hint="eastAsia" w:cs="Times New Roman"/>
                <w:color w:val="auto"/>
                <w:spacing w:val="6"/>
                <w:sz w:val="21"/>
                <w:szCs w:val="21"/>
                <w:u w:val="none"/>
                <w:lang w:val="en-US" w:eastAsia="zh-CN"/>
              </w:rPr>
              <w:t>t/a</w:t>
            </w:r>
          </w:p>
        </w:tc>
      </w:tr>
      <w:tr w14:paraId="53165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Merge w:val="continue"/>
            <w:vAlign w:val="center"/>
          </w:tcPr>
          <w:p w14:paraId="6D1C64DC">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cs="Times New Roman"/>
                <w:snapToGrid w:val="0"/>
                <w:color w:val="auto"/>
                <w:kern w:val="21"/>
                <w:sz w:val="21"/>
                <w:szCs w:val="21"/>
                <w:u w:val="none"/>
                <w:lang w:val="en-US" w:eastAsia="zh-CN"/>
              </w:rPr>
            </w:pPr>
          </w:p>
        </w:tc>
        <w:tc>
          <w:tcPr>
            <w:tcW w:w="776" w:type="pct"/>
            <w:vAlign w:val="center"/>
          </w:tcPr>
          <w:p w14:paraId="3E1B3C49">
            <w:pPr>
              <w:pStyle w:val="110"/>
              <w:keepNext w:val="0"/>
              <w:keepLines w:val="0"/>
              <w:pageBreakBefore w:val="0"/>
              <w:widowControl/>
              <w:kinsoku/>
              <w:wordWrap/>
              <w:overflowPunct/>
              <w:topLinePunct w:val="0"/>
              <w:autoSpaceDE/>
              <w:autoSpaceDN/>
              <w:bidi w:val="0"/>
              <w:adjustRightInd/>
              <w:snapToGrid w:val="0"/>
              <w:spacing w:after="0" w:line="240" w:lineRule="auto"/>
              <w:ind w:left="0" w:leftChars="0" w:firstLine="0" w:firstLineChars="0"/>
              <w:jc w:val="center"/>
              <w:textAlignment w:val="auto"/>
              <w:rPr>
                <w:rFonts w:hint="default" w:ascii="Times New Roman" w:hAnsi="Times New Roman" w:cs="Times New Roman"/>
                <w:snapToGrid w:val="0"/>
                <w:color w:val="auto"/>
                <w:sz w:val="21"/>
                <w:szCs w:val="21"/>
                <w:u w:val="none"/>
                <w:lang w:val="en-US" w:eastAsia="zh-CN"/>
              </w:rPr>
            </w:pPr>
            <w:r>
              <w:rPr>
                <w:rFonts w:hint="eastAsia" w:cs="Times New Roman"/>
                <w:snapToGrid w:val="0"/>
                <w:color w:val="auto"/>
                <w:sz w:val="21"/>
                <w:szCs w:val="21"/>
                <w:u w:val="none"/>
                <w:lang w:val="en-US" w:eastAsia="zh-CN"/>
              </w:rPr>
              <w:t>废活性炭</w:t>
            </w:r>
          </w:p>
        </w:tc>
        <w:tc>
          <w:tcPr>
            <w:tcW w:w="637" w:type="pct"/>
            <w:vAlign w:val="center"/>
          </w:tcPr>
          <w:p w14:paraId="6D41FAE3">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411" w:type="pct"/>
            <w:vAlign w:val="center"/>
          </w:tcPr>
          <w:p w14:paraId="33DF78AF">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624" w:type="pct"/>
            <w:vAlign w:val="center"/>
          </w:tcPr>
          <w:p w14:paraId="2233331B">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584" w:type="pct"/>
            <w:vAlign w:val="center"/>
          </w:tcPr>
          <w:p w14:paraId="3B6D6CD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FF0000"/>
                <w:spacing w:val="6"/>
                <w:sz w:val="21"/>
                <w:szCs w:val="21"/>
                <w:u w:val="single"/>
                <w:lang w:val="en-US" w:eastAsia="zh-CN"/>
              </w:rPr>
              <w:t>14.53</w:t>
            </w:r>
          </w:p>
        </w:tc>
        <w:tc>
          <w:tcPr>
            <w:tcW w:w="597" w:type="pct"/>
            <w:vAlign w:val="center"/>
          </w:tcPr>
          <w:p w14:paraId="6110F0B3">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snapToGrid w:val="0"/>
                <w:color w:val="auto"/>
                <w:kern w:val="21"/>
                <w:sz w:val="21"/>
                <w:szCs w:val="21"/>
                <w:u w:val="none"/>
                <w:lang w:val="en-US" w:eastAsia="zh-CN"/>
              </w:rPr>
            </w:pPr>
          </w:p>
        </w:tc>
        <w:tc>
          <w:tcPr>
            <w:tcW w:w="487" w:type="pct"/>
            <w:vAlign w:val="center"/>
          </w:tcPr>
          <w:p w14:paraId="4AF8B9A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color w:val="FF0000"/>
                <w:spacing w:val="6"/>
                <w:sz w:val="21"/>
                <w:szCs w:val="21"/>
                <w:u w:val="single"/>
                <w:lang w:val="en-US" w:eastAsia="zh-CN"/>
              </w:rPr>
              <w:t>14.53</w:t>
            </w:r>
          </w:p>
        </w:tc>
        <w:tc>
          <w:tcPr>
            <w:tcW w:w="490" w:type="pct"/>
            <w:vAlign w:val="center"/>
          </w:tcPr>
          <w:p w14:paraId="38B87690">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r>
              <w:rPr>
                <w:rFonts w:hint="eastAsia" w:ascii="Times New Roman" w:hAnsi="Times New Roman" w:eastAsia="宋体" w:cs="Times New Roman"/>
                <w:color w:val="FF0000"/>
                <w:spacing w:val="6"/>
                <w:sz w:val="21"/>
                <w:szCs w:val="21"/>
                <w:u w:val="single"/>
                <w:lang w:val="en-US" w:eastAsia="zh-CN"/>
              </w:rPr>
              <w:t>+14.53</w:t>
            </w:r>
          </w:p>
        </w:tc>
      </w:tr>
      <w:tr w14:paraId="3A61B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 w:type="pct"/>
            <w:vAlign w:val="center"/>
          </w:tcPr>
          <w:p w14:paraId="62EB6C4D">
            <w:pPr>
              <w:pStyle w:val="61"/>
              <w:keepNext w:val="0"/>
              <w:keepLines w:val="0"/>
              <w:pageBreakBefore w:val="0"/>
              <w:kinsoku/>
              <w:wordWrap/>
              <w:overflowPunct/>
              <w:topLinePunct w:val="0"/>
              <w:bidi w:val="0"/>
              <w:adjustRightInd/>
              <w:snapToGrid/>
              <w:spacing w:before="0" w:beforeLines="0" w:after="0" w:afterLines="0" w:line="240" w:lineRule="auto"/>
              <w:ind w:left="0" w:firstLine="0" w:firstLineChars="0"/>
              <w:rPr>
                <w:rFonts w:hint="default" w:ascii="Times New Roman" w:hAnsi="Times New Roman" w:eastAsia="宋体" w:cs="Times New Roman"/>
                <w:snapToGrid w:val="0"/>
                <w:color w:val="auto"/>
                <w:kern w:val="21"/>
                <w:sz w:val="21"/>
                <w:szCs w:val="21"/>
                <w:u w:val="none"/>
                <w:lang w:val="en-US" w:eastAsia="zh-CN"/>
              </w:rPr>
            </w:pPr>
            <w:r>
              <w:rPr>
                <w:rFonts w:hint="default" w:ascii="Times New Roman" w:hAnsi="Times New Roman" w:cs="Times New Roman"/>
                <w:snapToGrid w:val="0"/>
                <w:color w:val="auto"/>
                <w:kern w:val="21"/>
                <w:sz w:val="21"/>
                <w:szCs w:val="21"/>
                <w:u w:val="none"/>
                <w:lang w:val="en-US" w:eastAsia="zh-CN"/>
              </w:rPr>
              <w:t>生活垃圾</w:t>
            </w:r>
          </w:p>
        </w:tc>
        <w:tc>
          <w:tcPr>
            <w:tcW w:w="776" w:type="pct"/>
            <w:vAlign w:val="center"/>
          </w:tcPr>
          <w:p w14:paraId="2B882EB9">
            <w:pPr>
              <w:pStyle w:val="105"/>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snapToGrid w:val="0"/>
                <w:color w:val="auto"/>
                <w:kern w:val="21"/>
                <w:sz w:val="21"/>
                <w:szCs w:val="21"/>
                <w:u w:val="none"/>
                <w:lang w:val="en-US" w:eastAsia="zh-CN"/>
              </w:rPr>
              <w:t>生活垃圾</w:t>
            </w:r>
          </w:p>
        </w:tc>
        <w:tc>
          <w:tcPr>
            <w:tcW w:w="637" w:type="pct"/>
            <w:vAlign w:val="center"/>
          </w:tcPr>
          <w:p w14:paraId="61D435FA">
            <w:pPr>
              <w:keepNext w:val="0"/>
              <w:keepLines w:val="0"/>
              <w:pageBreakBefore w:val="0"/>
              <w:kinsoku/>
              <w:wordWrap/>
              <w:overflowPunct/>
              <w:topLinePunct w:val="0"/>
              <w:bidi w:val="0"/>
              <w:adjustRightInd/>
              <w:spacing w:line="240" w:lineRule="auto"/>
              <w:ind w:left="0" w:leftChars="0" w:firstLine="0" w:firstLineChars="0"/>
              <w:jc w:val="center"/>
              <w:rPr>
                <w:rFonts w:hint="default" w:ascii="Times New Roman" w:hAnsi="Times New Roman" w:cs="Times New Roman"/>
                <w:color w:val="auto"/>
                <w:sz w:val="21"/>
                <w:szCs w:val="21"/>
                <w:u w:val="none"/>
                <w:lang w:eastAsia="zh-CN"/>
              </w:rPr>
            </w:pPr>
            <w:r>
              <w:rPr>
                <w:rFonts w:hint="default" w:ascii="Times New Roman" w:hAnsi="Times New Roman" w:cs="Times New Roman"/>
                <w:snapToGrid w:val="0"/>
                <w:color w:val="auto"/>
                <w:kern w:val="21"/>
                <w:sz w:val="21"/>
                <w:szCs w:val="21"/>
                <w:u w:val="none"/>
                <w:lang w:val="en-US" w:eastAsia="zh-CN"/>
              </w:rPr>
              <w:t>/</w:t>
            </w:r>
          </w:p>
        </w:tc>
        <w:tc>
          <w:tcPr>
            <w:tcW w:w="411" w:type="pct"/>
            <w:vAlign w:val="center"/>
          </w:tcPr>
          <w:p w14:paraId="36E9974F">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624" w:type="pct"/>
            <w:vAlign w:val="center"/>
          </w:tcPr>
          <w:p w14:paraId="41C4C8B2">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584" w:type="pct"/>
            <w:vAlign w:val="center"/>
          </w:tcPr>
          <w:p w14:paraId="4A49B47E">
            <w:pPr>
              <w:pStyle w:val="134"/>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u w:val="none"/>
                <w:lang w:val="en-US" w:eastAsia="zh-CN"/>
              </w:rPr>
              <w:t>7.5</w:t>
            </w:r>
            <w:r>
              <w:rPr>
                <w:rFonts w:hint="eastAsia" w:ascii="Times New Roman" w:hAnsi="Times New Roman" w:eastAsia="宋体" w:cs="Times New Roman"/>
                <w:color w:val="auto"/>
                <w:sz w:val="21"/>
                <w:szCs w:val="21"/>
                <w:u w:val="none"/>
                <w:lang w:val="en-US" w:eastAsia="zh-CN"/>
              </w:rPr>
              <w:t>t/a</w:t>
            </w:r>
          </w:p>
        </w:tc>
        <w:tc>
          <w:tcPr>
            <w:tcW w:w="597" w:type="pct"/>
            <w:vAlign w:val="center"/>
          </w:tcPr>
          <w:p w14:paraId="449A2C0E">
            <w:pPr>
              <w:keepNext w:val="0"/>
              <w:keepLines w:val="0"/>
              <w:pageBreakBefore w:val="0"/>
              <w:kinsoku/>
              <w:wordWrap/>
              <w:overflowPunct/>
              <w:topLinePunct w:val="0"/>
              <w:bidi w:val="0"/>
              <w:adjustRightInd/>
              <w:spacing w:line="240" w:lineRule="auto"/>
              <w:ind w:left="0" w:firstLine="0" w:firstLineChars="0"/>
              <w:jc w:val="center"/>
              <w:rPr>
                <w:rFonts w:hint="default" w:ascii="Times New Roman" w:hAnsi="Times New Roman" w:cs="Times New Roman"/>
                <w:snapToGrid w:val="0"/>
                <w:color w:val="auto"/>
                <w:kern w:val="21"/>
                <w:sz w:val="21"/>
                <w:szCs w:val="21"/>
                <w:u w:val="none"/>
              </w:rPr>
            </w:pPr>
            <w:r>
              <w:rPr>
                <w:rFonts w:hint="default" w:ascii="Times New Roman" w:hAnsi="Times New Roman" w:cs="Times New Roman"/>
                <w:snapToGrid w:val="0"/>
                <w:color w:val="auto"/>
                <w:kern w:val="21"/>
                <w:sz w:val="21"/>
                <w:szCs w:val="21"/>
                <w:u w:val="none"/>
                <w:lang w:val="en-US" w:eastAsia="zh-CN"/>
              </w:rPr>
              <w:t>/</w:t>
            </w:r>
          </w:p>
        </w:tc>
        <w:tc>
          <w:tcPr>
            <w:tcW w:w="487" w:type="pct"/>
            <w:vAlign w:val="center"/>
          </w:tcPr>
          <w:p w14:paraId="018E74FE">
            <w:pPr>
              <w:pStyle w:val="134"/>
              <w:rPr>
                <w:rFonts w:hint="default" w:ascii="Times New Roman" w:hAnsi="Times New Roman"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7.5</w:t>
            </w:r>
            <w:r>
              <w:rPr>
                <w:rFonts w:hint="eastAsia" w:ascii="Times New Roman" w:hAnsi="Times New Roman" w:eastAsia="宋体" w:cs="Times New Roman"/>
                <w:color w:val="auto"/>
                <w:sz w:val="21"/>
                <w:szCs w:val="21"/>
                <w:u w:val="none"/>
                <w:lang w:val="en-US" w:eastAsia="zh-CN"/>
              </w:rPr>
              <w:t>t/a</w:t>
            </w:r>
          </w:p>
        </w:tc>
        <w:tc>
          <w:tcPr>
            <w:tcW w:w="490" w:type="pct"/>
            <w:vAlign w:val="center"/>
          </w:tcPr>
          <w:p w14:paraId="09B1023D">
            <w:pPr>
              <w:pStyle w:val="134"/>
              <w:rPr>
                <w:rFonts w:hint="default" w:ascii="Times New Roman" w:hAnsi="Times New Roman"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w:t>
            </w:r>
            <w:r>
              <w:rPr>
                <w:rFonts w:hint="default" w:ascii="Times New Roman" w:hAnsi="Times New Roman" w:eastAsia="宋体" w:cs="Times New Roman"/>
                <w:color w:val="auto"/>
                <w:sz w:val="21"/>
                <w:szCs w:val="21"/>
                <w:u w:val="none"/>
                <w:lang w:val="en-US" w:eastAsia="zh-CN"/>
              </w:rPr>
              <w:t>7.5</w:t>
            </w:r>
            <w:r>
              <w:rPr>
                <w:rFonts w:hint="eastAsia" w:ascii="Times New Roman" w:hAnsi="Times New Roman" w:eastAsia="宋体" w:cs="Times New Roman"/>
                <w:color w:val="auto"/>
                <w:sz w:val="21"/>
                <w:szCs w:val="21"/>
                <w:u w:val="none"/>
                <w:lang w:val="en-US" w:eastAsia="zh-CN"/>
              </w:rPr>
              <w:t>t/a</w:t>
            </w:r>
          </w:p>
        </w:tc>
      </w:tr>
    </w:tbl>
    <w:p w14:paraId="13BDDB35">
      <w:pPr>
        <w:rPr>
          <w:rFonts w:hint="default" w:ascii="Times New Roman" w:hAnsi="Times New Roman" w:cs="Times New Roman"/>
          <w:snapToGrid w:val="0"/>
          <w:color w:val="auto"/>
          <w:spacing w:val="-6"/>
          <w:kern w:val="21"/>
          <w:szCs w:val="21"/>
        </w:rPr>
        <w:sectPr>
          <w:pgSz w:w="16838" w:h="11905" w:orient="landscape"/>
          <w:pgMar w:top="1803" w:right="1440" w:bottom="1803" w:left="1440" w:header="851" w:footer="850"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14:paraId="0AB343ED">
      <w:pPr>
        <w:pStyle w:val="2"/>
        <w:bidi w:val="0"/>
        <w:jc w:val="both"/>
        <w:rPr>
          <w:rFonts w:hint="eastAsia" w:asciiTheme="majorEastAsia" w:hAnsiTheme="majorEastAsia" w:eastAsiaTheme="majorEastAsia" w:cstheme="majorEastAsia"/>
          <w:b/>
          <w:bCs/>
          <w:color w:val="auto"/>
          <w:lang w:val="en-US" w:eastAsia="zh-CN"/>
        </w:rPr>
      </w:pPr>
      <w:bookmarkStart w:id="32" w:name="_Toc18400"/>
      <w:bookmarkStart w:id="33" w:name="_Toc12021"/>
      <w:r>
        <w:rPr>
          <w:rFonts w:hint="eastAsia" w:asciiTheme="majorEastAsia" w:hAnsiTheme="majorEastAsia" w:eastAsiaTheme="majorEastAsia" w:cstheme="majorEastAsia"/>
          <w:b/>
          <w:bCs/>
          <w:color w:val="auto"/>
          <w:lang w:val="en-US" w:eastAsia="zh-CN"/>
        </w:rPr>
        <w:t>附件</w:t>
      </w:r>
      <w:bookmarkEnd w:id="32"/>
    </w:p>
    <w:p w14:paraId="1192B0DD">
      <w:pPr>
        <w:pStyle w:val="3"/>
        <w:keepNext/>
        <w:keepLines/>
        <w:pageBreakBefore w:val="0"/>
        <w:widowControl w:val="0"/>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ajorEastAsia"/>
          <w:color w:val="auto"/>
          <w:sz w:val="28"/>
          <w:szCs w:val="28"/>
        </w:rPr>
      </w:pPr>
      <w:bookmarkStart w:id="34" w:name="_Toc18883"/>
      <w:bookmarkStart w:id="35" w:name="_Toc174978751"/>
      <w:bookmarkStart w:id="36" w:name="_Toc30206"/>
      <w:r>
        <w:rPr>
          <w:rFonts w:hint="default" w:ascii="Times New Roman" w:hAnsi="Times New Roman" w:cs="Times New Roman" w:eastAsiaTheme="majorEastAsia"/>
          <w:color w:val="auto"/>
          <w:sz w:val="28"/>
          <w:szCs w:val="28"/>
        </w:rPr>
        <w:t>附件1：环评委托书</w:t>
      </w:r>
      <w:bookmarkEnd w:id="34"/>
      <w:bookmarkEnd w:id="35"/>
      <w:bookmarkEnd w:id="36"/>
    </w:p>
    <w:bookmarkEnd w:id="33"/>
    <w:p w14:paraId="51C495CC">
      <w:pPr>
        <w:spacing w:line="240" w:lineRule="auto"/>
        <w:rPr>
          <w:rFonts w:hint="default"/>
          <w:color w:val="auto"/>
          <w:lang w:val="zh-CN"/>
        </w:rPr>
      </w:pPr>
    </w:p>
    <w:sectPr>
      <w:pgSz w:w="11905"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2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IDFont">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BB2D5">
    <w:pPr>
      <w:pStyle w:val="2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06430">
    <w:pPr>
      <w:pStyle w:val="23"/>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-134620</wp:posOffset>
              </wp:positionV>
              <wp:extent cx="249555" cy="266065"/>
              <wp:effectExtent l="0" t="0" r="0" b="0"/>
              <wp:wrapNone/>
              <wp:docPr id="4097" name="文本框 2049"/>
              <wp:cNvGraphicFramePr/>
              <a:graphic xmlns:a="http://schemas.openxmlformats.org/drawingml/2006/main">
                <a:graphicData uri="http://schemas.microsoft.com/office/word/2010/wordprocessingShape">
                  <wps:wsp>
                    <wps:cNvSpPr/>
                    <wps:spPr>
                      <a:xfrm>
                        <a:off x="0" y="0"/>
                        <a:ext cx="249555" cy="266065"/>
                      </a:xfrm>
                      <a:prstGeom prst="rect">
                        <a:avLst/>
                      </a:prstGeom>
                      <a:ln>
                        <a:noFill/>
                      </a:ln>
                    </wps:spPr>
                    <wps:txbx>
                      <w:txbxContent>
                        <w:p w14:paraId="40A19F3F">
                          <w:pPr>
                            <w:pStyle w:val="23"/>
                          </w:pPr>
                          <w:r>
                            <w:fldChar w:fldCharType="begin"/>
                          </w:r>
                          <w:r>
                            <w:instrText xml:space="preserve"> PAGE  \* MERGEFORMAT </w:instrText>
                          </w:r>
                          <w:r>
                            <w:fldChar w:fldCharType="separate"/>
                          </w:r>
                          <w:r>
                            <w:t>48</w:t>
                          </w:r>
                          <w:r>
                            <w:fldChar w:fldCharType="end"/>
                          </w:r>
                        </w:p>
                      </w:txbxContent>
                    </wps:txbx>
                    <wps:bodyPr vert="horz" wrap="square" lIns="0" tIns="0" rIns="0" bIns="0" anchor="t" upright="0"/>
                  </wps:wsp>
                </a:graphicData>
              </a:graphic>
            </wp:anchor>
          </w:drawing>
        </mc:Choice>
        <mc:Fallback>
          <w:pict>
            <v:rect id="文本框 2049" o:spid="_x0000_s1026" o:spt="1" style="position:absolute;left:0pt;margin-top:-10.6pt;height:20.95pt;width:19.65pt;mso-position-horizontal:center;mso-position-horizontal-relative:margin;z-index:251659264;mso-width-relative:page;mso-height-relative:page;" filled="f" stroked="f" coordsize="21600,21600" o:gfxdata="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2vptD1wAAAAYBAAAPAAAAAAAAAAEAIAAAACIAAABk&#10;cnMvZG93bnJldi54bWxQSwECFAAUAAAACACHTuJA4xzFY84BAACHAwAADgAAAAAAAAABACAAAAAm&#10;AQAAZHJzL2Uyb0RvYy54bWxQSwUGAAAAAAYABgBZAQAAZgUAAAAA&#10;">
              <v:fill on="f" focussize="0,0"/>
              <v:stroke on="f"/>
              <v:imagedata o:title=""/>
              <o:lock v:ext="edit" aspectratio="f"/>
              <v:textbox inset="0mm,0mm,0mm,0mm">
                <w:txbxContent>
                  <w:p w14:paraId="40A19F3F">
                    <w:pPr>
                      <w:pStyle w:val="23"/>
                    </w:pPr>
                    <w:r>
                      <w:fldChar w:fldCharType="begin"/>
                    </w:r>
                    <w:r>
                      <w:instrText xml:space="preserve"> PAGE  \* MERGEFORMAT </w:instrText>
                    </w:r>
                    <w:r>
                      <w:fldChar w:fldCharType="separate"/>
                    </w:r>
                    <w:r>
                      <w:t>48</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EB9EA">
    <w:pPr>
      <w:pStyle w:val="23"/>
      <w:keepNext w:val="0"/>
      <w:keepLines w:val="0"/>
      <w:pageBreakBefore w:val="0"/>
      <w:widowControl w:val="0"/>
      <w:kinsoku/>
      <w:wordWrap/>
      <w:overflowPunct/>
      <w:topLinePunct w:val="0"/>
      <w:bidi w:val="0"/>
      <w:adjustRightInd/>
      <w:snapToGrid w:val="0"/>
      <w:spacing w:line="240" w:lineRule="auto"/>
      <w:ind w:right="0"/>
      <w:jc w:val="both"/>
      <w:textAlignment w:val="auto"/>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-134620</wp:posOffset>
              </wp:positionV>
              <wp:extent cx="1828800" cy="1828800"/>
              <wp:effectExtent l="0" t="0" r="0" b="0"/>
              <wp:wrapNone/>
              <wp:docPr id="4098" name="文本框 205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16A7C85">
                          <w:pPr>
                            <w:pStyle w:val="23"/>
                          </w:pPr>
                          <w:r>
                            <w:fldChar w:fldCharType="begin"/>
                          </w:r>
                          <w:r>
                            <w:instrText xml:space="preserve"> PAGE  \* MERGEFORMAT </w:instrText>
                          </w:r>
                          <w:r>
                            <w:fldChar w:fldCharType="separate"/>
                          </w:r>
                          <w:r>
                            <w:t>70</w:t>
                          </w:r>
                          <w:r>
                            <w:fldChar w:fldCharType="end"/>
                          </w:r>
                        </w:p>
                      </w:txbxContent>
                    </wps:txbx>
                    <wps:bodyPr vert="horz" wrap="none" lIns="0" tIns="0" rIns="0" bIns="0" anchor="t" upright="0">
                      <a:spAutoFit/>
                    </wps:bodyPr>
                  </wps:wsp>
                </a:graphicData>
              </a:graphic>
            </wp:anchor>
          </w:drawing>
        </mc:Choice>
        <mc:Fallback>
          <w:pict>
            <v:rect id="文本框 2052" o:spid="_x0000_s1026" o:spt="1" style="position:absolute;left:0pt;margin-top:-10.6pt;height:144pt;width:144pt;mso-position-horizontal:center;mso-position-horizontal-relative:margin;mso-wrap-style:none;z-index:251659264;mso-width-relative:page;mso-height-relative:page;" filled="f" stroked="f" coordsize="21600,21600" o:gfxdata="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Lytb9UAAAAIAQAADwAAAAAAAAABACAAAAAi&#10;AAAAZHJzL2Rvd25yZXYueG1sUEsBAhQAFAAAAAgAh07iQAFeuo7UAQAAoQMAAA4AAAAAAAAAAQAg&#10;AAAAJAEAAGRycy9lMm9Eb2MueG1sUEsFBgAAAAAGAAYAWQEAAGoFAAAAAA==&#10;">
              <v:fill on="f" focussize="0,0"/>
              <v:stroke on="f"/>
              <v:imagedata o:title=""/>
              <o:lock v:ext="edit" aspectratio="f"/>
              <v:textbox inset="0mm,0mm,0mm,0mm" style="mso-fit-shape-to-text:t;">
                <w:txbxContent>
                  <w:p w14:paraId="316A7C85">
                    <w:pPr>
                      <w:pStyle w:val="23"/>
                    </w:pPr>
                    <w:r>
                      <w:fldChar w:fldCharType="begin"/>
                    </w:r>
                    <w:r>
                      <w:instrText xml:space="preserve"> PAGE  \* MERGEFORMAT </w:instrText>
                    </w:r>
                    <w:r>
                      <w:fldChar w:fldCharType="separate"/>
                    </w:r>
                    <w:r>
                      <w:t>70</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3"/>
      <w:numFmt w:val="decimal"/>
      <w:suff w:val="nothing"/>
      <w:lvlText w:val="（%1）"/>
      <w:lvlJc w:val="left"/>
    </w:lvl>
  </w:abstractNum>
  <w:abstractNum w:abstractNumId="1">
    <w:nsid w:val="00000001"/>
    <w:multiLevelType w:val="multilevel"/>
    <w:tmpl w:val="00000001"/>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65"/>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wOWY0MmU3NDM0MzY4MWE2NmQyMWRiOGRjZjUyMTkifQ=="/>
  </w:docVars>
  <w:rsids>
    <w:rsidRoot w:val="00000000"/>
    <w:rsid w:val="003B2047"/>
    <w:rsid w:val="003C0FB6"/>
    <w:rsid w:val="003E0B1C"/>
    <w:rsid w:val="0076431C"/>
    <w:rsid w:val="007F0A1D"/>
    <w:rsid w:val="00912C4E"/>
    <w:rsid w:val="009444C8"/>
    <w:rsid w:val="00E030E9"/>
    <w:rsid w:val="00E46AD2"/>
    <w:rsid w:val="00F05477"/>
    <w:rsid w:val="01174463"/>
    <w:rsid w:val="01527EDF"/>
    <w:rsid w:val="0192652E"/>
    <w:rsid w:val="01964B45"/>
    <w:rsid w:val="019E4ED3"/>
    <w:rsid w:val="01E07299"/>
    <w:rsid w:val="01E90844"/>
    <w:rsid w:val="01FB40D3"/>
    <w:rsid w:val="023228D6"/>
    <w:rsid w:val="025905B8"/>
    <w:rsid w:val="02781BC8"/>
    <w:rsid w:val="02816CCE"/>
    <w:rsid w:val="02963DFC"/>
    <w:rsid w:val="029F7154"/>
    <w:rsid w:val="02A50343"/>
    <w:rsid w:val="02C40969"/>
    <w:rsid w:val="02DC3F04"/>
    <w:rsid w:val="02E66B31"/>
    <w:rsid w:val="0301396B"/>
    <w:rsid w:val="030516AD"/>
    <w:rsid w:val="03261624"/>
    <w:rsid w:val="033E4BBF"/>
    <w:rsid w:val="03404493"/>
    <w:rsid w:val="0346596A"/>
    <w:rsid w:val="03B60BF9"/>
    <w:rsid w:val="03C03A8E"/>
    <w:rsid w:val="03FF434E"/>
    <w:rsid w:val="04402271"/>
    <w:rsid w:val="044C0C16"/>
    <w:rsid w:val="04565449"/>
    <w:rsid w:val="04754611"/>
    <w:rsid w:val="04E83035"/>
    <w:rsid w:val="04F10C0A"/>
    <w:rsid w:val="051554AC"/>
    <w:rsid w:val="051756C8"/>
    <w:rsid w:val="053C512E"/>
    <w:rsid w:val="05502988"/>
    <w:rsid w:val="05663F59"/>
    <w:rsid w:val="05740424"/>
    <w:rsid w:val="05A056BD"/>
    <w:rsid w:val="05B178CA"/>
    <w:rsid w:val="05EC0902"/>
    <w:rsid w:val="05F1557F"/>
    <w:rsid w:val="060043AE"/>
    <w:rsid w:val="0600615C"/>
    <w:rsid w:val="060F639F"/>
    <w:rsid w:val="06253E14"/>
    <w:rsid w:val="064F49ED"/>
    <w:rsid w:val="06755314"/>
    <w:rsid w:val="068702F8"/>
    <w:rsid w:val="069D39AB"/>
    <w:rsid w:val="06B655C6"/>
    <w:rsid w:val="06D4212C"/>
    <w:rsid w:val="06D66EBD"/>
    <w:rsid w:val="06E8453A"/>
    <w:rsid w:val="07287718"/>
    <w:rsid w:val="077256C2"/>
    <w:rsid w:val="07943000"/>
    <w:rsid w:val="07CF228A"/>
    <w:rsid w:val="07D4164E"/>
    <w:rsid w:val="082425D6"/>
    <w:rsid w:val="08245D26"/>
    <w:rsid w:val="082624C7"/>
    <w:rsid w:val="08283748"/>
    <w:rsid w:val="084E7652"/>
    <w:rsid w:val="085207C5"/>
    <w:rsid w:val="085D4882"/>
    <w:rsid w:val="086E3B72"/>
    <w:rsid w:val="08AC61C8"/>
    <w:rsid w:val="08E73603"/>
    <w:rsid w:val="09104908"/>
    <w:rsid w:val="09554A11"/>
    <w:rsid w:val="09855EF7"/>
    <w:rsid w:val="09A6526C"/>
    <w:rsid w:val="09C90142"/>
    <w:rsid w:val="09E84DC7"/>
    <w:rsid w:val="09F60BAB"/>
    <w:rsid w:val="0A0427C2"/>
    <w:rsid w:val="0A207AE8"/>
    <w:rsid w:val="0A3B59B5"/>
    <w:rsid w:val="0A854E82"/>
    <w:rsid w:val="0ABC321E"/>
    <w:rsid w:val="0ADA51CD"/>
    <w:rsid w:val="0AF10769"/>
    <w:rsid w:val="0B493FE2"/>
    <w:rsid w:val="0B8D6901"/>
    <w:rsid w:val="0B955093"/>
    <w:rsid w:val="0BAB4DBC"/>
    <w:rsid w:val="0BB05F2E"/>
    <w:rsid w:val="0BD55995"/>
    <w:rsid w:val="0BE2331A"/>
    <w:rsid w:val="0BE702FC"/>
    <w:rsid w:val="0C0D4C1D"/>
    <w:rsid w:val="0C1069CD"/>
    <w:rsid w:val="0C1741FF"/>
    <w:rsid w:val="0C2801BA"/>
    <w:rsid w:val="0C656D19"/>
    <w:rsid w:val="0C6F1ECE"/>
    <w:rsid w:val="0C8E2094"/>
    <w:rsid w:val="0C9B273A"/>
    <w:rsid w:val="0CC47EE3"/>
    <w:rsid w:val="0D0B3D64"/>
    <w:rsid w:val="0D174D83"/>
    <w:rsid w:val="0D241E6A"/>
    <w:rsid w:val="0D500CF1"/>
    <w:rsid w:val="0D725B91"/>
    <w:rsid w:val="0DA159B5"/>
    <w:rsid w:val="0DD61B3B"/>
    <w:rsid w:val="0DFE4B58"/>
    <w:rsid w:val="0E08232E"/>
    <w:rsid w:val="0E1924B1"/>
    <w:rsid w:val="0E1F1F55"/>
    <w:rsid w:val="0E4630CE"/>
    <w:rsid w:val="0E5C239D"/>
    <w:rsid w:val="0E794CFD"/>
    <w:rsid w:val="0E9953A0"/>
    <w:rsid w:val="0F1B4006"/>
    <w:rsid w:val="0F5F460A"/>
    <w:rsid w:val="1001593A"/>
    <w:rsid w:val="101F3682"/>
    <w:rsid w:val="10262C63"/>
    <w:rsid w:val="103C5630"/>
    <w:rsid w:val="1081433D"/>
    <w:rsid w:val="108654B0"/>
    <w:rsid w:val="10987EED"/>
    <w:rsid w:val="109E4479"/>
    <w:rsid w:val="10A342B4"/>
    <w:rsid w:val="10B4201D"/>
    <w:rsid w:val="10BE10ED"/>
    <w:rsid w:val="10C67501"/>
    <w:rsid w:val="10DD77C5"/>
    <w:rsid w:val="116F2E0B"/>
    <w:rsid w:val="117D54BF"/>
    <w:rsid w:val="11894686"/>
    <w:rsid w:val="11F36B75"/>
    <w:rsid w:val="1230601B"/>
    <w:rsid w:val="12320AF7"/>
    <w:rsid w:val="124E024F"/>
    <w:rsid w:val="12543AB7"/>
    <w:rsid w:val="12661A3D"/>
    <w:rsid w:val="127952CC"/>
    <w:rsid w:val="129E4D32"/>
    <w:rsid w:val="12C47AD5"/>
    <w:rsid w:val="12D40754"/>
    <w:rsid w:val="12E34947"/>
    <w:rsid w:val="12E806A4"/>
    <w:rsid w:val="12F77E1B"/>
    <w:rsid w:val="13286CF2"/>
    <w:rsid w:val="1345125C"/>
    <w:rsid w:val="134F35CA"/>
    <w:rsid w:val="137141F5"/>
    <w:rsid w:val="138D2581"/>
    <w:rsid w:val="13E946D3"/>
    <w:rsid w:val="13FC17C7"/>
    <w:rsid w:val="141F6347"/>
    <w:rsid w:val="14292D22"/>
    <w:rsid w:val="1432607A"/>
    <w:rsid w:val="14373691"/>
    <w:rsid w:val="14445DAD"/>
    <w:rsid w:val="146B50E8"/>
    <w:rsid w:val="1490556D"/>
    <w:rsid w:val="149A777C"/>
    <w:rsid w:val="14BB439D"/>
    <w:rsid w:val="14DB226E"/>
    <w:rsid w:val="14F11A91"/>
    <w:rsid w:val="151412DC"/>
    <w:rsid w:val="156758B0"/>
    <w:rsid w:val="15842905"/>
    <w:rsid w:val="158B322B"/>
    <w:rsid w:val="15C54CCC"/>
    <w:rsid w:val="15C61C55"/>
    <w:rsid w:val="15CA4090"/>
    <w:rsid w:val="16556050"/>
    <w:rsid w:val="167069E6"/>
    <w:rsid w:val="16A6065A"/>
    <w:rsid w:val="16C80323"/>
    <w:rsid w:val="16FC64CC"/>
    <w:rsid w:val="172123D6"/>
    <w:rsid w:val="17336F18"/>
    <w:rsid w:val="17400E74"/>
    <w:rsid w:val="1763654B"/>
    <w:rsid w:val="176A5B2B"/>
    <w:rsid w:val="17742506"/>
    <w:rsid w:val="17857F55"/>
    <w:rsid w:val="179B3F36"/>
    <w:rsid w:val="17B434B7"/>
    <w:rsid w:val="17BD3EAD"/>
    <w:rsid w:val="17C92852"/>
    <w:rsid w:val="17CC40F0"/>
    <w:rsid w:val="17DC33B7"/>
    <w:rsid w:val="17E94CA2"/>
    <w:rsid w:val="17EE4F0B"/>
    <w:rsid w:val="17F02536"/>
    <w:rsid w:val="181141F9"/>
    <w:rsid w:val="189310B2"/>
    <w:rsid w:val="18C94AD3"/>
    <w:rsid w:val="18DA283C"/>
    <w:rsid w:val="18F356AC"/>
    <w:rsid w:val="19063631"/>
    <w:rsid w:val="19410EA4"/>
    <w:rsid w:val="19670574"/>
    <w:rsid w:val="1988673C"/>
    <w:rsid w:val="19987CB0"/>
    <w:rsid w:val="19CE4747"/>
    <w:rsid w:val="19DC491F"/>
    <w:rsid w:val="19E17FAF"/>
    <w:rsid w:val="1A4966F3"/>
    <w:rsid w:val="1A646862"/>
    <w:rsid w:val="1A8E38DF"/>
    <w:rsid w:val="1ADB1F2D"/>
    <w:rsid w:val="1B0B15F4"/>
    <w:rsid w:val="1B1E4E3E"/>
    <w:rsid w:val="1B5C1C2F"/>
    <w:rsid w:val="1B79633D"/>
    <w:rsid w:val="1B9118D8"/>
    <w:rsid w:val="1BFB0A00"/>
    <w:rsid w:val="1C13053F"/>
    <w:rsid w:val="1C176E8E"/>
    <w:rsid w:val="1C1825D2"/>
    <w:rsid w:val="1C455095"/>
    <w:rsid w:val="1C5B059B"/>
    <w:rsid w:val="1C890385"/>
    <w:rsid w:val="1C9635A4"/>
    <w:rsid w:val="1C9A095A"/>
    <w:rsid w:val="1C9A4352"/>
    <w:rsid w:val="1CAC629E"/>
    <w:rsid w:val="1CEB14BC"/>
    <w:rsid w:val="1D24677C"/>
    <w:rsid w:val="1DA20945"/>
    <w:rsid w:val="1DDC7057"/>
    <w:rsid w:val="1E4D43D9"/>
    <w:rsid w:val="1E7E1EBC"/>
    <w:rsid w:val="1EAF02C7"/>
    <w:rsid w:val="1EB3600A"/>
    <w:rsid w:val="1EC726BE"/>
    <w:rsid w:val="1EE066D3"/>
    <w:rsid w:val="1EF65EF6"/>
    <w:rsid w:val="1EFA3C38"/>
    <w:rsid w:val="1F1E2D61"/>
    <w:rsid w:val="1F2962CC"/>
    <w:rsid w:val="1F2E5690"/>
    <w:rsid w:val="1F703EFB"/>
    <w:rsid w:val="1FC14756"/>
    <w:rsid w:val="1FD05531"/>
    <w:rsid w:val="1FD61FB0"/>
    <w:rsid w:val="1FEF6BCD"/>
    <w:rsid w:val="1FF64400"/>
    <w:rsid w:val="209F7BF6"/>
    <w:rsid w:val="20AC2D10"/>
    <w:rsid w:val="20CE3EA7"/>
    <w:rsid w:val="20E029BA"/>
    <w:rsid w:val="20EE3329"/>
    <w:rsid w:val="211469CB"/>
    <w:rsid w:val="214116AB"/>
    <w:rsid w:val="214178FD"/>
    <w:rsid w:val="217B0D8B"/>
    <w:rsid w:val="219A4EC2"/>
    <w:rsid w:val="21C35F1E"/>
    <w:rsid w:val="21CE6067"/>
    <w:rsid w:val="21D06ED2"/>
    <w:rsid w:val="21ED1832"/>
    <w:rsid w:val="21ED35E0"/>
    <w:rsid w:val="21F32BAE"/>
    <w:rsid w:val="228D6B72"/>
    <w:rsid w:val="22A87507"/>
    <w:rsid w:val="22E04EF3"/>
    <w:rsid w:val="231E4666"/>
    <w:rsid w:val="23362D65"/>
    <w:rsid w:val="236E0751"/>
    <w:rsid w:val="237613B4"/>
    <w:rsid w:val="238D507B"/>
    <w:rsid w:val="23902475"/>
    <w:rsid w:val="23C374B7"/>
    <w:rsid w:val="23F46EA8"/>
    <w:rsid w:val="243840DE"/>
    <w:rsid w:val="24683ABA"/>
    <w:rsid w:val="24F44C86"/>
    <w:rsid w:val="25077E4A"/>
    <w:rsid w:val="252E1F46"/>
    <w:rsid w:val="257F6C45"/>
    <w:rsid w:val="25B83F05"/>
    <w:rsid w:val="263E265D"/>
    <w:rsid w:val="264D055F"/>
    <w:rsid w:val="265754CC"/>
    <w:rsid w:val="2666570F"/>
    <w:rsid w:val="267E0CAB"/>
    <w:rsid w:val="26BE554B"/>
    <w:rsid w:val="26C8461C"/>
    <w:rsid w:val="27127645"/>
    <w:rsid w:val="27277595"/>
    <w:rsid w:val="27283097"/>
    <w:rsid w:val="27320A96"/>
    <w:rsid w:val="27547C5E"/>
    <w:rsid w:val="27932534"/>
    <w:rsid w:val="279B6484"/>
    <w:rsid w:val="27A42993"/>
    <w:rsid w:val="27E56B08"/>
    <w:rsid w:val="27EE6CD3"/>
    <w:rsid w:val="27FA0805"/>
    <w:rsid w:val="283A50A6"/>
    <w:rsid w:val="28700AC7"/>
    <w:rsid w:val="28730446"/>
    <w:rsid w:val="28732366"/>
    <w:rsid w:val="292C529C"/>
    <w:rsid w:val="29503D65"/>
    <w:rsid w:val="298F4F7D"/>
    <w:rsid w:val="29961D73"/>
    <w:rsid w:val="299F1664"/>
    <w:rsid w:val="29BB3FC4"/>
    <w:rsid w:val="29C664E0"/>
    <w:rsid w:val="2A067935"/>
    <w:rsid w:val="2A197236"/>
    <w:rsid w:val="2A3C3357"/>
    <w:rsid w:val="2A3C6EB3"/>
    <w:rsid w:val="2A4A36B6"/>
    <w:rsid w:val="2A613F72"/>
    <w:rsid w:val="2A77438F"/>
    <w:rsid w:val="2A7C7BF7"/>
    <w:rsid w:val="2A994305"/>
    <w:rsid w:val="2AAA4765"/>
    <w:rsid w:val="2AB033FD"/>
    <w:rsid w:val="2AB729DE"/>
    <w:rsid w:val="2AD4533E"/>
    <w:rsid w:val="2AE80DE9"/>
    <w:rsid w:val="2AF351A7"/>
    <w:rsid w:val="2AFC6642"/>
    <w:rsid w:val="2B093A4F"/>
    <w:rsid w:val="2B577D1D"/>
    <w:rsid w:val="2B626DED"/>
    <w:rsid w:val="2B7F799F"/>
    <w:rsid w:val="2BAA609E"/>
    <w:rsid w:val="2BC453B2"/>
    <w:rsid w:val="2C471F68"/>
    <w:rsid w:val="2C770D67"/>
    <w:rsid w:val="2C823E41"/>
    <w:rsid w:val="2CE63FAE"/>
    <w:rsid w:val="2D5409B8"/>
    <w:rsid w:val="2D6D1A79"/>
    <w:rsid w:val="2D872B3B"/>
    <w:rsid w:val="2DE312CD"/>
    <w:rsid w:val="2DEC6E42"/>
    <w:rsid w:val="2E053A60"/>
    <w:rsid w:val="2E422F06"/>
    <w:rsid w:val="2E7C3AC3"/>
    <w:rsid w:val="2EC61441"/>
    <w:rsid w:val="2EDF69A7"/>
    <w:rsid w:val="2F0106CB"/>
    <w:rsid w:val="2F0957D2"/>
    <w:rsid w:val="2F0E5A28"/>
    <w:rsid w:val="2F2B399A"/>
    <w:rsid w:val="2F2B5748"/>
    <w:rsid w:val="2F4B1946"/>
    <w:rsid w:val="2F503401"/>
    <w:rsid w:val="2F57653D"/>
    <w:rsid w:val="2F594288"/>
    <w:rsid w:val="2F9E5F1A"/>
    <w:rsid w:val="2FB219C5"/>
    <w:rsid w:val="2FCE2CA3"/>
    <w:rsid w:val="2FD5365E"/>
    <w:rsid w:val="3011493E"/>
    <w:rsid w:val="302E6FB3"/>
    <w:rsid w:val="30901D07"/>
    <w:rsid w:val="309A2B85"/>
    <w:rsid w:val="30AC28B9"/>
    <w:rsid w:val="30B575EE"/>
    <w:rsid w:val="30F85AFE"/>
    <w:rsid w:val="313703D4"/>
    <w:rsid w:val="313C778B"/>
    <w:rsid w:val="3150593A"/>
    <w:rsid w:val="317038E6"/>
    <w:rsid w:val="31C12394"/>
    <w:rsid w:val="31FB7654"/>
    <w:rsid w:val="32452FC5"/>
    <w:rsid w:val="3253123E"/>
    <w:rsid w:val="32AC094E"/>
    <w:rsid w:val="32B31CDC"/>
    <w:rsid w:val="32BD2B5B"/>
    <w:rsid w:val="32DF2AD1"/>
    <w:rsid w:val="32E53E60"/>
    <w:rsid w:val="32EB316F"/>
    <w:rsid w:val="32F56799"/>
    <w:rsid w:val="32FC60A5"/>
    <w:rsid w:val="33004250"/>
    <w:rsid w:val="3344502A"/>
    <w:rsid w:val="33865643"/>
    <w:rsid w:val="34036C94"/>
    <w:rsid w:val="341744ED"/>
    <w:rsid w:val="349667E8"/>
    <w:rsid w:val="349873DC"/>
    <w:rsid w:val="34B95A57"/>
    <w:rsid w:val="34F859FF"/>
    <w:rsid w:val="35026356"/>
    <w:rsid w:val="35470DB7"/>
    <w:rsid w:val="35926EE2"/>
    <w:rsid w:val="35DC779C"/>
    <w:rsid w:val="360C753B"/>
    <w:rsid w:val="362A5E2D"/>
    <w:rsid w:val="36317AE8"/>
    <w:rsid w:val="364D41F6"/>
    <w:rsid w:val="368C4D1E"/>
    <w:rsid w:val="36DD37CC"/>
    <w:rsid w:val="36FF1994"/>
    <w:rsid w:val="37225683"/>
    <w:rsid w:val="375649E7"/>
    <w:rsid w:val="375A4E1C"/>
    <w:rsid w:val="37677539"/>
    <w:rsid w:val="377D52A6"/>
    <w:rsid w:val="37857677"/>
    <w:rsid w:val="37C60704"/>
    <w:rsid w:val="382901CF"/>
    <w:rsid w:val="382C5908"/>
    <w:rsid w:val="38980AD3"/>
    <w:rsid w:val="38B467AE"/>
    <w:rsid w:val="38D429AD"/>
    <w:rsid w:val="3902576C"/>
    <w:rsid w:val="39184F8F"/>
    <w:rsid w:val="391E6AEA"/>
    <w:rsid w:val="393A7113"/>
    <w:rsid w:val="399F07E5"/>
    <w:rsid w:val="39A2565D"/>
    <w:rsid w:val="39B34CB8"/>
    <w:rsid w:val="39CD3FCC"/>
    <w:rsid w:val="39E66E3B"/>
    <w:rsid w:val="39FF3A59"/>
    <w:rsid w:val="3A0B68A2"/>
    <w:rsid w:val="3A267238"/>
    <w:rsid w:val="3A683CF4"/>
    <w:rsid w:val="3AA54601"/>
    <w:rsid w:val="3AAB598F"/>
    <w:rsid w:val="3AC5176B"/>
    <w:rsid w:val="3AC802EF"/>
    <w:rsid w:val="3AF92745"/>
    <w:rsid w:val="3B225C51"/>
    <w:rsid w:val="3B2E0A9A"/>
    <w:rsid w:val="3B312338"/>
    <w:rsid w:val="3B392F9B"/>
    <w:rsid w:val="3B4262F3"/>
    <w:rsid w:val="3B633EE6"/>
    <w:rsid w:val="3B675D5A"/>
    <w:rsid w:val="3B8A37F6"/>
    <w:rsid w:val="3B974891"/>
    <w:rsid w:val="3BC60CD2"/>
    <w:rsid w:val="3BDC04F6"/>
    <w:rsid w:val="3C0B0DDB"/>
    <w:rsid w:val="3C245ED1"/>
    <w:rsid w:val="3C271FF1"/>
    <w:rsid w:val="3C300842"/>
    <w:rsid w:val="3C4A2F0A"/>
    <w:rsid w:val="3C4D6CFE"/>
    <w:rsid w:val="3C591B47"/>
    <w:rsid w:val="3C5C33E5"/>
    <w:rsid w:val="3CA65DAF"/>
    <w:rsid w:val="3CBA010B"/>
    <w:rsid w:val="3CBE02CA"/>
    <w:rsid w:val="3CC176EC"/>
    <w:rsid w:val="3CC35212"/>
    <w:rsid w:val="3CCD6091"/>
    <w:rsid w:val="3CD4741F"/>
    <w:rsid w:val="3CDB255C"/>
    <w:rsid w:val="3CE75508"/>
    <w:rsid w:val="3D0032C3"/>
    <w:rsid w:val="3D4C3459"/>
    <w:rsid w:val="3D4F2F4A"/>
    <w:rsid w:val="3D567C46"/>
    <w:rsid w:val="3D597AFB"/>
    <w:rsid w:val="3D6B1CE1"/>
    <w:rsid w:val="3D6E6ACD"/>
    <w:rsid w:val="3DF5589F"/>
    <w:rsid w:val="3E014244"/>
    <w:rsid w:val="3E281786"/>
    <w:rsid w:val="3E28743C"/>
    <w:rsid w:val="3E295549"/>
    <w:rsid w:val="3F010273"/>
    <w:rsid w:val="3F485EA2"/>
    <w:rsid w:val="3F520ACF"/>
    <w:rsid w:val="3F6853D5"/>
    <w:rsid w:val="3F7A243C"/>
    <w:rsid w:val="3F7A35A1"/>
    <w:rsid w:val="3FA4132B"/>
    <w:rsid w:val="3FEE34D6"/>
    <w:rsid w:val="403B1563"/>
    <w:rsid w:val="40582115"/>
    <w:rsid w:val="40583EC3"/>
    <w:rsid w:val="40640ABA"/>
    <w:rsid w:val="40730CFD"/>
    <w:rsid w:val="40AD420F"/>
    <w:rsid w:val="40BD70D9"/>
    <w:rsid w:val="40DA0D7C"/>
    <w:rsid w:val="40EB2F89"/>
    <w:rsid w:val="40EF2A79"/>
    <w:rsid w:val="40FE0CCC"/>
    <w:rsid w:val="41160006"/>
    <w:rsid w:val="41174FE2"/>
    <w:rsid w:val="411E79D5"/>
    <w:rsid w:val="4142704D"/>
    <w:rsid w:val="41727207"/>
    <w:rsid w:val="41932BA9"/>
    <w:rsid w:val="419E7FFC"/>
    <w:rsid w:val="41AC363E"/>
    <w:rsid w:val="41B108B3"/>
    <w:rsid w:val="41B11ADD"/>
    <w:rsid w:val="41BE218B"/>
    <w:rsid w:val="41C9151C"/>
    <w:rsid w:val="41FA5DBB"/>
    <w:rsid w:val="41FB36A0"/>
    <w:rsid w:val="42003488"/>
    <w:rsid w:val="42156510"/>
    <w:rsid w:val="422C5607"/>
    <w:rsid w:val="423746D8"/>
    <w:rsid w:val="425E4EBB"/>
    <w:rsid w:val="42726C3A"/>
    <w:rsid w:val="42764AD5"/>
    <w:rsid w:val="42DA5063"/>
    <w:rsid w:val="42E45EE2"/>
    <w:rsid w:val="430345BA"/>
    <w:rsid w:val="43166C80"/>
    <w:rsid w:val="4339622E"/>
    <w:rsid w:val="433B1FA6"/>
    <w:rsid w:val="43433935"/>
    <w:rsid w:val="43C5245E"/>
    <w:rsid w:val="440C56F0"/>
    <w:rsid w:val="441D49D5"/>
    <w:rsid w:val="4469669F"/>
    <w:rsid w:val="448404AA"/>
    <w:rsid w:val="448D4FA9"/>
    <w:rsid w:val="449E72F7"/>
    <w:rsid w:val="45132AAF"/>
    <w:rsid w:val="453E3FCF"/>
    <w:rsid w:val="4557299B"/>
    <w:rsid w:val="456C5A54"/>
    <w:rsid w:val="45BE2A1A"/>
    <w:rsid w:val="461940F5"/>
    <w:rsid w:val="467A6D17"/>
    <w:rsid w:val="46A240EA"/>
    <w:rsid w:val="46A37FD0"/>
    <w:rsid w:val="46C44F06"/>
    <w:rsid w:val="47013507"/>
    <w:rsid w:val="472E544D"/>
    <w:rsid w:val="47342D3B"/>
    <w:rsid w:val="474242BD"/>
    <w:rsid w:val="475278BE"/>
    <w:rsid w:val="477B5067"/>
    <w:rsid w:val="4780267D"/>
    <w:rsid w:val="47A65E5C"/>
    <w:rsid w:val="47B95B8F"/>
    <w:rsid w:val="47BB36B5"/>
    <w:rsid w:val="47C87B80"/>
    <w:rsid w:val="47F54032"/>
    <w:rsid w:val="483B0549"/>
    <w:rsid w:val="48515DC8"/>
    <w:rsid w:val="4854729D"/>
    <w:rsid w:val="48625944"/>
    <w:rsid w:val="489D2DBB"/>
    <w:rsid w:val="48D34A2F"/>
    <w:rsid w:val="48E44E8E"/>
    <w:rsid w:val="49557D93"/>
    <w:rsid w:val="49663AF5"/>
    <w:rsid w:val="49C212D7"/>
    <w:rsid w:val="49C4687C"/>
    <w:rsid w:val="49D560C0"/>
    <w:rsid w:val="49DF11B1"/>
    <w:rsid w:val="49EF2599"/>
    <w:rsid w:val="4A275968"/>
    <w:rsid w:val="4A30453E"/>
    <w:rsid w:val="4A435BE4"/>
    <w:rsid w:val="4A975B98"/>
    <w:rsid w:val="4AA60DE3"/>
    <w:rsid w:val="4AD87A63"/>
    <w:rsid w:val="4B0215FB"/>
    <w:rsid w:val="4B132F8D"/>
    <w:rsid w:val="4B1D4149"/>
    <w:rsid w:val="4B9A7A86"/>
    <w:rsid w:val="4BA3693A"/>
    <w:rsid w:val="4BAD5A0B"/>
    <w:rsid w:val="4BC845F3"/>
    <w:rsid w:val="4BE56F53"/>
    <w:rsid w:val="4C235CCD"/>
    <w:rsid w:val="4C5256D4"/>
    <w:rsid w:val="4C561BFF"/>
    <w:rsid w:val="4C6753F2"/>
    <w:rsid w:val="4C783601"/>
    <w:rsid w:val="4CD314A1"/>
    <w:rsid w:val="4CF66F3E"/>
    <w:rsid w:val="4D0258E3"/>
    <w:rsid w:val="4D1A70D0"/>
    <w:rsid w:val="4D286F21"/>
    <w:rsid w:val="4D2A3F2B"/>
    <w:rsid w:val="4D2E0486"/>
    <w:rsid w:val="4D5763B7"/>
    <w:rsid w:val="4D602609"/>
    <w:rsid w:val="4D8D7337"/>
    <w:rsid w:val="4D956757"/>
    <w:rsid w:val="4DA76E84"/>
    <w:rsid w:val="4DB766CD"/>
    <w:rsid w:val="4DD92AE7"/>
    <w:rsid w:val="4DFA480C"/>
    <w:rsid w:val="4E035DB6"/>
    <w:rsid w:val="4E073F3F"/>
    <w:rsid w:val="4E1C0C26"/>
    <w:rsid w:val="4E306565"/>
    <w:rsid w:val="4E3A10AC"/>
    <w:rsid w:val="4E802F63"/>
    <w:rsid w:val="4EBF4C21"/>
    <w:rsid w:val="4EC15329"/>
    <w:rsid w:val="4ED432AF"/>
    <w:rsid w:val="4F22401A"/>
    <w:rsid w:val="4F26396A"/>
    <w:rsid w:val="4F3501F1"/>
    <w:rsid w:val="4F3D2C02"/>
    <w:rsid w:val="4F4246BC"/>
    <w:rsid w:val="4F5F701C"/>
    <w:rsid w:val="4F9A62A6"/>
    <w:rsid w:val="4FA40ED3"/>
    <w:rsid w:val="4FF736F9"/>
    <w:rsid w:val="500E27F0"/>
    <w:rsid w:val="50243DC2"/>
    <w:rsid w:val="503B7459"/>
    <w:rsid w:val="505B4777"/>
    <w:rsid w:val="50811214"/>
    <w:rsid w:val="50AC756E"/>
    <w:rsid w:val="50DD469C"/>
    <w:rsid w:val="50EC0B0F"/>
    <w:rsid w:val="50F33EC0"/>
    <w:rsid w:val="510F6820"/>
    <w:rsid w:val="5117392E"/>
    <w:rsid w:val="51226553"/>
    <w:rsid w:val="51237AAF"/>
    <w:rsid w:val="51383FC9"/>
    <w:rsid w:val="515D57DD"/>
    <w:rsid w:val="515F3303"/>
    <w:rsid w:val="516B3C9B"/>
    <w:rsid w:val="516C3C72"/>
    <w:rsid w:val="517B639D"/>
    <w:rsid w:val="51D27F79"/>
    <w:rsid w:val="5215582B"/>
    <w:rsid w:val="522602C5"/>
    <w:rsid w:val="522D1654"/>
    <w:rsid w:val="52666F88"/>
    <w:rsid w:val="527C6137"/>
    <w:rsid w:val="52A64F62"/>
    <w:rsid w:val="52AA11D3"/>
    <w:rsid w:val="52D054FF"/>
    <w:rsid w:val="52E8662F"/>
    <w:rsid w:val="52F91536"/>
    <w:rsid w:val="53670B95"/>
    <w:rsid w:val="536D2A53"/>
    <w:rsid w:val="53966943"/>
    <w:rsid w:val="53BB4A3D"/>
    <w:rsid w:val="53C67686"/>
    <w:rsid w:val="540F7953"/>
    <w:rsid w:val="54120AF5"/>
    <w:rsid w:val="54402B72"/>
    <w:rsid w:val="545804DE"/>
    <w:rsid w:val="546E1AAF"/>
    <w:rsid w:val="5499550F"/>
    <w:rsid w:val="54A34F3D"/>
    <w:rsid w:val="54A62885"/>
    <w:rsid w:val="54AA0D3A"/>
    <w:rsid w:val="54D264E2"/>
    <w:rsid w:val="54F2345A"/>
    <w:rsid w:val="552A3C28"/>
    <w:rsid w:val="55371494"/>
    <w:rsid w:val="55413AF3"/>
    <w:rsid w:val="55913CA7"/>
    <w:rsid w:val="55992B5C"/>
    <w:rsid w:val="55BB6F76"/>
    <w:rsid w:val="55E17504"/>
    <w:rsid w:val="55E43FEB"/>
    <w:rsid w:val="55FD133D"/>
    <w:rsid w:val="563A433F"/>
    <w:rsid w:val="565D5C27"/>
    <w:rsid w:val="569D0B8E"/>
    <w:rsid w:val="576A47B0"/>
    <w:rsid w:val="57730079"/>
    <w:rsid w:val="57AD28EF"/>
    <w:rsid w:val="57BC3D89"/>
    <w:rsid w:val="57E56B89"/>
    <w:rsid w:val="57ED3263"/>
    <w:rsid w:val="57EF5C1F"/>
    <w:rsid w:val="581A7F84"/>
    <w:rsid w:val="583848AE"/>
    <w:rsid w:val="5866141B"/>
    <w:rsid w:val="58890170"/>
    <w:rsid w:val="58C16652"/>
    <w:rsid w:val="58EC6DA8"/>
    <w:rsid w:val="58F46A27"/>
    <w:rsid w:val="59151B75"/>
    <w:rsid w:val="59183CD1"/>
    <w:rsid w:val="594159E5"/>
    <w:rsid w:val="59526FF3"/>
    <w:rsid w:val="5966544B"/>
    <w:rsid w:val="59893D04"/>
    <w:rsid w:val="59E074F3"/>
    <w:rsid w:val="5A1D3D5C"/>
    <w:rsid w:val="5A24333C"/>
    <w:rsid w:val="5A28616B"/>
    <w:rsid w:val="5A2A0227"/>
    <w:rsid w:val="5A577EFE"/>
    <w:rsid w:val="5A670C3D"/>
    <w:rsid w:val="5A981634"/>
    <w:rsid w:val="5AB02E22"/>
    <w:rsid w:val="5ABC17C7"/>
    <w:rsid w:val="5ACC1D6C"/>
    <w:rsid w:val="5B1C2265"/>
    <w:rsid w:val="5B2E3D47"/>
    <w:rsid w:val="5B377CAB"/>
    <w:rsid w:val="5B507691"/>
    <w:rsid w:val="5B7E6A7C"/>
    <w:rsid w:val="5BE03293"/>
    <w:rsid w:val="5C1D0611"/>
    <w:rsid w:val="5C5617A7"/>
    <w:rsid w:val="5C58107B"/>
    <w:rsid w:val="5C6C4B26"/>
    <w:rsid w:val="5C936557"/>
    <w:rsid w:val="5CF8285E"/>
    <w:rsid w:val="5D1F603D"/>
    <w:rsid w:val="5D2D64DB"/>
    <w:rsid w:val="5D485594"/>
    <w:rsid w:val="5D5201C0"/>
    <w:rsid w:val="5D962295"/>
    <w:rsid w:val="5DA46146"/>
    <w:rsid w:val="5DAA7FFC"/>
    <w:rsid w:val="5DB9327E"/>
    <w:rsid w:val="5DCA5FA9"/>
    <w:rsid w:val="5DDF7CE6"/>
    <w:rsid w:val="5DF2411B"/>
    <w:rsid w:val="5DFD456D"/>
    <w:rsid w:val="5E005E6E"/>
    <w:rsid w:val="5E5D0BCB"/>
    <w:rsid w:val="5E9B7945"/>
    <w:rsid w:val="5EC73F4C"/>
    <w:rsid w:val="5ED66053"/>
    <w:rsid w:val="5EF17565"/>
    <w:rsid w:val="5F2D5436"/>
    <w:rsid w:val="5F4571B2"/>
    <w:rsid w:val="5F6E6E08"/>
    <w:rsid w:val="5F944AC0"/>
    <w:rsid w:val="5FAD7930"/>
    <w:rsid w:val="5FBE38EB"/>
    <w:rsid w:val="6017749F"/>
    <w:rsid w:val="601B0D3D"/>
    <w:rsid w:val="60536729"/>
    <w:rsid w:val="605E51FA"/>
    <w:rsid w:val="606B7C88"/>
    <w:rsid w:val="6074044E"/>
    <w:rsid w:val="60B73D35"/>
    <w:rsid w:val="60D1764E"/>
    <w:rsid w:val="60D44B41"/>
    <w:rsid w:val="613A51F3"/>
    <w:rsid w:val="61723CCE"/>
    <w:rsid w:val="61C84EF5"/>
    <w:rsid w:val="61D5316E"/>
    <w:rsid w:val="61ED6709"/>
    <w:rsid w:val="620B1CA4"/>
    <w:rsid w:val="62141EE8"/>
    <w:rsid w:val="623936FD"/>
    <w:rsid w:val="623F6839"/>
    <w:rsid w:val="62467BC8"/>
    <w:rsid w:val="624D27B1"/>
    <w:rsid w:val="625E3163"/>
    <w:rsid w:val="62675B5F"/>
    <w:rsid w:val="62856942"/>
    <w:rsid w:val="629848C7"/>
    <w:rsid w:val="629F6D92"/>
    <w:rsid w:val="62BB2364"/>
    <w:rsid w:val="62C551F1"/>
    <w:rsid w:val="62D17DD9"/>
    <w:rsid w:val="63147CC6"/>
    <w:rsid w:val="634405AB"/>
    <w:rsid w:val="635B2744"/>
    <w:rsid w:val="63936E3D"/>
    <w:rsid w:val="639D41AD"/>
    <w:rsid w:val="639D5F0D"/>
    <w:rsid w:val="63E36016"/>
    <w:rsid w:val="642B3519"/>
    <w:rsid w:val="64395C36"/>
    <w:rsid w:val="64833355"/>
    <w:rsid w:val="649410BE"/>
    <w:rsid w:val="64BB489D"/>
    <w:rsid w:val="64D60202"/>
    <w:rsid w:val="64DB47D3"/>
    <w:rsid w:val="6502275C"/>
    <w:rsid w:val="65733C50"/>
    <w:rsid w:val="659D4AFD"/>
    <w:rsid w:val="65B0017A"/>
    <w:rsid w:val="662F72F1"/>
    <w:rsid w:val="663E1300"/>
    <w:rsid w:val="66AF0431"/>
    <w:rsid w:val="66BC48FC"/>
    <w:rsid w:val="66C56152"/>
    <w:rsid w:val="66E55C01"/>
    <w:rsid w:val="670A5668"/>
    <w:rsid w:val="67113410"/>
    <w:rsid w:val="6712775C"/>
    <w:rsid w:val="67523290"/>
    <w:rsid w:val="675D60DF"/>
    <w:rsid w:val="676514A7"/>
    <w:rsid w:val="676F7BC1"/>
    <w:rsid w:val="678A5829"/>
    <w:rsid w:val="678C42CF"/>
    <w:rsid w:val="67B57CC9"/>
    <w:rsid w:val="67C21F58"/>
    <w:rsid w:val="67EC2FBF"/>
    <w:rsid w:val="67ED1BBE"/>
    <w:rsid w:val="67F105D6"/>
    <w:rsid w:val="67F759B1"/>
    <w:rsid w:val="68071BA7"/>
    <w:rsid w:val="683010B1"/>
    <w:rsid w:val="68476448"/>
    <w:rsid w:val="684D7116"/>
    <w:rsid w:val="68930513"/>
    <w:rsid w:val="68E14A3C"/>
    <w:rsid w:val="68EC771B"/>
    <w:rsid w:val="69004F3B"/>
    <w:rsid w:val="690600B1"/>
    <w:rsid w:val="690A7BA1"/>
    <w:rsid w:val="69196036"/>
    <w:rsid w:val="69821E2D"/>
    <w:rsid w:val="69A55B1C"/>
    <w:rsid w:val="69F85FA8"/>
    <w:rsid w:val="6A3363C3"/>
    <w:rsid w:val="6A521800"/>
    <w:rsid w:val="6A6E35CE"/>
    <w:rsid w:val="6AA858C3"/>
    <w:rsid w:val="6AA933EA"/>
    <w:rsid w:val="6AFD711C"/>
    <w:rsid w:val="6B2C2051"/>
    <w:rsid w:val="6B3233DF"/>
    <w:rsid w:val="6B3811CB"/>
    <w:rsid w:val="6B4D0219"/>
    <w:rsid w:val="6B594E10"/>
    <w:rsid w:val="6B5D66AE"/>
    <w:rsid w:val="6B7457A6"/>
    <w:rsid w:val="6B87372B"/>
    <w:rsid w:val="6BA0659B"/>
    <w:rsid w:val="6BAB4527"/>
    <w:rsid w:val="6BF34B5F"/>
    <w:rsid w:val="6C111246"/>
    <w:rsid w:val="6C5B6B6F"/>
    <w:rsid w:val="6C6E6699"/>
    <w:rsid w:val="6C991968"/>
    <w:rsid w:val="6C9D0D2C"/>
    <w:rsid w:val="6C9F4AA4"/>
    <w:rsid w:val="6CB26586"/>
    <w:rsid w:val="6CBC7404"/>
    <w:rsid w:val="6CD02EB0"/>
    <w:rsid w:val="6CE32BE3"/>
    <w:rsid w:val="6D1014FE"/>
    <w:rsid w:val="6D1A237D"/>
    <w:rsid w:val="6D1C60F5"/>
    <w:rsid w:val="6D2531FB"/>
    <w:rsid w:val="6D267E2D"/>
    <w:rsid w:val="6D7B106D"/>
    <w:rsid w:val="6D7E504C"/>
    <w:rsid w:val="6DAD31F1"/>
    <w:rsid w:val="6DB037F2"/>
    <w:rsid w:val="6DCC18C9"/>
    <w:rsid w:val="6DE531E1"/>
    <w:rsid w:val="6DE541BD"/>
    <w:rsid w:val="6E2E0238"/>
    <w:rsid w:val="6E2E60E0"/>
    <w:rsid w:val="6E341EDA"/>
    <w:rsid w:val="6E584A13"/>
    <w:rsid w:val="6E663ACB"/>
    <w:rsid w:val="6E731D44"/>
    <w:rsid w:val="6E751F61"/>
    <w:rsid w:val="6E865F1C"/>
    <w:rsid w:val="6E9770B2"/>
    <w:rsid w:val="6EA77C40"/>
    <w:rsid w:val="6EBD0556"/>
    <w:rsid w:val="6EC802E2"/>
    <w:rsid w:val="6EEA4836"/>
    <w:rsid w:val="6EED6E2B"/>
    <w:rsid w:val="6F0532E4"/>
    <w:rsid w:val="6F156EF1"/>
    <w:rsid w:val="6F5700BF"/>
    <w:rsid w:val="6FC50CC6"/>
    <w:rsid w:val="6FCD36D6"/>
    <w:rsid w:val="6FD111A8"/>
    <w:rsid w:val="6FEC1DAE"/>
    <w:rsid w:val="6FF62C2D"/>
    <w:rsid w:val="70017C18"/>
    <w:rsid w:val="7003534A"/>
    <w:rsid w:val="70214F03"/>
    <w:rsid w:val="707D50FC"/>
    <w:rsid w:val="70A00DEB"/>
    <w:rsid w:val="70A42689"/>
    <w:rsid w:val="70B54896"/>
    <w:rsid w:val="70E94540"/>
    <w:rsid w:val="7121017E"/>
    <w:rsid w:val="71357785"/>
    <w:rsid w:val="714125CE"/>
    <w:rsid w:val="7154605E"/>
    <w:rsid w:val="715C2F64"/>
    <w:rsid w:val="718304F0"/>
    <w:rsid w:val="71C81C7C"/>
    <w:rsid w:val="71E73175"/>
    <w:rsid w:val="720B6055"/>
    <w:rsid w:val="72281098"/>
    <w:rsid w:val="723E08BB"/>
    <w:rsid w:val="72564F56"/>
    <w:rsid w:val="728C1627"/>
    <w:rsid w:val="72BD5C84"/>
    <w:rsid w:val="72D059B7"/>
    <w:rsid w:val="72EC6569"/>
    <w:rsid w:val="72EE3BCE"/>
    <w:rsid w:val="73013DC3"/>
    <w:rsid w:val="73104156"/>
    <w:rsid w:val="7338355D"/>
    <w:rsid w:val="734C0DB6"/>
    <w:rsid w:val="735A7977"/>
    <w:rsid w:val="73B250BD"/>
    <w:rsid w:val="73B928EF"/>
    <w:rsid w:val="73FB6A64"/>
    <w:rsid w:val="749D7B1B"/>
    <w:rsid w:val="74E25E76"/>
    <w:rsid w:val="75E55C1E"/>
    <w:rsid w:val="7601057E"/>
    <w:rsid w:val="767E1BCE"/>
    <w:rsid w:val="768A6500"/>
    <w:rsid w:val="7694203A"/>
    <w:rsid w:val="76A1621A"/>
    <w:rsid w:val="76AA29C3"/>
    <w:rsid w:val="76BB697E"/>
    <w:rsid w:val="76C3504D"/>
    <w:rsid w:val="76FD2AF3"/>
    <w:rsid w:val="771249D0"/>
    <w:rsid w:val="77302EC9"/>
    <w:rsid w:val="77366005"/>
    <w:rsid w:val="773F4EBA"/>
    <w:rsid w:val="774150D6"/>
    <w:rsid w:val="77674410"/>
    <w:rsid w:val="776C7C79"/>
    <w:rsid w:val="77935205"/>
    <w:rsid w:val="77B84C6C"/>
    <w:rsid w:val="77C85B5E"/>
    <w:rsid w:val="77CE623E"/>
    <w:rsid w:val="77DF1E38"/>
    <w:rsid w:val="77EB6DF0"/>
    <w:rsid w:val="78252301"/>
    <w:rsid w:val="78384130"/>
    <w:rsid w:val="78412EB3"/>
    <w:rsid w:val="78455238"/>
    <w:rsid w:val="7861181B"/>
    <w:rsid w:val="78947487"/>
    <w:rsid w:val="789847BA"/>
    <w:rsid w:val="78BB0EB8"/>
    <w:rsid w:val="78C87131"/>
    <w:rsid w:val="78E0091E"/>
    <w:rsid w:val="78E90790"/>
    <w:rsid w:val="790A14F7"/>
    <w:rsid w:val="79102FB2"/>
    <w:rsid w:val="79537342"/>
    <w:rsid w:val="795A247F"/>
    <w:rsid w:val="79627585"/>
    <w:rsid w:val="79907C4E"/>
    <w:rsid w:val="7993773F"/>
    <w:rsid w:val="79A90D10"/>
    <w:rsid w:val="79B10E72"/>
    <w:rsid w:val="79B33ECD"/>
    <w:rsid w:val="79D33FDF"/>
    <w:rsid w:val="7A154F00"/>
    <w:rsid w:val="7A307AB0"/>
    <w:rsid w:val="7A8B6668"/>
    <w:rsid w:val="7A9C2623"/>
    <w:rsid w:val="7ACA7190"/>
    <w:rsid w:val="7ADB314B"/>
    <w:rsid w:val="7B14665D"/>
    <w:rsid w:val="7B290D36"/>
    <w:rsid w:val="7B336D52"/>
    <w:rsid w:val="7B354F51"/>
    <w:rsid w:val="7B677835"/>
    <w:rsid w:val="7B976D37"/>
    <w:rsid w:val="7BB265A2"/>
    <w:rsid w:val="7BCD518A"/>
    <w:rsid w:val="7BCE62D7"/>
    <w:rsid w:val="7BEE3352"/>
    <w:rsid w:val="7C0E12FE"/>
    <w:rsid w:val="7C533081"/>
    <w:rsid w:val="7C7A4BE6"/>
    <w:rsid w:val="7CCC2A94"/>
    <w:rsid w:val="7CE22869"/>
    <w:rsid w:val="7D096956"/>
    <w:rsid w:val="7D0A7D18"/>
    <w:rsid w:val="7D0F1D9C"/>
    <w:rsid w:val="7D142945"/>
    <w:rsid w:val="7D172126"/>
    <w:rsid w:val="7D6637D4"/>
    <w:rsid w:val="7DBD122E"/>
    <w:rsid w:val="7E130E4E"/>
    <w:rsid w:val="7E2A7130"/>
    <w:rsid w:val="7E41193E"/>
    <w:rsid w:val="7E4534BC"/>
    <w:rsid w:val="7E4B4A8C"/>
    <w:rsid w:val="7E53749D"/>
    <w:rsid w:val="7EB048EF"/>
    <w:rsid w:val="7EB20667"/>
    <w:rsid w:val="7EC34622"/>
    <w:rsid w:val="7EE12BD6"/>
    <w:rsid w:val="7F390F10"/>
    <w:rsid w:val="7F3B240A"/>
    <w:rsid w:val="7F3D5A7B"/>
    <w:rsid w:val="7F4A08A0"/>
    <w:rsid w:val="7F7D0C75"/>
    <w:rsid w:val="7FEE7E8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uiPriority w:val="0"/>
    <w:pPr>
      <w:keepNext/>
      <w:keepLines/>
      <w:spacing w:before="156" w:beforeLines="50" w:after="156" w:afterLines="50"/>
      <w:outlineLvl w:val="1"/>
    </w:pPr>
    <w:rPr>
      <w:b/>
      <w:bCs/>
      <w:sz w:val="32"/>
      <w:szCs w:val="32"/>
    </w:rPr>
  </w:style>
  <w:style w:type="paragraph" w:styleId="4">
    <w:name w:val="heading 3"/>
    <w:basedOn w:val="1"/>
    <w:next w:val="1"/>
    <w:autoRedefine/>
    <w:qFormat/>
    <w:uiPriority w:val="0"/>
    <w:pPr>
      <w:ind w:firstLine="0" w:firstLineChars="0"/>
      <w:outlineLvl w:val="2"/>
    </w:pPr>
    <w:rPr>
      <w:b/>
      <w:sz w:val="28"/>
    </w:rPr>
  </w:style>
  <w:style w:type="paragraph" w:styleId="5">
    <w:name w:val="heading 4"/>
    <w:basedOn w:val="1"/>
    <w:next w:val="1"/>
    <w:autoRedefine/>
    <w:qFormat/>
    <w:uiPriority w:val="0"/>
    <w:pPr>
      <w:keepNext/>
      <w:keepLines/>
      <w:numPr>
        <w:ilvl w:val="3"/>
        <w:numId w:val="1"/>
      </w:numPr>
      <w:ind w:left="0" w:firstLine="0" w:firstLineChars="0"/>
      <w:jc w:val="left"/>
      <w:outlineLvl w:val="3"/>
    </w:pPr>
    <w:rPr>
      <w:rFonts w:ascii="Times New Roman" w:hAnsi="Times New Roman" w:eastAsia="宋体"/>
      <w:b/>
      <w:bCs/>
      <w:sz w:val="28"/>
      <w:szCs w:val="28"/>
    </w:rPr>
  </w:style>
  <w:style w:type="character" w:default="1" w:styleId="34">
    <w:name w:val="Default Paragraph Font"/>
    <w:autoRedefine/>
    <w:qFormat/>
    <w:uiPriority w:val="0"/>
  </w:style>
  <w:style w:type="table" w:default="1" w:styleId="32">
    <w:name w:val="Normal Table"/>
    <w:autoRedefine/>
    <w:qFormat/>
    <w:uiPriority w:val="0"/>
    <w:tblPr>
      <w:tblCellMar>
        <w:top w:w="0" w:type="dxa"/>
        <w:left w:w="108" w:type="dxa"/>
        <w:bottom w:w="0" w:type="dxa"/>
        <w:right w:w="108" w:type="dxa"/>
      </w:tblCellMar>
    </w:tblPr>
  </w:style>
  <w:style w:type="paragraph" w:styleId="6">
    <w:name w:val="table of authorities"/>
    <w:basedOn w:val="1"/>
    <w:next w:val="1"/>
    <w:autoRedefine/>
    <w:qFormat/>
    <w:uiPriority w:val="0"/>
    <w:pPr>
      <w:ind w:left="420" w:leftChars="200"/>
    </w:pPr>
    <w:rPr>
      <w:rFonts w:hint="default"/>
      <w:sz w:val="21"/>
      <w:szCs w:val="24"/>
    </w:rPr>
  </w:style>
  <w:style w:type="paragraph" w:styleId="7">
    <w:name w:val="Normal Indent"/>
    <w:basedOn w:val="1"/>
    <w:next w:val="5"/>
    <w:autoRedefine/>
    <w:qFormat/>
    <w:uiPriority w:val="0"/>
    <w:pPr>
      <w:ind w:firstLine="420" w:firstLineChars="200"/>
    </w:pPr>
    <w:rPr>
      <w:szCs w:val="20"/>
    </w:rPr>
  </w:style>
  <w:style w:type="paragraph" w:styleId="8">
    <w:name w:val="caption"/>
    <w:basedOn w:val="1"/>
    <w:next w:val="9"/>
    <w:autoRedefine/>
    <w:qFormat/>
    <w:uiPriority w:val="0"/>
    <w:pPr>
      <w:adjustRightInd w:val="0"/>
      <w:snapToGrid w:val="0"/>
      <w:jc w:val="center"/>
    </w:pPr>
    <w:rPr>
      <w:b/>
      <w:sz w:val="24"/>
      <w:szCs w:val="20"/>
    </w:rPr>
  </w:style>
  <w:style w:type="paragraph" w:styleId="9">
    <w:name w:val="Body Text First Indent"/>
    <w:basedOn w:val="10"/>
    <w:next w:val="13"/>
    <w:autoRedefine/>
    <w:qFormat/>
    <w:uiPriority w:val="0"/>
    <w:pPr>
      <w:spacing w:after="120"/>
      <w:ind w:firstLine="420" w:firstLineChars="100"/>
    </w:pPr>
    <w:rPr>
      <w:sz w:val="21"/>
      <w:szCs w:val="24"/>
    </w:rPr>
  </w:style>
  <w:style w:type="paragraph" w:styleId="10">
    <w:name w:val="Body Text"/>
    <w:basedOn w:val="1"/>
    <w:next w:val="11"/>
    <w:link w:val="50"/>
    <w:autoRedefine/>
    <w:qFormat/>
    <w:uiPriority w:val="0"/>
    <w:pPr>
      <w:widowControl/>
      <w:snapToGrid w:val="0"/>
      <w:spacing w:before="60" w:after="160" w:line="259" w:lineRule="auto"/>
      <w:ind w:right="113"/>
    </w:pPr>
    <w:rPr>
      <w:kern w:val="0"/>
      <w:sz w:val="18"/>
      <w:szCs w:val="20"/>
    </w:rPr>
  </w:style>
  <w:style w:type="paragraph" w:customStyle="1" w:styleId="11">
    <w:name w:val="xl27"/>
    <w:basedOn w:val="6"/>
    <w:next w:val="12"/>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szCs w:val="24"/>
    </w:rPr>
  </w:style>
  <w:style w:type="paragraph" w:customStyle="1" w:styleId="12">
    <w:name w:val="A正文"/>
    <w:basedOn w:val="1"/>
    <w:qFormat/>
    <w:uiPriority w:val="0"/>
    <w:pPr>
      <w:spacing w:line="480" w:lineRule="exact"/>
      <w:ind w:firstLine="480"/>
      <w:jc w:val="left"/>
    </w:pPr>
    <w:rPr>
      <w:rFonts w:hint="eastAsia" w:ascii="宋体" w:hAnsi="宋体" w:eastAsia="宋体" w:cs="Times New Roman"/>
      <w:kern w:val="0"/>
      <w:sz w:val="24"/>
      <w:szCs w:val="22"/>
    </w:rPr>
  </w:style>
  <w:style w:type="paragraph" w:styleId="13">
    <w:name w:val="Body Text First Indent 2"/>
    <w:basedOn w:val="14"/>
    <w:next w:val="1"/>
    <w:autoRedefine/>
    <w:qFormat/>
    <w:uiPriority w:val="0"/>
    <w:pPr>
      <w:tabs>
        <w:tab w:val="left" w:pos="540"/>
      </w:tabs>
      <w:ind w:firstLine="420" w:firstLineChars="200"/>
    </w:pPr>
    <w:rPr>
      <w:rFonts w:ascii="Times New Roman" w:hAnsi="Times New Roman" w:cs="Times New Roman"/>
    </w:rPr>
  </w:style>
  <w:style w:type="paragraph" w:styleId="14">
    <w:name w:val="Body Text Indent"/>
    <w:basedOn w:val="1"/>
    <w:link w:val="53"/>
    <w:autoRedefine/>
    <w:qFormat/>
    <w:uiPriority w:val="0"/>
    <w:pPr>
      <w:spacing w:after="120"/>
      <w:ind w:left="420" w:leftChars="200"/>
    </w:pPr>
    <w:rPr>
      <w:kern w:val="0"/>
      <w:sz w:val="24"/>
      <w:szCs w:val="20"/>
    </w:rPr>
  </w:style>
  <w:style w:type="paragraph" w:styleId="15">
    <w:name w:val="Document Map"/>
    <w:basedOn w:val="1"/>
    <w:link w:val="51"/>
    <w:autoRedefine/>
    <w:qFormat/>
    <w:uiPriority w:val="0"/>
    <w:rPr>
      <w:rFonts w:ascii="宋体"/>
      <w:sz w:val="18"/>
      <w:szCs w:val="18"/>
    </w:rPr>
  </w:style>
  <w:style w:type="paragraph" w:styleId="16">
    <w:name w:val="annotation text"/>
    <w:basedOn w:val="1"/>
    <w:link w:val="52"/>
    <w:autoRedefine/>
    <w:qFormat/>
    <w:uiPriority w:val="0"/>
    <w:pPr>
      <w:jc w:val="left"/>
    </w:pPr>
    <w:rPr>
      <w:kern w:val="0"/>
      <w:sz w:val="24"/>
      <w:szCs w:val="20"/>
    </w:rPr>
  </w:style>
  <w:style w:type="paragraph" w:styleId="17">
    <w:name w:val="Body Text 3"/>
    <w:basedOn w:val="1"/>
    <w:autoRedefine/>
    <w:qFormat/>
    <w:uiPriority w:val="0"/>
    <w:pPr>
      <w:jc w:val="center"/>
    </w:pPr>
    <w:rPr>
      <w:rFonts w:ascii="宋体" w:hAnsi="宋体"/>
      <w:spacing w:val="-20"/>
      <w:sz w:val="28"/>
    </w:rPr>
  </w:style>
  <w:style w:type="paragraph" w:styleId="18">
    <w:name w:val="toc 3"/>
    <w:basedOn w:val="1"/>
    <w:next w:val="1"/>
    <w:autoRedefine/>
    <w:qFormat/>
    <w:uiPriority w:val="0"/>
    <w:pPr>
      <w:spacing w:line="360" w:lineRule="auto"/>
    </w:pPr>
    <w:rPr>
      <w:spacing w:val="-6"/>
      <w:sz w:val="24"/>
    </w:rPr>
  </w:style>
  <w:style w:type="paragraph" w:styleId="19">
    <w:name w:val="Plain Text"/>
    <w:basedOn w:val="1"/>
    <w:next w:val="1"/>
    <w:autoRedefine/>
    <w:qFormat/>
    <w:uiPriority w:val="0"/>
    <w:rPr>
      <w:rFonts w:ascii="宋体" w:hAnsi="Courier New" w:cs="Courier New"/>
      <w:szCs w:val="21"/>
    </w:rPr>
  </w:style>
  <w:style w:type="paragraph" w:styleId="20">
    <w:name w:val="Date"/>
    <w:basedOn w:val="1"/>
    <w:next w:val="1"/>
    <w:link w:val="54"/>
    <w:autoRedefine/>
    <w:qFormat/>
    <w:uiPriority w:val="0"/>
    <w:pPr>
      <w:ind w:left="100" w:leftChars="2500"/>
    </w:pPr>
    <w:rPr>
      <w:kern w:val="0"/>
      <w:sz w:val="24"/>
      <w:szCs w:val="20"/>
    </w:rPr>
  </w:style>
  <w:style w:type="paragraph" w:styleId="21">
    <w:name w:val="Body Text Indent 2"/>
    <w:basedOn w:val="1"/>
    <w:next w:val="1"/>
    <w:autoRedefine/>
    <w:qFormat/>
    <w:uiPriority w:val="0"/>
    <w:pPr>
      <w:adjustRightInd w:val="0"/>
      <w:snapToGrid w:val="0"/>
      <w:spacing w:after="143" w:line="460" w:lineRule="atLeast"/>
      <w:ind w:firstLine="480" w:firstLineChars="0"/>
    </w:pPr>
    <w:rPr>
      <w:rFonts w:hint="eastAsia" w:cs="Times New Roman"/>
      <w:color w:val="000000"/>
    </w:rPr>
  </w:style>
  <w:style w:type="paragraph" w:styleId="22">
    <w:name w:val="Balloon Text"/>
    <w:basedOn w:val="1"/>
    <w:link w:val="55"/>
    <w:autoRedefine/>
    <w:qFormat/>
    <w:uiPriority w:val="0"/>
    <w:rPr>
      <w:kern w:val="0"/>
      <w:sz w:val="18"/>
      <w:szCs w:val="20"/>
    </w:rPr>
  </w:style>
  <w:style w:type="paragraph" w:styleId="23">
    <w:name w:val="footer"/>
    <w:basedOn w:val="1"/>
    <w:link w:val="56"/>
    <w:autoRedefine/>
    <w:qFormat/>
    <w:uiPriority w:val="99"/>
    <w:pPr>
      <w:tabs>
        <w:tab w:val="center" w:pos="4153"/>
        <w:tab w:val="right" w:pos="8306"/>
      </w:tabs>
      <w:snapToGrid w:val="0"/>
      <w:jc w:val="left"/>
    </w:pPr>
    <w:rPr>
      <w:kern w:val="0"/>
      <w:sz w:val="18"/>
      <w:szCs w:val="20"/>
    </w:rPr>
  </w:style>
  <w:style w:type="paragraph" w:styleId="24">
    <w:name w:val="header"/>
    <w:basedOn w:val="1"/>
    <w:link w:val="57"/>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autoRedefine/>
    <w:qFormat/>
    <w:uiPriority w:val="0"/>
  </w:style>
  <w:style w:type="paragraph" w:styleId="26">
    <w:name w:val="List"/>
    <w:basedOn w:val="1"/>
    <w:next w:val="10"/>
    <w:qFormat/>
    <w:uiPriority w:val="0"/>
    <w:pPr>
      <w:ind w:left="200" w:hanging="200" w:hangingChars="200"/>
    </w:pPr>
  </w:style>
  <w:style w:type="paragraph" w:styleId="27">
    <w:name w:val="Body Text Indent 3"/>
    <w:basedOn w:val="1"/>
    <w:link w:val="58"/>
    <w:autoRedefine/>
    <w:qFormat/>
    <w:uiPriority w:val="0"/>
    <w:pPr>
      <w:spacing w:after="120"/>
      <w:ind w:left="420" w:leftChars="200"/>
    </w:pPr>
    <w:rPr>
      <w:sz w:val="16"/>
      <w:szCs w:val="16"/>
    </w:rPr>
  </w:style>
  <w:style w:type="paragraph" w:styleId="28">
    <w:name w:val="toc 2"/>
    <w:basedOn w:val="1"/>
    <w:next w:val="1"/>
    <w:qFormat/>
    <w:uiPriority w:val="0"/>
    <w:pPr>
      <w:ind w:left="420" w:leftChars="200"/>
    </w:pPr>
  </w:style>
  <w:style w:type="paragraph" w:styleId="29">
    <w:name w:val="Normal (Web)"/>
    <w:basedOn w:val="1"/>
    <w:link w:val="59"/>
    <w:autoRedefine/>
    <w:qFormat/>
    <w:uiPriority w:val="0"/>
    <w:pPr>
      <w:widowControl/>
      <w:spacing w:before="100" w:beforeAutospacing="1" w:after="100" w:afterAutospacing="1"/>
      <w:jc w:val="left"/>
    </w:pPr>
    <w:rPr>
      <w:rFonts w:ascii="宋体" w:hAnsi="宋体"/>
      <w:kern w:val="0"/>
      <w:sz w:val="24"/>
      <w:szCs w:val="20"/>
    </w:rPr>
  </w:style>
  <w:style w:type="paragraph" w:styleId="30">
    <w:name w:val="Title"/>
    <w:basedOn w:val="1"/>
    <w:next w:val="5"/>
    <w:autoRedefine/>
    <w:qFormat/>
    <w:uiPriority w:val="0"/>
    <w:pPr>
      <w:spacing w:before="240" w:beforeAutospacing="0" w:after="60" w:afterAutospacing="0"/>
      <w:jc w:val="left"/>
      <w:outlineLvl w:val="0"/>
    </w:pPr>
    <w:rPr>
      <w:rFonts w:ascii="Arial" w:hAnsi="Arial"/>
      <w:sz w:val="32"/>
    </w:rPr>
  </w:style>
  <w:style w:type="paragraph" w:styleId="31">
    <w:name w:val="annotation subject"/>
    <w:basedOn w:val="16"/>
    <w:next w:val="16"/>
    <w:link w:val="60"/>
    <w:autoRedefine/>
    <w:qFormat/>
    <w:uiPriority w:val="0"/>
    <w:rPr>
      <w:b/>
      <w:kern w:val="2"/>
    </w:rPr>
  </w:style>
  <w:style w:type="table" w:styleId="33">
    <w:name w:val="Table Grid"/>
    <w:basedOn w:val="32"/>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0"/>
    <w:rPr>
      <w:b/>
    </w:rPr>
  </w:style>
  <w:style w:type="character" w:styleId="36">
    <w:name w:val="page number"/>
    <w:basedOn w:val="34"/>
    <w:autoRedefine/>
    <w:qFormat/>
    <w:uiPriority w:val="0"/>
  </w:style>
  <w:style w:type="character" w:styleId="37">
    <w:name w:val="FollowedHyperlink"/>
    <w:basedOn w:val="34"/>
    <w:autoRedefine/>
    <w:qFormat/>
    <w:uiPriority w:val="0"/>
    <w:rPr>
      <w:color w:val="000000"/>
      <w:u w:val="none"/>
    </w:rPr>
  </w:style>
  <w:style w:type="character" w:styleId="38">
    <w:name w:val="Emphasis"/>
    <w:basedOn w:val="34"/>
    <w:autoRedefine/>
    <w:qFormat/>
    <w:uiPriority w:val="0"/>
  </w:style>
  <w:style w:type="character" w:styleId="39">
    <w:name w:val="HTML Definition"/>
    <w:basedOn w:val="34"/>
    <w:autoRedefine/>
    <w:qFormat/>
    <w:uiPriority w:val="0"/>
  </w:style>
  <w:style w:type="character" w:styleId="40">
    <w:name w:val="HTML Acronym"/>
    <w:basedOn w:val="34"/>
    <w:autoRedefine/>
    <w:qFormat/>
    <w:uiPriority w:val="0"/>
  </w:style>
  <w:style w:type="character" w:styleId="41">
    <w:name w:val="HTML Variable"/>
    <w:basedOn w:val="34"/>
    <w:autoRedefine/>
    <w:qFormat/>
    <w:uiPriority w:val="0"/>
  </w:style>
  <w:style w:type="character" w:styleId="42">
    <w:name w:val="Hyperlink"/>
    <w:basedOn w:val="34"/>
    <w:autoRedefine/>
    <w:qFormat/>
    <w:uiPriority w:val="0"/>
    <w:rPr>
      <w:color w:val="333333"/>
      <w:u w:val="none"/>
    </w:rPr>
  </w:style>
  <w:style w:type="character" w:styleId="43">
    <w:name w:val="HTML Code"/>
    <w:basedOn w:val="34"/>
    <w:autoRedefine/>
    <w:qFormat/>
    <w:uiPriority w:val="0"/>
    <w:rPr>
      <w:rFonts w:ascii="微软雅黑" w:hAnsi="微软雅黑" w:eastAsia="微软雅黑" w:cs="微软雅黑"/>
      <w:color w:val="333333"/>
      <w:sz w:val="21"/>
      <w:szCs w:val="21"/>
    </w:rPr>
  </w:style>
  <w:style w:type="character" w:styleId="44">
    <w:name w:val="annotation reference"/>
    <w:autoRedefine/>
    <w:qFormat/>
    <w:uiPriority w:val="0"/>
    <w:rPr>
      <w:sz w:val="21"/>
    </w:rPr>
  </w:style>
  <w:style w:type="character" w:styleId="45">
    <w:name w:val="HTML Cite"/>
    <w:basedOn w:val="34"/>
    <w:autoRedefine/>
    <w:qFormat/>
    <w:uiPriority w:val="0"/>
  </w:style>
  <w:style w:type="paragraph" w:customStyle="1" w:styleId="46">
    <w:name w:val="1正文"/>
    <w:qFormat/>
    <w:uiPriority w:val="0"/>
    <w:pPr>
      <w:widowControl/>
      <w:suppressAutoHyphens w:val="0"/>
      <w:kinsoku/>
      <w:overflowPunct/>
      <w:bidi w:val="0"/>
      <w:snapToGrid w:val="0"/>
      <w:spacing w:beforeLines="0" w:beforeAutospacing="0" w:afterLines="0" w:afterAutospacing="0" w:line="360" w:lineRule="auto"/>
      <w:jc w:val="both"/>
    </w:pPr>
    <w:rPr>
      <w:rFonts w:ascii="Times New Roman" w:hAnsi="Times New Roman" w:eastAsia="宋体" w:cs="Times New Roman"/>
      <w:color w:val="auto"/>
      <w:kern w:val="2"/>
      <w:sz w:val="24"/>
      <w:szCs w:val="24"/>
      <w:lang w:val="en-US" w:eastAsia="zh-CN" w:bidi="ar-SA"/>
    </w:rPr>
  </w:style>
  <w:style w:type="paragraph" w:customStyle="1" w:styleId="47">
    <w:name w:val="Default"/>
    <w:basedOn w:val="48"/>
    <w:next w:val="1"/>
    <w:autoRedefine/>
    <w:qFormat/>
    <w:uiPriority w:val="99"/>
    <w:pPr>
      <w:widowControl w:val="0"/>
      <w:autoSpaceDE w:val="0"/>
      <w:autoSpaceDN w:val="0"/>
      <w:adjustRightInd w:val="0"/>
    </w:pPr>
    <w:rPr>
      <w:rFonts w:ascii="Calibri" w:hAnsi="Calibri" w:eastAsia="宋体" w:cs="Calibri"/>
      <w:color w:val="000000"/>
      <w:kern w:val="0"/>
      <w:sz w:val="24"/>
      <w:szCs w:val="24"/>
      <w:lang w:val="en-US" w:eastAsia="zh-CN" w:bidi="ar-SA"/>
    </w:rPr>
  </w:style>
  <w:style w:type="paragraph" w:customStyle="1" w:styleId="48">
    <w:name w:val="纯文本1"/>
    <w:basedOn w:val="1"/>
    <w:autoRedefine/>
    <w:qFormat/>
    <w:uiPriority w:val="0"/>
    <w:rPr>
      <w:rFonts w:ascii="宋体" w:hAnsi="Courier New"/>
    </w:rPr>
  </w:style>
  <w:style w:type="character" w:customStyle="1" w:styleId="49">
    <w:name w:val="正文文本 Char"/>
    <w:autoRedefine/>
    <w:qFormat/>
    <w:uiPriority w:val="0"/>
    <w:rPr>
      <w:sz w:val="18"/>
    </w:rPr>
  </w:style>
  <w:style w:type="character" w:customStyle="1" w:styleId="50">
    <w:name w:val="正文文本 Char1"/>
    <w:basedOn w:val="34"/>
    <w:link w:val="10"/>
    <w:autoRedefine/>
    <w:qFormat/>
    <w:uiPriority w:val="0"/>
    <w:rPr>
      <w:rFonts w:hint="default" w:ascii="Calibri" w:hAnsi="Calibri" w:cs="Calibri"/>
    </w:rPr>
  </w:style>
  <w:style w:type="character" w:customStyle="1" w:styleId="51">
    <w:name w:val="文档结构图 Char"/>
    <w:basedOn w:val="34"/>
    <w:link w:val="15"/>
    <w:autoRedefine/>
    <w:qFormat/>
    <w:uiPriority w:val="0"/>
    <w:rPr>
      <w:rFonts w:ascii="宋体"/>
      <w:kern w:val="2"/>
      <w:sz w:val="18"/>
      <w:szCs w:val="18"/>
    </w:rPr>
  </w:style>
  <w:style w:type="character" w:customStyle="1" w:styleId="52">
    <w:name w:val="批注文字 Char"/>
    <w:link w:val="16"/>
    <w:autoRedefine/>
    <w:qFormat/>
    <w:uiPriority w:val="0"/>
    <w:rPr>
      <w:rFonts w:ascii="Times New Roman" w:hAnsi="Times New Roman" w:eastAsia="宋体"/>
      <w:sz w:val="24"/>
    </w:rPr>
  </w:style>
  <w:style w:type="character" w:customStyle="1" w:styleId="53">
    <w:name w:val="正文文本缩进 Char"/>
    <w:link w:val="14"/>
    <w:autoRedefine/>
    <w:qFormat/>
    <w:uiPriority w:val="0"/>
    <w:rPr>
      <w:rFonts w:ascii="Times New Roman" w:hAnsi="Times New Roman" w:eastAsia="宋体"/>
      <w:sz w:val="24"/>
    </w:rPr>
  </w:style>
  <w:style w:type="character" w:customStyle="1" w:styleId="54">
    <w:name w:val="日期 Char"/>
    <w:link w:val="20"/>
    <w:autoRedefine/>
    <w:qFormat/>
    <w:uiPriority w:val="0"/>
    <w:rPr>
      <w:rFonts w:ascii="Times New Roman" w:hAnsi="Times New Roman" w:eastAsia="宋体"/>
      <w:sz w:val="24"/>
    </w:rPr>
  </w:style>
  <w:style w:type="character" w:customStyle="1" w:styleId="55">
    <w:name w:val="批注框文本 Char"/>
    <w:link w:val="22"/>
    <w:autoRedefine/>
    <w:qFormat/>
    <w:uiPriority w:val="0"/>
    <w:rPr>
      <w:rFonts w:ascii="Times New Roman" w:hAnsi="Times New Roman" w:eastAsia="宋体"/>
      <w:sz w:val="18"/>
    </w:rPr>
  </w:style>
  <w:style w:type="character" w:customStyle="1" w:styleId="56">
    <w:name w:val="页脚 Char"/>
    <w:link w:val="23"/>
    <w:autoRedefine/>
    <w:qFormat/>
    <w:uiPriority w:val="99"/>
    <w:rPr>
      <w:sz w:val="18"/>
    </w:rPr>
  </w:style>
  <w:style w:type="character" w:customStyle="1" w:styleId="57">
    <w:name w:val="页眉 Char1"/>
    <w:basedOn w:val="34"/>
    <w:link w:val="24"/>
    <w:autoRedefine/>
    <w:qFormat/>
    <w:uiPriority w:val="0"/>
    <w:rPr>
      <w:rFonts w:hint="default" w:ascii="Calibri" w:hAnsi="Calibri" w:cs="Calibri"/>
    </w:rPr>
  </w:style>
  <w:style w:type="character" w:customStyle="1" w:styleId="58">
    <w:name w:val="正文文本缩进 3 Char"/>
    <w:link w:val="27"/>
    <w:autoRedefine/>
    <w:qFormat/>
    <w:uiPriority w:val="0"/>
    <w:rPr>
      <w:sz w:val="16"/>
      <w:szCs w:val="16"/>
    </w:rPr>
  </w:style>
  <w:style w:type="character" w:customStyle="1" w:styleId="59">
    <w:name w:val="普通(网站) Char"/>
    <w:link w:val="29"/>
    <w:autoRedefine/>
    <w:qFormat/>
    <w:uiPriority w:val="0"/>
    <w:rPr>
      <w:rFonts w:ascii="宋体" w:hAnsi="宋体" w:eastAsia="宋体"/>
      <w:sz w:val="24"/>
    </w:rPr>
  </w:style>
  <w:style w:type="character" w:customStyle="1" w:styleId="60">
    <w:name w:val="批注主题 Char"/>
    <w:link w:val="31"/>
    <w:autoRedefine/>
    <w:qFormat/>
    <w:uiPriority w:val="0"/>
    <w:rPr>
      <w:rFonts w:ascii="Times New Roman" w:hAnsi="Times New Roman" w:eastAsia="宋体"/>
      <w:b/>
      <w:kern w:val="2"/>
      <w:sz w:val="24"/>
    </w:rPr>
  </w:style>
  <w:style w:type="paragraph" w:customStyle="1" w:styleId="61">
    <w:name w:val="表格"/>
    <w:basedOn w:val="62"/>
    <w:next w:val="1"/>
    <w:link w:val="63"/>
    <w:autoRedefine/>
    <w:qFormat/>
    <w:uiPriority w:val="0"/>
    <w:pPr>
      <w:adjustRightInd w:val="0"/>
      <w:snapToGrid w:val="0"/>
      <w:spacing w:beforeLines="10" w:afterLines="10" w:line="259" w:lineRule="auto"/>
      <w:jc w:val="center"/>
    </w:pPr>
    <w:rPr>
      <w:rFonts w:ascii="宋体"/>
      <w:kern w:val="0"/>
      <w:szCs w:val="20"/>
    </w:rPr>
  </w:style>
  <w:style w:type="paragraph" w:customStyle="1" w:styleId="62">
    <w:name w:val="表格式"/>
    <w:basedOn w:val="26"/>
    <w:qFormat/>
    <w:uiPriority w:val="0"/>
    <w:pPr>
      <w:spacing w:before="156" w:beforeLines="50" w:after="156" w:afterLines="50" w:line="240" w:lineRule="exact"/>
      <w:jc w:val="center"/>
    </w:pPr>
    <w:rPr>
      <w:rFonts w:ascii="Times New Roman" w:hAnsi="Times New Roman" w:eastAsia="宋体" w:cs="Times New Roman"/>
      <w:color w:val="000000"/>
      <w:szCs w:val="21"/>
    </w:rPr>
  </w:style>
  <w:style w:type="character" w:customStyle="1" w:styleId="63">
    <w:name w:val="表格 Char"/>
    <w:link w:val="61"/>
    <w:autoRedefine/>
    <w:qFormat/>
    <w:uiPriority w:val="0"/>
    <w:rPr>
      <w:rFonts w:ascii="宋体"/>
      <w:sz w:val="21"/>
    </w:rPr>
  </w:style>
  <w:style w:type="character" w:customStyle="1" w:styleId="64">
    <w:name w:val="页眉 Char"/>
    <w:autoRedefine/>
    <w:qFormat/>
    <w:uiPriority w:val="0"/>
    <w:rPr>
      <w:sz w:val="18"/>
    </w:rPr>
  </w:style>
  <w:style w:type="character" w:customStyle="1" w:styleId="65">
    <w:name w:val="页脚 字符"/>
    <w:basedOn w:val="34"/>
    <w:autoRedefine/>
    <w:qFormat/>
    <w:uiPriority w:val="99"/>
  </w:style>
  <w:style w:type="character" w:customStyle="1" w:styleId="66">
    <w:name w:val="font11"/>
    <w:basedOn w:val="34"/>
    <w:autoRedefine/>
    <w:qFormat/>
    <w:uiPriority w:val="0"/>
    <w:rPr>
      <w:rFonts w:hint="default" w:ascii="Times New Roman" w:hAnsi="Times New Roman" w:cs="Times New Roman"/>
      <w:color w:val="000000"/>
      <w:sz w:val="21"/>
      <w:szCs w:val="21"/>
      <w:u w:val="none"/>
    </w:rPr>
  </w:style>
  <w:style w:type="character" w:customStyle="1" w:styleId="67">
    <w:name w:val="正文文本 字符1"/>
    <w:autoRedefine/>
    <w:qFormat/>
    <w:uiPriority w:val="0"/>
    <w:rPr>
      <w:rFonts w:ascii="Times New Roman" w:hAnsi="Times New Roman" w:eastAsia="宋体"/>
      <w:sz w:val="24"/>
    </w:rPr>
  </w:style>
  <w:style w:type="character" w:customStyle="1" w:styleId="68">
    <w:name w:val="font41"/>
    <w:basedOn w:val="34"/>
    <w:autoRedefine/>
    <w:qFormat/>
    <w:uiPriority w:val="0"/>
    <w:rPr>
      <w:rFonts w:hint="default" w:ascii="Times New Roman" w:hAnsi="Times New Roman" w:cs="Times New Roman"/>
      <w:color w:val="000000"/>
      <w:sz w:val="21"/>
      <w:szCs w:val="21"/>
      <w:u w:val="none"/>
      <w:vertAlign w:val="subscript"/>
    </w:rPr>
  </w:style>
  <w:style w:type="character" w:customStyle="1" w:styleId="69">
    <w:name w:val="日期 字符"/>
    <w:autoRedefine/>
    <w:qFormat/>
    <w:uiPriority w:val="0"/>
    <w:rPr>
      <w:rFonts w:ascii="Times New Roman" w:hAnsi="Times New Roman" w:eastAsia="宋体"/>
      <w:sz w:val="24"/>
    </w:rPr>
  </w:style>
  <w:style w:type="character" w:customStyle="1" w:styleId="70">
    <w:name w:val="批注文字 字符1"/>
    <w:autoRedefine/>
    <w:qFormat/>
    <w:uiPriority w:val="0"/>
    <w:rPr>
      <w:rFonts w:ascii="Times New Roman" w:hAnsi="Times New Roman" w:eastAsia="宋体"/>
      <w:sz w:val="24"/>
    </w:rPr>
  </w:style>
  <w:style w:type="paragraph" w:customStyle="1" w:styleId="71">
    <w:name w:val="正文（用）"/>
    <w:basedOn w:val="1"/>
    <w:autoRedefine/>
    <w:qFormat/>
    <w:uiPriority w:val="0"/>
    <w:pPr>
      <w:ind w:firstLine="480" w:firstLineChars="200"/>
      <w:jc w:val="left"/>
    </w:pPr>
    <w:rPr>
      <w:rFonts w:ascii="宋体" w:hAnsi="宋体" w:cs="宋体"/>
    </w:rPr>
  </w:style>
  <w:style w:type="paragraph" w:customStyle="1" w:styleId="72">
    <w:name w:val="样式 表头 + 段后: 0.2 行"/>
    <w:basedOn w:val="73"/>
    <w:autoRedefine/>
    <w:qFormat/>
    <w:uiPriority w:val="0"/>
    <w:pPr>
      <w:tabs>
        <w:tab w:val="left" w:pos="1021"/>
      </w:tabs>
      <w:spacing w:line="240" w:lineRule="auto"/>
    </w:pPr>
    <w:rPr>
      <w:color w:val="000000"/>
    </w:rPr>
  </w:style>
  <w:style w:type="paragraph" w:customStyle="1" w:styleId="73">
    <w:name w:val="表头"/>
    <w:basedOn w:val="1"/>
    <w:autoRedefine/>
    <w:qFormat/>
    <w:uiPriority w:val="0"/>
    <w:pPr>
      <w:tabs>
        <w:tab w:val="left" w:pos="1021"/>
      </w:tabs>
      <w:spacing w:before="60" w:after="120" w:line="440" w:lineRule="exact"/>
      <w:ind w:firstLine="1903" w:firstLineChars="790"/>
    </w:pPr>
    <w:rPr>
      <w:rFonts w:cs="宋体"/>
      <w:b/>
      <w:kern w:val="24"/>
      <w:szCs w:val="24"/>
      <w:lang w:val="zh-CN"/>
    </w:rPr>
  </w:style>
  <w:style w:type="paragraph" w:customStyle="1" w:styleId="74">
    <w:name w:val="样式 标题 2H2He + 首行缩进:  0.5 字符"/>
    <w:basedOn w:val="3"/>
    <w:autoRedefine/>
    <w:qFormat/>
    <w:uiPriority w:val="0"/>
    <w:pPr>
      <w:keepNext w:val="0"/>
      <w:keepLines w:val="0"/>
      <w:tabs>
        <w:tab w:val="left" w:pos="648"/>
      </w:tabs>
      <w:overflowPunct w:val="0"/>
      <w:autoSpaceDE w:val="0"/>
      <w:autoSpaceDN w:val="0"/>
      <w:adjustRightInd w:val="0"/>
      <w:spacing w:before="40" w:after="40" w:line="400" w:lineRule="exact"/>
      <w:ind w:firstLine="221" w:firstLineChars="50"/>
      <w:textAlignment w:val="baseline"/>
    </w:pPr>
    <w:rPr>
      <w:rFonts w:ascii="宋体" w:hAnsi="宋体" w:eastAsia="宋体" w:cs="宋体"/>
      <w:bCs w:val="0"/>
      <w:color w:val="000000"/>
      <w:kern w:val="32"/>
      <w:szCs w:val="20"/>
    </w:rPr>
  </w:style>
  <w:style w:type="paragraph" w:customStyle="1" w:styleId="75">
    <w:name w:val="表第一列"/>
    <w:basedOn w:val="9"/>
    <w:autoRedefine/>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Times New Roman" w:hAnsi="Times New Roman"/>
      <w:b/>
      <w:color w:val="000000"/>
      <w:spacing w:val="-6"/>
      <w:sz w:val="24"/>
    </w:rPr>
  </w:style>
  <w:style w:type="paragraph" w:customStyle="1" w:styleId="76">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77">
    <w:name w:val="123456"/>
    <w:basedOn w:val="1"/>
    <w:autoRedefine/>
    <w:qFormat/>
    <w:uiPriority w:val="0"/>
    <w:pPr>
      <w:spacing w:line="440" w:lineRule="exact"/>
      <w:ind w:firstLine="480" w:firstLineChars="200"/>
    </w:pPr>
    <w:rPr>
      <w:bCs/>
      <w:sz w:val="24"/>
    </w:rPr>
  </w:style>
  <w:style w:type="paragraph" w:customStyle="1" w:styleId="78">
    <w:name w:val="表格文字"/>
    <w:basedOn w:val="79"/>
    <w:next w:val="1"/>
    <w:autoRedefine/>
    <w:qFormat/>
    <w:uiPriority w:val="0"/>
    <w:pPr>
      <w:adjustRightInd w:val="0"/>
      <w:snapToGrid w:val="0"/>
      <w:spacing w:after="0"/>
      <w:ind w:firstLine="0" w:firstLineChars="0"/>
      <w:jc w:val="center"/>
    </w:pPr>
    <w:rPr>
      <w:kern w:val="2"/>
      <w:sz w:val="21"/>
      <w:szCs w:val="20"/>
      <w:lang w:val="en-US" w:eastAsia="zh-CN"/>
    </w:rPr>
  </w:style>
  <w:style w:type="paragraph" w:customStyle="1" w:styleId="79">
    <w:name w:val="正文格式"/>
    <w:basedOn w:val="1"/>
    <w:qFormat/>
    <w:uiPriority w:val="0"/>
    <w:pPr>
      <w:spacing w:line="360" w:lineRule="auto"/>
      <w:ind w:firstLine="560" w:firstLineChars="200"/>
    </w:pPr>
    <w:rPr>
      <w:rFonts w:ascii="宋体" w:hAnsi="宋体"/>
      <w:sz w:val="28"/>
      <w:szCs w:val="28"/>
    </w:rPr>
  </w:style>
  <w:style w:type="paragraph" w:customStyle="1" w:styleId="80">
    <w:name w:val="1文章"/>
    <w:basedOn w:val="1"/>
    <w:autoRedefine/>
    <w:qFormat/>
    <w:uiPriority w:val="0"/>
    <w:pPr>
      <w:snapToGrid w:val="0"/>
      <w:spacing w:line="360" w:lineRule="auto"/>
      <w:ind w:firstLine="573"/>
    </w:pPr>
    <w:rPr>
      <w:rFonts w:eastAsia="仿宋_GB2312"/>
      <w:sz w:val="28"/>
    </w:rPr>
  </w:style>
  <w:style w:type="paragraph" w:customStyle="1" w:styleId="81">
    <w:name w:val="az"/>
    <w:autoRedefine/>
    <w:qFormat/>
    <w:uiPriority w:val="0"/>
    <w:pPr>
      <w:jc w:val="center"/>
    </w:pPr>
    <w:rPr>
      <w:rFonts w:ascii="Times New Roman" w:hAnsi="Times New Roman" w:eastAsia="宋体" w:cs="Times New Roman"/>
      <w:color w:val="000000"/>
      <w:sz w:val="21"/>
      <w:szCs w:val="21"/>
      <w:lang w:val="en-US" w:eastAsia="zh-CN" w:bidi="ar-SA"/>
    </w:rPr>
  </w:style>
  <w:style w:type="paragraph" w:customStyle="1" w:styleId="82">
    <w:name w:val="A正文1"/>
    <w:basedOn w:val="1"/>
    <w:autoRedefine/>
    <w:qFormat/>
    <w:uiPriority w:val="0"/>
    <w:pPr>
      <w:spacing w:line="360" w:lineRule="auto"/>
      <w:ind w:firstLine="480" w:firstLineChars="200"/>
    </w:pPr>
    <w:rPr>
      <w:sz w:val="24"/>
      <w:szCs w:val="28"/>
    </w:rPr>
  </w:style>
  <w:style w:type="paragraph" w:customStyle="1" w:styleId="83">
    <w:name w:val="表内容"/>
    <w:basedOn w:val="1"/>
    <w:autoRedefine/>
    <w:qFormat/>
    <w:uiPriority w:val="0"/>
    <w:pPr>
      <w:spacing w:line="240" w:lineRule="auto"/>
      <w:ind w:left="0" w:right="0" w:firstLine="0" w:firstLineChars="0"/>
      <w:jc w:val="both"/>
    </w:pPr>
    <w:rPr>
      <w:sz w:val="21"/>
    </w:rPr>
  </w:style>
  <w:style w:type="paragraph" w:customStyle="1" w:styleId="84">
    <w:name w:val="B表头"/>
    <w:basedOn w:val="1"/>
    <w:autoRedefine/>
    <w:qFormat/>
    <w:uiPriority w:val="0"/>
    <w:pPr>
      <w:spacing w:before="78" w:beforeLines="25" w:after="78" w:afterLines="25"/>
      <w:jc w:val="center"/>
    </w:pPr>
    <w:rPr>
      <w:b/>
      <w:bCs/>
      <w:color w:val="000000"/>
      <w:sz w:val="24"/>
      <w:szCs w:val="28"/>
      <w:lang w:bidi="en-US"/>
    </w:rPr>
  </w:style>
  <w:style w:type="paragraph" w:customStyle="1" w:styleId="85">
    <w:name w:val="表格正本"/>
    <w:basedOn w:val="1"/>
    <w:autoRedefine/>
    <w:qFormat/>
    <w:uiPriority w:val="1"/>
    <w:pPr>
      <w:spacing w:line="360" w:lineRule="auto"/>
      <w:ind w:firstLine="480" w:firstLineChars="200"/>
      <w:jc w:val="both"/>
    </w:pPr>
  </w:style>
  <w:style w:type="paragraph" w:customStyle="1" w:styleId="86">
    <w:name w:val="正文LD"/>
    <w:basedOn w:val="1"/>
    <w:autoRedefine/>
    <w:qFormat/>
    <w:uiPriority w:val="0"/>
    <w:pPr>
      <w:tabs>
        <w:tab w:val="left" w:pos="0"/>
      </w:tabs>
      <w:spacing w:line="360" w:lineRule="auto"/>
      <w:ind w:firstLine="480" w:firstLineChars="200"/>
    </w:pPr>
    <w:rPr>
      <w:rFonts w:ascii="Century Gothic" w:hAnsi="Century Gothic"/>
      <w:szCs w:val="20"/>
    </w:rPr>
  </w:style>
  <w:style w:type="paragraph" w:customStyle="1" w:styleId="87">
    <w:name w:val="表题"/>
    <w:basedOn w:val="1"/>
    <w:autoRedefine/>
    <w:qFormat/>
    <w:uiPriority w:val="0"/>
    <w:pPr>
      <w:spacing w:before="100" w:beforeLines="100" w:after="50" w:afterLines="50" w:line="240" w:lineRule="auto"/>
      <w:ind w:firstLine="0" w:firstLineChars="0"/>
      <w:jc w:val="center"/>
    </w:pPr>
    <w:rPr>
      <w:rFonts w:ascii="Times New Roman" w:hAnsi="Times New Roman"/>
      <w:b/>
      <w:sz w:val="21"/>
    </w:rPr>
  </w:style>
  <w:style w:type="paragraph" w:customStyle="1" w:styleId="88">
    <w:name w:val="【正文】"/>
    <w:basedOn w:val="1"/>
    <w:autoRedefine/>
    <w:qFormat/>
    <w:uiPriority w:val="0"/>
    <w:pPr>
      <w:spacing w:line="440" w:lineRule="exact"/>
      <w:ind w:firstLine="544" w:firstLineChars="200"/>
    </w:pPr>
    <w:rPr>
      <w:sz w:val="24"/>
      <w:szCs w:val="20"/>
    </w:rPr>
  </w:style>
  <w:style w:type="paragraph" w:customStyle="1" w:styleId="89">
    <w:name w:val="5级标题"/>
    <w:basedOn w:val="1"/>
    <w:autoRedefine/>
    <w:qFormat/>
    <w:uiPriority w:val="0"/>
    <w:pPr>
      <w:spacing w:line="360" w:lineRule="auto"/>
      <w:jc w:val="left"/>
    </w:pPr>
    <w:rPr>
      <w:rFonts w:ascii="Calibri" w:hAnsi="Calibri" w:eastAsia="宋体" w:cs="Times New Roman"/>
      <w:sz w:val="24"/>
      <w:szCs w:val="22"/>
    </w:rPr>
  </w:style>
  <w:style w:type="paragraph" w:customStyle="1" w:styleId="90">
    <w:name w:val="B正文"/>
    <w:basedOn w:val="1"/>
    <w:autoRedefine/>
    <w:qFormat/>
    <w:uiPriority w:val="0"/>
    <w:pPr>
      <w:spacing w:line="240" w:lineRule="exact"/>
      <w:jc w:val="center"/>
    </w:pPr>
    <w:rPr>
      <w:szCs w:val="28"/>
    </w:rPr>
  </w:style>
  <w:style w:type="paragraph" w:customStyle="1" w:styleId="91">
    <w:name w:val="表格内容"/>
    <w:basedOn w:val="1"/>
    <w:autoRedefine/>
    <w:qFormat/>
    <w:uiPriority w:val="0"/>
    <w:pPr>
      <w:overflowPunct w:val="0"/>
      <w:adjustRightInd w:val="0"/>
      <w:snapToGrid w:val="0"/>
      <w:jc w:val="center"/>
      <w:textAlignment w:val="baseline"/>
    </w:pPr>
    <w:rPr>
      <w:snapToGrid w:val="0"/>
      <w:kern w:val="0"/>
      <w:szCs w:val="20"/>
      <w:lang w:val="zh-CN" w:eastAsia="zh-CN"/>
    </w:rPr>
  </w:style>
  <w:style w:type="paragraph" w:customStyle="1" w:styleId="92">
    <w:name w:val="图表标题"/>
    <w:next w:val="1"/>
    <w:autoRedefine/>
    <w:qFormat/>
    <w:uiPriority w:val="0"/>
    <w:pPr>
      <w:spacing w:line="360" w:lineRule="auto"/>
      <w:jc w:val="center"/>
    </w:pPr>
    <w:rPr>
      <w:rFonts w:ascii="Times New Roman" w:hAnsi="Times New Roman" w:eastAsia="黑体" w:cs="Times New Roman"/>
      <w:kern w:val="2"/>
      <w:sz w:val="24"/>
      <w:szCs w:val="22"/>
      <w:lang w:val="en-US" w:eastAsia="zh-CN" w:bidi="ar-SA"/>
    </w:rPr>
  </w:style>
  <w:style w:type="paragraph" w:customStyle="1" w:styleId="93">
    <w:name w:val="样式 宋体 小四 行距: 固定值 26 磅"/>
    <w:basedOn w:val="1"/>
    <w:autoRedefine/>
    <w:qFormat/>
    <w:uiPriority w:val="0"/>
    <w:pPr>
      <w:spacing w:line="520" w:lineRule="exact"/>
      <w:ind w:firstLine="480" w:firstLineChars="200"/>
    </w:pPr>
    <w:rPr>
      <w:rFonts w:cs="宋体"/>
    </w:rPr>
  </w:style>
  <w:style w:type="paragraph" w:customStyle="1" w:styleId="94">
    <w:name w:val="Other|1"/>
    <w:basedOn w:val="1"/>
    <w:autoRedefine/>
    <w:qFormat/>
    <w:uiPriority w:val="0"/>
    <w:pPr>
      <w:widowControl w:val="0"/>
      <w:shd w:val="clear" w:color="auto" w:fill="auto"/>
      <w:spacing w:line="276" w:lineRule="exact"/>
    </w:pPr>
    <w:rPr>
      <w:rFonts w:ascii="宋体" w:hAnsi="宋体" w:eastAsia="宋体" w:cs="宋体"/>
      <w:sz w:val="22"/>
      <w:szCs w:val="22"/>
      <w:u w:val="none"/>
      <w:shd w:val="clear" w:color="auto" w:fill="auto"/>
      <w:lang w:val="zh-TW" w:eastAsia="zh-TW" w:bidi="zh-TW"/>
    </w:rPr>
  </w:style>
  <w:style w:type="paragraph" w:customStyle="1" w:styleId="95">
    <w:name w:val="报告正文"/>
    <w:basedOn w:val="1"/>
    <w:autoRedefine/>
    <w:qFormat/>
    <w:uiPriority w:val="0"/>
    <w:pPr>
      <w:adjustRightInd w:val="0"/>
      <w:snapToGrid w:val="0"/>
      <w:spacing w:line="360" w:lineRule="auto"/>
      <w:ind w:firstLine="200" w:firstLineChars="200"/>
    </w:pPr>
    <w:rPr>
      <w:rFonts w:ascii="Times New Roman" w:hAnsi="Times New Roman"/>
      <w:sz w:val="24"/>
    </w:rPr>
  </w:style>
  <w:style w:type="paragraph" w:customStyle="1" w:styleId="96">
    <w:name w:val="表头2"/>
    <w:basedOn w:val="71"/>
    <w:autoRedefine/>
    <w:qFormat/>
    <w:uiPriority w:val="0"/>
    <w:pPr>
      <w:spacing w:beforeLines="50" w:afterLines="50" w:line="240" w:lineRule="auto"/>
      <w:ind w:firstLine="0" w:firstLineChars="0"/>
      <w:jc w:val="center"/>
    </w:pPr>
    <w:rPr>
      <w:rFonts w:ascii="Times New Roman" w:hAnsi="Times New Roman" w:eastAsia="宋体" w:cs="Times New Roman"/>
      <w:b/>
      <w:bCs/>
      <w:sz w:val="21"/>
      <w:szCs w:val="21"/>
    </w:rPr>
  </w:style>
  <w:style w:type="paragraph" w:customStyle="1" w:styleId="97">
    <w:name w:val="表格正文"/>
    <w:next w:val="1"/>
    <w:autoRedefine/>
    <w:qFormat/>
    <w:uiPriority w:val="0"/>
    <w:pPr>
      <w:widowControl w:val="0"/>
      <w:autoSpaceDE w:val="0"/>
      <w:autoSpaceDN w:val="0"/>
      <w:adjustRightInd w:val="0"/>
      <w:snapToGrid w:val="0"/>
      <w:jc w:val="center"/>
      <w:textAlignment w:val="center"/>
    </w:pPr>
    <w:rPr>
      <w:rFonts w:ascii="Calibri" w:hAnsi="宋体" w:eastAsia="Calibri" w:cs="Times New Roman"/>
      <w:bCs/>
      <w:spacing w:val="-4"/>
      <w:sz w:val="21"/>
      <w:szCs w:val="21"/>
      <w:lang w:val="en-US" w:eastAsia="zh-CN" w:bidi="ar-SA"/>
    </w:rPr>
  </w:style>
  <w:style w:type="paragraph" w:customStyle="1" w:styleId="98">
    <w:name w:val="1表格"/>
    <w:basedOn w:val="1"/>
    <w:autoRedefine/>
    <w:qFormat/>
    <w:uiPriority w:val="0"/>
    <w:pPr>
      <w:adjustRightInd w:val="0"/>
      <w:snapToGrid w:val="0"/>
      <w:spacing w:line="240" w:lineRule="auto"/>
      <w:jc w:val="center"/>
    </w:pPr>
    <w:rPr>
      <w:rFonts w:ascii="Times New Roman" w:hAnsi="Times New Roman"/>
      <w:sz w:val="21"/>
      <w:szCs w:val="20"/>
    </w:rPr>
  </w:style>
  <w:style w:type="paragraph" w:customStyle="1" w:styleId="99">
    <w:name w:val="样式9"/>
    <w:basedOn w:val="1"/>
    <w:autoRedefine/>
    <w:qFormat/>
    <w:uiPriority w:val="0"/>
    <w:pPr>
      <w:adjustRightInd w:val="0"/>
      <w:snapToGrid w:val="0"/>
      <w:spacing w:line="460" w:lineRule="exact"/>
      <w:ind w:firstLine="520" w:firstLineChars="200"/>
    </w:pPr>
    <w:rPr>
      <w:sz w:val="26"/>
      <w:szCs w:val="26"/>
    </w:rPr>
  </w:style>
  <w:style w:type="paragraph" w:customStyle="1" w:styleId="100">
    <w:name w:val="正文古"/>
    <w:basedOn w:val="1"/>
    <w:autoRedefine/>
    <w:qFormat/>
    <w:uiPriority w:val="0"/>
    <w:pPr>
      <w:snapToGrid w:val="0"/>
      <w:ind w:firstLine="200"/>
    </w:pPr>
    <w:rPr>
      <w:rFonts w:cs="Times New Roman"/>
      <w:kern w:val="0"/>
      <w:szCs w:val="24"/>
    </w:rPr>
  </w:style>
  <w:style w:type="paragraph" w:customStyle="1" w:styleId="101">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2">
    <w:name w:val="环评正文"/>
    <w:basedOn w:val="1"/>
    <w:autoRedefine/>
    <w:qFormat/>
    <w:uiPriority w:val="0"/>
    <w:pPr>
      <w:framePr w:wrap="around" w:vAnchor="text" w:hAnchor="text" w:y="1"/>
    </w:pPr>
    <w:rPr>
      <w:rFonts w:cs="Times New Roman"/>
      <w:bCs/>
    </w:rPr>
  </w:style>
  <w:style w:type="paragraph" w:customStyle="1" w:styleId="103">
    <w:name w:val="表 头"/>
    <w:basedOn w:val="1"/>
    <w:autoRedefine/>
    <w:qFormat/>
    <w:uiPriority w:val="0"/>
    <w:pPr>
      <w:spacing w:line="360" w:lineRule="auto"/>
      <w:ind w:left="0" w:firstLine="0"/>
      <w:jc w:val="center"/>
    </w:pPr>
    <w:rPr>
      <w:b/>
      <w:sz w:val="21"/>
    </w:rPr>
  </w:style>
  <w:style w:type="paragraph" w:customStyle="1" w:styleId="104">
    <w:name w:val="表头文字"/>
    <w:basedOn w:val="10"/>
    <w:autoRedefine/>
    <w:qFormat/>
    <w:uiPriority w:val="0"/>
    <w:pPr>
      <w:spacing w:after="0" w:line="240" w:lineRule="auto"/>
      <w:jc w:val="center"/>
    </w:pPr>
    <w:rPr>
      <w:rFonts w:ascii="Times New Roman" w:hAnsi="Times New Roman"/>
      <w:b/>
      <w:sz w:val="21"/>
    </w:rPr>
  </w:style>
  <w:style w:type="paragraph" w:customStyle="1" w:styleId="105">
    <w:name w:val="Table Paragraph"/>
    <w:basedOn w:val="1"/>
    <w:autoRedefine/>
    <w:qFormat/>
    <w:uiPriority w:val="1"/>
    <w:pPr>
      <w:jc w:val="left"/>
    </w:pPr>
    <w:rPr>
      <w:rFonts w:ascii="Calibri" w:hAnsi="Calibri" w:eastAsia="宋体" w:cs="Times New Roman"/>
      <w:kern w:val="0"/>
      <w:sz w:val="22"/>
      <w:szCs w:val="22"/>
      <w:lang w:eastAsia="en-US"/>
    </w:rPr>
  </w:style>
  <w:style w:type="paragraph" w:customStyle="1" w:styleId="106">
    <w:name w:val="正文_3_0"/>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07">
    <w:name w:val="edri-正文"/>
    <w:basedOn w:val="1"/>
    <w:autoRedefine/>
    <w:qFormat/>
    <w:uiPriority w:val="0"/>
    <w:pPr>
      <w:adjustRightInd w:val="0"/>
      <w:jc w:val="center"/>
      <w:textAlignment w:val="baseline"/>
    </w:pPr>
    <w:rPr>
      <w:rFonts w:ascii="黑体" w:eastAsia="黑体"/>
      <w:snapToGrid w:val="0"/>
      <w:kern w:val="0"/>
      <w:szCs w:val="20"/>
    </w:rPr>
  </w:style>
  <w:style w:type="character" w:customStyle="1" w:styleId="108">
    <w:name w:val="hover27"/>
    <w:basedOn w:val="34"/>
    <w:autoRedefine/>
    <w:qFormat/>
    <w:uiPriority w:val="0"/>
  </w:style>
  <w:style w:type="character" w:customStyle="1" w:styleId="109">
    <w:name w:val="bsharetext"/>
    <w:basedOn w:val="34"/>
    <w:autoRedefine/>
    <w:qFormat/>
    <w:uiPriority w:val="0"/>
  </w:style>
  <w:style w:type="paragraph" w:customStyle="1" w:styleId="110">
    <w:name w:val="样式 正文文本缩进 3 + 12 磅 左侧:  2 字符"/>
    <w:basedOn w:val="27"/>
    <w:autoRedefine/>
    <w:qFormat/>
    <w:uiPriority w:val="0"/>
    <w:pPr>
      <w:widowControl/>
      <w:spacing w:after="120" w:line="360" w:lineRule="auto"/>
      <w:ind w:firstLine="200" w:firstLineChars="200"/>
      <w:jc w:val="left"/>
    </w:pPr>
    <w:rPr>
      <w:rFonts w:cs="PMingLiU"/>
      <w:kern w:val="0"/>
      <w:szCs w:val="20"/>
    </w:rPr>
  </w:style>
  <w:style w:type="paragraph" w:customStyle="1" w:styleId="111">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112">
    <w:name w:val="样式 样式 (西文) Times New Roman (中文) 宋体 小四 段前: 6 磅 行距: 固定值 26 磅 + (符号..."/>
    <w:basedOn w:val="113"/>
    <w:autoRedefine/>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Times New Roman" w:eastAsia="宋体" w:cs="宋体"/>
      <w:kern w:val="0"/>
      <w:sz w:val="24"/>
      <w:szCs w:val="24"/>
      <w:lang w:val="en-US" w:eastAsia="zh-CN"/>
    </w:rPr>
  </w:style>
  <w:style w:type="paragraph" w:customStyle="1" w:styleId="113">
    <w:name w:val="样式 (西文) Times New Roman (中文) 宋体 小四 段前: 6 磅 行距: 固定值 26 磅"/>
    <w:basedOn w:val="1"/>
    <w:autoRedefine/>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Times New Roman" w:hAnsi="宋体" w:eastAsia="宋体" w:cs="宋体"/>
      <w:kern w:val="2"/>
      <w:sz w:val="24"/>
      <w:szCs w:val="24"/>
      <w:lang w:val="en-US" w:eastAsia="zh-CN"/>
    </w:rPr>
  </w:style>
  <w:style w:type="character" w:customStyle="1" w:styleId="114">
    <w:name w:val="dropselect_box"/>
    <w:basedOn w:val="34"/>
    <w:qFormat/>
    <w:uiPriority w:val="0"/>
  </w:style>
  <w:style w:type="paragraph" w:customStyle="1" w:styleId="115">
    <w:name w:val="报告书正文"/>
    <w:basedOn w:val="1"/>
    <w:qFormat/>
    <w:uiPriority w:val="0"/>
    <w:pPr>
      <w:spacing w:line="360" w:lineRule="auto"/>
      <w:ind w:firstLine="200" w:firstLineChars="200"/>
    </w:pPr>
    <w:rPr>
      <w:rFonts w:ascii="Times New Roman" w:hAnsi="Times New Roman"/>
      <w:kern w:val="0"/>
      <w:sz w:val="24"/>
    </w:rPr>
  </w:style>
  <w:style w:type="paragraph" w:customStyle="1" w:styleId="116">
    <w:name w:val="WPSOffice手动目录 1"/>
    <w:qFormat/>
    <w:uiPriority w:val="0"/>
    <w:rPr>
      <w:rFonts w:ascii="Times New Roman" w:hAnsi="Times New Roman" w:eastAsia="宋体" w:cs="Times New Roman"/>
      <w:lang w:val="en-US" w:eastAsia="zh-CN" w:bidi="ar-SA"/>
    </w:rPr>
  </w:style>
  <w:style w:type="table" w:customStyle="1" w:styleId="117">
    <w:name w:val="样式1"/>
    <w:basedOn w:val="32"/>
    <w:qFormat/>
    <w:uiPriority w:val="99"/>
    <w:pPr>
      <w:jc w:val="center"/>
    </w:pPr>
    <w:rPr>
      <w:sz w:val="18"/>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118">
    <w:name w:val="acee正文"/>
    <w:basedOn w:val="1"/>
    <w:qFormat/>
    <w:uiPriority w:val="0"/>
    <w:pPr>
      <w:spacing w:line="480" w:lineRule="exact"/>
      <w:ind w:firstLine="640" w:firstLineChars="200"/>
    </w:pPr>
    <w:rPr>
      <w:rFonts w:ascii="仿宋_GB2312" w:hAnsi="宋体" w:eastAsia="仿宋_GB2312"/>
      <w:sz w:val="32"/>
    </w:rPr>
  </w:style>
  <w:style w:type="paragraph" w:customStyle="1" w:styleId="119">
    <w:name w:val="表名"/>
    <w:basedOn w:val="1"/>
    <w:qFormat/>
    <w:uiPriority w:val="0"/>
    <w:pPr>
      <w:spacing w:line="324" w:lineRule="auto"/>
      <w:jc w:val="center"/>
      <w:outlineLvl w:val="4"/>
    </w:pPr>
    <w:rPr>
      <w:rFonts w:hint="eastAsia"/>
      <w:b/>
      <w:sz w:val="24"/>
      <w:szCs w:val="24"/>
    </w:rPr>
  </w:style>
  <w:style w:type="paragraph" w:customStyle="1" w:styleId="120">
    <w:name w:val="表 图 单位"/>
    <w:basedOn w:val="1"/>
    <w:autoRedefine/>
    <w:qFormat/>
    <w:uiPriority w:val="0"/>
    <w:pPr>
      <w:jc w:val="right"/>
    </w:pPr>
    <w:rPr>
      <w:rFonts w:hint="default"/>
      <w:sz w:val="18"/>
      <w:szCs w:val="21"/>
    </w:rPr>
  </w:style>
  <w:style w:type="paragraph" w:customStyle="1" w:styleId="121">
    <w:name w:val="表文"/>
    <w:basedOn w:val="1"/>
    <w:qFormat/>
    <w:uiPriority w:val="0"/>
    <w:pPr>
      <w:overflowPunct w:val="0"/>
      <w:autoSpaceDE w:val="0"/>
      <w:autoSpaceDN w:val="0"/>
      <w:adjustRightInd w:val="0"/>
      <w:jc w:val="center"/>
      <w:textAlignment w:val="baseline"/>
    </w:pPr>
    <w:rPr>
      <w:rFonts w:hint="default"/>
      <w:sz w:val="20"/>
      <w:szCs w:val="21"/>
      <w:lang w:val="zh-CN"/>
    </w:rPr>
  </w:style>
  <w:style w:type="paragraph" w:customStyle="1" w:styleId="122">
    <w:name w:val="!正文"/>
    <w:basedOn w:val="1"/>
    <w:qFormat/>
    <w:uiPriority w:val="0"/>
    <w:pPr>
      <w:spacing w:line="480" w:lineRule="exact"/>
      <w:ind w:firstLine="480" w:firstLineChars="200"/>
    </w:pPr>
    <w:rPr>
      <w:rFonts w:hint="default" w:hAnsi="宋体" w:cs="宋体"/>
      <w:sz w:val="21"/>
      <w:szCs w:val="24"/>
    </w:rPr>
  </w:style>
  <w:style w:type="paragraph" w:customStyle="1" w:styleId="123">
    <w:name w:val="文本"/>
    <w:basedOn w:val="1"/>
    <w:next w:val="1"/>
    <w:qFormat/>
    <w:uiPriority w:val="0"/>
    <w:pPr>
      <w:autoSpaceDE w:val="0"/>
      <w:autoSpaceDN w:val="0"/>
      <w:ind w:firstLine="480"/>
    </w:pPr>
    <w:rPr>
      <w:rFonts w:hint="default"/>
      <w:sz w:val="21"/>
      <w:szCs w:val="24"/>
      <w:lang w:val="zh-CN"/>
    </w:rPr>
  </w:style>
  <w:style w:type="paragraph" w:customStyle="1" w:styleId="124">
    <w:name w:val="正文-易恒"/>
    <w:basedOn w:val="1"/>
    <w:qFormat/>
    <w:uiPriority w:val="0"/>
    <w:pPr>
      <w:spacing w:line="360" w:lineRule="auto"/>
    </w:pPr>
    <w:rPr>
      <w:rFonts w:ascii="Times New Roman" w:hAnsi="Times New Roman" w:eastAsia="宋体" w:cs="Times New Roman"/>
      <w:sz w:val="24"/>
      <w:szCs w:val="24"/>
    </w:rPr>
  </w:style>
  <w:style w:type="paragraph" w:customStyle="1" w:styleId="125">
    <w:name w:val="Table Text"/>
    <w:basedOn w:val="1"/>
    <w:qFormat/>
    <w:uiPriority w:val="0"/>
    <w:rPr>
      <w:rFonts w:ascii="微软雅黑" w:hAnsi="微软雅黑" w:eastAsia="微软雅黑" w:cs="微软雅黑"/>
      <w:sz w:val="22"/>
      <w:szCs w:val="22"/>
      <w:lang w:val="en-US" w:eastAsia="en-US" w:bidi="ar-SA"/>
    </w:rPr>
  </w:style>
  <w:style w:type="table" w:customStyle="1" w:styleId="126">
    <w:name w:val="Table Normal"/>
    <w:qFormat/>
    <w:uiPriority w:val="0"/>
    <w:tblPr>
      <w:tblCellMar>
        <w:top w:w="0" w:type="dxa"/>
        <w:left w:w="0" w:type="dxa"/>
        <w:bottom w:w="0" w:type="dxa"/>
        <w:right w:w="0" w:type="dxa"/>
      </w:tblCellMar>
    </w:tblPr>
  </w:style>
  <w:style w:type="paragraph" w:customStyle="1" w:styleId="127">
    <w:name w:val="表头格式"/>
    <w:basedOn w:val="1"/>
    <w:qFormat/>
    <w:uiPriority w:val="0"/>
    <w:pPr>
      <w:widowControl/>
      <w:wordWrap/>
      <w:spacing w:line="240" w:lineRule="auto"/>
      <w:ind w:firstLine="0" w:firstLineChars="0"/>
      <w:jc w:val="center"/>
    </w:pPr>
    <w:rPr>
      <w:rFonts w:ascii="宋体" w:hAnsi="宋体"/>
      <w:b/>
      <w:color w:val="000000"/>
      <w:kern w:val="0"/>
    </w:rPr>
  </w:style>
  <w:style w:type="paragraph" w:customStyle="1" w:styleId="128">
    <w:name w:val="表文字"/>
    <w:basedOn w:val="10"/>
    <w:next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129">
    <w:name w:val="表格样式"/>
    <w:basedOn w:val="1"/>
    <w:qFormat/>
    <w:uiPriority w:val="0"/>
    <w:pPr>
      <w:spacing w:line="240" w:lineRule="auto"/>
      <w:ind w:firstLine="0" w:firstLineChars="0"/>
      <w:jc w:val="center"/>
    </w:pPr>
    <w:rPr>
      <w:sz w:val="21"/>
    </w:rPr>
  </w:style>
  <w:style w:type="paragraph" w:customStyle="1" w:styleId="130">
    <w:name w:val="样式 行距: 固定值 28 磅 首行缩进: 2.08 字符"/>
    <w:basedOn w:val="1"/>
    <w:qFormat/>
    <w:uiPriority w:val="0"/>
    <w:pPr>
      <w:spacing w:line="560" w:lineRule="exact"/>
      <w:ind w:firstLine="478" w:firstLineChars="199"/>
    </w:pPr>
    <w:rPr>
      <w:rFonts w:cs="宋体"/>
      <w:sz w:val="24"/>
      <w:szCs w:val="20"/>
    </w:rPr>
  </w:style>
  <w:style w:type="paragraph" w:customStyle="1" w:styleId="131">
    <w:name w:val="正文000小四"/>
    <w:basedOn w:val="1"/>
    <w:qFormat/>
    <w:uiPriority w:val="0"/>
    <w:pPr>
      <w:spacing w:line="360" w:lineRule="auto"/>
      <w:ind w:firstLine="720" w:firstLineChars="200"/>
    </w:pPr>
    <w:rPr>
      <w:sz w:val="24"/>
      <w:szCs w:val="22"/>
    </w:rPr>
  </w:style>
  <w:style w:type="paragraph" w:customStyle="1" w:styleId="132">
    <w:name w:val="表中文字"/>
    <w:basedOn w:val="1"/>
    <w:qFormat/>
    <w:uiPriority w:val="0"/>
    <w:pPr>
      <w:adjustRightInd w:val="0"/>
      <w:snapToGrid w:val="0"/>
      <w:jc w:val="center"/>
    </w:pPr>
    <w:rPr>
      <w:bCs/>
    </w:rPr>
  </w:style>
  <w:style w:type="paragraph" w:customStyle="1" w:styleId="133">
    <w:name w:val="表字体"/>
    <w:basedOn w:val="1"/>
    <w:next w:val="1"/>
    <w:qFormat/>
    <w:uiPriority w:val="0"/>
    <w:pPr>
      <w:jc w:val="center"/>
    </w:pPr>
    <w:rPr>
      <w:rFonts w:ascii="Times New Roman" w:hAnsi="Times New Roman" w:eastAsia="宋体"/>
    </w:rPr>
  </w:style>
  <w:style w:type="paragraph" w:customStyle="1" w:styleId="134">
    <w:name w:val="正文00000表格"/>
    <w:basedOn w:val="1"/>
    <w:qFormat/>
    <w:uiPriority w:val="0"/>
    <w:pPr>
      <w:jc w:val="center"/>
    </w:pPr>
    <w:rPr>
      <w:rFonts w:hint="eastAsia" w:ascii="Times New Roman" w:hAnsi="Times New Roman"/>
    </w:rPr>
  </w:style>
  <w:style w:type="paragraph" w:customStyle="1" w:styleId="135">
    <w:name w:val="正文011表格五号"/>
    <w:basedOn w:val="1"/>
    <w:qFormat/>
    <w:uiPriority w:val="0"/>
    <w:pPr>
      <w:jc w:val="center"/>
    </w:pPr>
    <w:rPr>
      <w:szCs w:val="22"/>
    </w:rPr>
  </w:style>
  <w:style w:type="paragraph" w:customStyle="1" w:styleId="136">
    <w:name w:val="T表内文字"/>
    <w:basedOn w:val="1"/>
    <w:qFormat/>
    <w:uiPriority w:val="0"/>
    <w:pPr>
      <w:spacing w:line="360" w:lineRule="exact"/>
      <w:jc w:val="center"/>
    </w:pPr>
    <w:rPr>
      <w:rFonts w:ascii="Times New Roman" w:hAnsi="Times New Roman" w:eastAsia="宋体"/>
      <w:color w:val="F79646"/>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emf"/><Relationship Id="rId17" Type="http://schemas.openxmlformats.org/officeDocument/2006/relationships/oleObject" Target="embeddings/oleObject5.bin"/><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emf"/><Relationship Id="rId11" Type="http://schemas.openxmlformats.org/officeDocument/2006/relationships/oleObject" Target="embeddings/oleObject2.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7af7c2da-d29d-471d-a1bc-865b937da47e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C591A0</paraID>
      <start>0</start>
      <end>2</end>
      <status>unmodified</status>
      <modifiedWord/>
      <trackRevisions>false</trackRevisions>
    </reviewItem>
    <reviewItem>
      <errorID>2ea2b219-8d91-4777-8fdd-dd1777ba0b6a</errorID>
      <errorWord>上线</errorWord>
      <group>L1_Word</group>
      <groupName>字词问题</groupName>
      <ability>L2_Typo</ability>
      <abilityName>字词错误</abilityName>
      <candidateList>
        <item>上限</item>
      </candidateList>
      <explain/>
      <paraID>23FD8673</paraID>
      <start>7</start>
      <end>9</end>
      <status>unmodified</status>
      <modifiedWord/>
      <trackRevisions>false</trackRevisions>
    </reviewItem>
    <reviewItem>
      <errorID>e8666c7c-422d-4099-88e7-9b630129eab3</errorID>
      <errorWord>可再生新能源</errorWord>
      <group>L1_Word</group>
      <groupName>字词问题</groupName>
      <ability>L2_Typo</ability>
      <abilityName>字词错误</abilityName>
      <candidateList>
        <item>可再生能源</item>
      </candidateList>
      <explain/>
      <paraID>452155E6</paraID>
      <start>18</start>
      <end>24</end>
      <status>unmodified</status>
      <modifiedWord/>
      <trackRevisions>false</trackRevisions>
    </reviewItem>
    <reviewItem>
      <errorID>fb430cd8-4c7a-4443-8c2e-f2231159599b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4D9171C4</paraID>
      <start>0</start>
      <end>2</end>
      <status>unmodified</status>
      <modifiedWord/>
      <trackRevisions>false</trackRevisions>
    </reviewItem>
    <reviewItem>
      <errorID>f621e892-98aa-42d7-af26-7374899ed41e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52969279</paraID>
      <start>0</start>
      <end>2</end>
      <status>unmodified</status>
      <modifiedWord/>
      <trackRevisions>false</trackRevisions>
    </reviewItem>
    <reviewItem>
      <errorID>7f2bbd7d-0dab-4789-9835-03de1834265d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54409BC4</paraID>
      <start>0</start>
      <end>2</end>
      <status>unmodified</status>
      <modifiedWord/>
      <trackRevisions>false</trackRevisions>
    </reviewItem>
    <reviewItem>
      <errorID>ee4c06a0-8610-47a6-a84d-245abd4f8b65</errorID>
      <errorWord>》</errorWord>
      <group>L1_Word</group>
      <groupName>字词问题</groupName>
      <ability>L2_Typo</ability>
      <abilityName>字词错误</abilityName>
      <candidateList>
        <item>》等</item>
      </candidateList>
      <explain/>
      <paraID> AD93EF9</paraID>
      <start>92</start>
      <end>93</end>
      <status>unmodified</status>
      <modifiedWord/>
      <trackRevisions>false</trackRevisions>
    </reviewItem>
    <reviewItem>
      <errorID>0591869c-387a-434b-af1e-f2e889aa0785</errorID>
      <errorWord>外逸</errorWord>
      <group>L1_Word</group>
      <groupName>字词问题</groupName>
      <ability>L2_Typo</ability>
      <abilityName>字词错误</abilityName>
      <candidateList>
        <item>外溢</item>
      </candidateList>
      <explain/>
      <paraID>4B261EC3</paraID>
      <start>90</start>
      <end>92</end>
      <status>unmodified</status>
      <modifiedWord/>
      <trackRevisions>false</trackRevisions>
    </reviewItem>
    <reviewItem>
      <errorID>cf0c5609-bebd-40fd-b596-d6e9f0ca1e03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6301D61D</paraID>
      <start>0</start>
      <end>2</end>
      <status>unmodified</status>
      <modifiedWord/>
      <trackRevisions>false</trackRevisions>
    </reviewItem>
    <reviewItem>
      <errorID>fef67a53-d44e-4be8-8692-03f60de13409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6B018190</paraID>
      <start>23</start>
      <end>24</end>
      <status>unmodified</status>
      <modifiedWord/>
      <trackRevisions>false</trackRevisions>
    </reviewItem>
    <reviewItem>
      <errorID>80af0d99-12d4-440a-b06f-7607becd9ba6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6C85A68E</paraID>
      <start>21</start>
      <end>22</end>
      <status>unmodified</status>
      <modifiedWord/>
      <trackRevisions>false</trackRevisions>
    </reviewItem>
    <reviewItem>
      <errorID>38240e13-7f4c-4a87-ba56-fc2a52279e1d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6C85A68E</paraID>
      <start>151</start>
      <end>152</end>
      <status>unmodified</status>
      <modifiedWord/>
      <trackRevisions>false</trackRevisions>
    </reviewItem>
    <reviewItem>
      <errorID>9f25ef4b-aa94-4ff2-80ec-3b2710f102a2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6C85A68E</paraID>
      <start>180</start>
      <end>181</end>
      <status>unmodified</status>
      <modifiedWord/>
      <trackRevisions>false</trackRevisions>
    </reviewItem>
    <reviewItem>
      <errorID>a6cb0601-d9d8-461e-bf24-964f7c99f102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10038CA2</paraID>
      <start>0</start>
      <end>2</end>
      <status>unmodified</status>
      <modifiedWord/>
      <trackRevisions>false</trackRevisions>
    </reviewItem>
    <reviewItem>
      <errorID>ea58b3d3-0d9d-467f-9027-284e0f82f1d2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4BE40F28</paraID>
      <start>17</start>
      <end>20</end>
      <status>unmodified</status>
      <modifiedWord/>
      <trackRevisions>false</trackRevisions>
    </reviewItem>
    <reviewItem>
      <errorID>ddc38d6b-e033-4612-87f7-158f0f7b4458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4BE40F28</paraID>
      <start>101</start>
      <end>104</end>
      <status>unmodified</status>
      <modifiedWord/>
      <trackRevisions>false</trackRevisions>
    </reviewItem>
    <reviewItem>
      <errorID>78b35395-da39-4d08-95fc-4bf70ae35a8f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5F4A7C1</paraID>
      <start>0</start>
      <end>2</end>
      <status>unmodified</status>
      <modifiedWord/>
      <trackRevisions>false</trackRevisions>
    </reviewItem>
    <reviewItem>
      <errorID>2035c593-fe27-4a30-9a37-76aa7ac6cb97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5B84DE4B</paraID>
      <start>0</start>
      <end>2</end>
      <status>unmodified</status>
      <modifiedWord/>
      <trackRevisions>false</trackRevisions>
    </reviewItem>
    <reviewItem>
      <errorID>78c551bf-e3a5-410b-b54d-b18c3a3b9661</errorID>
      <errorWord>氮汽</errorWord>
      <group>L1_Word</group>
      <groupName>字词问题</groupName>
      <ability>L2_Typo</ability>
      <abilityName>字词错误</abilityName>
      <candidateList>
        <item>氮气</item>
      </candidateList>
      <explain/>
      <paraID> 64B2E51</paraID>
      <start>26</start>
      <end>28</end>
      <status>unmodified</status>
      <modifiedWord/>
      <trackRevisions>false</trackRevisions>
    </reviewItem>
    <reviewItem>
      <errorID>0e40bc3a-a3cc-4471-afad-c5a3fde1ff13</errorID>
      <errorWord>kw/h</errorWord>
      <group>L1_Word</group>
      <groupName>字词问题</groupName>
      <ability>L2_Typo</ability>
      <abilityName>字词错误</abilityName>
      <candidateList>
        <item>kw·h(kWh)</item>
      </candidateList>
      <explain/>
      <paraID>2017C485</paraID>
      <start>7</start>
      <end>11</end>
      <status>unmodified</status>
      <modifiedWord/>
      <trackRevisions>false</trackRevisions>
    </reviewItem>
    <reviewItem>
      <errorID>ad1b92ec-321d-435f-b84c-e48886bad3cd</errorID>
      <errorWord>进</errorWord>
      <group>L1_Word</group>
      <groupName>字词问题</groupName>
      <ability>L2_Typo</ability>
      <abilityName>字词错误</abilityName>
      <candidateList>
        <item>进入</item>
      </candidateList>
      <explain>〈动〉支进到某个范围或某个时期里：～学校｜～新阶段◇～角色。</explain>
      <paraID>32128AB7</paraID>
      <start>23</start>
      <end>24</end>
      <status>unmodified</status>
      <modifiedWord/>
      <trackRevisions>false</trackRevisions>
    </reviewItem>
    <reviewItem>
      <errorID>da0796af-9b33-4295-9a62-ffd7912dee25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3852AC2D</paraID>
      <start>0</start>
      <end>2</end>
      <status>unmodified</status>
      <modifiedWord/>
      <trackRevisions>false</trackRevisions>
    </reviewItem>
    <reviewItem>
      <errorID>24d6e270-2ae4-48ab-8b1b-cf5a3b7fcadf</errorID>
      <errorWord>（～</errorWord>
      <group>L1_Punc</group>
      <groupName>标点问题</groupName>
      <ability>L2_Punc</ability>
      <abilityName>标点符号检查</abilityName>
      <candidateList>
        <item>（</item>
      </candidateList>
      <explain/>
      <paraID>491A67DC</paraID>
      <start>116</start>
      <end>118</end>
      <status>unmodified</status>
      <modifiedWord/>
      <trackRevisions>false</trackRevisions>
    </reviewItem>
    <reviewItem>
      <errorID>acddad56-1156-4904-a37f-321b8716b3c9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15B8BDF1</paraID>
      <start>0</start>
      <end>2</end>
      <status>unmodified</status>
      <modifiedWord/>
      <trackRevisions>false</trackRevisions>
    </reviewItem>
    <reviewItem>
      <errorID>2969aff4-2de8-484d-b2c2-23187cccc02f</errorID>
      <errorWord>KW</errorWord>
      <group>L1_Word</group>
      <groupName>字词问题</groupName>
      <ability>L2_Typo</ability>
      <abilityName>字词错误</abilityName>
      <candidateList>
        <item>kW</item>
      </candidateList>
      <explain/>
      <paraID>389F3B5A</paraID>
      <start>0</start>
      <end>2</end>
      <status>unmodified</status>
      <modifiedWord/>
      <trackRevisions>false</trackRevisions>
    </reviewItem>
    <reviewItem>
      <errorID>4baa190c-ede7-498a-8d26-b0983d6fb15c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6755C5BB</paraID>
      <start>0</start>
      <end>2</end>
      <status>unmodified</status>
      <modifiedWord/>
      <trackRevisions>false</trackRevisions>
    </reviewItem>
    <reviewItem>
      <errorID>76b5897a-fd63-42ea-ac83-f9c1483c0041</errorID>
      <errorWord>汽相</errorWord>
      <group>L1_Word</group>
      <groupName>字词问题</groupName>
      <ability>L2_Typo</ability>
      <abilityName>字词错误</abilityName>
      <candidateList>
        <item>气相</item>
      </candidateList>
      <explain/>
      <paraID> F3C84E7</paraID>
      <start>0</start>
      <end>2</end>
      <status>unmodified</status>
      <modifiedWord/>
      <trackRevisions>false</trackRevisions>
    </reviewItem>
    <reviewItem>
      <errorID>013f2bae-2752-4de7-a60b-eb67e915237b</errorID>
      <errorWord>碰碎机</errorWord>
      <group>L1_Word</group>
      <groupName>字词问题</groupName>
      <ability>L2_Typo</ability>
      <abilityName>字词错误</abilityName>
      <candidateList>
        <item>粉碎机</item>
      </candidateList>
      <explain/>
      <paraID>2215589E</paraID>
      <start>2</start>
      <end>5</end>
      <status>unmodified</status>
      <modifiedWord/>
      <trackRevisions>false</trackRevisions>
    </reviewItem>
    <reviewItem>
      <errorID>84dfbe03-cc61-428c-995c-eb25f3d6279a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4AE704A5</paraID>
      <start>0</start>
      <end>2</end>
      <status>unmodified</status>
      <modifiedWord/>
      <trackRevisions>false</trackRevisions>
    </reviewItem>
    <reviewItem>
      <errorID>51a0cdd1-1450-49c7-b8e4-96615bd33707</errorID>
      <errorWord>-</errorWord>
      <group>L1_Format</group>
      <groupName>格式问题</groupName>
      <ability>L2_HalfPunc</ability>
      <abilityName>全半角检查</abilityName>
      <candidateList>
        <item>－</item>
      </candidateList>
      <explain>文本全半角错误。</explain>
      <paraID>60599CCA</paraID>
      <start>84</start>
      <end>85</end>
      <status>unmodified</status>
      <modifiedWord/>
      <trackRevisions>false</trackRevisions>
    </reviewItem>
    <reviewItem>
      <errorID>a33f5735-0ce2-4d0e-97c7-6ef1fb8d4d91</errorID>
      <errorWord>-</errorWord>
      <group>L1_Format</group>
      <groupName>格式问题</groupName>
      <ability>L2_HalfPunc</ability>
      <abilityName>全半角检查</abilityName>
      <candidateList>
        <item>－</item>
      </candidateList>
      <explain>文本全半角错误。</explain>
      <paraID>60599CCA</paraID>
      <start>85</start>
      <end>86</end>
      <status>unmodified</status>
      <modifiedWord/>
      <trackRevisions>false</trackRevisions>
    </reviewItem>
    <reviewItem>
      <errorID>4044a3bf-d146-48ea-852a-46c91636959e</errorID>
      <errorWord>-</errorWord>
      <group>L1_Format</group>
      <groupName>格式问题</groupName>
      <ability>L2_HalfPunc</ability>
      <abilityName>全半角检查</abilityName>
      <candidateList>
        <item>－</item>
      </candidateList>
      <explain>文本全半角错误。</explain>
      <paraID> 1E71CDB</paraID>
      <start>84</start>
      <end>85</end>
      <status>unmodified</status>
      <modifiedWord/>
      <trackRevisions>false</trackRevisions>
    </reviewItem>
    <reviewItem>
      <errorID>0408ca05-1352-424a-bf03-aba296801fd8</errorID>
      <errorWord>-</errorWord>
      <group>L1_Format</group>
      <groupName>格式问题</groupName>
      <ability>L2_HalfPunc</ability>
      <abilityName>全半角检查</abilityName>
      <candidateList>
        <item>－</item>
      </candidateList>
      <explain>文本全半角错误。</explain>
      <paraID> 1E71CDB</paraID>
      <start>85</start>
      <end>86</end>
      <status>unmodified</status>
      <modifiedWord/>
      <trackRevisions>false</trackRevisions>
    </reviewItem>
    <reviewItem>
      <errorID>c6672bec-a3cd-4d5b-a017-d7864af7288a</errorID>
      <errorWord>软</errorWord>
      <group>L1_Word</group>
      <groupName>字词问题</groupName>
      <ability>L2_Typo</ability>
      <abilityName>字词错误</abilityName>
      <candidateList>
        <item>软化</item>
      </candidateList>
      <explain/>
      <paraID>7839A949</paraID>
      <start>13</start>
      <end>14</end>
      <status>unmodified</status>
      <modifiedWord/>
      <trackRevisions>false</trackRevisions>
    </reviewItem>
    <reviewItem>
      <errorID>3c9e728a-9bcb-480a-bb40-aead93411ae3</errorID>
      <errorWord>进</errorWord>
      <group>L1_Word</group>
      <groupName>字词问题</groupName>
      <ability>L2_Typo</ability>
      <abilityName>字词错误</abilityName>
      <candidateList>
        <item>进入</item>
      </candidateList>
      <explain>〈动〉支进到某个范围或某个时期里：～学校｜～新阶段◇～角色。</explain>
      <paraID>6C05B86E</paraID>
      <start>22</start>
      <end>23</end>
      <status>unmodified</status>
      <modifiedWord/>
      <trackRevisions>false</trackRevisions>
    </reviewItem>
    <reviewItem>
      <errorID>ed8c4c74-034b-4dc4-bcc5-d6cc4cf3b526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134E73CF</paraID>
      <start>0</start>
      <end>2</end>
      <status>unmodified</status>
      <modifiedWord/>
      <trackRevisions>false</trackRevisions>
    </reviewItem>
    <reviewItem>
      <errorID>221e1c6e-c404-4e76-b853-ab8e712eab10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2E5EC4D5</paraID>
      <start>0</start>
      <end>2</end>
      <status>unmodified</status>
      <modifiedWord/>
      <trackRevisions>false</trackRevisions>
    </reviewItem>
    <reviewItem>
      <errorID>bb897111-f57c-4cb9-8ed3-f1ebc2c4129b</errorID>
      <errorWord>~</errorWord>
      <group>L1_Format</group>
      <groupName>格式问题</groupName>
      <ability>L2_HalfPunc</ability>
      <abilityName>全半角检查</abilityName>
      <candidateList>
        <item>～</item>
      </candidateList>
      <explain>文本全半角错误。</explain>
      <paraID>3704909E</paraID>
      <start>20</start>
      <end>21</end>
      <status>unmodified</status>
      <modifiedWord/>
      <trackRevisions>false</trackRevisions>
    </reviewItem>
    <reviewItem>
      <errorID>501fa996-918c-4e36-9ba0-e17a539b7eae</errorID>
      <errorWord>~</errorWord>
      <group>L1_Format</group>
      <groupName>格式问题</groupName>
      <ability>L2_HalfPunc</ability>
      <abilityName>全半角检查</abilityName>
      <candidateList>
        <item>～</item>
      </candidateList>
      <explain>文本全半角错误。</explain>
      <paraID>7E74439B</paraID>
      <start>6</start>
      <end>7</end>
      <status>unmodified</status>
      <modifiedWord/>
      <trackRevisions>false</trackRevisions>
    </reviewItem>
    <reviewItem>
      <errorID>674e19f4-69d7-4d3c-be36-631c32f1949e</errorID>
      <errorWord>成</errorWord>
      <group>L1_Word</group>
      <groupName>字词问题</groupName>
      <ability>L2_Typo</ability>
      <abilityName>字词错误</abilityName>
      <candidateList>
        <item>呈</item>
      </candidateList>
      <explain>❶〈动〉具有（某种形式）；呈现（某种颜色、状态）：果实～长圆形｜毛皮～暗褐色。❷〈动〉恭敬地送上去：谨～｜～上名片。❸呈文：签～。❹（Chénɡ）〈名〉姓。</explain>
      <paraID>2026C269</paraID>
      <start>20</start>
      <end>21</end>
      <status>unmodified</status>
      <modifiedWord/>
      <trackRevisions>false</trackRevisions>
    </reviewItem>
    <reviewItem>
      <errorID>74fb9d82-bd48-467b-ba3f-dd039181e5b8</errorID>
      <errorWord>10~50千</errorWord>
      <group>L1_Knowledge</group>
      <groupName>知识性问题</groupName>
      <ability>L2_Knowledge</ability>
      <abilityName>其他知识</abilityName>
      <candidateList>
        <item>10千～50千</item>
      </candidateList>
      <explain>1. “10~50千”中的单位“千”仅出现在后一个数字上，容易引起歧义；根据《现代汉语标点符号数字用法规范手册》，数字表示范围两边需要使用统一的格式。2.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3A37BA38</paraID>
      <start>61</start>
      <end>67</end>
      <status>unmodified</status>
      <modifiedWord/>
      <trackRevisions>false</trackRevisions>
    </reviewItem>
    <reviewItem>
      <errorID>533b0573-ce40-43c6-8213-8a2ea6f07c12</errorID>
      <errorWord>10~50千</errorWord>
      <group>L1_Knowledge</group>
      <groupName>知识性问题</groupName>
      <ability>L2_Knowledge</ability>
      <abilityName>其他知识</abilityName>
      <candidateList>
        <item>10千～50千</item>
      </candidateList>
      <explain>1. “10~50千”中的单位“千”仅出现在后一个数字上，容易引起歧义；根据《现代汉语标点符号数字用法规范手册》，数字表示范围两边需要使用统一的格式。2.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4D8848C1</paraID>
      <start>61</start>
      <end>67</end>
      <status>unmodified</status>
      <modifiedWord/>
      <trackRevisions>false</trackRevisions>
    </reviewItem>
    <reviewItem>
      <errorID>fdb10c60-f0a9-4446-b1bf-edb3289955dd</errorID>
      <errorWord>~</errorWord>
      <group>L1_Format</group>
      <groupName>格式问题</groupName>
      <ability>L2_HalfPunc</ability>
      <abilityName>全半角检查</abilityName>
      <candidateList>
        <item>～</item>
      </candidateList>
      <explain>文本全半角错误。</explain>
      <paraID>6EAED06B</paraID>
      <start>12</start>
      <end>13</end>
      <status>unmodified</status>
      <modifiedWord/>
      <trackRevisions>false</trackRevisions>
    </reviewItem>
    <reviewItem>
      <errorID>23e253f7-0f57-452d-885a-8cae7ea07eed</errorID>
      <errorWord>~</errorWord>
      <group>L1_Format</group>
      <groupName>格式问题</groupName>
      <ability>L2_HalfPunc</ability>
      <abilityName>全半角检查</abilityName>
      <candidateList>
        <item>～</item>
      </candidateList>
      <explain>文本全半角错误。</explain>
      <paraID>6EAED06B</paraID>
      <start>48</start>
      <end>49</end>
      <status>unmodified</status>
      <modifiedWord/>
      <trackRevisions>false</trackRevisions>
    </reviewItem>
    <reviewItem>
      <errorID>852cf016-e834-4ea2-9aee-a0eebdda8ae6</errorID>
      <errorWord>10~50千</errorWord>
      <group>L1_Knowledge</group>
      <groupName>知识性问题</groupName>
      <ability>L2_Knowledge</ability>
      <abilityName>其他知识</abilityName>
      <candidateList>
        <item>10千～50千</item>
      </candidateList>
      <explain>1. “10~50千”中的单位“千”仅出现在后一个数字上，容易引起歧义；根据《现代汉语标点符号数字用法规范手册》，数字表示范围两边需要使用统一的格式。2.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619AD160</paraID>
      <start>61</start>
      <end>67</end>
      <status>unmodified</status>
      <modifiedWord/>
      <trackRevisions>false</trackRevisions>
    </reviewItem>
    <reviewItem>
      <errorID>96eee5dd-6370-41fe-a585-33f873f3f705</errorID>
      <errorWord>~</errorWord>
      <group>L1_Format</group>
      <groupName>格式问题</groupName>
      <ability>L2_HalfPunc</ability>
      <abilityName>全半角检查</abilityName>
      <candidateList>
        <item>～</item>
      </candidateList>
      <explain>文本全半角错误。</explain>
      <paraID>5E72745B</paraID>
      <start>32</start>
      <end>33</end>
      <status>unmodified</status>
      <modifiedWord/>
      <trackRevisions>false</trackRevisions>
    </reviewItem>
    <reviewItem>
      <errorID>4aaf5582-1bb0-4d82-9c0a-87548a6eca6f</errorID>
      <errorWord>~</errorWord>
      <group>L1_Format</group>
      <groupName>格式问题</groupName>
      <ability>L2_HalfPunc</ability>
      <abilityName>全半角检查</abilityName>
      <candidateList>
        <item>～</item>
      </candidateList>
      <explain>文本全半角错误。</explain>
      <paraID> D76E1D0</paraID>
      <start>31</start>
      <end>32</end>
      <status>unmodified</status>
      <modifiedWord/>
      <trackRevisions>false</trackRevisions>
    </reviewItem>
    <reviewItem>
      <errorID>21b3d609-cfff-4870-8e53-3a93ae54ac4c</errorID>
      <errorWord>~</errorWord>
      <group>L1_Format</group>
      <groupName>格式问题</groupName>
      <ability>L2_HalfPunc</ability>
      <abilityName>全半角检查</abilityName>
      <candidateList>
        <item>～</item>
      </candidateList>
      <explain>文本全半角错误。</explain>
      <paraID> D76E1D0</paraID>
      <start>40</start>
      <end>41</end>
      <status>unmodified</status>
      <modifiedWord/>
      <trackRevisions>false</trackRevisions>
    </reviewItem>
    <reviewItem>
      <errorID>e274cb62-4bef-46ca-b279-499ebda86684</errorID>
      <errorWord>10~50千</errorWord>
      <group>L1_Knowledge</group>
      <groupName>知识性问题</groupName>
      <ability>L2_Knowledge</ability>
      <abilityName>其他知识</abilityName>
      <candidateList>
        <item>10千～50千</item>
      </candidateList>
      <explain>1. “10~50千”中的单位“千”仅出现在后一个数字上，容易引起歧义；根据《现代汉语标点符号数字用法规范手册》，数字表示范围两边需要使用统一的格式。2. 根据标点国标 4.13 中的规则，数字、时间或地域连接符应使用（视觉上更长的）“—”或“～”。</explain>
      <paraID>7CE35B53</paraID>
      <start>61</start>
      <end>67</end>
      <status>unmodified</status>
      <modifiedWord/>
      <trackRevisions>false</trackRevisions>
    </reviewItem>
    <reviewItem>
      <errorID>b3d250a7-d79a-4566-ad88-5d723cf5cdfb</errorID>
      <errorWord>~</errorWord>
      <group>L1_Format</group>
      <groupName>格式问题</groupName>
      <ability>L2_HalfPunc</ability>
      <abilityName>全半角检查</abilityName>
      <candidateList>
        <item>～</item>
      </candidateList>
      <explain>文本全半角错误。</explain>
      <paraID>4D438BB6</paraID>
      <start>31</start>
      <end>32</end>
      <status>unmodified</status>
      <modifiedWord/>
      <trackRevisions>false</trackRevisions>
    </reviewItem>
    <reviewItem>
      <errorID>faf75c09-47f0-44f2-959e-7b126afe8633</errorID>
      <errorWord>其它杂质</errorWord>
      <group>L1_Word</group>
      <groupName>字词问题</groupName>
      <ability>L2_Alias</ability>
      <abilityName>也作/曾用词</abilityName>
      <candidateList>
        <item>其他杂质</item>
      </candidateList>
      <explain>词汇[其它杂质]为不规范表述或旧称，其规范书面表述为[其他杂质]。</explain>
      <paraID>37121053</paraID>
      <start>14</start>
      <end>18</end>
      <status>unmodified</status>
      <modifiedWord/>
      <trackRevisions>false</trackRevisions>
    </reviewItem>
    <reviewItem>
      <errorID>bd661c72-d08f-49eb-862a-e022d93cf9b4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2EAB4D4A</paraID>
      <start>0</start>
      <end>2</end>
      <status>unmodified</status>
      <modifiedWord/>
      <trackRevisions>false</trackRevisions>
    </reviewItem>
    <reviewItem>
      <errorID>ff61fe53-e887-4b6e-9316-aa159a335e7e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669CD547</paraID>
      <start>0</start>
      <end>2</end>
      <status>unmodified</status>
      <modifiedWord/>
      <trackRevisions>false</trackRevisions>
    </reviewItem>
    <reviewItem>
      <errorID>6ec9bf83-a258-44cd-b19b-c60415c7cff5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3AB9C7DC</paraID>
      <start>0</start>
      <end>2</end>
      <status>unmodified</status>
      <modifiedWord/>
      <trackRevisions>false</trackRevisions>
    </reviewItem>
    <reviewItem>
      <errorID>d3ff5440-dbfe-478f-a57c-bb7a04e4f41a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1FF57791</paraID>
      <start>0</start>
      <end>2</end>
      <status>unmodified</status>
      <modifiedWord/>
      <trackRevisions>false</trackRevisions>
    </reviewItem>
    <reviewItem>
      <errorID>7c0ae418-ba6c-4309-add0-daf5df16bbbe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40FAB2AD</paraID>
      <start>0</start>
      <end>2</end>
      <status>unmodified</status>
      <modifiedWord/>
      <trackRevisions>false</trackRevisions>
    </reviewItem>
    <reviewItem>
      <errorID>2f11d9d2-bd81-46df-98a1-15de3e5b4ec9</errorID>
      <errorWord>（</errorWord>
      <group>L1_Format</group>
      <groupName>格式问题</groupName>
      <ability>L2_HalfPunc</ability>
      <abilityName>全半角检查</abilityName>
      <candidateList>
        <item>(</item>
      </candidateList>
      <explain>文本全半角错误。</explain>
      <paraID>3F719E89</paraID>
      <start>0</start>
      <end>1</end>
      <status>unmodified</status>
      <modifiedWord/>
      <trackRevisions>false</trackRevisions>
    </reviewItem>
    <reviewItem>
      <errorID>a58fc0b6-dfec-4694-94e5-4eb5ba4b35ab</errorID>
      <errorWord>）</errorWord>
      <group>L1_Format</group>
      <groupName>格式问题</groupName>
      <ability>L2_HalfPunc</ability>
      <abilityName>全半角检查</abilityName>
      <candidateList>
        <item>)</item>
      </candidateList>
      <explain>文本全半角错误。</explain>
      <paraID>3F719E89</paraID>
      <start>2</start>
      <end>3</end>
      <status>unmodified</status>
      <modifiedWord/>
      <trackRevisions>false</trackRevisions>
    </reviewItem>
    <reviewItem>
      <errorID>71d30325-31f1-41a5-84d5-43ea3f7952ba</errorID>
      <errorWord>（</errorWord>
      <group>L1_Format</group>
      <groupName>格式问题</groupName>
      <ability>L2_HalfPunc</ability>
      <abilityName>全半角检查</abilityName>
      <candidateList>
        <item>(</item>
      </candidateList>
      <explain>文本全半角错误。</explain>
      <paraID>37FD5622</paraID>
      <start>1</start>
      <end>2</end>
      <status>unmodified</status>
      <modifiedWord/>
      <trackRevisions>false</trackRevisions>
    </reviewItem>
    <reviewItem>
      <errorID>02898d2a-6688-4058-8d21-05079c3e33f5</errorID>
      <errorWord>）</errorWord>
      <group>L1_Format</group>
      <groupName>格式问题</groupName>
      <ability>L2_HalfPunc</ability>
      <abilityName>全半角检查</abilityName>
      <candidateList>
        <item>)</item>
      </candidateList>
      <explain>文本全半角错误。</explain>
      <paraID>37FD5622</paraID>
      <start>3</start>
      <end>4</end>
      <status>unmodified</status>
      <modifiedWord/>
      <trackRevisions>false</trackRevisions>
    </reviewItem>
    <reviewItem>
      <errorID>5457fa58-9eec-4cfd-a08b-027f7317070a</errorID>
      <errorWord>（</errorWord>
      <group>L1_Punc</group>
      <groupName>标点问题</groupName>
      <ability>L2_Punc</ability>
      <abilityName>标点符号检查</abilityName>
      <candidateList/>
      <explain>同一形式括号套用。</explain>
      <paraID>764752C3</paraID>
      <start>20</start>
      <end>21</end>
      <status>unmodified</status>
      <modifiedWord/>
      <trackRevisions>false</trackRevisions>
    </reviewItem>
    <reviewItem>
      <errorID>202b8775-e75a-411a-863d-959a63fb8671</errorID>
      <errorWord>）</errorWord>
      <group>L1_Punc</group>
      <groupName>标点问题</groupName>
      <ability>L2_Punc</ability>
      <abilityName>标点符号检查</abilityName>
      <candidateList/>
      <explain>同一形式括号套用。</explain>
      <paraID>764752C3</paraID>
      <start>22</start>
      <end>23</end>
      <status>unmodified</status>
      <modifiedWord/>
      <trackRevisions>false</trackRevisions>
    </reviewItem>
    <reviewItem>
      <errorID>25bab5c3-9983-4c2d-8b6f-c27decff6941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12191C8B</paraID>
      <start>0</start>
      <end>2</end>
      <status>unmodified</status>
      <modifiedWord/>
      <trackRevisions>false</trackRevisions>
    </reviewItem>
    <reviewItem>
      <errorID>740811d6-ca7e-4974-b87a-ae924c82f8c2</errorID>
      <errorWord>~</errorWord>
      <group>L1_Format</group>
      <groupName>格式问题</groupName>
      <ability>L2_HalfPunc</ability>
      <abilityName>全半角检查</abilityName>
      <candidateList>
        <item>～</item>
      </candidateList>
      <explain>文本全半角错误。</explain>
      <paraID>321396C2</paraID>
      <start>43</start>
      <end>44</end>
      <status>unmodified</status>
      <modifiedWord/>
      <trackRevisions>false</trackRevisions>
    </reviewItem>
    <reviewItem>
      <errorID>b15c2b14-a524-42af-9e9e-db0c39f0a1e8</errorID>
      <errorWord>~</errorWord>
      <group>L1_Format</group>
      <groupName>格式问题</groupName>
      <ability>L2_HalfPunc</ability>
      <abilityName>全半角检查</abilityName>
      <candidateList>
        <item>～</item>
      </candidateList>
      <explain>文本全半角错误。</explain>
      <paraID>321396C2</paraID>
      <start>61</start>
      <end>62</end>
      <status>unmodified</status>
      <modifiedWord/>
      <trackRevisions>false</trackRevisions>
    </reviewItem>
    <reviewItem>
      <errorID>9a3017f0-e352-41d7-a5f1-cdee81553edd</errorID>
      <errorWord>~</errorWord>
      <group>L1_Format</group>
      <groupName>格式问题</groupName>
      <ability>L2_HalfPunc</ability>
      <abilityName>全半角检查</abilityName>
      <candidateList>
        <item>～</item>
      </candidateList>
      <explain>文本全半角错误。</explain>
      <paraID>321396C2</paraID>
      <start>100</start>
      <end>101</end>
      <status>unmodified</status>
      <modifiedWord/>
      <trackRevisions>false</trackRevisions>
    </reviewItem>
    <reviewItem>
      <errorID>0f4587c4-787f-46f6-b887-1b2d2eb270d1</errorID>
      <errorWord>~</errorWord>
      <group>L1_Format</group>
      <groupName>格式问题</groupName>
      <ability>L2_HalfPunc</ability>
      <abilityName>全半角检查</abilityName>
      <candidateList>
        <item>～</item>
      </candidateList>
      <explain>文本全半角错误。</explain>
      <paraID>321396C2</paraID>
      <start>115</start>
      <end>116</end>
      <status>unmodified</status>
      <modifiedWord/>
      <trackRevisions>false</trackRevisions>
    </reviewItem>
    <reviewItem>
      <errorID>279d89a2-46c0-4595-81d5-896b28c7cf65</errorID>
      <errorWord>~</errorWord>
      <group>L1_Format</group>
      <groupName>格式问题</groupName>
      <ability>L2_HalfPunc</ability>
      <abilityName>全半角检查</abilityName>
      <candidateList>
        <item>～</item>
      </candidateList>
      <explain>文本全半角错误。</explain>
      <paraID>321396C2</paraID>
      <start>133</start>
      <end>134</end>
      <status>unmodified</status>
      <modifiedWord/>
      <trackRevisions>false</trackRevisions>
    </reviewItem>
    <reviewItem>
      <errorID>87f1c1d7-6a1a-49eb-bd50-afbc391006b6</errorID>
      <errorWord>进</errorWord>
      <group>L1_Word</group>
      <groupName>字词问题</groupName>
      <ability>L2_Typo</ability>
      <abilityName>字词错误</abilityName>
      <candidateList>
        <item>进入</item>
      </candidateList>
      <explain>〈动〉支进到某个范围或某个时期里：～学校｜～新阶段◇～角色。</explain>
      <paraID>321396C2</paraID>
      <start>163</start>
      <end>164</end>
      <status>unmodified</status>
      <modifiedWord/>
      <trackRevisions>false</trackRevisions>
    </reviewItem>
    <reviewItem>
      <errorID>34e1d389-fd7c-4005-8821-920320bbf9f9</errorID>
      <errorWord>进</errorWord>
      <group>L1_Word</group>
      <groupName>字词问题</groupName>
      <ability>L2_Typo</ability>
      <abilityName>字词错误</abilityName>
      <candidateList>
        <item>进入</item>
      </candidateList>
      <explain>〈动〉支进到某个范围或某个时期里：～学校｜～新阶段◇～角色。</explain>
      <paraID>1EB5F535</paraID>
      <start>161</start>
      <end>162</end>
      <status>unmodified</status>
      <modifiedWord/>
      <trackRevisions>false</trackRevisions>
    </reviewItem>
    <reviewItem>
      <errorID>123bc35e-4496-40dd-ad11-8be5eb047222</errorID>
      <errorWord>进</errorWord>
      <group>L1_Word</group>
      <groupName>字词问题</groupName>
      <ability>L2_Typo</ability>
      <abilityName>字词错误</abilityName>
      <candidateList>
        <item>进入</item>
      </candidateList>
      <explain>〈动〉支进到某个范围或某个时期里：～学校｜～新阶段◇～角色。</explain>
      <paraID>32F52073</paraID>
      <start>57</start>
      <end>58</end>
      <status>unmodified</status>
      <modifiedWord/>
      <trackRevisions>false</trackRevisions>
    </reviewItem>
    <reviewItem>
      <errorID>42419264-aa98-4c06-9e51-e883c4f9b7e6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4FA1587F</paraID>
      <start>0</start>
      <end>2</end>
      <status>unmodified</status>
      <modifiedWord/>
      <trackRevisions>false</trackRevisions>
    </reviewItem>
    <reviewItem>
      <errorID>15256817-1594-4828-9b20-4a87107e261c</errorID>
      <errorWord>-</errorWord>
      <group>L1_Format</group>
      <groupName>格式问题</groupName>
      <ability>L2_HalfPunc</ability>
      <abilityName>全半角检查</abilityName>
      <candidateList>
        <item>－</item>
      </candidateList>
      <explain>文本全半角错误。</explain>
      <paraID> 20E829A</paraID>
      <start>6</start>
      <end>7</end>
      <status>unmodified</status>
      <modifiedWord/>
      <trackRevisions>false</trackRevisions>
    </reviewItem>
    <reviewItem>
      <errorID>db4e97a2-95bf-489b-8e9e-5897afc6daf0</errorID>
      <errorWord>2~4%</errorWord>
      <group>L1_Knowledge</group>
      <groupName>知识性问题</groupName>
      <ability>L2_Knowledge</ability>
      <abilityName>其他知识</abilityName>
      <candidateList>
        <item>2%～4%</item>
      </candidateList>
      <explain>1. “2~4%”中的单位“%”仅出现在后一个数字上，容易引起歧义；根据《现代汉语标点符号数字用法规范手册》，数字表示范围两边需要使用统一的格式。2. 根据标点国标 4.13 中的规则，数字、时间或地域连接符应使用（视觉上更长的）“—”或“～”。</explain>
      <paraID>35061248</paraID>
      <start>75</start>
      <end>79</end>
      <status>unmodified</status>
      <modifiedWord/>
      <trackRevisions>false</trackRevisions>
    </reviewItem>
    <reviewItem>
      <errorID>0acdc876-1503-421f-a1ce-836ada0499fd</errorID>
      <errorWord>~</errorWord>
      <group>L1_Format</group>
      <groupName>格式问题</groupName>
      <ability>L2_HalfPunc</ability>
      <abilityName>全半角检查</abilityName>
      <candidateList>
        <item>～</item>
      </candidateList>
      <explain>文本全半角错误。</explain>
      <paraID>2372D3B8</paraID>
      <start>18</start>
      <end>19</end>
      <status>unmodified</status>
      <modifiedWord/>
      <trackRevisions>false</trackRevisions>
    </reviewItem>
    <reviewItem>
      <errorID>fe0fadd3-569d-41d2-be5c-3ed639084015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24DA0EE</paraID>
      <start>0</start>
      <end>2</end>
      <status>unmodified</status>
      <modifiedWord/>
      <trackRevisions>false</trackRevisions>
    </reviewItem>
    <reviewItem>
      <errorID>24e23926-9417-48c6-b64b-681eb6eb1b7e</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608DBA4A</paraID>
      <start>0</start>
      <end>1</end>
      <status>unmodified</status>
      <modifiedWord/>
      <trackRevisions>false</trackRevisions>
    </reviewItem>
    <reviewItem>
      <errorID>4f618164-f6d8-48c3-b968-6a8268bfa0ab</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 7C74BE7</paraID>
      <start>0</start>
      <end>1</end>
      <status>unmodified</status>
      <modifiedWord/>
      <trackRevisions>false</trackRevisions>
    </reviewItem>
    <reviewItem>
      <errorID>d4cd8871-e16c-4cdb-a437-77584cfeeaf8</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454617DE</paraID>
      <start>0</start>
      <end>1</end>
      <status>unmodified</status>
      <modifiedWord/>
      <trackRevisions>false</trackRevisions>
    </reviewItem>
    <reviewItem>
      <errorID>ad370fa8-7eef-4dc5-a4c1-0785cc9be972</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3634974D</paraID>
      <start>0</start>
      <end>1</end>
      <status>unmodified</status>
      <modifiedWord/>
      <trackRevisions>false</trackRevisions>
    </reviewItem>
    <reviewItem>
      <errorID>3fd0933e-f9bf-4a24-81ac-d8fafd44350a</errorID>
      <errorWord>（</errorWord>
      <group>L1_Punc</group>
      <groupName>标点问题</groupName>
      <ability>L2_Punc</ability>
      <abilityName>标点符号检查</abilityName>
      <candidateList/>
      <explain>同一形式括号套用。</explain>
      <paraID>23EE28F2</paraID>
      <start>6</start>
      <end>7</end>
      <status>unmodified</status>
      <modifiedWord/>
      <trackRevisions>false</trackRevisions>
    </reviewItem>
    <reviewItem>
      <errorID>a4682478-06ea-4d10-ad62-5c3b26d5b2c1</errorID>
      <errorWord>）</errorWord>
      <group>L1_Punc</group>
      <groupName>标点问题</groupName>
      <ability>L2_Punc</ability>
      <abilityName>标点符号检查</abilityName>
      <candidateList/>
      <explain>同一形式括号套用。</explain>
      <paraID>23EE28F2</paraID>
      <start>8</start>
      <end>9</end>
      <status>unmodified</status>
      <modifiedWord/>
      <trackRevisions>false</trackRevisions>
    </reviewItem>
    <reviewItem>
      <errorID>ead382f2-9a57-47c4-904f-2396797df01b</errorID>
      <errorWord>（</errorWord>
      <group>L1_Punc</group>
      <groupName>标点问题</groupName>
      <ability>L2_Punc</ability>
      <abilityName>标点符号检查</abilityName>
      <candidateList/>
      <explain>同一形式括号套用。</explain>
      <paraID>17E4E2BC</paraID>
      <start>7</start>
      <end>8</end>
      <status>unmodified</status>
      <modifiedWord/>
      <trackRevisions>false</trackRevisions>
    </reviewItem>
    <reviewItem>
      <errorID>fa1241cd-fa56-4bd5-a511-a2d0321577e5</errorID>
      <errorWord>）</errorWord>
      <group>L1_Punc</group>
      <groupName>标点问题</groupName>
      <ability>L2_Punc</ability>
      <abilityName>标点符号检查</abilityName>
      <candidateList/>
      <explain>同一形式括号套用。</explain>
      <paraID>17E4E2BC</paraID>
      <start>9</start>
      <end>10</end>
      <status>unmodified</status>
      <modifiedWord/>
      <trackRevisions>false</trackRevisions>
    </reviewItem>
    <reviewItem>
      <errorID>775e7610-9b73-41e1-a97a-04c69e1b92ae</errorID>
      <errorWord>（</errorWord>
      <group>L1_Format</group>
      <groupName>格式问题</groupName>
      <ability>L2_HalfPunc</ability>
      <abilityName>全半角检查</abilityName>
      <candidateList>
        <item>(</item>
      </candidateList>
      <explain>文本全半角错误。</explain>
      <paraID>502B495C</paraID>
      <start>3</start>
      <end>4</end>
      <status>unmodified</status>
      <modifiedWord/>
      <trackRevisions>false</trackRevisions>
    </reviewItem>
    <reviewItem>
      <errorID>f1ce611f-7bc7-4914-a289-417439f597c0</errorID>
      <errorWord>）</errorWord>
      <group>L1_Format</group>
      <groupName>格式问题</groupName>
      <ability>L2_HalfPunc</ability>
      <abilityName>全半角检查</abilityName>
      <candidateList>
        <item>)</item>
      </candidateList>
      <explain>文本全半角错误。</explain>
      <paraID>502B495C</paraID>
      <start>5</start>
      <end>6</end>
      <status>unmodified</status>
      <modifiedWord/>
      <trackRevisions>false</trackRevisions>
    </reviewItem>
    <reviewItem>
      <errorID>d4877d1b-1a87-4624-8bb3-8e200e4f3a29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7C24ADCA</paraID>
      <start>0</start>
      <end>2</end>
      <status>unmodified</status>
      <modifiedWord/>
      <trackRevisions>false</trackRevisions>
    </reviewItem>
    <reviewItem>
      <errorID>452e52a5-8aec-4433-9548-3efb66013f55</errorID>
      <errorWord>计</errorWord>
      <group>L1_Word</group>
      <groupName>字词问题</groupName>
      <ability>L2_Typo</ability>
      <abilityName>字词错误</abilityName>
      <candidateList>
        <item>计算</item>
      </candidateList>
      <explain/>
      <paraID>646A2EA4</paraID>
      <start>18</start>
      <end>19</end>
      <status>unmodified</status>
      <modifiedWord/>
      <trackRevisions>false</trackRevisions>
    </reviewItem>
    <reviewItem>
      <errorID>b3beca97-5913-4c97-b61e-a27c9ffcda72</errorID>
      <errorWord>~</errorWord>
      <group>L1_Format</group>
      <groupName>格式问题</groupName>
      <ability>L2_HalfPunc</ability>
      <abilityName>全半角检查</abilityName>
      <candidateList>
        <item>～</item>
      </candidateList>
      <explain>文本全半角错误。</explain>
      <paraID>56A4437E</paraID>
      <start>50</start>
      <end>51</end>
      <status>unmodified</status>
      <modifiedWord/>
      <trackRevisions>false</trackRevisions>
    </reviewItem>
    <reviewItem>
      <errorID>e709d318-8155-4420-9dc8-1a5831436033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3FADBA7D</paraID>
      <start>0</start>
      <end>2</end>
      <status>unmodified</status>
      <modifiedWord/>
      <trackRevisions>false</trackRevisions>
    </reviewItem>
    <reviewItem>
      <errorID>a5799e72-7274-46f0-aa88-515b40ba891b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6A594A8D</paraID>
      <start>0</start>
      <end>2</end>
      <status>unmodified</status>
      <modifiedWord/>
      <trackRevisions>false</trackRevisions>
    </reviewItem>
    <reviewItem>
      <errorID>a6165a7b-e875-4b75-b71e-c8a5402fe7db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615709E7</paraID>
      <start>0</start>
      <end>2</end>
      <status>unmodified</status>
      <modifiedWord/>
      <trackRevisions>false</trackRevisions>
    </reviewItem>
    <reviewItem>
      <errorID>4286be46-e698-413b-8c5a-a8c5c390a45a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14219984</paraID>
      <start>0</start>
      <end>2</end>
      <status>unmodified</status>
      <modifiedWord/>
      <trackRevisions>false</trackRevisions>
    </reviewItem>
    <reviewItem>
      <errorID>999feefa-e308-4ea6-9bdd-a632566a9ca6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21EF5B93</paraID>
      <start>0</start>
      <end>2</end>
      <status>unmodified</status>
      <modifiedWord/>
      <trackRevisions>false</trackRevisions>
    </reviewItem>
    <reviewItem>
      <errorID>adeb69cc-0602-4f13-b708-f95cb4046bd7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41366CBD</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fbe6f3-00f7-481f-8233-7d57c8986a0b}">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64</Pages>
  <Words>1372</Words>
  <Characters>1502</Characters>
  <Lines>1</Lines>
  <Paragraphs>1</Paragraphs>
  <TotalTime>1</TotalTime>
  <ScaleCrop>false</ScaleCrop>
  <LinksUpToDate>false</LinksUpToDate>
  <CharactersWithSpaces>1618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阳彦博</cp:lastModifiedBy>
  <cp:lastPrinted>2023-03-01T05:47:00Z</cp:lastPrinted>
  <dcterms:modified xsi:type="dcterms:W3CDTF">2026-04-07T01:17:32Z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99D7F2F5873F4F4FB64F2DC3E7FCE0CF_13</vt:lpwstr>
  </property>
  <property fmtid="{D5CDD505-2E9C-101B-9397-08002B2CF9AE}" pid="4" name="KSOTemplateDocerSaveRecord">
    <vt:lpwstr>eyJoZGlkIjoiMjZkNmJlMjM5MjA5NTEzYzc0NDZlM2YxZDg1MGY0NWQiLCJ1c2VySWQiOiIzMTIzOTY4NjcifQ==</vt:lpwstr>
  </property>
</Properties>
</file>