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26942">
      <w:pPr>
        <w:jc w:val="center"/>
        <w:rPr>
          <w:rFonts w:hint="default" w:ascii="Times New Roman" w:hAnsi="Times New Roman" w:eastAsia="黑体" w:cs="Times New Roman"/>
          <w:b/>
          <w:bCs/>
          <w:color w:val="000000" w:themeColor="text1"/>
          <w:sz w:val="72"/>
          <w:szCs w:val="72"/>
          <w:lang w:val="en-US" w:eastAsia="zh-CN"/>
          <w14:textFill>
            <w14:solidFill>
              <w14:schemeClr w14:val="tx1"/>
            </w14:solidFill>
          </w14:textFill>
        </w:rPr>
      </w:pPr>
    </w:p>
    <w:p w14:paraId="0DEF0E50">
      <w:pPr>
        <w:bidi w:val="0"/>
        <w:rPr>
          <w:rFonts w:hint="default"/>
          <w:color w:val="000000" w:themeColor="text1"/>
          <w:lang w:val="en-US" w:eastAsia="zh-CN"/>
          <w14:textFill>
            <w14:solidFill>
              <w14:schemeClr w14:val="tx1"/>
            </w14:solidFill>
          </w14:textFill>
        </w:rPr>
      </w:pPr>
    </w:p>
    <w:p w14:paraId="7BF34B3B">
      <w:pPr>
        <w:bidi w:val="0"/>
        <w:rPr>
          <w:rFonts w:hint="default"/>
          <w:color w:val="000000" w:themeColor="text1"/>
          <w:lang w:val="en-US" w:eastAsia="zh-CN"/>
          <w14:textFill>
            <w14:solidFill>
              <w14:schemeClr w14:val="tx1"/>
            </w14:solidFill>
          </w14:textFill>
        </w:rPr>
      </w:pPr>
    </w:p>
    <w:p w14:paraId="2B91E132">
      <w:pPr>
        <w:bidi w:val="0"/>
        <w:rPr>
          <w:rFonts w:hint="default"/>
          <w:color w:val="000000" w:themeColor="text1"/>
          <w:lang w:val="en-US" w:eastAsia="zh-CN"/>
          <w14:textFill>
            <w14:solidFill>
              <w14:schemeClr w14:val="tx1"/>
            </w14:solidFill>
          </w14:textFill>
        </w:rPr>
      </w:pPr>
    </w:p>
    <w:p w14:paraId="06687834">
      <w:pPr>
        <w:bidi w:val="0"/>
        <w:rPr>
          <w:rFonts w:hint="default"/>
          <w:color w:val="000000" w:themeColor="text1"/>
          <w:lang w:val="en-US" w:eastAsia="zh-CN"/>
          <w14:textFill>
            <w14:solidFill>
              <w14:schemeClr w14:val="tx1"/>
            </w14:solidFill>
          </w14:textFill>
        </w:rPr>
      </w:pPr>
    </w:p>
    <w:p w14:paraId="704EEB5E">
      <w:pPr>
        <w:bidi w:val="0"/>
        <w:rPr>
          <w:rFonts w:hint="default"/>
          <w:color w:val="000000" w:themeColor="text1"/>
          <w:lang w:val="en-US" w:eastAsia="zh-CN"/>
          <w14:textFill>
            <w14:solidFill>
              <w14:schemeClr w14:val="tx1"/>
            </w14:solidFill>
          </w14:textFill>
        </w:rPr>
      </w:pPr>
    </w:p>
    <w:p w14:paraId="6578606E">
      <w:pPr>
        <w:jc w:val="center"/>
        <w:rPr>
          <w:rFonts w:hint="default" w:ascii="Times New Roman" w:hAnsi="Times New Roman" w:eastAsia="黑体" w:cs="Times New Roman"/>
          <w:b/>
          <w:bCs/>
          <w:color w:val="000000" w:themeColor="text1"/>
          <w:sz w:val="72"/>
          <w:szCs w:val="72"/>
          <w:lang w:val="en-US" w:eastAsia="zh-CN"/>
          <w14:textFill>
            <w14:solidFill>
              <w14:schemeClr w14:val="tx1"/>
            </w14:solidFill>
          </w14:textFill>
        </w:rPr>
      </w:pPr>
      <w:r>
        <w:rPr>
          <w:rFonts w:hint="default" w:ascii="Times New Roman" w:hAnsi="Times New Roman" w:eastAsia="黑体" w:cs="Times New Roman"/>
          <w:b/>
          <w:bCs/>
          <w:color w:val="000000" w:themeColor="text1"/>
          <w:sz w:val="72"/>
          <w:szCs w:val="72"/>
          <w:lang w:val="en-US" w:eastAsia="zh-CN"/>
          <w14:textFill>
            <w14:solidFill>
              <w14:schemeClr w14:val="tx1"/>
            </w14:solidFill>
          </w14:textFill>
        </w:rPr>
        <w:t>建设项目环境影响报告表</w:t>
      </w:r>
    </w:p>
    <w:p w14:paraId="4EFB6FC1">
      <w:pPr>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r>
        <w:rPr>
          <w:rFonts w:hint="default" w:ascii="Times New Roman" w:hAnsi="Times New Roman" w:eastAsia="黑体" w:cs="Times New Roman"/>
          <w:b/>
          <w:bCs/>
          <w:color w:val="000000" w:themeColor="text1"/>
          <w:sz w:val="44"/>
          <w:szCs w:val="44"/>
          <w:lang w:val="en-US" w:eastAsia="zh-CN"/>
          <w14:textFill>
            <w14:solidFill>
              <w14:schemeClr w14:val="tx1"/>
            </w14:solidFill>
          </w14:textFill>
        </w:rPr>
        <w:t>（污染影响类）</w:t>
      </w:r>
    </w:p>
    <w:p w14:paraId="5BE1BE48">
      <w:pPr>
        <w:bidi w:val="0"/>
        <w:rPr>
          <w:rFonts w:hint="default"/>
          <w:color w:val="000000" w:themeColor="text1"/>
          <w:lang w:val="en-US" w:eastAsia="zh-CN"/>
          <w14:textFill>
            <w14:solidFill>
              <w14:schemeClr w14:val="tx1"/>
            </w14:solidFill>
          </w14:textFill>
        </w:rPr>
      </w:pPr>
    </w:p>
    <w:p w14:paraId="50BF88BF">
      <w:pPr>
        <w:bidi w:val="0"/>
        <w:rPr>
          <w:rFonts w:hint="default"/>
          <w:color w:val="000000" w:themeColor="text1"/>
          <w:lang w:val="en-US" w:eastAsia="zh-CN"/>
          <w14:textFill>
            <w14:solidFill>
              <w14:schemeClr w14:val="tx1"/>
            </w14:solidFill>
          </w14:textFill>
        </w:rPr>
      </w:pPr>
    </w:p>
    <w:p w14:paraId="086DFE45">
      <w:pPr>
        <w:bidi w:val="0"/>
        <w:rPr>
          <w:rFonts w:hint="default"/>
          <w:color w:val="000000" w:themeColor="text1"/>
          <w:lang w:val="en-US" w:eastAsia="zh-CN"/>
          <w14:textFill>
            <w14:solidFill>
              <w14:schemeClr w14:val="tx1"/>
            </w14:solidFill>
          </w14:textFill>
        </w:rPr>
      </w:pPr>
    </w:p>
    <w:p w14:paraId="35FC0BE4">
      <w:pPr>
        <w:bidi w:val="0"/>
        <w:rPr>
          <w:rFonts w:hint="default"/>
          <w:color w:val="000000" w:themeColor="text1"/>
          <w:lang w:val="en-US" w:eastAsia="zh-CN"/>
          <w14:textFill>
            <w14:solidFill>
              <w14:schemeClr w14:val="tx1"/>
            </w14:solidFill>
          </w14:textFill>
        </w:rPr>
      </w:pPr>
    </w:p>
    <w:p w14:paraId="50262605">
      <w:pPr>
        <w:bidi w:val="0"/>
        <w:rPr>
          <w:rFonts w:hint="default"/>
          <w:color w:val="000000" w:themeColor="text1"/>
          <w:lang w:val="en-US" w:eastAsia="zh-CN"/>
          <w14:textFill>
            <w14:solidFill>
              <w14:schemeClr w14:val="tx1"/>
            </w14:solidFill>
          </w14:textFill>
        </w:rPr>
      </w:pPr>
    </w:p>
    <w:p w14:paraId="25F355F4">
      <w:pPr>
        <w:bidi w:val="0"/>
        <w:rPr>
          <w:rFonts w:hint="default"/>
          <w:color w:val="000000" w:themeColor="text1"/>
          <w:lang w:val="en-US" w:eastAsia="zh-CN"/>
          <w14:textFill>
            <w14:solidFill>
              <w14:schemeClr w14:val="tx1"/>
            </w14:solidFill>
          </w14:textFill>
        </w:rPr>
      </w:pPr>
    </w:p>
    <w:p w14:paraId="2871D19C">
      <w:pPr>
        <w:bidi w:val="0"/>
        <w:rPr>
          <w:rFonts w:hint="default"/>
          <w:color w:val="000000" w:themeColor="text1"/>
          <w:lang w:val="en-US" w:eastAsia="zh-CN"/>
          <w14:textFill>
            <w14:solidFill>
              <w14:schemeClr w14:val="tx1"/>
            </w14:solidFill>
          </w14:textFill>
        </w:rPr>
      </w:pPr>
    </w:p>
    <w:p w14:paraId="05CFE76F">
      <w:pPr>
        <w:bidi w:val="0"/>
        <w:rPr>
          <w:rFonts w:hint="default"/>
          <w:color w:val="000000" w:themeColor="text1"/>
          <w:lang w:val="en-US" w:eastAsia="zh-CN"/>
          <w14:textFill>
            <w14:solidFill>
              <w14:schemeClr w14:val="tx1"/>
            </w14:solidFill>
          </w14:textFill>
        </w:rPr>
      </w:pPr>
    </w:p>
    <w:p w14:paraId="27F9B58B">
      <w:pPr>
        <w:jc w:val="both"/>
        <w:rPr>
          <w:rFonts w:hint="eastAsia" w:eastAsia="黑体" w:cs="Times New Roman"/>
          <w:b w:val="0"/>
          <w:bCs w:val="0"/>
          <w:color w:val="000000" w:themeColor="text1"/>
          <w:sz w:val="28"/>
          <w:szCs w:val="28"/>
          <w:u w:val="single"/>
          <w:lang w:val="en-US" w:eastAsia="zh-CN"/>
          <w14:textFill>
            <w14:solidFill>
              <w14:schemeClr w14:val="tx1"/>
            </w14:solidFill>
          </w14:textFill>
        </w:rPr>
      </w:pPr>
      <w:r>
        <w:rPr>
          <w:rFonts w:hint="eastAsia" w:ascii="Times New Roman" w:hAnsi="Times New Roman" w:eastAsia="黑体" w:cs="Times New Roman"/>
          <w:b/>
          <w:bCs/>
          <w:color w:val="000000" w:themeColor="text1"/>
          <w:sz w:val="28"/>
          <w:szCs w:val="28"/>
          <w:lang w:val="en-US" w:eastAsia="zh-CN"/>
          <w14:textFill>
            <w14:solidFill>
              <w14:schemeClr w14:val="tx1"/>
            </w14:solidFill>
          </w14:textFill>
        </w:rPr>
        <w:t>项目名称：</w:t>
      </w:r>
      <w:r>
        <w:rPr>
          <w:rFonts w:hint="eastAsia" w:eastAsia="黑体" w:cs="Times New Roman"/>
          <w:b w:val="0"/>
          <w:bCs w:val="0"/>
          <w:color w:val="000000" w:themeColor="text1"/>
          <w:sz w:val="28"/>
          <w:szCs w:val="28"/>
          <w:u w:val="single"/>
          <w:lang w:val="en-US" w:eastAsia="zh-CN"/>
          <w14:textFill>
            <w14:solidFill>
              <w14:schemeClr w14:val="tx1"/>
            </w14:solidFill>
          </w14:textFill>
        </w:rPr>
        <w:t xml:space="preserve"> 湖南省益能环保科技有限公司年产48台（套）污泥干化处理设备生产线新增上漆工艺建设项目                         </w:t>
      </w:r>
    </w:p>
    <w:p w14:paraId="54EACFBA">
      <w:pPr>
        <w:jc w:val="both"/>
        <w:rPr>
          <w:rFonts w:hint="default" w:eastAsia="黑体" w:cs="Times New Roman"/>
          <w:b w:val="0"/>
          <w:bCs w:val="0"/>
          <w:color w:val="000000" w:themeColor="text1"/>
          <w:sz w:val="28"/>
          <w:szCs w:val="28"/>
          <w:u w:val="single"/>
          <w:lang w:val="en-US" w:eastAsia="zh-CN"/>
          <w14:textFill>
            <w14:solidFill>
              <w14:schemeClr w14:val="tx1"/>
            </w14:solidFill>
          </w14:textFill>
        </w:rPr>
      </w:pPr>
      <w:r>
        <w:rPr>
          <w:rFonts w:hint="eastAsia" w:ascii="Times New Roman" w:hAnsi="Times New Roman" w:eastAsia="黑体" w:cs="Times New Roman"/>
          <w:b/>
          <w:bCs/>
          <w:color w:val="000000" w:themeColor="text1"/>
          <w:sz w:val="28"/>
          <w:szCs w:val="28"/>
          <w:lang w:val="en-US" w:eastAsia="zh-CN"/>
          <w14:textFill>
            <w14:solidFill>
              <w14:schemeClr w14:val="tx1"/>
            </w14:solidFill>
          </w14:textFill>
        </w:rPr>
        <w:t>建设单位（盖章）：</w:t>
      </w:r>
      <w:r>
        <w:rPr>
          <w:rFonts w:hint="eastAsia" w:ascii="Times New Roman" w:hAnsi="Times New Roman" w:eastAsia="黑体" w:cs="Times New Roman"/>
          <w:color w:val="000000" w:themeColor="text1"/>
          <w:sz w:val="28"/>
          <w:szCs w:val="28"/>
          <w:u w:val="single"/>
          <w:lang w:val="en-US" w:eastAsia="zh-CN"/>
          <w14:textFill>
            <w14:solidFill>
              <w14:schemeClr w14:val="tx1"/>
            </w14:solidFill>
          </w14:textFill>
        </w:rPr>
        <w:t xml:space="preserve">       </w:t>
      </w:r>
      <w:r>
        <w:rPr>
          <w:rFonts w:hint="eastAsia" w:eastAsia="黑体" w:cs="Times New Roman"/>
          <w:color w:val="000000" w:themeColor="text1"/>
          <w:sz w:val="28"/>
          <w:szCs w:val="28"/>
          <w:u w:val="single"/>
          <w:lang w:val="en-US" w:eastAsia="zh-CN"/>
          <w14:textFill>
            <w14:solidFill>
              <w14:schemeClr w14:val="tx1"/>
            </w14:solidFill>
          </w14:textFill>
        </w:rPr>
        <w:t xml:space="preserve"> </w:t>
      </w:r>
      <w:r>
        <w:rPr>
          <w:rFonts w:hint="eastAsia" w:eastAsia="黑体" w:cs="Times New Roman"/>
          <w:b w:val="0"/>
          <w:bCs w:val="0"/>
          <w:color w:val="000000" w:themeColor="text1"/>
          <w:sz w:val="28"/>
          <w:szCs w:val="28"/>
          <w:u w:val="single"/>
          <w:lang w:val="en-US" w:eastAsia="zh-CN"/>
          <w14:textFill>
            <w14:solidFill>
              <w14:schemeClr w14:val="tx1"/>
            </w14:solidFill>
          </w14:textFill>
        </w:rPr>
        <w:t xml:space="preserve">湖南省益能环保科技有限公司  </w:t>
      </w:r>
      <w:r>
        <w:rPr>
          <w:rFonts w:hint="eastAsia" w:ascii="Times New Roman" w:hAnsi="Times New Roman" w:eastAsia="黑体" w:cs="Times New Roman"/>
          <w:b w:val="0"/>
          <w:bCs w:val="0"/>
          <w:color w:val="000000" w:themeColor="text1"/>
          <w:sz w:val="28"/>
          <w:szCs w:val="28"/>
          <w:u w:val="single"/>
          <w:lang w:val="en-US" w:eastAsia="zh-CN"/>
          <w14:textFill>
            <w14:solidFill>
              <w14:schemeClr w14:val="tx1"/>
            </w14:solidFill>
          </w14:textFill>
        </w:rPr>
        <w:t xml:space="preserve">  </w:t>
      </w:r>
      <w:r>
        <w:rPr>
          <w:rFonts w:hint="eastAsia" w:eastAsia="黑体" w:cs="Times New Roman"/>
          <w:b w:val="0"/>
          <w:bCs w:val="0"/>
          <w:color w:val="000000" w:themeColor="text1"/>
          <w:sz w:val="28"/>
          <w:szCs w:val="28"/>
          <w:u w:val="single"/>
          <w:lang w:val="en-US" w:eastAsia="zh-CN"/>
          <w14:textFill>
            <w14:solidFill>
              <w14:schemeClr w14:val="tx1"/>
            </w14:solidFill>
          </w14:textFill>
        </w:rPr>
        <w:t xml:space="preserve">    </w:t>
      </w:r>
    </w:p>
    <w:p w14:paraId="7BCEDBB6">
      <w:pPr>
        <w:jc w:val="both"/>
        <w:rPr>
          <w:rFonts w:hint="default"/>
          <w:color w:val="000000" w:themeColor="text1"/>
          <w:lang w:val="en-US" w:eastAsia="zh-CN"/>
          <w14:textFill>
            <w14:solidFill>
              <w14:schemeClr w14:val="tx1"/>
            </w14:solidFill>
          </w14:textFill>
        </w:rPr>
      </w:pPr>
      <w:r>
        <w:rPr>
          <w:rFonts w:hint="eastAsia" w:ascii="Times New Roman" w:hAnsi="Times New Roman" w:eastAsia="黑体" w:cs="Times New Roman"/>
          <w:b/>
          <w:bCs/>
          <w:color w:val="000000" w:themeColor="text1"/>
          <w:sz w:val="28"/>
          <w:szCs w:val="28"/>
          <w:lang w:val="en-US" w:eastAsia="zh-CN"/>
          <w14:textFill>
            <w14:solidFill>
              <w14:schemeClr w14:val="tx1"/>
            </w14:solidFill>
          </w14:textFill>
        </w:rPr>
        <w:t>编制日期：</w:t>
      </w:r>
      <w:r>
        <w:rPr>
          <w:rFonts w:hint="eastAsia" w:ascii="Times New Roman" w:hAnsi="Times New Roman" w:eastAsia="黑体" w:cs="Times New Roman"/>
          <w:b w:val="0"/>
          <w:bCs w:val="0"/>
          <w:color w:val="000000" w:themeColor="text1"/>
          <w:sz w:val="28"/>
          <w:szCs w:val="28"/>
          <w:u w:val="single"/>
          <w:lang w:val="en-US" w:eastAsia="zh-CN"/>
          <w14:textFill>
            <w14:solidFill>
              <w14:schemeClr w14:val="tx1"/>
            </w14:solidFill>
          </w14:textFill>
        </w:rPr>
        <w:t xml:space="preserve">                    </w:t>
      </w:r>
      <w:r>
        <w:rPr>
          <w:rFonts w:hint="eastAsia" w:eastAsia="黑体" w:cs="Times New Roman"/>
          <w:b w:val="0"/>
          <w:bCs w:val="0"/>
          <w:color w:val="000000" w:themeColor="text1"/>
          <w:sz w:val="28"/>
          <w:szCs w:val="28"/>
          <w:u w:val="single"/>
          <w:lang w:val="en-US" w:eastAsia="zh-CN"/>
          <w14:textFill>
            <w14:solidFill>
              <w14:schemeClr w14:val="tx1"/>
            </w14:solidFill>
          </w14:textFill>
        </w:rPr>
        <w:t>二〇二五</w:t>
      </w:r>
      <w:r>
        <w:rPr>
          <w:rFonts w:hint="eastAsia" w:ascii="Times New Roman" w:hAnsi="Times New Roman" w:eastAsia="黑体" w:cs="Times New Roman"/>
          <w:b w:val="0"/>
          <w:bCs w:val="0"/>
          <w:color w:val="000000" w:themeColor="text1"/>
          <w:sz w:val="28"/>
          <w:szCs w:val="28"/>
          <w:u w:val="single"/>
          <w:lang w:val="en-US" w:eastAsia="zh-CN"/>
          <w14:textFill>
            <w14:solidFill>
              <w14:schemeClr w14:val="tx1"/>
            </w14:solidFill>
          </w14:textFill>
        </w:rPr>
        <w:t>年</w:t>
      </w:r>
      <w:r>
        <w:rPr>
          <w:rFonts w:hint="eastAsia" w:eastAsia="黑体" w:cs="Times New Roman"/>
          <w:b w:val="0"/>
          <w:bCs w:val="0"/>
          <w:color w:val="000000" w:themeColor="text1"/>
          <w:sz w:val="28"/>
          <w:szCs w:val="28"/>
          <w:u w:val="single"/>
          <w:lang w:val="en-US" w:eastAsia="zh-CN"/>
          <w14:textFill>
            <w14:solidFill>
              <w14:schemeClr w14:val="tx1"/>
            </w14:solidFill>
          </w14:textFill>
        </w:rPr>
        <w:t>一</w:t>
      </w:r>
      <w:r>
        <w:rPr>
          <w:rFonts w:hint="eastAsia" w:ascii="Times New Roman" w:hAnsi="Times New Roman" w:eastAsia="黑体" w:cs="Times New Roman"/>
          <w:b w:val="0"/>
          <w:bCs w:val="0"/>
          <w:color w:val="000000" w:themeColor="text1"/>
          <w:sz w:val="28"/>
          <w:szCs w:val="28"/>
          <w:u w:val="single"/>
          <w:lang w:val="en-US" w:eastAsia="zh-CN"/>
          <w14:textFill>
            <w14:solidFill>
              <w14:schemeClr w14:val="tx1"/>
            </w14:solidFill>
          </w14:textFill>
        </w:rPr>
        <w:t xml:space="preserve">月             </w:t>
      </w:r>
      <w:r>
        <w:rPr>
          <w:rFonts w:hint="eastAsia" w:eastAsia="黑体" w:cs="Times New Roman"/>
          <w:b w:val="0"/>
          <w:bCs w:val="0"/>
          <w:color w:val="000000" w:themeColor="text1"/>
          <w:sz w:val="28"/>
          <w:szCs w:val="28"/>
          <w:u w:val="single"/>
          <w:lang w:val="en-US" w:eastAsia="zh-CN"/>
          <w14:textFill>
            <w14:solidFill>
              <w14:schemeClr w14:val="tx1"/>
            </w14:solidFill>
          </w14:textFill>
        </w:rPr>
        <w:t xml:space="preserve">     </w:t>
      </w:r>
    </w:p>
    <w:p w14:paraId="436B9D4F">
      <w:pPr>
        <w:bidi w:val="0"/>
        <w:rPr>
          <w:rFonts w:hint="eastAsia"/>
          <w:color w:val="000000" w:themeColor="text1"/>
          <w:lang w:val="en-US" w:eastAsia="zh-CN"/>
          <w14:textFill>
            <w14:solidFill>
              <w14:schemeClr w14:val="tx1"/>
            </w14:solidFill>
          </w14:textFill>
        </w:rPr>
      </w:pPr>
    </w:p>
    <w:p w14:paraId="6CC834C6">
      <w:pPr>
        <w:bidi w:val="0"/>
        <w:rPr>
          <w:rFonts w:hint="eastAsia"/>
          <w:color w:val="000000" w:themeColor="text1"/>
          <w:lang w:val="en-US" w:eastAsia="zh-CN"/>
          <w14:textFill>
            <w14:solidFill>
              <w14:schemeClr w14:val="tx1"/>
            </w14:solidFill>
          </w14:textFill>
        </w:rPr>
      </w:pPr>
    </w:p>
    <w:p w14:paraId="32496073">
      <w:pPr>
        <w:bidi w:val="0"/>
        <w:rPr>
          <w:rFonts w:hint="eastAsia"/>
          <w:color w:val="000000" w:themeColor="text1"/>
          <w:lang w:val="en-US" w:eastAsia="zh-CN"/>
          <w14:textFill>
            <w14:solidFill>
              <w14:schemeClr w14:val="tx1"/>
            </w14:solidFill>
          </w14:textFill>
        </w:rPr>
      </w:pPr>
    </w:p>
    <w:p w14:paraId="2AE154D1">
      <w:pPr>
        <w:bidi w:val="0"/>
        <w:rPr>
          <w:rFonts w:hint="eastAsia"/>
          <w:color w:val="000000" w:themeColor="text1"/>
          <w:lang w:val="en-US" w:eastAsia="zh-CN"/>
          <w14:textFill>
            <w14:solidFill>
              <w14:schemeClr w14:val="tx1"/>
            </w14:solidFill>
          </w14:textFill>
        </w:rPr>
      </w:pPr>
    </w:p>
    <w:p w14:paraId="1FDBE9D8">
      <w:pPr>
        <w:bidi w:val="0"/>
        <w:rPr>
          <w:rFonts w:hint="eastAsia"/>
          <w:color w:val="000000" w:themeColor="text1"/>
          <w:lang w:val="en-US" w:eastAsia="zh-CN"/>
          <w14:textFill>
            <w14:solidFill>
              <w14:schemeClr w14:val="tx1"/>
            </w14:solidFill>
          </w14:textFill>
        </w:rPr>
      </w:pPr>
    </w:p>
    <w:p w14:paraId="2F4E8CB4">
      <w:pPr>
        <w:jc w:val="center"/>
        <w:rPr>
          <w:rFonts w:hint="eastAsia" w:eastAsia="黑体" w:cs="Times New Roman"/>
          <w:b w:val="0"/>
          <w:bCs w:val="0"/>
          <w:color w:val="000000" w:themeColor="text1"/>
          <w:sz w:val="28"/>
          <w:szCs w:val="28"/>
          <w:u w:val="none"/>
          <w:lang w:val="en-US" w:eastAsia="zh-CN"/>
          <w14:textFill>
            <w14:solidFill>
              <w14:schemeClr w14:val="tx1"/>
            </w14:solidFill>
          </w14:textFill>
        </w:rPr>
      </w:pPr>
      <w:r>
        <w:rPr>
          <w:rFonts w:hint="eastAsia" w:eastAsia="黑体" w:cs="Times New Roman"/>
          <w:b w:val="0"/>
          <w:bCs w:val="0"/>
          <w:color w:val="000000" w:themeColor="text1"/>
          <w:sz w:val="28"/>
          <w:szCs w:val="28"/>
          <w:u w:val="none"/>
          <w:lang w:val="en-US" w:eastAsia="zh-CN"/>
          <w14:textFill>
            <w14:solidFill>
              <w14:schemeClr w14:val="tx1"/>
            </w14:solidFill>
          </w14:textFill>
        </w:rPr>
        <w:t>中华人民共和国生态环境部制</w:t>
      </w:r>
    </w:p>
    <w:p w14:paraId="758BA0EA">
      <w:pPr>
        <w:jc w:val="both"/>
        <w:rPr>
          <w:rFonts w:hint="eastAsia" w:eastAsia="黑体" w:cs="Times New Roman"/>
          <w:b w:val="0"/>
          <w:bCs w:val="0"/>
          <w:color w:val="000000" w:themeColor="text1"/>
          <w:sz w:val="28"/>
          <w:szCs w:val="28"/>
          <w:u w:val="none"/>
          <w:lang w:val="en-US" w:eastAsia="zh-CN"/>
          <w14:textFill>
            <w14:solidFill>
              <w14:schemeClr w14:val="tx1"/>
            </w14:solidFill>
          </w14:textFill>
        </w:rPr>
      </w:pPr>
    </w:p>
    <w:p w14:paraId="5B4EABBB">
      <w:pPr>
        <w:jc w:val="both"/>
        <w:rPr>
          <w:rFonts w:hint="eastAsia" w:eastAsia="黑体" w:cs="Times New Roman"/>
          <w:b w:val="0"/>
          <w:bCs w:val="0"/>
          <w:color w:val="000000" w:themeColor="text1"/>
          <w:sz w:val="28"/>
          <w:szCs w:val="28"/>
          <w:u w:val="none"/>
          <w:lang w:val="en-US" w:eastAsia="zh-CN"/>
          <w14:textFill>
            <w14:solidFill>
              <w14:schemeClr w14:val="tx1"/>
            </w14:solidFill>
          </w14:textFill>
        </w:rPr>
        <w:sectPr>
          <w:pgSz w:w="11906" w:h="16838"/>
          <w:pgMar w:top="1440" w:right="1803" w:bottom="1440" w:left="1803" w:header="851" w:footer="992" w:gutter="0"/>
          <w:pgBorders>
            <w:top w:val="none" w:sz="0" w:space="0"/>
            <w:left w:val="none" w:sz="0" w:space="0"/>
            <w:bottom w:val="none" w:sz="0" w:space="0"/>
            <w:right w:val="none" w:sz="0" w:space="0"/>
          </w:pgBorders>
          <w:cols w:space="720" w:num="1"/>
          <w:rtlGutter w:val="0"/>
          <w:docGrid w:type="lines" w:linePitch="312" w:charSpace="0"/>
        </w:sectPr>
      </w:pPr>
      <w:r>
        <w:rPr>
          <w:rFonts w:hint="eastAsia" w:eastAsia="黑体" w:cs="Times New Roman"/>
          <w:b w:val="0"/>
          <w:bCs w:val="0"/>
          <w:color w:val="000000" w:themeColor="text1"/>
          <w:sz w:val="28"/>
          <w:szCs w:val="28"/>
          <w:u w:val="none"/>
          <w:lang w:val="en-US" w:eastAsia="zh-CN"/>
          <w14:textFill>
            <w14:solidFill>
              <w14:schemeClr w14:val="tx1"/>
            </w14:solidFill>
          </w14:textFill>
        </w:rPr>
        <w:drawing>
          <wp:inline distT="0" distB="0" distL="114300" distR="114300">
            <wp:extent cx="5262880" cy="7447915"/>
            <wp:effectExtent l="0" t="0" r="13970" b="635"/>
            <wp:docPr id="19" name="图片 19" descr="8fcfab74de7e4156ca6ccfc3a4a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fcfab74de7e4156ca6ccfc3a4a3809"/>
                    <pic:cNvPicPr>
                      <a:picLocks noChangeAspect="1"/>
                    </pic:cNvPicPr>
                  </pic:nvPicPr>
                  <pic:blipFill>
                    <a:blip r:embed="rId7"/>
                    <a:stretch>
                      <a:fillRect/>
                    </a:stretch>
                  </pic:blipFill>
                  <pic:spPr>
                    <a:xfrm>
                      <a:off x="0" y="0"/>
                      <a:ext cx="5262880" cy="7447915"/>
                    </a:xfrm>
                    <a:prstGeom prst="rect">
                      <a:avLst/>
                    </a:prstGeom>
                  </pic:spPr>
                </pic:pic>
              </a:graphicData>
            </a:graphic>
          </wp:inline>
        </w:drawing>
      </w:r>
    </w:p>
    <w:sdt>
      <w:sdtPr>
        <w:rPr>
          <w:rFonts w:ascii="宋体" w:hAnsi="宋体" w:eastAsia="宋体" w:cs="Times New Roman"/>
          <w:color w:val="000000" w:themeColor="text1"/>
          <w:kern w:val="2"/>
          <w:sz w:val="32"/>
          <w:szCs w:val="32"/>
          <w:lang w:val="en-US" w:eastAsia="zh-CN" w:bidi="ar-SA"/>
          <w14:textFill>
            <w14:solidFill>
              <w14:schemeClr w14:val="tx1"/>
            </w14:solidFill>
          </w14:textFill>
        </w:rPr>
        <w:id w:val="147462175"/>
        <w15:color w:val="DBDBDB"/>
        <w:docPartObj>
          <w:docPartGallery w:val="Table of Contents"/>
          <w:docPartUnique/>
        </w:docPartObj>
      </w:sdtPr>
      <w:sdtEndP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sdtEndPr>
      <w:sdtContent>
        <w:p w14:paraId="38D0D0FA">
          <w:pPr>
            <w:spacing w:before="0" w:beforeLines="0" w:after="0" w:afterLines="0" w:line="240" w:lineRule="auto"/>
            <w:ind w:left="0" w:leftChars="0" w:right="0" w:rightChars="0" w:firstLine="0" w:firstLineChars="0"/>
            <w:jc w:val="center"/>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目录</w:t>
          </w:r>
        </w:p>
        <w:p w14:paraId="12627955">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TOC \o "1-3" \h \u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_Toc1603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一、建设项目基本情况</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_Toc1603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1</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62C53403">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_Toc22421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bCs w:val="0"/>
              <w:color w:val="000000" w:themeColor="text1"/>
              <w:sz w:val="21"/>
              <w:szCs w:val="21"/>
              <w:lang w:val="en-US" w:eastAsia="zh-CN"/>
              <w14:textFill>
                <w14:solidFill>
                  <w14:schemeClr w14:val="tx1"/>
                </w14:solidFill>
              </w14:textFill>
            </w:rPr>
            <w:t>二、建设项目工程分析</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_Toc22421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18</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777D7BE3">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_Toc5953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三、区域环境质量现状、环境保护目标及评价标准</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_Toc5953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40</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105215E1">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_Toc28483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四、主要环境影响和保护措施</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_Toc28483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47</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63A3CB7F">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_Toc19550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bCs/>
              <w:color w:val="000000" w:themeColor="text1"/>
              <w:sz w:val="21"/>
              <w:szCs w:val="21"/>
              <w:lang w:val="en-US" w:eastAsia="zh-CN"/>
              <w14:textFill>
                <w14:solidFill>
                  <w14:schemeClr w14:val="tx1"/>
                </w14:solidFill>
              </w14:textFill>
            </w:rPr>
            <w:t>五、环境保护措施监督检查清单</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_Toc19550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73</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750548CD">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_Toc18201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bCs/>
              <w:color w:val="000000" w:themeColor="text1"/>
              <w:sz w:val="21"/>
              <w:szCs w:val="21"/>
              <w:lang w:val="en-US" w:eastAsia="zh-CN"/>
              <w14:textFill>
                <w14:solidFill>
                  <w14:schemeClr w14:val="tx1"/>
                </w14:solidFill>
              </w14:textFill>
            </w:rPr>
            <w:t>六、结论</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_Toc18201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75</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2E85379D">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_Toc7287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附表</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_Toc7287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76</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38DC121C">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_Toc6305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附图1 项目地理位置图</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_Toc6305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77</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5AE7D51F">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_Toc2182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附图2 项目环境保护目标分布图</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_Toc2182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78</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0E7BC812">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_Toc16414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附图3 项目厂区平面布置图</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_Toc16414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79</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7877C0D3">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_Toc9771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附图4 项目与《溆浦县城控制性详细规划及城市设计-规划地块指标图》位置关系图</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_Toc9771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80</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4F04F37B">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_Toc9590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附图5 项目与《溆浦县声环境功能区划（2020）》位置图</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_Toc9590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81</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32FAB1A9">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_Toc19314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附图6 项目“三区三线”图（建设单位提供）</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_Toc19314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82</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693901B6">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_Toc1362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附件1 委托书</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_Toc1362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84</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1FC14865">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_Toc19946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附件2 用地不动产权证明</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_Toc19946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85</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56197CE3">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_Toc25705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附件3 建设单位营业执照</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_Toc25705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88</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0B2CC835">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_Toc5957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附件4 法人身份证</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_Toc5957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89</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6BC960EF">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_Toc1561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附件5 环评批复（现有项目）</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_Toc1561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90</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72993C5A">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_Toc9235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附件6 验收意见（现有项目）</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_Toc9235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96</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2133BD9F">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_Toc18610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附件7 验收监测报告（现有项目）</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_Toc18610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99</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444F3055">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_Toc25954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附件8 2024年环境空气质量年报（部分截图）</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_Toc25954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102</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74BD5C98">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_Toc7450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附件9 2024年水环境质量年报（部分截图）</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_Toc7450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103</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516D1C17">
          <w:pPr>
            <w:pStyle w:val="6"/>
            <w:tabs>
              <w:tab w:val="right" w:leader="dot" w:pos="8300"/>
            </w:tabs>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_Toc1092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附件10检测报告</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_Toc1092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104</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6B162A7B">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_Toc15555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附件11原辅材料MSDS报告</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_Toc15555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109</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60945969">
          <w:pPr>
            <w:pStyle w:val="6"/>
            <w:tabs>
              <w:tab w:val="right" w:leader="dot" w:pos="8300"/>
            </w:tabs>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黑体" w:cs="Times New Roman"/>
              <w:color w:val="000000" w:themeColor="text1"/>
              <w:sz w:val="21"/>
              <w:szCs w:val="21"/>
              <w:lang w:val="en-US" w:eastAsia="zh-CN"/>
              <w14:textFill>
                <w14:solidFill>
                  <w14:schemeClr w14:val="tx1"/>
                </w14:solidFill>
              </w14:textFill>
            </w:rPr>
            <w:instrText xml:space="preserve"> HYPERLINK \l _Toc16002 </w:instrTex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附件12技术评审会专家评审意见</w:t>
          </w:r>
          <w:r>
            <w:rPr>
              <w:rFonts w:hint="default" w:ascii="Times New Roman" w:hAnsi="Times New Roman" w:eastAsia="黑体" w:cs="Times New Roman"/>
              <w:color w:val="000000" w:themeColor="text1"/>
              <w:sz w:val="21"/>
              <w:szCs w:val="21"/>
              <w14:textFill>
                <w14:solidFill>
                  <w14:schemeClr w14:val="tx1"/>
                </w14:solidFill>
              </w14:textFill>
            </w:rPr>
            <w:tab/>
          </w:r>
          <w:r>
            <w:rPr>
              <w:rFonts w:hint="default" w:ascii="Times New Roman" w:hAnsi="Times New Roman" w:eastAsia="黑体" w:cs="Times New Roman"/>
              <w:color w:val="000000" w:themeColor="text1"/>
              <w:sz w:val="21"/>
              <w:szCs w:val="21"/>
              <w14:textFill>
                <w14:solidFill>
                  <w14:schemeClr w14:val="tx1"/>
                </w14:solidFill>
              </w14:textFill>
            </w:rPr>
            <w:fldChar w:fldCharType="begin"/>
          </w:r>
          <w:r>
            <w:rPr>
              <w:rFonts w:hint="default" w:ascii="Times New Roman" w:hAnsi="Times New Roman" w:eastAsia="黑体" w:cs="Times New Roman"/>
              <w:color w:val="000000" w:themeColor="text1"/>
              <w:sz w:val="21"/>
              <w:szCs w:val="21"/>
              <w14:textFill>
                <w14:solidFill>
                  <w14:schemeClr w14:val="tx1"/>
                </w14:solidFill>
              </w14:textFill>
            </w:rPr>
            <w:instrText xml:space="preserve"> PAGEREF _Toc16002 \h </w:instrText>
          </w:r>
          <w:r>
            <w:rPr>
              <w:rFonts w:hint="default" w:ascii="Times New Roman" w:hAnsi="Times New Roman" w:eastAsia="黑体" w:cs="Times New Roman"/>
              <w:color w:val="000000" w:themeColor="text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sz w:val="21"/>
              <w:szCs w:val="21"/>
              <w14:textFill>
                <w14:solidFill>
                  <w14:schemeClr w14:val="tx1"/>
                </w14:solidFill>
              </w14:textFill>
            </w:rPr>
            <w:t>124</w:t>
          </w:r>
          <w:r>
            <w:rPr>
              <w:rFonts w:hint="default" w:ascii="Times New Roman" w:hAnsi="Times New Roman" w:eastAsia="黑体" w:cs="Times New Roman"/>
              <w:color w:val="000000" w:themeColor="text1"/>
              <w:sz w:val="21"/>
              <w:szCs w:val="21"/>
              <w14:textFill>
                <w14:solidFill>
                  <w14:schemeClr w14:val="tx1"/>
                </w14:solidFill>
              </w14:textFill>
            </w:rPr>
            <w:fldChar w:fldCharType="end"/>
          </w: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p w14:paraId="3F7B8CDD">
          <w:pPr>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fldChar w:fldCharType="end"/>
          </w:r>
        </w:p>
      </w:sdtContent>
    </w:sdt>
    <w:p w14:paraId="4BA7A841">
      <w:pPr>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sectPr>
          <w:pgSz w:w="11906" w:h="16838"/>
          <w:pgMar w:top="1440" w:right="1803" w:bottom="1440" w:left="1803" w:header="851" w:footer="992" w:gutter="0"/>
          <w:pgBorders>
            <w:top w:val="none" w:sz="0" w:space="0"/>
            <w:left w:val="none" w:sz="0" w:space="0"/>
            <w:bottom w:val="none" w:sz="0" w:space="0"/>
            <w:right w:val="none" w:sz="0" w:space="0"/>
          </w:pgBorders>
          <w:cols w:space="720" w:num="1"/>
          <w:rtlGutter w:val="0"/>
          <w:docGrid w:type="lines" w:linePitch="312" w:charSpace="0"/>
        </w:sectPr>
      </w:pPr>
    </w:p>
    <w:p w14:paraId="21CA4F6E">
      <w:pPr>
        <w:pStyle w:val="2"/>
        <w:tabs>
          <w:tab w:val="left" w:pos="309"/>
        </w:tabs>
        <w:spacing w:before="0" w:after="0" w:line="360" w:lineRule="auto"/>
        <w:jc w:val="center"/>
        <w:rPr>
          <w:rFonts w:hint="eastAsia" w:ascii="黑体" w:hAnsi="黑体" w:eastAsia="黑体" w:cs="黑体"/>
          <w:color w:val="000000" w:themeColor="text1"/>
          <w14:textFill>
            <w14:solidFill>
              <w14:schemeClr w14:val="tx1"/>
            </w14:solidFill>
          </w14:textFill>
        </w:rPr>
      </w:pPr>
      <w:bookmarkStart w:id="0" w:name="_Toc7540"/>
      <w:bookmarkStart w:id="1" w:name="_Toc5480"/>
      <w:bookmarkStart w:id="2" w:name="_Toc1603"/>
      <w:bookmarkStart w:id="3" w:name="_Toc6012"/>
      <w:bookmarkStart w:id="4" w:name="_Toc23932"/>
      <w:bookmarkStart w:id="5" w:name="_Toc11129"/>
      <w:bookmarkStart w:id="6" w:name="_Toc11111"/>
      <w:r>
        <w:rPr>
          <w:rFonts w:hint="eastAsia" w:ascii="黑体" w:hAnsi="黑体" w:eastAsia="黑体" w:cs="黑体"/>
          <w:color w:val="000000" w:themeColor="text1"/>
          <w:sz w:val="28"/>
          <w:szCs w:val="28"/>
          <w14:textFill>
            <w14:solidFill>
              <w14:schemeClr w14:val="tx1"/>
            </w14:solidFill>
          </w14:textFill>
        </w:rPr>
        <w:t>一、建设项目基本情况</w:t>
      </w:r>
      <w:bookmarkEnd w:id="0"/>
      <w:bookmarkEnd w:id="1"/>
      <w:bookmarkEnd w:id="2"/>
      <w:bookmarkEnd w:id="3"/>
      <w:bookmarkEnd w:id="4"/>
      <w:bookmarkEnd w:id="5"/>
      <w:bookmarkEnd w:id="6"/>
    </w:p>
    <w:tbl>
      <w:tblPr>
        <w:tblStyle w:val="8"/>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31"/>
        <w:gridCol w:w="2076"/>
        <w:gridCol w:w="1656"/>
        <w:gridCol w:w="3372"/>
      </w:tblGrid>
      <w:tr w14:paraId="3939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45" w:type="dxa"/>
            <w:gridSpan w:val="2"/>
            <w:noWrap w:val="0"/>
            <w:vAlign w:val="center"/>
          </w:tcPr>
          <w:p w14:paraId="6BA580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t>建设项目名称</w:t>
            </w:r>
          </w:p>
        </w:tc>
        <w:tc>
          <w:tcPr>
            <w:tcW w:w="7104" w:type="dxa"/>
            <w:gridSpan w:val="3"/>
            <w:noWrap w:val="0"/>
            <w:vAlign w:val="center"/>
          </w:tcPr>
          <w:p w14:paraId="4E00A3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湖南省益能环保科技有限公司年产48台（套）污泥干化处理设备生产线</w:t>
            </w:r>
            <w:r>
              <w:rPr>
                <w:rFonts w:hint="eastAsia" w:cs="Times New Roman"/>
                <w:b w:val="0"/>
                <w:bCs w:val="0"/>
                <w:color w:val="000000" w:themeColor="text1"/>
                <w:sz w:val="24"/>
                <w:szCs w:val="24"/>
                <w:highlight w:val="none"/>
                <w:u w:val="single"/>
                <w:vertAlign w:val="baseline"/>
                <w:lang w:val="en-US" w:eastAsia="zh-CN"/>
                <w14:textFill>
                  <w14:solidFill>
                    <w14:schemeClr w14:val="tx1"/>
                  </w14:solidFill>
                </w14:textFill>
              </w:rPr>
              <w:t>新增上漆工艺</w:t>
            </w: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建设项目</w:t>
            </w:r>
          </w:p>
        </w:tc>
      </w:tr>
      <w:tr w14:paraId="26B8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gridSpan w:val="2"/>
            <w:noWrap w:val="0"/>
            <w:vAlign w:val="center"/>
          </w:tcPr>
          <w:p w14:paraId="6B3AE05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t>项目代码</w:t>
            </w:r>
          </w:p>
        </w:tc>
        <w:tc>
          <w:tcPr>
            <w:tcW w:w="7104" w:type="dxa"/>
            <w:gridSpan w:val="3"/>
            <w:noWrap w:val="0"/>
            <w:vAlign w:val="center"/>
          </w:tcPr>
          <w:p w14:paraId="2FD62E6B">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p>
        </w:tc>
      </w:tr>
      <w:tr w14:paraId="30FD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945" w:type="dxa"/>
            <w:gridSpan w:val="2"/>
            <w:noWrap w:val="0"/>
            <w:vAlign w:val="center"/>
          </w:tcPr>
          <w:p w14:paraId="569C17F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sz w:val="24"/>
              </w:rPr>
              <mc:AlternateContent>
                <mc:Choice Requires="wps">
                  <w:drawing>
                    <wp:anchor distT="0" distB="0" distL="114300" distR="114300" simplePos="0" relativeHeight="251660288" behindDoc="0" locked="0" layoutInCell="1" allowOverlap="1">
                      <wp:simplePos x="0" y="0"/>
                      <wp:positionH relativeFrom="column">
                        <wp:posOffset>1155065</wp:posOffset>
                      </wp:positionH>
                      <wp:positionV relativeFrom="paragraph">
                        <wp:posOffset>8890</wp:posOffset>
                      </wp:positionV>
                      <wp:extent cx="4238625" cy="238125"/>
                      <wp:effectExtent l="6350" t="6350" r="22225" b="22225"/>
                      <wp:wrapNone/>
                      <wp:docPr id="27" name="矩形 27"/>
                      <wp:cNvGraphicFramePr/>
                      <a:graphic xmlns:a="http://schemas.openxmlformats.org/drawingml/2006/main">
                        <a:graphicData uri="http://schemas.microsoft.com/office/word/2010/wordprocessingShape">
                          <wps:wsp>
                            <wps:cNvSpPr/>
                            <wps:spPr>
                              <a:xfrm>
                                <a:off x="2130425" y="2002155"/>
                                <a:ext cx="4238625" cy="238125"/>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5pt;margin-top:0.7pt;height:18.75pt;width:333.75pt;z-index:251660288;v-text-anchor:middle;mso-width-relative:page;mso-height-relative:page;" fillcolor="#000000 [3213]" filled="t" stroked="t" coordsize="21600,21600" o:gfxdata="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r1DQM1gAAAAgBAAAP&#10;AAAAAAAAAAEAIAAAACIAAABkcnMvZG93bnJldi54bWxQSwECFAAUAAAACACHTuJAL5y8XIwCAAAk&#10;BQAADgAAAAAAAAABACAAAAAlAQAAZHJzL2Uyb0RvYy54bWxQSwUGAAAAAAYABgBZAQAAIwYAAAAA&#10;">
                      <v:fill on="t" focussize="0,0"/>
                      <v:stroke weight="1pt" color="#2E54A1 [2404]" miterlimit="8" joinstyle="miter"/>
                      <v:imagedata o:title=""/>
                      <o:lock v:ext="edit" aspectratio="f"/>
                    </v:rect>
                  </w:pict>
                </mc:Fallback>
              </mc:AlternateContent>
            </w:r>
            <w:r>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t>建设单位联系人</w:t>
            </w:r>
          </w:p>
        </w:tc>
        <w:tc>
          <w:tcPr>
            <w:tcW w:w="2076" w:type="dxa"/>
            <w:noWrap w:val="0"/>
            <w:vAlign w:val="center"/>
          </w:tcPr>
          <w:p w14:paraId="7DCF9A13">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舒纪兴</w:t>
            </w:r>
          </w:p>
        </w:tc>
        <w:tc>
          <w:tcPr>
            <w:tcW w:w="1656" w:type="dxa"/>
            <w:noWrap w:val="0"/>
            <w:vAlign w:val="center"/>
          </w:tcPr>
          <w:p w14:paraId="2455B3D5">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t>联系方式</w:t>
            </w:r>
          </w:p>
        </w:tc>
        <w:tc>
          <w:tcPr>
            <w:tcW w:w="3372" w:type="dxa"/>
            <w:noWrap w:val="0"/>
            <w:vAlign w:val="center"/>
          </w:tcPr>
          <w:p w14:paraId="4A4414F7">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13771982289</w:t>
            </w:r>
          </w:p>
        </w:tc>
      </w:tr>
      <w:tr w14:paraId="0F76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gridSpan w:val="2"/>
            <w:noWrap w:val="0"/>
            <w:vAlign w:val="center"/>
          </w:tcPr>
          <w:p w14:paraId="40B32608">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t>建设地点</w:t>
            </w:r>
          </w:p>
        </w:tc>
        <w:tc>
          <w:tcPr>
            <w:tcW w:w="7104" w:type="dxa"/>
            <w:gridSpan w:val="3"/>
            <w:noWrap w:val="0"/>
            <w:vAlign w:val="center"/>
          </w:tcPr>
          <w:p w14:paraId="144C5181">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湖南省怀化市溆浦县卢峰镇（</w:t>
            </w:r>
            <w:r>
              <w:rPr>
                <w:rFonts w:hint="eastAsia" w:cs="Times New Roman"/>
                <w:b w:val="0"/>
                <w:bCs w:val="0"/>
                <w:color w:val="000000" w:themeColor="text1"/>
                <w:sz w:val="24"/>
                <w:szCs w:val="24"/>
                <w:highlight w:val="none"/>
                <w:u w:val="single"/>
                <w:vertAlign w:val="baseline"/>
                <w:lang w:val="en-US" w:eastAsia="zh-CN"/>
                <w14:textFill>
                  <w14:solidFill>
                    <w14:schemeClr w14:val="tx1"/>
                  </w14:solidFill>
                </w14:textFill>
              </w:rPr>
              <w:t>原仲夏乡</w:t>
            </w: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）太坪村一组</w:t>
            </w:r>
          </w:p>
        </w:tc>
      </w:tr>
      <w:tr w14:paraId="6147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gridSpan w:val="2"/>
            <w:noWrap w:val="0"/>
            <w:vAlign w:val="center"/>
          </w:tcPr>
          <w:p w14:paraId="4B869891">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t>地理坐标</w:t>
            </w:r>
          </w:p>
        </w:tc>
        <w:tc>
          <w:tcPr>
            <w:tcW w:w="7104" w:type="dxa"/>
            <w:gridSpan w:val="3"/>
            <w:noWrap w:val="0"/>
            <w:vAlign w:val="center"/>
          </w:tcPr>
          <w:p w14:paraId="7AAFADD7">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（东经</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eastAsia" w:cs="Times New Roman"/>
                <w:b w:val="0"/>
                <w:bCs w:val="0"/>
                <w:color w:val="000000" w:themeColor="text1"/>
                <w:sz w:val="24"/>
                <w:szCs w:val="24"/>
                <w:highlight w:val="none"/>
                <w:u w:val="single"/>
                <w:vertAlign w:val="baseline"/>
                <w:lang w:val="en-US" w:eastAsia="zh-CN"/>
                <w14:textFill>
                  <w14:solidFill>
                    <w14:schemeClr w14:val="tx1"/>
                  </w14:solidFill>
                </w14:textFill>
              </w:rPr>
              <w:t>110</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度</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eastAsia" w:cs="Times New Roman"/>
                <w:b w:val="0"/>
                <w:bCs w:val="0"/>
                <w:color w:val="000000" w:themeColor="text1"/>
                <w:sz w:val="24"/>
                <w:szCs w:val="24"/>
                <w:highlight w:val="none"/>
                <w:u w:val="single"/>
                <w:vertAlign w:val="baseline"/>
                <w:lang w:val="en-US" w:eastAsia="zh-CN"/>
                <w14:textFill>
                  <w14:solidFill>
                    <w14:schemeClr w14:val="tx1"/>
                  </w14:solidFill>
                </w14:textFill>
              </w:rPr>
              <w:t>33</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分</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eastAsia" w:cs="Times New Roman"/>
                <w:b w:val="0"/>
                <w:bCs w:val="0"/>
                <w:color w:val="000000" w:themeColor="text1"/>
                <w:sz w:val="24"/>
                <w:szCs w:val="24"/>
                <w:highlight w:val="none"/>
                <w:u w:val="single"/>
                <w:vertAlign w:val="baseline"/>
                <w:lang w:val="en-US" w:eastAsia="zh-CN"/>
                <w14:textFill>
                  <w14:solidFill>
                    <w14:schemeClr w14:val="tx1"/>
                  </w14:solidFill>
                </w14:textFill>
              </w:rPr>
              <w:t>42.632</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秒，北纬</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eastAsia" w:cs="Times New Roman"/>
                <w:b w:val="0"/>
                <w:bCs w:val="0"/>
                <w:color w:val="000000" w:themeColor="text1"/>
                <w:sz w:val="24"/>
                <w:szCs w:val="24"/>
                <w:highlight w:val="none"/>
                <w:u w:val="single"/>
                <w:vertAlign w:val="baseline"/>
                <w:lang w:val="en-US" w:eastAsia="zh-CN"/>
                <w14:textFill>
                  <w14:solidFill>
                    <w14:schemeClr w14:val="tx1"/>
                  </w14:solidFill>
                </w14:textFill>
              </w:rPr>
              <w:t>27</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度</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eastAsia" w:cs="Times New Roman"/>
                <w:b w:val="0"/>
                <w:bCs w:val="0"/>
                <w:color w:val="000000" w:themeColor="text1"/>
                <w:sz w:val="24"/>
                <w:szCs w:val="24"/>
                <w:highlight w:val="none"/>
                <w:u w:val="single"/>
                <w:vertAlign w:val="baseline"/>
                <w:lang w:val="en-US" w:eastAsia="zh-CN"/>
                <w14:textFill>
                  <w14:solidFill>
                    <w14:schemeClr w14:val="tx1"/>
                  </w14:solidFill>
                </w14:textFill>
              </w:rPr>
              <w:t>55</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分</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eastAsia" w:cs="Times New Roman"/>
                <w:b w:val="0"/>
                <w:bCs w:val="0"/>
                <w:color w:val="000000" w:themeColor="text1"/>
                <w:sz w:val="24"/>
                <w:szCs w:val="24"/>
                <w:highlight w:val="none"/>
                <w:u w:val="single"/>
                <w:vertAlign w:val="baseline"/>
                <w:lang w:val="en-US" w:eastAsia="zh-CN"/>
                <w14:textFill>
                  <w14:solidFill>
                    <w14:schemeClr w14:val="tx1"/>
                  </w14:solidFill>
                </w14:textFill>
              </w:rPr>
              <w:t>22.195</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秒）</w:t>
            </w:r>
          </w:p>
        </w:tc>
      </w:tr>
      <w:tr w14:paraId="3415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45" w:type="dxa"/>
            <w:gridSpan w:val="2"/>
            <w:noWrap w:val="0"/>
            <w:vAlign w:val="center"/>
          </w:tcPr>
          <w:p w14:paraId="216E2A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t>国民经济</w:t>
            </w:r>
          </w:p>
          <w:p w14:paraId="2DCE4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t>行业类别</w:t>
            </w:r>
          </w:p>
        </w:tc>
        <w:tc>
          <w:tcPr>
            <w:tcW w:w="2076" w:type="dxa"/>
            <w:noWrap w:val="0"/>
            <w:vAlign w:val="center"/>
          </w:tcPr>
          <w:p w14:paraId="31C36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C3591环境保护专用设备制造</w:t>
            </w:r>
          </w:p>
        </w:tc>
        <w:tc>
          <w:tcPr>
            <w:tcW w:w="1656" w:type="dxa"/>
            <w:noWrap w:val="0"/>
            <w:vAlign w:val="center"/>
          </w:tcPr>
          <w:p w14:paraId="0A91AB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t>建设项目</w:t>
            </w:r>
          </w:p>
          <w:p w14:paraId="41E60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t>行业类别</w:t>
            </w:r>
          </w:p>
        </w:tc>
        <w:tc>
          <w:tcPr>
            <w:tcW w:w="3372" w:type="dxa"/>
            <w:noWrap w:val="0"/>
            <w:vAlign w:val="center"/>
          </w:tcPr>
          <w:p w14:paraId="35F08CC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三十二、专用设备制造业35</w:t>
            </w: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70 环保、邮政、社会公共服务及其他专用设备制造 359</w:t>
            </w:r>
          </w:p>
        </w:tc>
      </w:tr>
      <w:tr w14:paraId="3C6E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945" w:type="dxa"/>
            <w:gridSpan w:val="2"/>
            <w:noWrap w:val="0"/>
            <w:vAlign w:val="center"/>
          </w:tcPr>
          <w:p w14:paraId="02E86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t>建设性质</w:t>
            </w:r>
          </w:p>
        </w:tc>
        <w:tc>
          <w:tcPr>
            <w:tcW w:w="2076" w:type="dxa"/>
            <w:noWrap w:val="0"/>
            <w:vAlign w:val="center"/>
          </w:tcPr>
          <w:p w14:paraId="6CBA70F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新建（迁建）</w:t>
            </w:r>
          </w:p>
          <w:p w14:paraId="783DEB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改建</w:t>
            </w:r>
          </w:p>
          <w:p w14:paraId="2A5AB52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扩建</w:t>
            </w:r>
          </w:p>
          <w:p w14:paraId="6E327B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技术改造</w:t>
            </w:r>
          </w:p>
        </w:tc>
        <w:tc>
          <w:tcPr>
            <w:tcW w:w="1656" w:type="dxa"/>
            <w:noWrap w:val="0"/>
            <w:vAlign w:val="center"/>
          </w:tcPr>
          <w:p w14:paraId="0AC13F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t>建设项目</w:t>
            </w:r>
          </w:p>
          <w:p w14:paraId="0B997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t>申报情形</w:t>
            </w:r>
          </w:p>
        </w:tc>
        <w:tc>
          <w:tcPr>
            <w:tcW w:w="3372" w:type="dxa"/>
            <w:noWrap w:val="0"/>
            <w:vAlign w:val="center"/>
          </w:tcPr>
          <w:p w14:paraId="229CF9F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☑首次申报项目</w:t>
            </w:r>
          </w:p>
          <w:p w14:paraId="01E3D72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不予批准后再次申报项目</w:t>
            </w:r>
          </w:p>
          <w:p w14:paraId="2C6E9B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超五年重新审核项目</w:t>
            </w:r>
          </w:p>
          <w:p w14:paraId="6369752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重大变动重新报批项目</w:t>
            </w:r>
          </w:p>
        </w:tc>
      </w:tr>
      <w:tr w14:paraId="5997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945" w:type="dxa"/>
            <w:gridSpan w:val="2"/>
            <w:noWrap w:val="0"/>
            <w:vAlign w:val="center"/>
          </w:tcPr>
          <w:p w14:paraId="5D6AA2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t>项目审批</w:t>
            </w:r>
          </w:p>
          <w:p w14:paraId="386643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t>（核准/备案）</w:t>
            </w:r>
          </w:p>
          <w:p w14:paraId="248841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t>部门（选填）</w:t>
            </w:r>
          </w:p>
        </w:tc>
        <w:tc>
          <w:tcPr>
            <w:tcW w:w="2076" w:type="dxa"/>
            <w:noWrap w:val="0"/>
            <w:vAlign w:val="center"/>
          </w:tcPr>
          <w:p w14:paraId="4BA2A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p>
        </w:tc>
        <w:tc>
          <w:tcPr>
            <w:tcW w:w="1656" w:type="dxa"/>
            <w:noWrap w:val="0"/>
            <w:vAlign w:val="center"/>
          </w:tcPr>
          <w:p w14:paraId="32791C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项目审批</w:t>
            </w:r>
          </w:p>
          <w:p w14:paraId="537A7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（核准/备案）文号（选填）</w:t>
            </w:r>
          </w:p>
        </w:tc>
        <w:tc>
          <w:tcPr>
            <w:tcW w:w="3372" w:type="dxa"/>
            <w:noWrap w:val="0"/>
            <w:vAlign w:val="center"/>
          </w:tcPr>
          <w:p w14:paraId="146F3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w:t>
            </w:r>
          </w:p>
        </w:tc>
      </w:tr>
      <w:tr w14:paraId="6ED4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945" w:type="dxa"/>
            <w:gridSpan w:val="2"/>
            <w:noWrap w:val="0"/>
            <w:vAlign w:val="center"/>
          </w:tcPr>
          <w:p w14:paraId="1486BC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t>总投资（万元）</w:t>
            </w:r>
          </w:p>
        </w:tc>
        <w:tc>
          <w:tcPr>
            <w:tcW w:w="2076" w:type="dxa"/>
            <w:noWrap w:val="0"/>
            <w:vAlign w:val="center"/>
          </w:tcPr>
          <w:p w14:paraId="0A75A2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100</w:t>
            </w:r>
          </w:p>
        </w:tc>
        <w:tc>
          <w:tcPr>
            <w:tcW w:w="1656" w:type="dxa"/>
            <w:noWrap w:val="0"/>
            <w:vAlign w:val="center"/>
          </w:tcPr>
          <w:p w14:paraId="6A2E0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环保投资</w:t>
            </w:r>
          </w:p>
          <w:p w14:paraId="212BE2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（万元）</w:t>
            </w:r>
          </w:p>
        </w:tc>
        <w:tc>
          <w:tcPr>
            <w:tcW w:w="3372" w:type="dxa"/>
            <w:noWrap w:val="0"/>
            <w:vAlign w:val="center"/>
          </w:tcPr>
          <w:p w14:paraId="1B28C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20</w:t>
            </w:r>
          </w:p>
        </w:tc>
      </w:tr>
      <w:tr w14:paraId="5055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945" w:type="dxa"/>
            <w:gridSpan w:val="2"/>
            <w:noWrap w:val="0"/>
            <w:vAlign w:val="center"/>
          </w:tcPr>
          <w:p w14:paraId="0C5BB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t>环保投资占比（%）</w:t>
            </w:r>
          </w:p>
        </w:tc>
        <w:tc>
          <w:tcPr>
            <w:tcW w:w="2076" w:type="dxa"/>
            <w:noWrap w:val="0"/>
            <w:vAlign w:val="center"/>
          </w:tcPr>
          <w:p w14:paraId="773BF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20%</w:t>
            </w:r>
          </w:p>
        </w:tc>
        <w:tc>
          <w:tcPr>
            <w:tcW w:w="1656" w:type="dxa"/>
            <w:noWrap w:val="0"/>
            <w:vAlign w:val="center"/>
          </w:tcPr>
          <w:p w14:paraId="030407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施工工期</w:t>
            </w:r>
          </w:p>
        </w:tc>
        <w:tc>
          <w:tcPr>
            <w:tcW w:w="3372" w:type="dxa"/>
            <w:noWrap w:val="0"/>
            <w:vAlign w:val="center"/>
          </w:tcPr>
          <w:p w14:paraId="01EF49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1个月</w:t>
            </w:r>
          </w:p>
        </w:tc>
      </w:tr>
      <w:tr w14:paraId="6923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945" w:type="dxa"/>
            <w:gridSpan w:val="2"/>
            <w:noWrap w:val="0"/>
            <w:vAlign w:val="center"/>
          </w:tcPr>
          <w:p w14:paraId="22DD7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vertAlign w:val="baseline"/>
                <w:lang w:val="en-US" w:eastAsia="zh-CN"/>
                <w14:textFill>
                  <w14:solidFill>
                    <w14:schemeClr w14:val="tx1"/>
                  </w14:solidFill>
                </w14:textFill>
              </w:rPr>
              <w:t>是否开工建设</w:t>
            </w:r>
          </w:p>
        </w:tc>
        <w:tc>
          <w:tcPr>
            <w:tcW w:w="2076" w:type="dxa"/>
            <w:noWrap w:val="0"/>
            <w:vAlign w:val="center"/>
          </w:tcPr>
          <w:p w14:paraId="2771F73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否</w:t>
            </w:r>
          </w:p>
          <w:p w14:paraId="7C4655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□是：</w:t>
            </w:r>
            <w:r>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highlight w:val="none"/>
                <w:u w:val="single"/>
                <w:vertAlign w:val="baseline"/>
                <w:lang w:val="en-US" w:eastAsia="zh-CN"/>
                <w14:textFill>
                  <w14:solidFill>
                    <w14:schemeClr w14:val="tx1"/>
                  </w14:solidFill>
                </w14:textFill>
              </w:rPr>
              <w:t xml:space="preserve">         </w:t>
            </w:r>
          </w:p>
        </w:tc>
        <w:tc>
          <w:tcPr>
            <w:tcW w:w="1656" w:type="dxa"/>
            <w:noWrap w:val="0"/>
            <w:vAlign w:val="center"/>
          </w:tcPr>
          <w:p w14:paraId="7491EF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用地（用海）</w:t>
            </w:r>
          </w:p>
          <w:p w14:paraId="25E65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面积（m</w:t>
            </w:r>
            <w:r>
              <w:rPr>
                <w:rFonts w:hint="eastAsia" w:ascii="黑体" w:hAnsi="黑体" w:eastAsia="黑体" w:cs="黑体"/>
                <w:color w:val="000000" w:themeColor="text1"/>
                <w:sz w:val="24"/>
                <w:szCs w:val="24"/>
                <w:highlight w:val="none"/>
                <w:vertAlign w:val="superscript"/>
                <w:lang w:val="en-US" w:eastAsia="zh-CN"/>
                <w14:textFill>
                  <w14:solidFill>
                    <w14:schemeClr w14:val="tx1"/>
                  </w14:solidFill>
                </w14:textFill>
              </w:rPr>
              <w:t>2</w:t>
            </w: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w:t>
            </w:r>
          </w:p>
        </w:tc>
        <w:tc>
          <w:tcPr>
            <w:tcW w:w="3372" w:type="dxa"/>
            <w:noWrap w:val="0"/>
            <w:vAlign w:val="center"/>
          </w:tcPr>
          <w:p w14:paraId="3A0C35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0（本项目在现有项目厂区建设，不新增用地面积）</w:t>
            </w:r>
          </w:p>
        </w:tc>
      </w:tr>
      <w:tr w14:paraId="7D1C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5" w:type="dxa"/>
            <w:gridSpan w:val="2"/>
            <w:noWrap w:val="0"/>
            <w:vAlign w:val="center"/>
          </w:tcPr>
          <w:p w14:paraId="7E017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专项评价设置</w:t>
            </w:r>
          </w:p>
          <w:p w14:paraId="2CBBF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情况</w:t>
            </w:r>
          </w:p>
        </w:tc>
        <w:tc>
          <w:tcPr>
            <w:tcW w:w="7104" w:type="dxa"/>
            <w:gridSpan w:val="3"/>
            <w:noWrap w:val="0"/>
            <w:vAlign w:val="center"/>
          </w:tcPr>
          <w:p w14:paraId="72FA7257">
            <w:pPr>
              <w:bidi w:val="0"/>
              <w:spacing w:line="36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表1-1 项目专项设置情况表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520"/>
              <w:gridCol w:w="2747"/>
              <w:gridCol w:w="676"/>
            </w:tblGrid>
            <w:tr w14:paraId="7A7A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2139F87F">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专项评价类别</w:t>
                  </w:r>
                </w:p>
              </w:tc>
              <w:tc>
                <w:tcPr>
                  <w:tcW w:w="2520" w:type="dxa"/>
                  <w:vAlign w:val="center"/>
                </w:tcPr>
                <w:p w14:paraId="66A73815">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设置原则</w:t>
                  </w:r>
                </w:p>
              </w:tc>
              <w:tc>
                <w:tcPr>
                  <w:tcW w:w="2747" w:type="dxa"/>
                  <w:vAlign w:val="center"/>
                </w:tcPr>
                <w:p w14:paraId="3D71BC61">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项目情况</w:t>
                  </w:r>
                </w:p>
              </w:tc>
              <w:tc>
                <w:tcPr>
                  <w:tcW w:w="676" w:type="dxa"/>
                  <w:vAlign w:val="center"/>
                </w:tcPr>
                <w:p w14:paraId="10A596B9">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设置与否</w:t>
                  </w:r>
                </w:p>
              </w:tc>
            </w:tr>
            <w:tr w14:paraId="3730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7AAD9326">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大气</w:t>
                  </w:r>
                </w:p>
              </w:tc>
              <w:tc>
                <w:tcPr>
                  <w:tcW w:w="2520" w:type="dxa"/>
                  <w:vAlign w:val="center"/>
                </w:tcPr>
                <w:p w14:paraId="1761475C">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排放废气含有毒有害污染物、二噁英、苯并[a]芘、氰化物、氯气且厂界外500米范围内有环境空气保护目标的建设项目</w:t>
                  </w:r>
                </w:p>
              </w:tc>
              <w:tc>
                <w:tcPr>
                  <w:tcW w:w="2747" w:type="dxa"/>
                  <w:vAlign w:val="center"/>
                </w:tcPr>
                <w:p w14:paraId="599BE41A">
                  <w:pPr>
                    <w:bidi w:val="0"/>
                    <w:spacing w:line="240" w:lineRule="auto"/>
                    <w:jc w:val="center"/>
                    <w:rPr>
                      <w:rFonts w:hint="default" w:ascii="Times New Roman" w:hAnsi="Times New Roman" w:eastAsia="黑体" w:cs="Times New Roman"/>
                      <w:color w:val="000000" w:themeColor="text1"/>
                      <w:sz w:val="20"/>
                      <w:szCs w:val="20"/>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（1）</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本</w:t>
                  </w:r>
                  <w:r>
                    <w:rPr>
                      <w:rFonts w:hint="default" w:ascii="Times New Roman" w:hAnsi="Times New Roman" w:eastAsia="黑体" w:cs="Times New Roman"/>
                      <w:color w:val="000000" w:themeColor="text1"/>
                      <w:sz w:val="20"/>
                      <w:szCs w:val="20"/>
                      <w:u w:val="single"/>
                      <w14:textFill>
                        <w14:solidFill>
                          <w14:schemeClr w14:val="tx1"/>
                        </w14:solidFill>
                      </w14:textFill>
                    </w:rPr>
                    <w:t>项目</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产生的废气</w:t>
                  </w:r>
                  <w:r>
                    <w:rPr>
                      <w:rFonts w:hint="default" w:ascii="Times New Roman" w:hAnsi="Times New Roman" w:eastAsia="黑体" w:cs="Times New Roman"/>
                      <w:color w:val="000000" w:themeColor="text1"/>
                      <w:sz w:val="20"/>
                      <w:szCs w:val="20"/>
                      <w:u w:val="single"/>
                      <w14:textFill>
                        <w14:solidFill>
                          <w14:schemeClr w14:val="tx1"/>
                        </w14:solidFill>
                      </w14:textFill>
                    </w:rPr>
                    <w:t>污染物</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为：</w:t>
                  </w:r>
                  <w:r>
                    <w:rPr>
                      <w:rFonts w:hint="default" w:ascii="Times New Roman" w:hAnsi="Times New Roman" w:eastAsia="黑体" w:cs="Times New Roman"/>
                      <w:color w:val="000000" w:themeColor="text1"/>
                      <w:sz w:val="20"/>
                      <w:szCs w:val="20"/>
                      <w:u w:val="single"/>
                      <w14:textFill>
                        <w14:solidFill>
                          <w14:schemeClr w14:val="tx1"/>
                        </w14:solidFill>
                      </w14:textFill>
                    </w:rPr>
                    <w:t>非甲烷总烃、</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二甲苯</w:t>
                  </w:r>
                  <w:r>
                    <w:rPr>
                      <w:rFonts w:hint="default" w:ascii="Times New Roman" w:hAnsi="Times New Roman" w:eastAsia="黑体" w:cs="Times New Roman"/>
                      <w:color w:val="000000" w:themeColor="text1"/>
                      <w:sz w:val="20"/>
                      <w:szCs w:val="20"/>
                      <w14:textFill>
                        <w14:solidFill>
                          <w14:schemeClr w14:val="tx1"/>
                        </w14:solidFill>
                      </w14:textFill>
                    </w:rPr>
                    <w:t>；</w:t>
                  </w:r>
                </w:p>
                <w:p w14:paraId="1F924C27">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（2）不含有毒有害污染物、二噁英、苯并[a]芘</w:t>
                  </w:r>
                  <w:r>
                    <w:rPr>
                      <w:rFonts w:hint="default" w:ascii="Times New Roman" w:hAnsi="Times New Roman" w:eastAsia="黑体" w:cs="Times New Roman"/>
                      <w:color w:val="000000" w:themeColor="text1"/>
                      <w:sz w:val="20"/>
                      <w:szCs w:val="20"/>
                      <w:lang w:eastAsia="zh-CN"/>
                      <w14:textFill>
                        <w14:solidFill>
                          <w14:schemeClr w14:val="tx1"/>
                        </w14:solidFill>
                      </w14:textFill>
                    </w:rPr>
                    <w:t>、</w:t>
                  </w:r>
                  <w:r>
                    <w:rPr>
                      <w:rFonts w:hint="default" w:ascii="Times New Roman" w:hAnsi="Times New Roman" w:eastAsia="黑体" w:cs="Times New Roman"/>
                      <w:color w:val="000000" w:themeColor="text1"/>
                      <w:sz w:val="20"/>
                      <w:szCs w:val="20"/>
                      <w14:textFill>
                        <w14:solidFill>
                          <w14:schemeClr w14:val="tx1"/>
                        </w14:solidFill>
                      </w14:textFill>
                    </w:rPr>
                    <w:t>氰化物、氯气</w:t>
                  </w:r>
                </w:p>
              </w:tc>
              <w:tc>
                <w:tcPr>
                  <w:tcW w:w="676" w:type="dxa"/>
                  <w:vAlign w:val="center"/>
                </w:tcPr>
                <w:p w14:paraId="6E3D24CB">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否</w:t>
                  </w:r>
                </w:p>
              </w:tc>
            </w:tr>
            <w:tr w14:paraId="7D1F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5519539E">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地表水</w:t>
                  </w:r>
                </w:p>
              </w:tc>
              <w:tc>
                <w:tcPr>
                  <w:tcW w:w="2520" w:type="dxa"/>
                  <w:vAlign w:val="center"/>
                </w:tcPr>
                <w:p w14:paraId="49986357">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新增工业废水直排建设项目（槽罐车外送污水处理厂的除外）；新增废水直排的污水集中处理厂</w:t>
                  </w:r>
                </w:p>
              </w:tc>
              <w:tc>
                <w:tcPr>
                  <w:tcW w:w="2747" w:type="dxa"/>
                  <w:vAlign w:val="center"/>
                </w:tcPr>
                <w:p w14:paraId="3C1E2B73">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lang w:val="en-US" w:eastAsia="zh-CN"/>
                      <w14:textFill>
                        <w14:solidFill>
                          <w14:schemeClr w14:val="tx1"/>
                        </w14:solidFill>
                      </w14:textFill>
                    </w:rPr>
                    <w:t>本</w:t>
                  </w:r>
                  <w:r>
                    <w:rPr>
                      <w:rFonts w:hint="default" w:ascii="Times New Roman" w:hAnsi="Times New Roman" w:eastAsia="黑体" w:cs="Times New Roman"/>
                      <w:color w:val="000000" w:themeColor="text1"/>
                      <w:sz w:val="20"/>
                      <w:szCs w:val="20"/>
                      <w14:textFill>
                        <w14:solidFill>
                          <w14:schemeClr w14:val="tx1"/>
                        </w14:solidFill>
                      </w14:textFill>
                    </w:rPr>
                    <w:t>项目</w:t>
                  </w:r>
                  <w:r>
                    <w:rPr>
                      <w:rFonts w:hint="default" w:ascii="Times New Roman" w:hAnsi="Times New Roman" w:eastAsia="黑体" w:cs="Times New Roman"/>
                      <w:color w:val="000000" w:themeColor="text1"/>
                      <w:sz w:val="20"/>
                      <w:szCs w:val="20"/>
                      <w:lang w:val="en-US" w:eastAsia="zh-CN"/>
                      <w14:textFill>
                        <w14:solidFill>
                          <w14:schemeClr w14:val="tx1"/>
                        </w14:solidFill>
                      </w14:textFill>
                    </w:rPr>
                    <w:t>不新增员工，不产生生活污水</w:t>
                  </w:r>
                </w:p>
              </w:tc>
              <w:tc>
                <w:tcPr>
                  <w:tcW w:w="676" w:type="dxa"/>
                  <w:vAlign w:val="center"/>
                </w:tcPr>
                <w:p w14:paraId="79D4C2FC">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否</w:t>
                  </w:r>
                </w:p>
              </w:tc>
            </w:tr>
            <w:tr w14:paraId="67BC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52" w:type="dxa"/>
                  <w:vAlign w:val="center"/>
                </w:tcPr>
                <w:p w14:paraId="21D06194">
                  <w:pPr>
                    <w:bidi w:val="0"/>
                    <w:spacing w:line="240" w:lineRule="auto"/>
                    <w:jc w:val="center"/>
                    <w:rPr>
                      <w:rFonts w:hint="default" w:ascii="Times New Roman" w:hAnsi="Times New Roman" w:eastAsia="黑体" w:cs="Times New Roman"/>
                      <w:color w:val="000000" w:themeColor="text1"/>
                      <w:sz w:val="20"/>
                      <w:szCs w:val="20"/>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环境</w:t>
                  </w:r>
                </w:p>
                <w:p w14:paraId="07F6FD68">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风险</w:t>
                  </w:r>
                </w:p>
              </w:tc>
              <w:tc>
                <w:tcPr>
                  <w:tcW w:w="2520" w:type="dxa"/>
                  <w:vAlign w:val="center"/>
                </w:tcPr>
                <w:p w14:paraId="51B392C9">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有毒有害和易燃易爆危险物质存储量超过临界量的建设项目</w:t>
                  </w:r>
                </w:p>
              </w:tc>
              <w:tc>
                <w:tcPr>
                  <w:tcW w:w="2747" w:type="dxa"/>
                  <w:vAlign w:val="center"/>
                </w:tcPr>
                <w:p w14:paraId="1C2D365A">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lang w:val="en-US" w:eastAsia="zh-CN"/>
                      <w14:textFill>
                        <w14:solidFill>
                          <w14:schemeClr w14:val="tx1"/>
                        </w14:solidFill>
                      </w14:textFill>
                    </w:rPr>
                    <w:t>本项目</w:t>
                  </w:r>
                  <w:r>
                    <w:rPr>
                      <w:rFonts w:hint="default" w:ascii="Times New Roman" w:hAnsi="Times New Roman" w:eastAsia="黑体" w:cs="Times New Roman"/>
                      <w:color w:val="000000" w:themeColor="text1"/>
                      <w:sz w:val="20"/>
                      <w:szCs w:val="20"/>
                      <w14:textFill>
                        <w14:solidFill>
                          <w14:schemeClr w14:val="tx1"/>
                        </w14:solidFill>
                      </w14:textFill>
                    </w:rPr>
                    <w:t>危险物质最大存在量与 临界量比值Q值总和＜1。</w:t>
                  </w:r>
                </w:p>
              </w:tc>
              <w:tc>
                <w:tcPr>
                  <w:tcW w:w="676" w:type="dxa"/>
                  <w:vAlign w:val="center"/>
                </w:tcPr>
                <w:p w14:paraId="5BDF911C">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否</w:t>
                  </w:r>
                </w:p>
              </w:tc>
            </w:tr>
            <w:tr w14:paraId="0612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2" w:type="dxa"/>
                  <w:vAlign w:val="center"/>
                </w:tcPr>
                <w:p w14:paraId="73256F42">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生态</w:t>
                  </w:r>
                </w:p>
              </w:tc>
              <w:tc>
                <w:tcPr>
                  <w:tcW w:w="2520" w:type="dxa"/>
                  <w:vAlign w:val="center"/>
                </w:tcPr>
                <w:p w14:paraId="4660251A">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取水口下游500米范围内有重要水生生物的自然产卵场、索 饵场、越冬场和洄游通道的新增河道取水的污染类建设</w:t>
                  </w:r>
                  <w:r>
                    <w:rPr>
                      <w:rFonts w:hint="default" w:ascii="Times New Roman" w:hAnsi="Times New Roman" w:eastAsia="黑体" w:cs="Times New Roman"/>
                      <w:color w:val="000000" w:themeColor="text1"/>
                      <w:sz w:val="20"/>
                      <w:szCs w:val="20"/>
                      <w:lang w:val="en-US" w:eastAsia="zh-CN"/>
                      <w14:textFill>
                        <w14:solidFill>
                          <w14:schemeClr w14:val="tx1"/>
                        </w14:solidFill>
                      </w14:textFill>
                    </w:rPr>
                    <w:t>项目</w:t>
                  </w:r>
                </w:p>
              </w:tc>
              <w:tc>
                <w:tcPr>
                  <w:tcW w:w="2747" w:type="dxa"/>
                  <w:vAlign w:val="center"/>
                </w:tcPr>
                <w:p w14:paraId="1695E783">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本项目不新增取水口</w:t>
                  </w:r>
                </w:p>
              </w:tc>
              <w:tc>
                <w:tcPr>
                  <w:tcW w:w="676" w:type="dxa"/>
                  <w:vAlign w:val="center"/>
                </w:tcPr>
                <w:p w14:paraId="55E029F4">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否</w:t>
                  </w:r>
                </w:p>
              </w:tc>
            </w:tr>
            <w:tr w14:paraId="7673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6FCD501B">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海洋</w:t>
                  </w:r>
                </w:p>
              </w:tc>
              <w:tc>
                <w:tcPr>
                  <w:tcW w:w="2520" w:type="dxa"/>
                  <w:vAlign w:val="center"/>
                </w:tcPr>
                <w:p w14:paraId="7968C5BD">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直接向海排放污染物的海洋工程建设项目</w:t>
                  </w:r>
                </w:p>
              </w:tc>
              <w:tc>
                <w:tcPr>
                  <w:tcW w:w="2747" w:type="dxa"/>
                  <w:vAlign w:val="center"/>
                </w:tcPr>
                <w:p w14:paraId="23A26EAB">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不涉及</w:t>
                  </w:r>
                </w:p>
              </w:tc>
              <w:tc>
                <w:tcPr>
                  <w:tcW w:w="676" w:type="dxa"/>
                  <w:vAlign w:val="center"/>
                </w:tcPr>
                <w:p w14:paraId="35AEFA49">
                  <w:p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14:textFill>
                        <w14:solidFill>
                          <w14:schemeClr w14:val="tx1"/>
                        </w14:solidFill>
                      </w14:textFill>
                    </w:rPr>
                    <w:t>否</w:t>
                  </w:r>
                </w:p>
              </w:tc>
            </w:tr>
          </w:tbl>
          <w:p w14:paraId="16862714">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综上所述，本项目不需要设置专项评价。</w:t>
            </w:r>
          </w:p>
        </w:tc>
      </w:tr>
      <w:tr w14:paraId="7EE9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945" w:type="dxa"/>
            <w:gridSpan w:val="2"/>
            <w:noWrap w:val="0"/>
            <w:vAlign w:val="center"/>
          </w:tcPr>
          <w:p w14:paraId="51A044D9">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规划情况</w:t>
            </w:r>
          </w:p>
        </w:tc>
        <w:tc>
          <w:tcPr>
            <w:tcW w:w="7104" w:type="dxa"/>
            <w:gridSpan w:val="3"/>
            <w:noWrap w:val="0"/>
            <w:vAlign w:val="center"/>
          </w:tcPr>
          <w:p w14:paraId="47B1AC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b w:val="0"/>
                <w:bCs w:val="0"/>
                <w:color w:val="000000" w:themeColor="text1"/>
                <w:sz w:val="24"/>
                <w:szCs w:val="24"/>
                <w:highlight w:val="none"/>
                <w:u w:val="none"/>
                <w:vertAlign w:val="baseline"/>
                <w:lang w:val="en-US" w:eastAsia="zh-CN"/>
                <w14:textFill>
                  <w14:solidFill>
                    <w14:schemeClr w14:val="tx1"/>
                  </w14:solidFill>
                </w14:textFill>
              </w:rPr>
              <w:t>无</w:t>
            </w:r>
          </w:p>
        </w:tc>
      </w:tr>
      <w:tr w14:paraId="5279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945" w:type="dxa"/>
            <w:gridSpan w:val="2"/>
            <w:noWrap w:val="0"/>
            <w:vAlign w:val="center"/>
          </w:tcPr>
          <w:p w14:paraId="4B02A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规划环境影响评价情况</w:t>
            </w:r>
          </w:p>
        </w:tc>
        <w:tc>
          <w:tcPr>
            <w:tcW w:w="7104" w:type="dxa"/>
            <w:gridSpan w:val="3"/>
            <w:noWrap w:val="0"/>
            <w:vAlign w:val="center"/>
          </w:tcPr>
          <w:p w14:paraId="4DBCC5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u w:val="none"/>
                <w:vertAlign w:val="baseline"/>
                <w:lang w:val="en-US" w:eastAsia="zh-CN"/>
                <w14:textFill>
                  <w14:solidFill>
                    <w14:schemeClr w14:val="tx1"/>
                  </w14:solidFill>
                </w14:textFill>
              </w:rPr>
              <w:t>无</w:t>
            </w:r>
          </w:p>
        </w:tc>
      </w:tr>
      <w:tr w14:paraId="22EF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945" w:type="dxa"/>
            <w:gridSpan w:val="2"/>
            <w:noWrap w:val="0"/>
            <w:vAlign w:val="center"/>
          </w:tcPr>
          <w:p w14:paraId="01D6EB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规划及规划环境影响评价符合性分析</w:t>
            </w:r>
          </w:p>
        </w:tc>
        <w:tc>
          <w:tcPr>
            <w:tcW w:w="7104" w:type="dxa"/>
            <w:gridSpan w:val="3"/>
            <w:noWrap w:val="0"/>
            <w:vAlign w:val="center"/>
          </w:tcPr>
          <w:p w14:paraId="6B5383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u w:val="none"/>
                <w:vertAlign w:val="baseline"/>
                <w:lang w:val="en-US" w:eastAsia="zh-CN"/>
                <w14:textFill>
                  <w14:solidFill>
                    <w14:schemeClr w14:val="tx1"/>
                  </w14:solidFill>
                </w14:textFill>
              </w:rPr>
              <w:t>无</w:t>
            </w:r>
          </w:p>
        </w:tc>
      </w:tr>
      <w:tr w14:paraId="5EF5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614" w:type="dxa"/>
            <w:noWrap w:val="0"/>
            <w:vAlign w:val="center"/>
          </w:tcPr>
          <w:p w14:paraId="417D3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vertAlign w:val="baseline"/>
                <w:lang w:val="en-US" w:eastAsia="zh-CN"/>
                <w14:textFill>
                  <w14:solidFill>
                    <w14:schemeClr w14:val="tx1"/>
                  </w14:solidFill>
                </w14:textFill>
              </w:rPr>
              <w:t>其他符合性分析</w:t>
            </w:r>
          </w:p>
        </w:tc>
        <w:tc>
          <w:tcPr>
            <w:tcW w:w="8435" w:type="dxa"/>
            <w:gridSpan w:val="4"/>
            <w:noWrap w:val="0"/>
            <w:vAlign w:val="center"/>
          </w:tcPr>
          <w:p w14:paraId="5386E9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color w:val="000000" w:themeColor="text1"/>
                <w:sz w:val="24"/>
                <w:szCs w:val="24"/>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u w:val="single"/>
                <w:vertAlign w:val="baseline"/>
                <w:lang w:val="en-US" w:eastAsia="zh-CN"/>
                <w14:textFill>
                  <w14:solidFill>
                    <w14:schemeClr w14:val="tx1"/>
                  </w14:solidFill>
                </w14:textFill>
              </w:rPr>
              <w:t>1.产业政策相符性分析</w:t>
            </w:r>
          </w:p>
          <w:p w14:paraId="2E48E4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本项目属于C3591环境保护专用设备制造，依据《产业结构调整指导目录》（2024年本），本项目不属于其中的“鼓励类”</w:t>
            </w:r>
            <w:r>
              <w:rPr>
                <w:rFonts w:hint="eastAsia"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“淘汰类”与“限制类”范畴，可视为允许类项目；</w:t>
            </w:r>
          </w:p>
          <w:p w14:paraId="42FD48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highlight w:val="none"/>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在生产过程中没有选用所列的限制类、淘汰类工艺、设备及原材料；根据《市场准入负面清单》（2022年版），本项目不属于“与市场准入相关的禁止性规定”中的“制造业”禁止措施，也不属于“市场准入负面清单”中“禁止准入类”</w:t>
            </w:r>
            <w:r>
              <w:rPr>
                <w:rFonts w:hint="eastAsia" w:cs="Times New Roman"/>
                <w:color w:val="000000" w:themeColor="text1"/>
                <w:sz w:val="24"/>
                <w:szCs w:val="24"/>
                <w:highlight w:val="none"/>
                <w:u w:val="single"/>
                <w:vertAlign w:val="baseline"/>
                <w:lang w:val="en-US" w:eastAsia="zh-CN"/>
                <w14:textFill>
                  <w14:solidFill>
                    <w14:schemeClr w14:val="tx1"/>
                  </w14:solidFill>
                </w14:textFill>
              </w:rPr>
              <w:t>。</w:t>
            </w:r>
          </w:p>
          <w:p w14:paraId="6F6DAB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《限期淘汰产生严重污染环境的工业固体废物的落后生产工艺设备名录》（工业和信息化部公告2021年第25号），本项目生产过程中没有选用该文件所列限期淘汰的落后生产工艺设备。</w:t>
            </w:r>
          </w:p>
          <w:p w14:paraId="40D6B4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highlight w:val="none"/>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根据《环境保护综合名录》（2021年版），</w:t>
            </w:r>
            <w:r>
              <w:rPr>
                <w:rFonts w:hint="eastAsia" w:cs="Times New Roman"/>
                <w:color w:val="000000" w:themeColor="text1"/>
                <w:sz w:val="24"/>
                <w:szCs w:val="24"/>
                <w:highlight w:val="none"/>
                <w:u w:val="single"/>
                <w:vertAlign w:val="baseline"/>
                <w:lang w:val="en-US" w:eastAsia="zh-CN"/>
                <w14:textFill>
                  <w14:solidFill>
                    <w14:schemeClr w14:val="tx1"/>
                  </w14:solidFill>
                </w14:textFill>
              </w:rPr>
              <w:t>本项目不在“高污染、高环境风险”产品名录内。</w:t>
            </w:r>
          </w:p>
          <w:p w14:paraId="10BA15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vertAlign w:val="baseline"/>
                <w:lang w:val="en-US" w:eastAsia="zh-CN"/>
                <w14:textFill>
                  <w14:solidFill>
                    <w14:schemeClr w14:val="tx1"/>
                  </w14:solidFill>
                </w14:textFill>
              </w:rPr>
              <w:t>因此，本项目在产业政策上符合国家规定要求。</w:t>
            </w:r>
          </w:p>
          <w:p w14:paraId="384CC3F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pPr>
            <w:r>
              <w:rPr>
                <w:rFonts w:hint="eastAsia" w:eastAsia="黑体" w:cs="Times New Roman"/>
                <w:color w:val="000000" w:themeColor="text1"/>
                <w:u w:val="single"/>
                <w:vertAlign w:val="baseline"/>
                <w:lang w:val="en-US" w:eastAsia="zh-CN"/>
                <w14:textFill>
                  <w14:solidFill>
                    <w14:schemeClr w14:val="tx1"/>
                  </w14:solidFill>
                </w14:textFill>
              </w:rPr>
              <w:t>2.</w:t>
            </w:r>
            <w:r>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t>项目选址</w:t>
            </w:r>
            <w:r>
              <w:rPr>
                <w:rFonts w:hint="eastAsia" w:ascii="Times New Roman" w:hAnsi="Times New Roman" w:eastAsia="黑体" w:cs="Times New Roman"/>
                <w:color w:val="000000" w:themeColor="text1"/>
                <w:u w:val="single"/>
                <w:vertAlign w:val="baseline"/>
                <w:lang w:val="en-US" w:eastAsia="zh-CN"/>
                <w14:textFill>
                  <w14:solidFill>
                    <w14:schemeClr w14:val="tx1"/>
                  </w14:solidFill>
                </w14:textFill>
              </w:rPr>
              <w:t>合理性</w:t>
            </w:r>
            <w:r>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t>分析</w:t>
            </w:r>
          </w:p>
          <w:p w14:paraId="76B2B72E">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pPr>
            <w:r>
              <w:rPr>
                <w:rFonts w:hint="eastAsia" w:eastAsia="黑体" w:cs="Times New Roman"/>
                <w:color w:val="000000" w:themeColor="text1"/>
                <w:u w:val="single"/>
                <w:vertAlign w:val="baseline"/>
                <w:lang w:val="en-US" w:eastAsia="zh-CN"/>
                <w14:textFill>
                  <w14:solidFill>
                    <w14:schemeClr w14:val="tx1"/>
                  </w14:solidFill>
                </w14:textFill>
              </w:rPr>
              <w:t>2.1</w:t>
            </w:r>
            <w:r>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t>项目</w:t>
            </w:r>
            <w:r>
              <w:rPr>
                <w:rFonts w:hint="eastAsia" w:ascii="Times New Roman" w:hAnsi="Times New Roman" w:eastAsia="黑体" w:cs="Times New Roman"/>
                <w:color w:val="000000" w:themeColor="text1"/>
                <w:u w:val="single"/>
                <w:vertAlign w:val="baseline"/>
                <w:lang w:val="en-US" w:eastAsia="zh-CN"/>
                <w14:textFill>
                  <w14:solidFill>
                    <w14:schemeClr w14:val="tx1"/>
                  </w14:solidFill>
                </w14:textFill>
              </w:rPr>
              <w:t>用地合理性分析</w:t>
            </w:r>
          </w:p>
          <w:p w14:paraId="61E71D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本项目位于湖南省怀化市溆浦县卢峰镇（</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原仲夏乡</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）太坪村一组，根据建设单位提供的《</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用地</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不动</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产权证明</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》（详见附件</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）可知，本项目所在地用途为“工业用地/工业”。</w:t>
            </w:r>
            <w:r>
              <w:rPr>
                <w:rFonts w:hint="default"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因此，本项目的建设</w:t>
            </w:r>
            <w:r>
              <w:rPr>
                <w:rFonts w:hint="eastAsia" w:ascii="Times New Roman" w:hAnsi="Times New Roman" w:eastAsia="宋体" w:cs="Times New Roman"/>
                <w:b w:val="0"/>
                <w:bCs w:val="0"/>
                <w:color w:val="000000" w:themeColor="text1"/>
                <w:sz w:val="24"/>
                <w:szCs w:val="24"/>
                <w:highlight w:val="none"/>
                <w:u w:val="single"/>
                <w:vertAlign w:val="baseline"/>
                <w:lang w:val="en-US" w:eastAsia="zh-CN"/>
                <w14:textFill>
                  <w14:solidFill>
                    <w14:schemeClr w14:val="tx1"/>
                  </w14:solidFill>
                </w14:textFill>
              </w:rPr>
              <w:t>用地合理。</w:t>
            </w:r>
          </w:p>
          <w:p w14:paraId="502509C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pPr>
            <w:r>
              <w:rPr>
                <w:rFonts w:hint="eastAsia" w:eastAsia="黑体" w:cs="Times New Roman"/>
                <w:color w:val="000000" w:themeColor="text1"/>
                <w:u w:val="single"/>
                <w:vertAlign w:val="baseline"/>
                <w:lang w:val="en-US" w:eastAsia="zh-CN"/>
                <w14:textFill>
                  <w14:solidFill>
                    <w14:schemeClr w14:val="tx1"/>
                  </w14:solidFill>
                </w14:textFill>
              </w:rPr>
              <w:t>2.2</w:t>
            </w:r>
            <w:r>
              <w:rPr>
                <w:rFonts w:hint="eastAsia" w:ascii="Times New Roman" w:hAnsi="Times New Roman" w:eastAsia="黑体" w:cs="Times New Roman"/>
                <w:color w:val="000000" w:themeColor="text1"/>
                <w:u w:val="single"/>
                <w:vertAlign w:val="baseline"/>
                <w:lang w:val="en-US" w:eastAsia="zh-CN"/>
                <w14:textFill>
                  <w14:solidFill>
                    <w14:schemeClr w14:val="tx1"/>
                  </w14:solidFill>
                </w14:textFill>
              </w:rPr>
              <w:t>项目选址环境功能属性分析</w:t>
            </w:r>
          </w:p>
          <w:p w14:paraId="47DE8CC8">
            <w:pPr>
              <w:bidi w:val="0"/>
              <w:spacing w:line="36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表1-2 项目选址环境功能属性分析一览表</w:t>
            </w:r>
          </w:p>
          <w:tbl>
            <w:tblPr>
              <w:tblStyle w:val="8"/>
              <w:tblW w:w="8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573"/>
              <w:gridCol w:w="4989"/>
            </w:tblGrid>
            <w:tr w14:paraId="7E46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shd w:val="clear" w:color="auto" w:fill="auto"/>
                  <w:noWrap w:val="0"/>
                  <w:vAlign w:val="center"/>
                </w:tcPr>
                <w:p w14:paraId="53844E14">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序号</w:t>
                  </w:r>
                </w:p>
              </w:tc>
              <w:tc>
                <w:tcPr>
                  <w:tcW w:w="2573" w:type="dxa"/>
                  <w:shd w:val="clear" w:color="auto" w:fill="auto"/>
                  <w:noWrap w:val="0"/>
                  <w:vAlign w:val="center"/>
                </w:tcPr>
                <w:p w14:paraId="4ED5D48F">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分类</w:t>
                  </w:r>
                </w:p>
              </w:tc>
              <w:tc>
                <w:tcPr>
                  <w:tcW w:w="4989" w:type="dxa"/>
                  <w:shd w:val="clear" w:color="auto" w:fill="auto"/>
                  <w:noWrap w:val="0"/>
                  <w:vAlign w:val="center"/>
                </w:tcPr>
                <w:p w14:paraId="7508E7A1">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本项目</w:t>
                  </w:r>
                </w:p>
              </w:tc>
            </w:tr>
            <w:tr w14:paraId="064E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14:paraId="2E90B3ED">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1</w:t>
                  </w:r>
                </w:p>
              </w:tc>
              <w:tc>
                <w:tcPr>
                  <w:tcW w:w="2573" w:type="dxa"/>
                  <w:shd w:val="clear" w:color="auto" w:fill="auto"/>
                  <w:noWrap w:val="0"/>
                  <w:vAlign w:val="center"/>
                </w:tcPr>
                <w:p w14:paraId="08EF247A">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环境空气功能区</w:t>
                  </w:r>
                </w:p>
              </w:tc>
              <w:tc>
                <w:tcPr>
                  <w:tcW w:w="4989" w:type="dxa"/>
                  <w:shd w:val="clear" w:color="auto" w:fill="auto"/>
                  <w:noWrap w:val="0"/>
                  <w:vAlign w:val="center"/>
                </w:tcPr>
                <w:p w14:paraId="52B9CFA7">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本项目位于</w:t>
                  </w:r>
                  <w:r>
                    <w:rPr>
                      <w:rFonts w:hint="default" w:ascii="Times New Roman" w:hAnsi="Times New Roman" w:eastAsia="黑体" w:cs="Times New Roman"/>
                      <w:color w:val="000000" w:themeColor="text1"/>
                      <w:sz w:val="21"/>
                      <w:szCs w:val="21"/>
                      <w:u w:val="single"/>
                      <w14:textFill>
                        <w14:solidFill>
                          <w14:schemeClr w14:val="tx1"/>
                        </w14:solidFill>
                      </w14:textFill>
                    </w:rPr>
                    <w:t>二类区域</w:t>
                  </w:r>
                  <w:r>
                    <w:rPr>
                      <w:rFonts w:hint="default" w:ascii="Times New Roman" w:hAnsi="Times New Roman" w:eastAsia="黑体" w:cs="Times New Roman"/>
                      <w:color w:val="000000" w:themeColor="text1"/>
                      <w:sz w:val="21"/>
                      <w:szCs w:val="21"/>
                      <w:u w:val="single"/>
                      <w:lang w:eastAsia="zh-CN"/>
                      <w14:textFill>
                        <w14:solidFill>
                          <w14:schemeClr w14:val="tx1"/>
                        </w14:solidFill>
                      </w14:textFill>
                    </w:rPr>
                    <w:t>；</w:t>
                  </w:r>
                  <w:r>
                    <w:rPr>
                      <w:rFonts w:hint="default" w:ascii="Times New Roman" w:hAnsi="Times New Roman" w:eastAsia="黑体" w:cs="Times New Roman"/>
                      <w:color w:val="000000" w:themeColor="text1"/>
                      <w:sz w:val="21"/>
                      <w:szCs w:val="21"/>
                      <w:u w:val="single"/>
                      <w14:textFill>
                        <w14:solidFill>
                          <w14:schemeClr w14:val="tx1"/>
                        </w14:solidFill>
                      </w14:textFill>
                    </w:rPr>
                    <w:t>执行《环境空气质量标准》（GB3095-2012）二级标准</w:t>
                  </w:r>
                </w:p>
              </w:tc>
            </w:tr>
            <w:tr w14:paraId="1FFC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14:paraId="773EF622">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2</w:t>
                  </w:r>
                </w:p>
              </w:tc>
              <w:tc>
                <w:tcPr>
                  <w:tcW w:w="2573" w:type="dxa"/>
                  <w:noWrap w:val="0"/>
                  <w:vAlign w:val="center"/>
                </w:tcPr>
                <w:p w14:paraId="7CB46FAC">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地表水环境功能区</w:t>
                  </w:r>
                </w:p>
              </w:tc>
              <w:tc>
                <w:tcPr>
                  <w:tcW w:w="4989" w:type="dxa"/>
                  <w:noWrap w:val="0"/>
                  <w:vAlign w:val="center"/>
                </w:tcPr>
                <w:p w14:paraId="379BB5D5">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本项目选址不在饮用水源保护区范围内</w:t>
                  </w:r>
                  <w:r>
                    <w:rPr>
                      <w:rFonts w:hint="default" w:ascii="Times New Roman" w:hAnsi="Times New Roman" w:eastAsia="黑体" w:cs="Times New Roman"/>
                      <w:color w:val="000000" w:themeColor="text1"/>
                      <w:sz w:val="21"/>
                      <w:szCs w:val="21"/>
                      <w:u w:val="single"/>
                      <w:lang w:eastAsia="zh-CN"/>
                      <w14:textFill>
                        <w14:solidFill>
                          <w14:schemeClr w14:val="tx1"/>
                        </w14:solidFill>
                      </w14:textFill>
                    </w:rPr>
                    <w:t>；</w:t>
                  </w: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本项目附近地表水体为溆水，水质目标为III类水体，执行《地表水环境质量标准》（GB3838-2002）III类水质标准</w:t>
                  </w:r>
                </w:p>
              </w:tc>
            </w:tr>
            <w:tr w14:paraId="56E0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noWrap w:val="0"/>
                  <w:vAlign w:val="center"/>
                </w:tcPr>
                <w:p w14:paraId="44FF421E">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3</w:t>
                  </w:r>
                </w:p>
              </w:tc>
              <w:tc>
                <w:tcPr>
                  <w:tcW w:w="2573" w:type="dxa"/>
                  <w:noWrap w:val="0"/>
                  <w:vAlign w:val="center"/>
                </w:tcPr>
                <w:p w14:paraId="54209939">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声环境功能区</w:t>
                  </w:r>
                </w:p>
              </w:tc>
              <w:tc>
                <w:tcPr>
                  <w:tcW w:w="4989" w:type="dxa"/>
                  <w:noWrap w:val="0"/>
                  <w:vAlign w:val="center"/>
                </w:tcPr>
                <w:p w14:paraId="2E9950F9">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本项目</w:t>
                  </w:r>
                  <w:r>
                    <w:rPr>
                      <w:rFonts w:hint="default" w:ascii="Times New Roman" w:hAnsi="Times New Roman" w:eastAsia="黑体" w:cs="Times New Roman"/>
                      <w:color w:val="000000" w:themeColor="text1"/>
                      <w:sz w:val="21"/>
                      <w:szCs w:val="21"/>
                      <w:u w:val="single"/>
                      <w14:textFill>
                        <w14:solidFill>
                          <w14:schemeClr w14:val="tx1"/>
                        </w14:solidFill>
                      </w14:textFill>
                    </w:rPr>
                    <w:t>位于</w:t>
                  </w: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w:t>
                  </w:r>
                  <w:r>
                    <w:rPr>
                      <w:rFonts w:hint="default" w:ascii="Times New Roman" w:hAnsi="Times New Roman" w:eastAsia="黑体" w:cs="Times New Roman"/>
                      <w:color w:val="000000" w:themeColor="text1"/>
                      <w:sz w:val="21"/>
                      <w:szCs w:val="21"/>
                      <w:u w:val="single"/>
                      <w14:textFill>
                        <w14:solidFill>
                          <w14:schemeClr w14:val="tx1"/>
                        </w14:solidFill>
                      </w14:textFill>
                    </w:rPr>
                    <w:t>类功能区执行《声环境质量标准》 （GB3096-2008）</w:t>
                  </w: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w:t>
                  </w:r>
                  <w:r>
                    <w:rPr>
                      <w:rFonts w:hint="default" w:ascii="Times New Roman" w:hAnsi="Times New Roman" w:eastAsia="黑体" w:cs="Times New Roman"/>
                      <w:color w:val="000000" w:themeColor="text1"/>
                      <w:sz w:val="21"/>
                      <w:szCs w:val="21"/>
                      <w:u w:val="single"/>
                      <w14:textFill>
                        <w14:solidFill>
                          <w14:schemeClr w14:val="tx1"/>
                        </w14:solidFill>
                      </w14:textFill>
                    </w:rPr>
                    <w:t>类标准</w:t>
                  </w:r>
                </w:p>
              </w:tc>
            </w:tr>
            <w:tr w14:paraId="56A2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14:paraId="74B1C06D">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4</w:t>
                  </w:r>
                </w:p>
              </w:tc>
              <w:tc>
                <w:tcPr>
                  <w:tcW w:w="2573" w:type="dxa"/>
                  <w:noWrap w:val="0"/>
                  <w:vAlign w:val="center"/>
                </w:tcPr>
                <w:p w14:paraId="41423A04">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是否污水处理厂纳污范围</w:t>
                  </w:r>
                </w:p>
              </w:tc>
              <w:tc>
                <w:tcPr>
                  <w:tcW w:w="4989" w:type="dxa"/>
                  <w:noWrap w:val="0"/>
                  <w:vAlign w:val="center"/>
                </w:tcPr>
                <w:p w14:paraId="106933A2">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否，项目所在地目前城市污水管网还未完善</w:t>
                  </w:r>
                </w:p>
              </w:tc>
            </w:tr>
            <w:tr w14:paraId="2468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14:paraId="3F069874">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5</w:t>
                  </w:r>
                </w:p>
              </w:tc>
              <w:tc>
                <w:tcPr>
                  <w:tcW w:w="2573" w:type="dxa"/>
                  <w:noWrap w:val="0"/>
                  <w:vAlign w:val="center"/>
                </w:tcPr>
                <w:p w14:paraId="6A5771EC">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是否饮用水源保护区</w:t>
                  </w:r>
                </w:p>
              </w:tc>
              <w:tc>
                <w:tcPr>
                  <w:tcW w:w="4989" w:type="dxa"/>
                  <w:noWrap w:val="0"/>
                  <w:vAlign w:val="center"/>
                </w:tcPr>
                <w:p w14:paraId="7654E80D">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否</w:t>
                  </w:r>
                </w:p>
              </w:tc>
            </w:tr>
          </w:tbl>
          <w:p w14:paraId="4196095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pPr>
            <w:r>
              <w:rPr>
                <w:rFonts w:hint="eastAsia" w:eastAsia="黑体" w:cs="Times New Roman"/>
                <w:color w:val="000000" w:themeColor="text1"/>
                <w:u w:val="single"/>
                <w:vertAlign w:val="baseline"/>
                <w:lang w:val="en-US" w:eastAsia="zh-CN"/>
                <w14:textFill>
                  <w14:solidFill>
                    <w14:schemeClr w14:val="tx1"/>
                  </w14:solidFill>
                </w14:textFill>
              </w:rPr>
              <w:t>2</w:t>
            </w:r>
            <w:r>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t>.</w:t>
            </w:r>
            <w:r>
              <w:rPr>
                <w:rFonts w:hint="eastAsia" w:ascii="Times New Roman" w:hAnsi="Times New Roman" w:eastAsia="黑体" w:cs="Times New Roman"/>
                <w:color w:val="000000" w:themeColor="text1"/>
                <w:u w:val="single"/>
                <w:vertAlign w:val="baseline"/>
                <w:lang w:val="en-US" w:eastAsia="zh-CN"/>
                <w14:textFill>
                  <w14:solidFill>
                    <w14:schemeClr w14:val="tx1"/>
                  </w14:solidFill>
                </w14:textFill>
              </w:rPr>
              <w:t>3</w:t>
            </w:r>
            <w:r>
              <w:rPr>
                <w:rFonts w:hint="default" w:ascii="Times New Roman" w:hAnsi="Times New Roman" w:eastAsia="黑体" w:cs="Times New Roman"/>
                <w:color w:val="000000" w:themeColor="text1"/>
                <w:u w:val="single"/>
                <w:vertAlign w:val="baseline"/>
                <w:lang w:val="en-US" w:eastAsia="zh-CN"/>
                <w14:textFill>
                  <w14:solidFill>
                    <w14:schemeClr w14:val="tx1"/>
                  </w14:solidFill>
                </w14:textFill>
              </w:rPr>
              <w:t>项目</w:t>
            </w:r>
            <w:r>
              <w:rPr>
                <w:rFonts w:hint="eastAsia" w:ascii="Times New Roman" w:hAnsi="Times New Roman" w:eastAsia="黑体" w:cs="Times New Roman"/>
                <w:color w:val="000000" w:themeColor="text1"/>
                <w:u w:val="single"/>
                <w:vertAlign w:val="baseline"/>
                <w:lang w:val="en-US" w:eastAsia="zh-CN"/>
                <w14:textFill>
                  <w14:solidFill>
                    <w14:schemeClr w14:val="tx1"/>
                  </w14:solidFill>
                </w14:textFill>
              </w:rPr>
              <w:t>选址合理性分析</w:t>
            </w:r>
          </w:p>
          <w:p w14:paraId="598F89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u w:val="single"/>
                <w:vertAlign w:val="baseline"/>
                <w:lang w:val="en-US" w:eastAsia="zh-CN"/>
                <w14:textFill>
                  <w14:solidFill>
                    <w14:schemeClr w14:val="tx1"/>
                  </w14:solidFill>
                </w14:textFill>
              </w:rPr>
              <w:t>本项目位于</w:t>
            </w:r>
            <w:r>
              <w:rPr>
                <w:rFonts w:hint="eastAsia" w:ascii="Times New Roman" w:hAnsi="Times New Roman" w:cs="Times New Roman"/>
                <w:b w:val="0"/>
                <w:bCs w:val="0"/>
                <w:color w:val="000000" w:themeColor="text1"/>
                <w:sz w:val="24"/>
                <w:szCs w:val="24"/>
                <w:u w:val="single"/>
                <w:vertAlign w:val="baseline"/>
                <w:lang w:val="en-US" w:eastAsia="zh-CN"/>
                <w14:textFill>
                  <w14:solidFill>
                    <w14:schemeClr w14:val="tx1"/>
                  </w14:solidFill>
                </w14:textFill>
              </w:rPr>
              <w:t>湖南省怀化市溆浦县卢峰镇（</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原仲夏乡</w:t>
            </w:r>
            <w:r>
              <w:rPr>
                <w:rFonts w:hint="eastAsia" w:ascii="Times New Roman" w:hAnsi="Times New Roman" w:cs="Times New Roman"/>
                <w:b w:val="0"/>
                <w:bCs w:val="0"/>
                <w:color w:val="000000" w:themeColor="text1"/>
                <w:sz w:val="24"/>
                <w:szCs w:val="24"/>
                <w:u w:val="single"/>
                <w:vertAlign w:val="baseline"/>
                <w:lang w:val="en-US" w:eastAsia="zh-CN"/>
                <w14:textFill>
                  <w14:solidFill>
                    <w14:schemeClr w14:val="tx1"/>
                  </w14:solidFill>
                </w14:textFill>
              </w:rPr>
              <w:t>）太坪村一组</w:t>
            </w:r>
            <w:r>
              <w:rPr>
                <w:rFonts w:hint="eastAsia" w:ascii="Times New Roman" w:hAnsi="Times New Roman" w:cs="Times New Roman"/>
                <w:color w:val="000000" w:themeColor="text1"/>
                <w:sz w:val="24"/>
                <w:szCs w:val="24"/>
                <w:u w:val="single"/>
                <w:vertAlign w:val="baseline"/>
                <w:lang w:val="en-US" w:eastAsia="zh-CN"/>
                <w14:textFill>
                  <w14:solidFill>
                    <w14:schemeClr w14:val="tx1"/>
                  </w14:solidFill>
                </w14:textFill>
              </w:rPr>
              <w:t>，标准化生产车间。项目选址环境功能属性符合各类环境功能区区划，与周边环境相容。项目实施后各项污染物均能实现达标排放，对周围大气环境、水环境、声环境影响较小，项目生产的各项目生产的各项固废均可实现合理处理处置。</w:t>
            </w:r>
          </w:p>
          <w:p w14:paraId="59D80D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u w:val="single"/>
                <w:vertAlign w:val="baseline"/>
                <w:lang w:val="en-US" w:eastAsia="zh-CN"/>
                <w14:textFill>
                  <w14:solidFill>
                    <w14:schemeClr w14:val="tx1"/>
                  </w14:solidFill>
                </w14:textFill>
              </w:rPr>
              <w:t>综上所述，本项目选址合理。</w:t>
            </w:r>
          </w:p>
          <w:p w14:paraId="70FE6D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u w:val="single"/>
                <w:vertAlign w:val="baseline"/>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.平面布置合理性分析</w:t>
            </w:r>
          </w:p>
          <w:p w14:paraId="43F7CB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u w:val="single"/>
                <w:vertAlign w:val="baseline"/>
                <w:lang w:val="en-US" w:eastAsia="zh-CN"/>
                <w14:textFill>
                  <w14:solidFill>
                    <w14:schemeClr w14:val="tx1"/>
                  </w14:solidFill>
                </w14:textFill>
              </w:rPr>
              <w:t>位于湖南省怀化市溆浦县卢峰镇（</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原仲夏乡</w:t>
            </w:r>
            <w:r>
              <w:rPr>
                <w:rFonts w:hint="eastAsia" w:ascii="Times New Roman" w:hAnsi="Times New Roman" w:cs="Times New Roman"/>
                <w:b w:val="0"/>
                <w:bCs w:val="0"/>
                <w:color w:val="000000" w:themeColor="text1"/>
                <w:sz w:val="24"/>
                <w:szCs w:val="24"/>
                <w:u w:val="single"/>
                <w:vertAlign w:val="baseline"/>
                <w:lang w:val="en-US" w:eastAsia="zh-CN"/>
                <w14:textFill>
                  <w14:solidFill>
                    <w14:schemeClr w14:val="tx1"/>
                  </w14:solidFill>
                </w14:textFill>
              </w:rPr>
              <w:t>）太坪村一组</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，分功能区域布置</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平面布置依据建筑结构，根据工艺流程和危险程度进行合理布置，能保障人员的顺利安全运行，本项目平面布局合理</w:t>
            </w:r>
            <w:r>
              <w:rPr>
                <w:rFonts w:hint="eastAsia" w:ascii="Times New Roman" w:hAnsi="Times New Roman" w:cs="Times New Roman"/>
                <w:b w:val="0"/>
                <w:bCs w:val="0"/>
                <w:color w:val="000000" w:themeColor="text1"/>
                <w:sz w:val="24"/>
                <w:szCs w:val="24"/>
                <w:u w:val="single"/>
                <w:vertAlign w:val="baseline"/>
                <w:lang w:val="en-US" w:eastAsia="zh-CN"/>
                <w14:textFill>
                  <w14:solidFill>
                    <w14:schemeClr w14:val="tx1"/>
                  </w14:solidFill>
                </w14:textFill>
              </w:rPr>
              <w:t>，平面布置图详见附图3</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w:t>
            </w:r>
          </w:p>
          <w:p w14:paraId="7BBA99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与“三线一单”相符性分析</w:t>
            </w:r>
          </w:p>
          <w:p w14:paraId="50B5E1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highlight w:val="none"/>
                <w:vertAlign w:val="baseline"/>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t>.1生态</w:t>
            </w:r>
            <w:r>
              <w:rPr>
                <w:rFonts w:hint="eastAsia"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t>红线区域保护规划</w:t>
            </w:r>
          </w:p>
          <w:p w14:paraId="6CF44A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本项目位于湖南省怀化市溆浦县卢峰镇（</w:t>
            </w:r>
            <w:r>
              <w:rPr>
                <w:rFonts w:hint="eastAsia" w:cs="Times New Roman"/>
                <w:color w:val="000000" w:themeColor="text1"/>
                <w:sz w:val="24"/>
                <w:szCs w:val="24"/>
                <w:highlight w:val="none"/>
                <w:u w:val="single"/>
                <w:vertAlign w:val="baseline"/>
                <w:lang w:val="en-US" w:eastAsia="zh-CN"/>
                <w14:textFill>
                  <w14:solidFill>
                    <w14:schemeClr w14:val="tx1"/>
                  </w14:solidFill>
                </w14:textFill>
              </w:rPr>
              <w:t>原仲夏乡</w:t>
            </w:r>
            <w:r>
              <w:rPr>
                <w:rFonts w:hint="eastAsia" w:cs="Times New Roman"/>
                <w:color w:val="000000" w:themeColor="text1"/>
                <w:sz w:val="24"/>
                <w:szCs w:val="24"/>
                <w:highlight w:val="none"/>
                <w:vertAlign w:val="baseline"/>
                <w:lang w:val="en-US" w:eastAsia="zh-CN"/>
                <w14:textFill>
                  <w14:solidFill>
                    <w14:schemeClr w14:val="tx1"/>
                  </w14:solidFill>
                </w14:textFill>
              </w:rPr>
              <w:t>）太坪村一组，项目的建设地址不属于怀化市生态保护红线范围划定的重点保护地，项目建设的影响范围内无国家级和省级禁止开发区域，项目建设与国家生态红线区域保护规划是相符的。</w:t>
            </w:r>
          </w:p>
          <w:p w14:paraId="10246A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本项目依托现有厂区建设，</w:t>
            </w:r>
            <w:r>
              <w:rPr>
                <w:rFonts w:hint="eastAsia" w:cs="Times New Roman"/>
                <w:color w:val="000000" w:themeColor="text1"/>
                <w:sz w:val="24"/>
                <w:szCs w:val="24"/>
                <w:highlight w:val="none"/>
                <w:u w:val="single"/>
                <w:vertAlign w:val="baseline"/>
                <w:lang w:val="en-US" w:eastAsia="zh-CN"/>
                <w14:textFill>
                  <w14:solidFill>
                    <w14:schemeClr w14:val="tx1"/>
                  </w14:solidFill>
                </w14:textFill>
              </w:rPr>
              <w:t>只新增了上漆工艺</w:t>
            </w:r>
            <w:r>
              <w:rPr>
                <w:rFonts w:hint="eastAsia" w:cs="Times New Roman"/>
                <w:color w:val="000000" w:themeColor="text1"/>
                <w:sz w:val="24"/>
                <w:szCs w:val="24"/>
                <w:highlight w:val="none"/>
                <w:vertAlign w:val="baseline"/>
                <w:lang w:val="en-US" w:eastAsia="zh-CN"/>
                <w14:textFill>
                  <w14:solidFill>
                    <w14:schemeClr w14:val="tx1"/>
                  </w14:solidFill>
                </w14:textFill>
              </w:rPr>
              <w:t>，不涉及土建，不涉及水土流失，不会导致评价范围内生态服务功能下降。本项目可以确保生态功能不降低、面积不减少、性质不改变，有效维护生态安全。</w:t>
            </w:r>
          </w:p>
          <w:p w14:paraId="631FE2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highlight w:val="none"/>
                <w:vertAlign w:val="baseline"/>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t>.2环境质量底线</w:t>
            </w:r>
          </w:p>
          <w:p w14:paraId="14EC80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根据怀化市生态环境局公布《2024年12月怀化市城市环境空气质量月报及空气质量年报》中溆浦县现状监测的常规数据，项目区域为环境空气质量达标区。</w:t>
            </w:r>
            <w:r>
              <w:rPr>
                <w:rFonts w:hint="eastAsia" w:cs="Times New Roman"/>
                <w:color w:val="000000" w:themeColor="text1"/>
                <w:sz w:val="24"/>
                <w:szCs w:val="24"/>
                <w:highlight w:val="none"/>
                <w:u w:val="none"/>
                <w:vertAlign w:val="baseline"/>
                <w:lang w:val="en-US" w:eastAsia="zh-CN"/>
                <w14:textFill>
                  <w14:solidFill>
                    <w14:schemeClr w14:val="tx1"/>
                  </w14:solidFill>
                </w14:textFill>
              </w:rPr>
              <w:t>项目区域地表水环境能满足《地表水环境质量标准》（GB3838-2002）中III类水质标准要求；</w:t>
            </w:r>
            <w:r>
              <w:rPr>
                <w:rFonts w:hint="eastAsia" w:cs="Times New Roman"/>
                <w:color w:val="000000" w:themeColor="text1"/>
                <w:sz w:val="24"/>
                <w:szCs w:val="24"/>
                <w:highlight w:val="none"/>
                <w:vertAlign w:val="baseline"/>
                <w:lang w:val="en-US" w:eastAsia="zh-CN"/>
                <w14:textFill>
                  <w14:solidFill>
                    <w14:schemeClr w14:val="tx1"/>
                  </w14:solidFill>
                </w14:textFill>
              </w:rPr>
              <w:t>声环境能满足《声环境质量标准》（GB3096-2008）中3类标准限值要求。</w:t>
            </w:r>
          </w:p>
          <w:p w14:paraId="6C34E276">
            <w:pPr>
              <w:ind w:firstLine="480" w:firstLineChars="200"/>
              <w:rPr>
                <w:rFonts w:hint="eastAsia" w:ascii="宋体" w:hAnsi="宋体" w:cs="宋体"/>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根据本报告各章节分析表明：本项目废气可达标排放，对周围空气质量影响不大；</w:t>
            </w:r>
            <w:r>
              <w:rPr>
                <w:rFonts w:hint="eastAsia" w:cs="Times New Roman"/>
                <w:color w:val="000000" w:themeColor="text1"/>
                <w:sz w:val="24"/>
                <w:szCs w:val="24"/>
                <w:highlight w:val="none"/>
                <w:vertAlign w:val="baseline"/>
                <w:lang w:val="en-US" w:eastAsia="zh-CN"/>
                <w14:textFill>
                  <w14:solidFill>
                    <w14:schemeClr w14:val="tx1"/>
                  </w14:solidFill>
                </w14:textFill>
              </w:rPr>
              <w:t>本项目不新增员工，不产生生活污水；</w:t>
            </w:r>
            <w:r>
              <w:rPr>
                <w:rFonts w:hint="eastAsia" w:cs="Times New Roman"/>
                <w:color w:val="000000" w:themeColor="text1"/>
                <w:sz w:val="24"/>
                <w:szCs w:val="24"/>
                <w:highlight w:val="none"/>
                <w:u w:val="single"/>
                <w:vertAlign w:val="baseline"/>
                <w:lang w:val="en-US" w:eastAsia="zh-CN"/>
                <w14:textFill>
                  <w14:solidFill>
                    <w14:schemeClr w14:val="tx1"/>
                  </w14:solidFill>
                </w14:textFill>
              </w:rPr>
              <w:t>辊筒清洗用水用于油漆调配</w:t>
            </w:r>
            <w:r>
              <w:rPr>
                <w:rFonts w:hint="eastAsia" w:cs="Times New Roman"/>
                <w:color w:val="000000" w:themeColor="text1"/>
                <w:sz w:val="24"/>
                <w:szCs w:val="24"/>
                <w:highlight w:val="none"/>
                <w:vertAlign w:val="baseline"/>
                <w:lang w:val="en-US" w:eastAsia="zh-CN"/>
                <w14:textFill>
                  <w14:solidFill>
                    <w14:schemeClr w14:val="tx1"/>
                  </w14:solidFill>
                </w14:textFill>
              </w:rPr>
              <w:t>，不外排；本</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项目对噪声设备采取一定的措施，投产后厂界噪声能达到《工业企业厂界环境噪声排放标准》（GB12348-2008）中的</w:t>
            </w:r>
            <w:r>
              <w:rPr>
                <w:rFonts w:hint="eastAsia" w:cs="Times New Roman"/>
                <w:color w:val="000000" w:themeColor="text1"/>
                <w:sz w:val="24"/>
                <w:szCs w:val="24"/>
                <w:highlight w:val="none"/>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类标准，确保不会出现厂界噪声扰民现象。项目产生的固废均可进行合理处置，实现</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“零排放”</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w:t>
            </w:r>
          </w:p>
          <w:p w14:paraId="4E3DAD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综上所述，本项目排放的各项污染物经相应措施处理后对周围环境影响很小，不会改变项目所在区域的环境功能，因此本项目的建设符合当地的环境质量底线要求。</w:t>
            </w:r>
          </w:p>
          <w:p w14:paraId="6A2F30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highlight w:val="none"/>
                <w:vertAlign w:val="baseline"/>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eastAsia="黑体" w:cs="Times New Roman"/>
                <w:b w:val="0"/>
                <w:bCs w:val="0"/>
                <w:color w:val="000000" w:themeColor="text1"/>
                <w:sz w:val="24"/>
                <w:szCs w:val="24"/>
                <w:highlight w:val="none"/>
                <w:vertAlign w:val="baseline"/>
                <w:lang w:val="en-US" w:eastAsia="zh-CN"/>
                <w14:textFill>
                  <w14:solidFill>
                    <w14:schemeClr w14:val="tx1"/>
                  </w14:solidFill>
                </w14:textFill>
              </w:rPr>
              <w:t>3资源利用上线</w:t>
            </w:r>
          </w:p>
          <w:p w14:paraId="40637C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本项目在生产过程中需要一定量的电能、水资源等，项目资源能源消耗量相对区域资源利用总量较少，</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符合资源利用上线要求。</w:t>
            </w:r>
          </w:p>
          <w:p w14:paraId="53E565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highlight w:val="none"/>
                <w:vertAlign w:val="baseline"/>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eastAsia="黑体" w:cs="Times New Roman"/>
                <w:b w:val="0"/>
                <w:bCs w:val="0"/>
                <w:color w:val="000000" w:themeColor="text1"/>
                <w:sz w:val="24"/>
                <w:szCs w:val="24"/>
                <w:highlight w:val="none"/>
                <w:vertAlign w:val="baseline"/>
                <w:lang w:val="en-US" w:eastAsia="zh-CN"/>
                <w14:textFill>
                  <w14:solidFill>
                    <w14:schemeClr w14:val="tx1"/>
                  </w14:solidFill>
                </w14:textFill>
              </w:rPr>
              <w:t>4生态环境准入清单</w:t>
            </w:r>
          </w:p>
          <w:p w14:paraId="5E7EF12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本项目位于湖南省怀化市溆浦县卢峰镇（</w:t>
            </w:r>
            <w:r>
              <w:rPr>
                <w:rFonts w:hint="eastAsia" w:cs="Times New Roman"/>
                <w:color w:val="000000" w:themeColor="text1"/>
                <w:sz w:val="24"/>
                <w:szCs w:val="24"/>
                <w:highlight w:val="none"/>
                <w:u w:val="single"/>
                <w:vertAlign w:val="baseline"/>
                <w:lang w:val="en-US" w:eastAsia="zh-CN"/>
                <w14:textFill>
                  <w14:solidFill>
                    <w14:schemeClr w14:val="tx1"/>
                  </w14:solidFill>
                </w14:textFill>
              </w:rPr>
              <w:t>原仲夏乡</w:t>
            </w:r>
            <w:r>
              <w:rPr>
                <w:rFonts w:hint="eastAsia" w:cs="Times New Roman"/>
                <w:color w:val="000000" w:themeColor="text1"/>
                <w:sz w:val="24"/>
                <w:szCs w:val="24"/>
                <w:highlight w:val="none"/>
                <w:vertAlign w:val="baseline"/>
                <w:lang w:val="en-US" w:eastAsia="zh-CN"/>
                <w14:textFill>
                  <w14:solidFill>
                    <w14:schemeClr w14:val="tx1"/>
                  </w14:solidFill>
                </w14:textFill>
              </w:rPr>
              <w:t>）太坪村一组，根据《怀化市生态环境局关于发布&lt;怀化市生态环境分区管控动态更新成果（2023年版）的通知》（怀环发〔2024〕28号）的附件（怀化市生态环境分区管控基本要求暨环境管控单元（省级及以上产业园区除外）生态环境准入清单 2023版）可知：</w:t>
            </w:r>
          </w:p>
          <w:p w14:paraId="605A45C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本项目位于“均坪镇/两丫坪镇/卢峰镇/水东镇（重点管控单元：ZH43122420002）”，相符性分析详见下表1-3。</w:t>
            </w:r>
          </w:p>
          <w:p w14:paraId="55E90F1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p w14:paraId="36C332D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p w14:paraId="5E87A9A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p w14:paraId="5B240CE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p w14:paraId="1CE01F2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p w14:paraId="2547DBB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p w14:paraId="1F7B515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p w14:paraId="7491F6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p w14:paraId="6E436E5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color w:val="000000" w:themeColor="text1"/>
                <w:sz w:val="24"/>
                <w:szCs w:val="24"/>
                <w:highlight w:val="none"/>
                <w:vertAlign w:val="baseline"/>
                <w:lang w:val="en-US" w:eastAsia="zh-CN"/>
                <w14:textFill>
                  <w14:solidFill>
                    <w14:schemeClr w14:val="tx1"/>
                  </w14:solidFill>
                </w14:textFill>
              </w:rPr>
            </w:pPr>
          </w:p>
        </w:tc>
      </w:tr>
    </w:tbl>
    <w:p w14:paraId="17859D11">
      <w:pPr>
        <w:jc w:val="center"/>
        <w:rPr>
          <w:color w:val="000000" w:themeColor="text1"/>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8"/>
        <w:tblW w:w="14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4107"/>
      </w:tblGrid>
      <w:tr w14:paraId="1527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4" w:hRule="atLeast"/>
          <w:jc w:val="center"/>
        </w:trPr>
        <w:tc>
          <w:tcPr>
            <w:tcW w:w="519" w:type="dxa"/>
            <w:noWrap w:val="0"/>
            <w:vAlign w:val="center"/>
          </w:tcPr>
          <w:p w14:paraId="53F39C50">
            <w:pPr>
              <w:spacing w:line="240" w:lineRule="auto"/>
              <w:jc w:val="center"/>
              <w:rPr>
                <w:color w:val="000000" w:themeColor="text1"/>
                <w:vertAlign w:val="baseline"/>
                <w14:textFill>
                  <w14:solidFill>
                    <w14:schemeClr w14:val="tx1"/>
                  </w14:solidFill>
                </w14:textFill>
              </w:rPr>
            </w:pPr>
            <w:r>
              <w:rPr>
                <w:rFonts w:hint="eastAsia" w:ascii="黑体" w:hAnsi="黑体" w:eastAsia="黑体" w:cs="黑体"/>
                <w:b w:val="0"/>
                <w:bCs w:val="0"/>
                <w:color w:val="000000" w:themeColor="text1"/>
                <w:vertAlign w:val="baseline"/>
                <w:lang w:val="en-US" w:eastAsia="zh-CN"/>
                <w14:textFill>
                  <w14:solidFill>
                    <w14:schemeClr w14:val="tx1"/>
                  </w14:solidFill>
                </w14:textFill>
              </w:rPr>
              <w:t>其他符合性分析</w:t>
            </w:r>
          </w:p>
        </w:tc>
        <w:tc>
          <w:tcPr>
            <w:tcW w:w="14107" w:type="dxa"/>
            <w:noWrap w:val="0"/>
            <w:vAlign w:val="top"/>
          </w:tcPr>
          <w:p w14:paraId="5F6BAF9E">
            <w:pPr>
              <w:spacing w:line="36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表1-3 本项目与《湖南省生态环境分区管控总体管控要求暨省级以上产业园区生态环境准入清单》相符性分析</w:t>
            </w:r>
          </w:p>
          <w:tbl>
            <w:tblPr>
              <w:tblStyle w:val="8"/>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212"/>
              <w:gridCol w:w="444"/>
              <w:gridCol w:w="480"/>
              <w:gridCol w:w="480"/>
              <w:gridCol w:w="660"/>
              <w:gridCol w:w="1020"/>
              <w:gridCol w:w="1080"/>
              <w:gridCol w:w="1548"/>
              <w:gridCol w:w="2040"/>
              <w:gridCol w:w="2796"/>
              <w:gridCol w:w="1026"/>
            </w:tblGrid>
            <w:tr w14:paraId="7877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04" w:type="dxa"/>
                  <w:vMerge w:val="restart"/>
                  <w:noWrap w:val="0"/>
                  <w:vAlign w:val="center"/>
                </w:tcPr>
                <w:p w14:paraId="45E6EEAD">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环境管控单元编码</w:t>
                  </w:r>
                </w:p>
              </w:tc>
              <w:tc>
                <w:tcPr>
                  <w:tcW w:w="1212" w:type="dxa"/>
                  <w:vMerge w:val="restart"/>
                  <w:noWrap w:val="0"/>
                  <w:vAlign w:val="center"/>
                </w:tcPr>
                <w:p w14:paraId="2C2BAA79">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单元名称</w:t>
                  </w:r>
                </w:p>
              </w:tc>
              <w:tc>
                <w:tcPr>
                  <w:tcW w:w="1404" w:type="dxa"/>
                  <w:gridSpan w:val="3"/>
                  <w:noWrap w:val="0"/>
                  <w:vAlign w:val="center"/>
                </w:tcPr>
                <w:p w14:paraId="7AC490F2">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行政区划</w:t>
                  </w:r>
                </w:p>
              </w:tc>
              <w:tc>
                <w:tcPr>
                  <w:tcW w:w="660" w:type="dxa"/>
                  <w:vMerge w:val="restart"/>
                  <w:noWrap w:val="0"/>
                  <w:vAlign w:val="center"/>
                </w:tcPr>
                <w:p w14:paraId="456F2134">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单元分类</w:t>
                  </w:r>
                </w:p>
              </w:tc>
              <w:tc>
                <w:tcPr>
                  <w:tcW w:w="1020" w:type="dxa"/>
                  <w:vMerge w:val="restart"/>
                  <w:noWrap w:val="0"/>
                  <w:vAlign w:val="center"/>
                </w:tcPr>
                <w:p w14:paraId="7A7BE8CB">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单元面积（km</w:t>
                  </w:r>
                  <w:r>
                    <w:rPr>
                      <w:rFonts w:hint="default" w:ascii="Times New Roman" w:hAnsi="Times New Roman" w:eastAsia="黑体" w:cs="Times New Roman"/>
                      <w:b w:val="0"/>
                      <w:bCs w:val="0"/>
                      <w:color w:val="000000" w:themeColor="text1"/>
                      <w:sz w:val="20"/>
                      <w:szCs w:val="20"/>
                      <w:vertAlign w:val="superscript"/>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w:t>
                  </w:r>
                </w:p>
              </w:tc>
              <w:tc>
                <w:tcPr>
                  <w:tcW w:w="1080" w:type="dxa"/>
                  <w:vMerge w:val="restart"/>
                  <w:noWrap w:val="0"/>
                  <w:vAlign w:val="center"/>
                </w:tcPr>
                <w:p w14:paraId="0CD6E362">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涉及乡镇（街道）</w:t>
                  </w:r>
                </w:p>
              </w:tc>
              <w:tc>
                <w:tcPr>
                  <w:tcW w:w="1548" w:type="dxa"/>
                  <w:vMerge w:val="restart"/>
                  <w:noWrap w:val="0"/>
                  <w:vAlign w:val="center"/>
                </w:tcPr>
                <w:p w14:paraId="485C8275">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主体功能定位</w:t>
                  </w:r>
                </w:p>
              </w:tc>
              <w:tc>
                <w:tcPr>
                  <w:tcW w:w="2040" w:type="dxa"/>
                  <w:vMerge w:val="restart"/>
                  <w:noWrap w:val="0"/>
                  <w:vAlign w:val="center"/>
                </w:tcPr>
                <w:p w14:paraId="1CFE0B2A">
                  <w:pPr>
                    <w:spacing w:line="240" w:lineRule="auto"/>
                    <w:jc w:val="center"/>
                    <w:rPr>
                      <w:rFonts w:hint="default" w:ascii="Times New Roman" w:hAnsi="Times New Roman" w:eastAsia="黑体"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经济产业布局</w:t>
                  </w:r>
                </w:p>
              </w:tc>
              <w:tc>
                <w:tcPr>
                  <w:tcW w:w="3822" w:type="dxa"/>
                  <w:gridSpan w:val="2"/>
                  <w:vMerge w:val="restart"/>
                  <w:noWrap w:val="0"/>
                  <w:vAlign w:val="center"/>
                </w:tcPr>
                <w:p w14:paraId="0B4C1380">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主要环境问题和重要敏感目标</w:t>
                  </w:r>
                </w:p>
              </w:tc>
            </w:tr>
            <w:tr w14:paraId="5CC1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04" w:type="dxa"/>
                  <w:vMerge w:val="continue"/>
                  <w:noWrap w:val="0"/>
                  <w:vAlign w:val="center"/>
                </w:tcPr>
                <w:p w14:paraId="410AD046">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212" w:type="dxa"/>
                  <w:vMerge w:val="continue"/>
                  <w:noWrap w:val="0"/>
                  <w:vAlign w:val="center"/>
                </w:tcPr>
                <w:p w14:paraId="5F1BDC31">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444" w:type="dxa"/>
                  <w:noWrap w:val="0"/>
                  <w:vAlign w:val="center"/>
                </w:tcPr>
                <w:p w14:paraId="3A5AC0FA">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省</w:t>
                  </w:r>
                </w:p>
              </w:tc>
              <w:tc>
                <w:tcPr>
                  <w:tcW w:w="480" w:type="dxa"/>
                  <w:noWrap w:val="0"/>
                  <w:vAlign w:val="center"/>
                </w:tcPr>
                <w:p w14:paraId="0322FBCA">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市</w:t>
                  </w:r>
                </w:p>
              </w:tc>
              <w:tc>
                <w:tcPr>
                  <w:tcW w:w="480" w:type="dxa"/>
                  <w:noWrap w:val="0"/>
                  <w:vAlign w:val="center"/>
                </w:tcPr>
                <w:p w14:paraId="30E81666">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县</w:t>
                  </w:r>
                </w:p>
              </w:tc>
              <w:tc>
                <w:tcPr>
                  <w:tcW w:w="660" w:type="dxa"/>
                  <w:vMerge w:val="continue"/>
                  <w:noWrap w:val="0"/>
                  <w:vAlign w:val="center"/>
                </w:tcPr>
                <w:p w14:paraId="6C669629">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1020" w:type="dxa"/>
                  <w:vMerge w:val="continue"/>
                  <w:noWrap w:val="0"/>
                  <w:vAlign w:val="center"/>
                </w:tcPr>
                <w:p w14:paraId="11F7AB32">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1080" w:type="dxa"/>
                  <w:vMerge w:val="continue"/>
                  <w:noWrap w:val="0"/>
                  <w:vAlign w:val="center"/>
                </w:tcPr>
                <w:p w14:paraId="56C97C5D">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1548" w:type="dxa"/>
                  <w:vMerge w:val="continue"/>
                  <w:noWrap w:val="0"/>
                  <w:vAlign w:val="center"/>
                </w:tcPr>
                <w:p w14:paraId="6DEF4BC5">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2040" w:type="dxa"/>
                  <w:vMerge w:val="continue"/>
                  <w:noWrap w:val="0"/>
                  <w:vAlign w:val="center"/>
                </w:tcPr>
                <w:p w14:paraId="2FF753E4">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3822" w:type="dxa"/>
                  <w:gridSpan w:val="2"/>
                  <w:vMerge w:val="continue"/>
                  <w:noWrap w:val="0"/>
                  <w:vAlign w:val="center"/>
                </w:tcPr>
                <w:p w14:paraId="6C3970DF">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r>
            <w:tr w14:paraId="4B3E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1104" w:type="dxa"/>
                  <w:noWrap w:val="0"/>
                  <w:vAlign w:val="center"/>
                </w:tcPr>
                <w:p w14:paraId="4EA10211">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ZH43122420002</w:t>
                  </w:r>
                </w:p>
              </w:tc>
              <w:tc>
                <w:tcPr>
                  <w:tcW w:w="1212" w:type="dxa"/>
                  <w:noWrap w:val="0"/>
                  <w:vAlign w:val="center"/>
                </w:tcPr>
                <w:p w14:paraId="1ECB42FD">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均坪镇/两丫坪镇/卢峰镇/水东镇</w:t>
                  </w:r>
                </w:p>
              </w:tc>
              <w:tc>
                <w:tcPr>
                  <w:tcW w:w="444" w:type="dxa"/>
                  <w:noWrap w:val="0"/>
                  <w:vAlign w:val="center"/>
                </w:tcPr>
                <w:p w14:paraId="6D05843A">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湖南省</w:t>
                  </w:r>
                </w:p>
              </w:tc>
              <w:tc>
                <w:tcPr>
                  <w:tcW w:w="480" w:type="dxa"/>
                  <w:noWrap w:val="0"/>
                  <w:vAlign w:val="center"/>
                </w:tcPr>
                <w:p w14:paraId="0FD9E227">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怀化市</w:t>
                  </w:r>
                </w:p>
              </w:tc>
              <w:tc>
                <w:tcPr>
                  <w:tcW w:w="480" w:type="dxa"/>
                  <w:noWrap w:val="0"/>
                  <w:vAlign w:val="center"/>
                </w:tcPr>
                <w:p w14:paraId="39D44E5F">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溆浦县</w:t>
                  </w:r>
                </w:p>
              </w:tc>
              <w:tc>
                <w:tcPr>
                  <w:tcW w:w="660" w:type="dxa"/>
                  <w:noWrap w:val="0"/>
                  <w:vAlign w:val="center"/>
                </w:tcPr>
                <w:p w14:paraId="76E60315">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重点管控单元</w:t>
                  </w:r>
                </w:p>
              </w:tc>
              <w:tc>
                <w:tcPr>
                  <w:tcW w:w="1020" w:type="dxa"/>
                  <w:noWrap w:val="0"/>
                  <w:vAlign w:val="center"/>
                </w:tcPr>
                <w:p w14:paraId="538BEF10">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481.6</w:t>
                  </w:r>
                </w:p>
                <w:p w14:paraId="319CB81F">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1</w:t>
                  </w:r>
                </w:p>
              </w:tc>
              <w:tc>
                <w:tcPr>
                  <w:tcW w:w="1080" w:type="dxa"/>
                  <w:noWrap w:val="0"/>
                  <w:vAlign w:val="center"/>
                </w:tcPr>
                <w:p w14:paraId="74E8E776">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均坪镇/两丫坪镇/卢峰镇/水东镇</w:t>
                  </w:r>
                </w:p>
              </w:tc>
              <w:tc>
                <w:tcPr>
                  <w:tcW w:w="1548" w:type="dxa"/>
                  <w:noWrap w:val="0"/>
                  <w:vAlign w:val="center"/>
                </w:tcPr>
                <w:p w14:paraId="45D32E6B">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卢峰镇：城市化地区/历史文化资源富集区</w:t>
                  </w:r>
                </w:p>
              </w:tc>
              <w:tc>
                <w:tcPr>
                  <w:tcW w:w="2040" w:type="dxa"/>
                  <w:noWrap w:val="0"/>
                  <w:vAlign w:val="center"/>
                </w:tcPr>
                <w:p w14:paraId="78ABB73F">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卢峰镇：非金属矿采选、日用品制造、建材、废弃资源综合利用业、旅游</w:t>
                  </w:r>
                </w:p>
              </w:tc>
              <w:tc>
                <w:tcPr>
                  <w:tcW w:w="3822" w:type="dxa"/>
                  <w:gridSpan w:val="2"/>
                  <w:noWrap w:val="0"/>
                  <w:vAlign w:val="center"/>
                </w:tcPr>
                <w:p w14:paraId="1E7C6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卢峰镇：城镇生活垃圾填埋场（老填埋区）渗滤液收集处理不到位、黑臭水体治理和农业面源污染。涉及思蒙国家湿地公园、雷峰山国家石漠公园、县城饮用水源地保护区</w:t>
                  </w:r>
                </w:p>
              </w:tc>
            </w:tr>
            <w:tr w14:paraId="2FD5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4" w:type="dxa"/>
                  <w:noWrap w:val="0"/>
                  <w:vAlign w:val="center"/>
                </w:tcPr>
                <w:p w14:paraId="2E974D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主要属性</w:t>
                  </w:r>
                </w:p>
              </w:tc>
              <w:tc>
                <w:tcPr>
                  <w:tcW w:w="12786" w:type="dxa"/>
                  <w:gridSpan w:val="11"/>
                  <w:noWrap w:val="0"/>
                  <w:vAlign w:val="center"/>
                </w:tcPr>
                <w:p w14:paraId="39DB3E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0"/>
                      <w:szCs w:val="20"/>
                      <w14:textFill>
                        <w14:solidFill>
                          <w14:schemeClr w14:val="tx1"/>
                        </w14:solidFill>
                      </w14:textFill>
                    </w:rPr>
                  </w:pPr>
                  <w:r>
                    <w:rPr>
                      <w:rFonts w:hint="default" w:ascii="Times New Roman" w:hAnsi="Times New Roman" w:eastAsia="黑体" w:cs="Times New Roman"/>
                      <w:b w:val="0"/>
                      <w:bCs w:val="0"/>
                      <w:color w:val="000000" w:themeColor="text1"/>
                      <w:sz w:val="20"/>
                      <w:szCs w:val="20"/>
                      <w14:textFill>
                        <w14:solidFill>
                          <w14:schemeClr w14:val="tx1"/>
                        </w14:solidFill>
                      </w14:textFill>
                    </w:rPr>
                    <w:t>卢峰镇：</w:t>
                  </w:r>
                </w:p>
                <w:p w14:paraId="361DE1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14:textFill>
                        <w14:solidFill>
                          <w14:schemeClr w14:val="tx1"/>
                        </w14:solidFill>
                      </w14:textFill>
                    </w:rPr>
                    <w:t>●红线/一般生态空间</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r>
                    <w:rPr>
                      <w:rFonts w:hint="default" w:ascii="Times New Roman" w:hAnsi="Times New Roman" w:eastAsia="黑体" w:cs="Times New Roman"/>
                      <w:b w:val="0"/>
                      <w:bCs w:val="0"/>
                      <w:color w:val="000000" w:themeColor="text1"/>
                      <w:sz w:val="20"/>
                      <w:szCs w:val="20"/>
                      <w14:textFill>
                        <w14:solidFill>
                          <w14:schemeClr w14:val="tx1"/>
                        </w14:solidFill>
                      </w14:textFill>
                    </w:rPr>
                    <w:t>三区三线生态红线/石漠公园/水源涵养重要区/湿地公园/原生态红线/生物多样性保护功能重要区/水土流失敏感区</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p>
                <w:p w14:paraId="7B97FA5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14:textFill>
                        <w14:solidFill>
                          <w14:schemeClr w14:val="tx1"/>
                        </w14:solidFill>
                      </w14:textFill>
                    </w:rPr>
                    <w:t>●水环境优先保护区/水环境工业污染重点管控区/水环境城镇生活污染重点管控区/水环境一般管控区</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r>
                    <w:rPr>
                      <w:rFonts w:hint="default" w:ascii="Times New Roman" w:hAnsi="Times New Roman" w:eastAsia="黑体" w:cs="Times New Roman"/>
                      <w:b w:val="0"/>
                      <w:bCs w:val="0"/>
                      <w:color w:val="000000" w:themeColor="text1"/>
                      <w:sz w:val="20"/>
                      <w:szCs w:val="20"/>
                      <w14:textFill>
                        <w14:solidFill>
                          <w14:schemeClr w14:val="tx1"/>
                        </w14:solidFill>
                      </w14:textFill>
                    </w:rPr>
                    <w:t>水源地（县级及以上）/湿地公园/工业园区/污水处理厂</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r>
                    <w:rPr>
                      <w:rFonts w:hint="default" w:ascii="Times New Roman" w:hAnsi="Times New Roman" w:eastAsia="黑体" w:cs="Times New Roman"/>
                      <w:b w:val="0"/>
                      <w:bCs w:val="0"/>
                      <w:color w:val="000000" w:themeColor="text1"/>
                      <w:sz w:val="20"/>
                      <w:szCs w:val="20"/>
                      <w14:textFill>
                        <w14:solidFill>
                          <w14:schemeClr w14:val="tx1"/>
                        </w14:solidFill>
                      </w14:textFill>
                    </w:rPr>
                    <w:t>怀化市溆浦县溆水饮用水水源保护区/湖南溆浦思蒙国家级湿地公园/溆浦产业开发区/湖南合源水务环境科技股份有限公司溆浦县分公司</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p>
                <w:p w14:paraId="324710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14:textFill>
                        <w14:solidFill>
                          <w14:schemeClr w14:val="tx1"/>
                        </w14:solidFill>
                      </w14:textFill>
                    </w:rPr>
                    <w:t>●大气环境优先保护区/大气环境高排放重点管控区/大气环境受体敏感重点管控区/大气环境布局敏感重点管控区</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r>
                    <w:rPr>
                      <w:rFonts w:hint="default" w:ascii="Times New Roman" w:hAnsi="Times New Roman" w:eastAsia="黑体" w:cs="Times New Roman"/>
                      <w:b w:val="0"/>
                      <w:bCs w:val="0"/>
                      <w:color w:val="000000" w:themeColor="text1"/>
                      <w:sz w:val="20"/>
                      <w:szCs w:val="20"/>
                      <w14:textFill>
                        <w14:solidFill>
                          <w14:schemeClr w14:val="tx1"/>
                        </w14:solidFill>
                      </w14:textFill>
                    </w:rPr>
                    <w:t>湖南溆浦思蒙国家湿地公园/湖南溆浦雷峰山国家石漠公园/溆浦产业开发区/溆浦工业集中区</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p>
                <w:p w14:paraId="7BCF5C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14:textFill>
                        <w14:solidFill>
                          <w14:schemeClr w14:val="tx1"/>
                        </w14:solidFill>
                      </w14:textFill>
                    </w:rPr>
                    <w:t>●建设用地重点管控区/其他重点管控区</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r>
                    <w:rPr>
                      <w:rFonts w:hint="default" w:ascii="Times New Roman" w:hAnsi="Times New Roman" w:eastAsia="黑体" w:cs="Times New Roman"/>
                      <w:b w:val="0"/>
                      <w:bCs w:val="0"/>
                      <w:color w:val="000000" w:themeColor="text1"/>
                      <w:sz w:val="20"/>
                      <w:szCs w:val="20"/>
                      <w14:textFill>
                        <w14:solidFill>
                          <w14:schemeClr w14:val="tx1"/>
                        </w14:solidFill>
                      </w14:textFill>
                    </w:rPr>
                    <w:t>矿区/中高风险企业用地/重金属污染防治重点区域</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r>
                    <w:rPr>
                      <w:rFonts w:hint="default" w:ascii="Times New Roman" w:hAnsi="Times New Roman" w:eastAsia="黑体" w:cs="Times New Roman"/>
                      <w:b w:val="0"/>
                      <w:bCs w:val="0"/>
                      <w:color w:val="000000" w:themeColor="text1"/>
                      <w:sz w:val="20"/>
                      <w:szCs w:val="20"/>
                      <w14:textFill>
                        <w14:solidFill>
                          <w14:schemeClr w14:val="tx1"/>
                        </w14:solidFill>
                      </w14:textFill>
                    </w:rPr>
                    <w:t>溆浦产业开发区</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p>
                <w:p w14:paraId="538BF5D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14:textFill>
                        <w14:solidFill>
                          <w14:schemeClr w14:val="tx1"/>
                        </w14:solidFill>
                      </w14:textFill>
                    </w:rPr>
                    <w:t>●城市化地区/历史文化资源富集区</w:t>
                  </w:r>
                  <w:r>
                    <w:rPr>
                      <w:rFonts w:hint="default" w:ascii="Times New Roman" w:hAnsi="Times New Roman" w:eastAsia="黑体" w:cs="Times New Roman"/>
                      <w:b w:val="0"/>
                      <w:bCs w:val="0"/>
                      <w:color w:val="000000" w:themeColor="text1"/>
                      <w:sz w:val="20"/>
                      <w:szCs w:val="20"/>
                      <w:lang w:eastAsia="zh-CN"/>
                      <w14:textFill>
                        <w14:solidFill>
                          <w14:schemeClr w14:val="tx1"/>
                        </w14:solidFill>
                      </w14:textFill>
                    </w:rPr>
                    <w:t>；</w:t>
                  </w:r>
                  <w:r>
                    <w:rPr>
                      <w:rFonts w:hint="default" w:ascii="Times New Roman" w:hAnsi="Times New Roman" w:eastAsia="黑体" w:cs="Times New Roman"/>
                      <w:b w:val="0"/>
                      <w:bCs w:val="0"/>
                      <w:color w:val="000000" w:themeColor="text1"/>
                      <w:sz w:val="20"/>
                      <w:szCs w:val="20"/>
                      <w14:textFill>
                        <w14:solidFill>
                          <w14:schemeClr w14:val="tx1"/>
                        </w14:solidFill>
                      </w14:textFill>
                    </w:rPr>
                    <w:t>高污染燃料禁燃区。</w:t>
                  </w:r>
                </w:p>
              </w:tc>
            </w:tr>
            <w:tr w14:paraId="01DC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04" w:type="dxa"/>
                  <w:noWrap w:val="0"/>
                  <w:vAlign w:val="center"/>
                </w:tcPr>
                <w:p w14:paraId="7CEBBE82">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管控维度</w:t>
                  </w:r>
                </w:p>
              </w:tc>
              <w:tc>
                <w:tcPr>
                  <w:tcW w:w="6924" w:type="dxa"/>
                  <w:gridSpan w:val="8"/>
                  <w:noWrap w:val="0"/>
                  <w:vAlign w:val="center"/>
                </w:tcPr>
                <w:p w14:paraId="114A6F35">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 xml:space="preserve">管控要求  </w:t>
                  </w:r>
                </w:p>
              </w:tc>
              <w:tc>
                <w:tcPr>
                  <w:tcW w:w="4836" w:type="dxa"/>
                  <w:gridSpan w:val="2"/>
                  <w:noWrap w:val="0"/>
                  <w:vAlign w:val="center"/>
                </w:tcPr>
                <w:p w14:paraId="0B9B7B54">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14:textFill>
                        <w14:solidFill>
                          <w14:schemeClr w14:val="tx1"/>
                        </w14:solidFill>
                      </w14:textFill>
                    </w:rPr>
                    <w:t>项目实际情况</w:t>
                  </w:r>
                </w:p>
              </w:tc>
              <w:tc>
                <w:tcPr>
                  <w:tcW w:w="1026" w:type="dxa"/>
                  <w:noWrap w:val="0"/>
                  <w:vAlign w:val="center"/>
                </w:tcPr>
                <w:p w14:paraId="388F4B57">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14:textFill>
                        <w14:solidFill>
                          <w14:schemeClr w14:val="tx1"/>
                        </w14:solidFill>
                      </w14:textFill>
                    </w:rPr>
                    <w:t>相符性</w:t>
                  </w:r>
                </w:p>
              </w:tc>
            </w:tr>
            <w:tr w14:paraId="6D96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4" w:type="dxa"/>
                  <w:noWrap w:val="0"/>
                  <w:vAlign w:val="center"/>
                </w:tcPr>
                <w:p w14:paraId="05189F68">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空间布局约束</w:t>
                  </w:r>
                </w:p>
              </w:tc>
              <w:tc>
                <w:tcPr>
                  <w:tcW w:w="6924" w:type="dxa"/>
                  <w:gridSpan w:val="8"/>
                  <w:noWrap w:val="0"/>
                  <w:vAlign w:val="center"/>
                </w:tcPr>
                <w:p w14:paraId="7B977475">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（1.1）禁止占用耕地建窑、建坟或者擅自在耕地上挖砂、采石、采矿等。</w:t>
                  </w:r>
                </w:p>
                <w:p w14:paraId="0BFA2D9F">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（1.2）非农建设必须节约使用土地，可以利用荒地的，不得占用耕地</w:t>
                  </w:r>
                  <w:r>
                    <w:rPr>
                      <w:rFonts w:hint="default" w:ascii="Times New Roman" w:hAnsi="Times New Roman" w:eastAsia="黑体" w:cs="Times New Roman"/>
                      <w:b w:val="0"/>
                      <w:bCs w:val="0"/>
                      <w:color w:val="000000" w:themeColor="text1"/>
                      <w:sz w:val="20"/>
                      <w:szCs w:val="20"/>
                      <w:vertAlign w:val="baseline"/>
                      <w:lang w:eastAsia="zh-CN"/>
                      <w14:textFill>
                        <w14:solidFill>
                          <w14:schemeClr w14:val="tx1"/>
                        </w14:solidFill>
                      </w14:textFill>
                    </w:rPr>
                    <w:t>；</w:t>
                  </w: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可以利用劣地的，不得占用好地。</w:t>
                  </w:r>
                </w:p>
                <w:p w14:paraId="6CC9952B">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（1.3）禁养区内不得新建、扩建和改建各类畜禽养殖场及畜禽养殖户。</w:t>
                  </w:r>
                </w:p>
                <w:p w14:paraId="2D8455B8">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（1.4）饮用水源一级保护区内禁止建设养殖场，饮用水源二级保护区禁止建设有污染排放的养殖场。</w:t>
                  </w:r>
                </w:p>
              </w:tc>
              <w:tc>
                <w:tcPr>
                  <w:tcW w:w="4836" w:type="dxa"/>
                  <w:gridSpan w:val="2"/>
                  <w:noWrap w:val="0"/>
                  <w:vAlign w:val="center"/>
                </w:tcPr>
                <w:p w14:paraId="0C61C451">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（1）本项目依托现有厂区进行建设，只对厂内设备及工艺进行新增，不涉及土建；本项目可以确保生态功能不降低、面积不减少、性质不改变，有效维护生态安全，原则上本项目并没有新开发区域；</w:t>
                  </w:r>
                </w:p>
                <w:p w14:paraId="55501A94">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（2）本项目不位于禁养区，不位于饮用水源保护区，不属于怀化市生态保护红线范围划定的重点保护地。</w:t>
                  </w:r>
                </w:p>
              </w:tc>
              <w:tc>
                <w:tcPr>
                  <w:tcW w:w="1026" w:type="dxa"/>
                  <w:noWrap w:val="0"/>
                  <w:vAlign w:val="center"/>
                </w:tcPr>
                <w:p w14:paraId="7B1197C1">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相符</w:t>
                  </w:r>
                </w:p>
              </w:tc>
            </w:tr>
            <w:tr w14:paraId="1424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6" w:hRule="atLeast"/>
                <w:jc w:val="center"/>
              </w:trPr>
              <w:tc>
                <w:tcPr>
                  <w:tcW w:w="1104" w:type="dxa"/>
                  <w:noWrap w:val="0"/>
                  <w:vAlign w:val="center"/>
                </w:tcPr>
                <w:p w14:paraId="79286DA6">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污染物排放管控</w:t>
                  </w:r>
                </w:p>
                <w:p w14:paraId="707325CA">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（摘录）</w:t>
                  </w:r>
                </w:p>
              </w:tc>
              <w:tc>
                <w:tcPr>
                  <w:tcW w:w="6924" w:type="dxa"/>
                  <w:gridSpan w:val="8"/>
                  <w:noWrap w:val="0"/>
                  <w:vAlign w:val="center"/>
                </w:tcPr>
                <w:p w14:paraId="67CEF745">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（2.1）废水</w:t>
                  </w:r>
                </w:p>
                <w:p w14:paraId="7B9D35C0">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（2.1.1）统筹推进人居环境综合治理，因地制宜推进农村改厕、污水处理和农业面源污染治理。</w:t>
                  </w:r>
                </w:p>
                <w:p w14:paraId="456A00EA">
                  <w:pPr>
                    <w:spacing w:line="240" w:lineRule="auto"/>
                    <w:jc w:val="both"/>
                    <w:rPr>
                      <w:rFonts w:hint="default" w:ascii="Times New Roman" w:hAnsi="Times New Roman" w:eastAsia="黑体" w:cs="Times New Roman"/>
                      <w:b w:val="0"/>
                      <w:bCs w:val="0"/>
                      <w:color w:val="000000" w:themeColor="text1"/>
                      <w:sz w:val="20"/>
                      <w:szCs w:val="20"/>
                      <w:vertAlign w:val="baseline"/>
                      <w:lang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（2.1.2）加快实施现有管网雨污分流改造。城镇新区建设严格实施雨污分流，配套管网同步设计、同步建设、同步投运。城镇污水处理设施污水收集率在 90%以上</w:t>
                  </w:r>
                  <w:r>
                    <w:rPr>
                      <w:rFonts w:hint="default" w:ascii="Times New Roman" w:hAnsi="Times New Roman" w:eastAsia="黑体" w:cs="Times New Roman"/>
                      <w:b w:val="0"/>
                      <w:bCs w:val="0"/>
                      <w:color w:val="000000" w:themeColor="text1"/>
                      <w:sz w:val="20"/>
                      <w:szCs w:val="20"/>
                      <w:vertAlign w:val="baseline"/>
                      <w:lang w:eastAsia="zh-CN"/>
                      <w14:textFill>
                        <w14:solidFill>
                          <w14:schemeClr w14:val="tx1"/>
                        </w14:solidFill>
                      </w14:textFill>
                    </w:rPr>
                    <w:t>。</w:t>
                  </w:r>
                </w:p>
                <w:p w14:paraId="57A94E03">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（2.2）废气</w:t>
                  </w:r>
                </w:p>
                <w:p w14:paraId="433CCAB8">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（2.2.1）推进大气污染防治，加强工业源污染治理，强化燃煤锅炉烟气排放监管，对重点行业、重点企业开展监督管理，加快推进中小企业入园。</w:t>
                  </w:r>
                </w:p>
                <w:p w14:paraId="2895D829">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（2.2.2）加强施工扬尘综合整治，控制道路扬尘污染。</w:t>
                  </w:r>
                </w:p>
                <w:p w14:paraId="2781E4A2">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（2.2.3）推进秸秆资源化利用，禁止露天焚烧秸秆。</w:t>
                  </w:r>
                </w:p>
                <w:p w14:paraId="59882663">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（2.3）固体废物</w:t>
                  </w:r>
                </w:p>
                <w:p w14:paraId="47ECF96F">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（2.3.1）加强工矿企业污染治理，强化固体废物、危险废物管控，加强医疗废物监管，实现村卫生所医疗垃圾统一处理。</w:t>
                  </w:r>
                </w:p>
                <w:p w14:paraId="420B1FC2">
                  <w:pPr>
                    <w:spacing w:line="240" w:lineRule="auto"/>
                    <w:jc w:val="both"/>
                    <w:rPr>
                      <w:rFonts w:hint="default" w:ascii="Times New Roman" w:hAnsi="Times New Roman" w:eastAsia="黑体" w:cs="Times New Roman"/>
                      <w:b w:val="0"/>
                      <w:bCs w:val="0"/>
                      <w:color w:val="000000" w:themeColor="text1"/>
                      <w:sz w:val="20"/>
                      <w:szCs w:val="20"/>
                      <w:vertAlign w:val="baseline"/>
                      <w:lang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（2.3.2）深入推进城乡垃圾减量分类、收集、转运及处理处置设施建设，推动形成绿色发展方式和生活方式。</w:t>
                  </w:r>
                </w:p>
              </w:tc>
              <w:tc>
                <w:tcPr>
                  <w:tcW w:w="4836" w:type="dxa"/>
                  <w:gridSpan w:val="2"/>
                  <w:noWrap w:val="0"/>
                  <w:vAlign w:val="center"/>
                </w:tcPr>
                <w:p w14:paraId="0E068788">
                  <w:pPr>
                    <w:spacing w:line="240" w:lineRule="auto"/>
                    <w:jc w:val="both"/>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（1）本项目不新增员工，不产生生活污水；本项目辊筒清洗用水用于油漆调配，不外排；</w:t>
                  </w:r>
                </w:p>
                <w:p w14:paraId="66F71D5F">
                  <w:pPr>
                    <w:spacing w:line="240" w:lineRule="auto"/>
                    <w:jc w:val="both"/>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（2）本项目生产废气经相关有效措施处理后均可达标排放；本项目在生产过程中不使用高污染绕燃料设施；</w:t>
                  </w:r>
                </w:p>
                <w:p w14:paraId="35AAD05D">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（3）本目生产过程中产生的一般工业固废收集后交有能力的公司回收处理，并按有关规定落实工业固体废物申报登记制度；产生的危险废物交有资质单位处理，执行危险废物转移联单。</w:t>
                  </w:r>
                </w:p>
              </w:tc>
              <w:tc>
                <w:tcPr>
                  <w:tcW w:w="1026" w:type="dxa"/>
                  <w:noWrap w:val="0"/>
                  <w:vAlign w:val="center"/>
                </w:tcPr>
                <w:p w14:paraId="255E7051">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相符</w:t>
                  </w:r>
                </w:p>
              </w:tc>
            </w:tr>
            <w:tr w14:paraId="5EC1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04" w:type="dxa"/>
                  <w:noWrap w:val="0"/>
                  <w:vAlign w:val="center"/>
                </w:tcPr>
                <w:p w14:paraId="64D2EDB8">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环境风险防控</w:t>
                  </w:r>
                </w:p>
                <w:p w14:paraId="2BF1ADDA">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（摘录）</w:t>
                  </w:r>
                </w:p>
              </w:tc>
              <w:tc>
                <w:tcPr>
                  <w:tcW w:w="6924" w:type="dxa"/>
                  <w:gridSpan w:val="8"/>
                  <w:noWrap w:val="0"/>
                  <w:vAlign w:val="center"/>
                </w:tcPr>
                <w:p w14:paraId="05CFE8EB">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（3.1）完善风险防控体系建设，落实《溆浦县突发环境事件应急预案》的相关要求，严防环境风险事故发生，提高应急处置能力。</w:t>
                  </w:r>
                </w:p>
              </w:tc>
              <w:tc>
                <w:tcPr>
                  <w:tcW w:w="4836" w:type="dxa"/>
                  <w:gridSpan w:val="2"/>
                  <w:noWrap w:val="0"/>
                  <w:vAlign w:val="center"/>
                </w:tcPr>
                <w:p w14:paraId="78E4F2DC">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本项目已完善风险防控体系建设，并落实相关要求</w:t>
                  </w:r>
                </w:p>
              </w:tc>
              <w:tc>
                <w:tcPr>
                  <w:tcW w:w="1026" w:type="dxa"/>
                  <w:noWrap w:val="0"/>
                  <w:vAlign w:val="center"/>
                </w:tcPr>
                <w:p w14:paraId="1B07A740">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相符</w:t>
                  </w:r>
                </w:p>
              </w:tc>
            </w:tr>
            <w:tr w14:paraId="79EC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04" w:type="dxa"/>
                  <w:noWrap w:val="0"/>
                  <w:vAlign w:val="center"/>
                </w:tcPr>
                <w:p w14:paraId="25BEC8B0">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资源开发效率要求</w:t>
                  </w:r>
                </w:p>
              </w:tc>
              <w:tc>
                <w:tcPr>
                  <w:tcW w:w="6924" w:type="dxa"/>
                  <w:gridSpan w:val="8"/>
                  <w:noWrap w:val="0"/>
                  <w:vAlign w:val="center"/>
                </w:tcPr>
                <w:p w14:paraId="0915E8D7">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（4.1）能源</w:t>
                  </w:r>
                </w:p>
                <w:p w14:paraId="30CA8FFA">
                  <w:pPr>
                    <w:spacing w:line="240" w:lineRule="auto"/>
                    <w:jc w:val="both"/>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t>（4.1.1）科学开发利用清洁能源与可再生新能源，优化能源结构。</w:t>
                  </w:r>
                </w:p>
              </w:tc>
              <w:tc>
                <w:tcPr>
                  <w:tcW w:w="4836" w:type="dxa"/>
                  <w:gridSpan w:val="2"/>
                  <w:noWrap w:val="0"/>
                  <w:vAlign w:val="center"/>
                </w:tcPr>
                <w:p w14:paraId="789A61B1">
                  <w:pPr>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本项目利用的能源为电能，属清洁能源。</w:t>
                  </w:r>
                </w:p>
              </w:tc>
              <w:tc>
                <w:tcPr>
                  <w:tcW w:w="1026" w:type="dxa"/>
                  <w:noWrap w:val="0"/>
                  <w:vAlign w:val="center"/>
                </w:tcPr>
                <w:p w14:paraId="3EC86E28">
                  <w:pPr>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相符</w:t>
                  </w:r>
                </w:p>
              </w:tc>
            </w:tr>
          </w:tbl>
          <w:p w14:paraId="2809753E">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黑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因此，本项目的建设符合该管控单元的环境准入清单要求。</w:t>
            </w:r>
          </w:p>
          <w:p w14:paraId="01541BF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vertAlign w:val="baseline"/>
                <w:lang w:val="en-US" w:eastAsia="zh-CN"/>
                <w14:textFill>
                  <w14:solidFill>
                    <w14:schemeClr w14:val="tx1"/>
                  </w14:solidFill>
                </w14:textFill>
              </w:rPr>
              <w:t>综上所述，本项目与“三线一单”相符合。</w:t>
            </w:r>
          </w:p>
          <w:p w14:paraId="60FF3E47">
            <w:pPr>
              <w:keepNext w:val="0"/>
              <w:keepLines w:val="0"/>
              <w:pageBreakBefore w:val="0"/>
              <w:widowControl w:val="0"/>
              <w:kinsoku/>
              <w:wordWrap/>
              <w:overflowPunct/>
              <w:topLinePunct w:val="0"/>
              <w:autoSpaceDE/>
              <w:autoSpaceDN/>
              <w:bidi w:val="0"/>
              <w:adjustRightInd/>
              <w:snapToGrid/>
              <w:jc w:val="both"/>
              <w:textAlignment w:val="auto"/>
              <w:rPr>
                <w:rFonts w:hint="eastAsia"/>
                <w:color w:val="000000" w:themeColor="text1"/>
                <w:sz w:val="24"/>
                <w:szCs w:val="24"/>
                <w:vertAlign w:val="baseline"/>
                <w:lang w:val="en-US" w:eastAsia="zh-CN"/>
                <w14:textFill>
                  <w14:solidFill>
                    <w14:schemeClr w14:val="tx1"/>
                  </w14:solidFill>
                </w14:textFill>
              </w:rPr>
            </w:pPr>
          </w:p>
        </w:tc>
      </w:tr>
    </w:tbl>
    <w:p w14:paraId="714D86FC">
      <w:pPr>
        <w:bidi w:val="0"/>
        <w:rPr>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8"/>
        <w:tblW w:w="8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8427"/>
      </w:tblGrid>
      <w:tr w14:paraId="5E40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shd w:val="clear" w:color="auto" w:fill="auto"/>
            <w:vAlign w:val="center"/>
          </w:tcPr>
          <w:p w14:paraId="26FBB06C">
            <w:pPr>
              <w:spacing w:line="240" w:lineRule="auto"/>
              <w:ind w:firstLine="0" w:firstLineChars="0"/>
              <w:jc w:val="center"/>
              <w:rPr>
                <w:rFonts w:ascii="Times New Roman" w:hAnsi="Times New Roman"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vertAlign w:val="baseline"/>
                <w:lang w:val="en-US" w:eastAsia="zh-CN"/>
                <w14:textFill>
                  <w14:solidFill>
                    <w14:schemeClr w14:val="tx1"/>
                  </w14:solidFill>
                </w14:textFill>
              </w:rPr>
              <w:t>其他符合性分析</w:t>
            </w:r>
          </w:p>
        </w:tc>
        <w:tc>
          <w:tcPr>
            <w:tcW w:w="8427" w:type="dxa"/>
          </w:tcPr>
          <w:p w14:paraId="14A2DE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vertAlign w:val="baseline"/>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.与“十四五”规划相符性分析</w:t>
            </w:r>
          </w:p>
          <w:p w14:paraId="3F453F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vertAlign w:val="baseline"/>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.1《湖南省“十四五”生态环境保护规划》的通知（湘政办发〔2021〕61 号）相符性分析</w:t>
            </w:r>
          </w:p>
          <w:p w14:paraId="11CE408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000000" w:themeColor="text1"/>
                <w:vertAlign w:val="baseline"/>
                <w14:textFill>
                  <w14:solidFill>
                    <w14:schemeClr w14:val="tx1"/>
                  </w14:solidFill>
                </w14:textFill>
              </w:rPr>
            </w:pPr>
            <w:r>
              <w:rPr>
                <w:rFonts w:hint="default" w:ascii="Times New Roman" w:hAnsi="Times New Roman" w:eastAsia="黑体" w:cs="Times New Roman"/>
                <w:b w:val="0"/>
                <w:bCs w:val="0"/>
                <w:color w:val="000000" w:themeColor="text1"/>
                <w:vertAlign w:val="baseline"/>
                <w14:textFill>
                  <w14:solidFill>
                    <w14:schemeClr w14:val="tx1"/>
                  </w14:solidFill>
                </w14:textFill>
              </w:rPr>
              <w:t>湘政办发〔2021〕61号文件要求</w:t>
            </w:r>
            <w:r>
              <w:rPr>
                <w:rFonts w:hint="eastAsia" w:ascii="Times New Roman" w:hAnsi="Times New Roman" w:eastAsia="黑体" w:cs="Times New Roman"/>
                <w:b w:val="0"/>
                <w:bCs w:val="0"/>
                <w:color w:val="000000" w:themeColor="text1"/>
                <w:vertAlign w:val="baseline"/>
                <w:lang w:eastAsia="zh-CN"/>
                <w14:textFill>
                  <w14:solidFill>
                    <w14:schemeClr w14:val="tx1"/>
                  </w14:solidFill>
                </w14:textFill>
              </w:rPr>
              <w:t>（</w:t>
            </w:r>
            <w:r>
              <w:rPr>
                <w:rFonts w:hint="eastAsia" w:ascii="Times New Roman" w:hAnsi="Times New Roman" w:eastAsia="黑体" w:cs="Times New Roman"/>
                <w:b w:val="0"/>
                <w:bCs w:val="0"/>
                <w:color w:val="000000" w:themeColor="text1"/>
                <w:vertAlign w:val="baseline"/>
                <w:lang w:val="en-US" w:eastAsia="zh-CN"/>
                <w14:textFill>
                  <w14:solidFill>
                    <w14:schemeClr w14:val="tx1"/>
                  </w14:solidFill>
                </w14:textFill>
              </w:rPr>
              <w:t>摘录</w:t>
            </w:r>
            <w:r>
              <w:rPr>
                <w:rFonts w:hint="eastAsia" w:ascii="Times New Roman" w:hAnsi="Times New Roman" w:eastAsia="黑体" w:cs="Times New Roman"/>
                <w:b w:val="0"/>
                <w:bCs w:val="0"/>
                <w:color w:val="000000" w:themeColor="text1"/>
                <w:vertAlign w:val="baseline"/>
                <w:lang w:eastAsia="zh-CN"/>
                <w14:textFill>
                  <w14:solidFill>
                    <w14:schemeClr w14:val="tx1"/>
                  </w14:solidFill>
                </w14:textFill>
              </w:rPr>
              <w:t>）</w:t>
            </w:r>
            <w:r>
              <w:rPr>
                <w:rFonts w:hint="eastAsia"/>
                <w:b w:val="0"/>
                <w:bCs w:val="0"/>
                <w:color w:val="000000" w:themeColor="text1"/>
                <w:vertAlign w:val="baseline"/>
                <w14:textFill>
                  <w14:solidFill>
                    <w14:schemeClr w14:val="tx1"/>
                  </w14:solidFill>
                </w14:textFill>
              </w:rPr>
              <w:t>：</w:t>
            </w:r>
            <w:r>
              <w:rPr>
                <w:rFonts w:hint="eastAsia"/>
                <w:color w:val="000000" w:themeColor="text1"/>
                <w:vertAlign w:val="baseline"/>
                <w14:textFill>
                  <w14:solidFill>
                    <w14:schemeClr w14:val="tx1"/>
                  </w14:solidFill>
                </w14:textFill>
              </w:rPr>
              <w:t>强化重点行业VOCs科学治理。以工业涂装、石化、化工、包装印刷、油品储运销等行业为重点，实施企业VOCs原料替代、排放全过程控制。按照“分业施策、一行一策”的原则，加大低VOCs含量原辅材料的推广使用力度，从源头减少VOCs产生。推进使用先进生产工艺设备，减少无组织排放。实行重点排放源排放浓度与去除效率双重控制。加强汽修行业VOCs综合治理，加大餐饮油烟污染治理力度，推进县级以上城市餐饮油烟治理全覆盖。</w:t>
            </w:r>
          </w:p>
          <w:p w14:paraId="4EE3DE8E">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000000" w:themeColor="text1"/>
                <w:vertAlign w:val="baseline"/>
                <w:lang w:val="en-US"/>
                <w14:textFill>
                  <w14:solidFill>
                    <w14:schemeClr w14:val="tx1"/>
                  </w14:solidFill>
                </w14:textFill>
              </w:rPr>
            </w:pPr>
            <w:r>
              <w:rPr>
                <w:rFonts w:hint="eastAsia"/>
                <w:color w:val="000000" w:themeColor="text1"/>
                <w:u w:val="single"/>
                <w:vertAlign w:val="baseline"/>
                <w14:textFill>
                  <w14:solidFill>
                    <w14:schemeClr w14:val="tx1"/>
                  </w14:solidFill>
                </w14:textFill>
              </w:rPr>
              <w:t>本项目</w:t>
            </w:r>
            <w:r>
              <w:rPr>
                <w:rFonts w:hint="eastAsia"/>
                <w:color w:val="000000" w:themeColor="text1"/>
                <w:u w:val="single"/>
                <w:vertAlign w:val="baseline"/>
                <w:lang w:val="en-US" w:eastAsia="zh-CN"/>
                <w14:textFill>
                  <w14:solidFill>
                    <w14:schemeClr w14:val="tx1"/>
                  </w14:solidFill>
                </w14:textFill>
              </w:rPr>
              <w:t>属于</w:t>
            </w:r>
            <w:r>
              <w:rPr>
                <w:rFonts w:hint="eastAsia"/>
                <w:color w:val="000000" w:themeColor="text1"/>
                <w:u w:val="single"/>
                <w:vertAlign w:val="baseline"/>
                <w14:textFill>
                  <w14:solidFill>
                    <w14:schemeClr w14:val="tx1"/>
                  </w14:solidFill>
                </w14:textFill>
              </w:rPr>
              <w:t>环境保护专用设备制造</w:t>
            </w:r>
            <w:r>
              <w:rPr>
                <w:rFonts w:hint="eastAsia"/>
                <w:color w:val="000000" w:themeColor="text1"/>
                <w:u w:val="single"/>
                <w:vertAlign w:val="baseline"/>
                <w:lang w:val="en-US" w:eastAsia="zh-CN"/>
                <w14:textFill>
                  <w14:solidFill>
                    <w14:schemeClr w14:val="tx1"/>
                  </w14:solidFill>
                </w14:textFill>
              </w:rPr>
              <w:t>业，本项目在生产过程中产生的非甲烷总烃、二甲苯经“二级活性炭吸附”装置治理后可通过15m排气筒达标排放，对周围环境影响较小</w:t>
            </w:r>
            <w:r>
              <w:rPr>
                <w:rFonts w:hint="eastAsia"/>
                <w:color w:val="000000" w:themeColor="text1"/>
                <w:vertAlign w:val="baseline"/>
                <w:lang w:val="en-US" w:eastAsia="zh-CN"/>
                <w14:textFill>
                  <w14:solidFill>
                    <w14:schemeClr w14:val="tx1"/>
                  </w14:solidFill>
                </w14:textFill>
              </w:rPr>
              <w:t>。</w:t>
            </w:r>
          </w:p>
          <w:p w14:paraId="42C342B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color w:val="000000" w:themeColor="text1"/>
                <w:vertAlign w:val="baseline"/>
                <w14:textFill>
                  <w14:solidFill>
                    <w14:schemeClr w14:val="tx1"/>
                  </w14:solidFill>
                </w14:textFill>
              </w:rPr>
            </w:pPr>
            <w:r>
              <w:rPr>
                <w:rFonts w:hint="eastAsia"/>
                <w:color w:val="000000" w:themeColor="text1"/>
                <w:vertAlign w:val="baseline"/>
                <w14:textFill>
                  <w14:solidFill>
                    <w14:schemeClr w14:val="tx1"/>
                  </w14:solidFill>
                </w14:textFill>
              </w:rPr>
              <w:t>综上所述，本项目符合湘政办发〔2021〕61 号文件要求。</w:t>
            </w:r>
          </w:p>
          <w:p w14:paraId="2964B5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vertAlign w:val="baseline"/>
                <w:lang w:val="en-US" w:eastAsia="zh-CN"/>
                <w14:textFill>
                  <w14:solidFill>
                    <w14:schemeClr w14:val="tx1"/>
                  </w14:solidFill>
                </w14:textFill>
              </w:rPr>
              <w:t>5.2</w:t>
            </w: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《怀化市“十四五”生态环境保护规划》相符性分析</w:t>
            </w:r>
          </w:p>
          <w:p w14:paraId="3B7477B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黑体" w:cs="Times New Roman"/>
                <w:b w:val="0"/>
                <w:bCs w:val="0"/>
                <w:color w:val="000000" w:themeColor="text1"/>
                <w:vertAlign w:val="baseline"/>
                <w:lang w:eastAsia="zh-CN"/>
                <w14:textFill>
                  <w14:solidFill>
                    <w14:schemeClr w14:val="tx1"/>
                  </w14:solidFill>
                </w14:textFill>
              </w:rPr>
              <w:t>《</w:t>
            </w:r>
            <w:r>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t>怀化市“十四五”生态环境保护规划</w:t>
            </w:r>
            <w:r>
              <w:rPr>
                <w:rFonts w:hint="default" w:ascii="Times New Roman" w:hAnsi="Times New Roman" w:eastAsia="黑体" w:cs="Times New Roman"/>
                <w:b w:val="0"/>
                <w:bCs w:val="0"/>
                <w:color w:val="000000" w:themeColor="text1"/>
                <w:vertAlign w:val="baseline"/>
                <w:lang w:eastAsia="zh-CN"/>
                <w14:textFill>
                  <w14:solidFill>
                    <w14:schemeClr w14:val="tx1"/>
                  </w14:solidFill>
                </w14:textFill>
              </w:rPr>
              <w:t>》</w:t>
            </w:r>
            <w:r>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t>文件要求</w:t>
            </w:r>
            <w:r>
              <w:rPr>
                <w:rFonts w:hint="eastAsia" w:ascii="Times New Roman" w:hAnsi="Times New Roman" w:eastAsia="黑体" w:cs="Times New Roman"/>
                <w:b w:val="0"/>
                <w:bCs w:val="0"/>
                <w:color w:val="000000" w:themeColor="text1"/>
                <w:vertAlign w:val="baseline"/>
                <w:lang w:val="en-US" w:eastAsia="zh-CN"/>
                <w14:textFill>
                  <w14:solidFill>
                    <w14:schemeClr w14:val="tx1"/>
                  </w14:solidFill>
                </w14:textFill>
              </w:rPr>
              <w:t>（摘录）</w:t>
            </w:r>
            <w:r>
              <w:rPr>
                <w:rFonts w:hint="eastAsia"/>
                <w:b w:val="0"/>
                <w:bCs w:val="0"/>
                <w:color w:val="000000" w:themeColor="text1"/>
                <w:vertAlign w:val="baseline"/>
                <w14:textFill>
                  <w14:solidFill>
                    <w14:schemeClr w14:val="tx1"/>
                  </w14:solidFill>
                </w14:textFill>
              </w:rPr>
              <w:t>：</w:t>
            </w:r>
            <w:r>
              <w:rPr>
                <w:rFonts w:hint="default" w:ascii="Times New Roman" w:hAnsi="Times New Roman" w:eastAsia="黑体" w:cs="Times New Roman"/>
                <w:b w:val="0"/>
                <w:bCs w:val="0"/>
                <w:color w:val="000000" w:themeColor="text1"/>
                <w:vertAlign w:val="baseline"/>
                <w:lang w:eastAsia="zh-CN"/>
                <w14:textFill>
                  <w14:solidFill>
                    <w14:schemeClr w14:val="tx1"/>
                  </w14:solidFill>
                </w14:textFill>
              </w:rPr>
              <w:t>（</w:t>
            </w:r>
            <w:r>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vertAlign w:val="baseline"/>
                <w:lang w:eastAsia="zh-CN"/>
                <w14:textFill>
                  <w14:solidFill>
                    <w14:schemeClr w14:val="tx1"/>
                  </w14:solidFill>
                </w14:textFill>
              </w:rPr>
              <w:t>）</w:t>
            </w:r>
            <w:r>
              <w:rPr>
                <w:rFonts w:hint="default" w:ascii="Times New Roman" w:hAnsi="Times New Roman" w:eastAsia="黑体" w:cs="Times New Roman"/>
                <w:b w:val="0"/>
                <w:bCs w:val="0"/>
                <w:color w:val="000000" w:themeColor="text1"/>
                <w14:textFill>
                  <w14:solidFill>
                    <w14:schemeClr w14:val="tx1"/>
                  </w14:solidFill>
                </w14:textFill>
              </w:rPr>
              <w:t>第三章</w:t>
            </w:r>
            <w:r>
              <w:rPr>
                <w:rFonts w:hint="default" w:ascii="Times New Roman" w:hAnsi="Times New Roman" w:eastAsia="黑体" w:cs="Times New Roman"/>
                <w:b w:val="0"/>
                <w:bCs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14:textFill>
                  <w14:solidFill>
                    <w14:schemeClr w14:val="tx1"/>
                  </w14:solidFill>
                </w14:textFill>
              </w:rPr>
              <w:t>第一节</w:t>
            </w:r>
            <w:r>
              <w:rPr>
                <w:rFonts w:hint="default" w:ascii="Times New Roman" w:hAnsi="Times New Roman" w:eastAsia="黑体"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三、强化国土空间用途管控：落实生态保护红线、永久基本农田、城镇开发边界“三线”刚性管控规则，从严控制各类建设占用自然生态空间。</w:t>
            </w:r>
          </w:p>
          <w:p w14:paraId="7379C03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黑体" w:cs="Times New Roman"/>
                <w:b w:val="0"/>
                <w:bCs w:val="0"/>
                <w:color w:val="000000" w:themeColor="text1"/>
                <w:lang w:eastAsia="zh-CN"/>
                <w14:textFill>
                  <w14:solidFill>
                    <w14:schemeClr w14:val="tx1"/>
                  </w14:solidFill>
                </w14:textFill>
              </w:rPr>
              <w:t>（</w:t>
            </w:r>
            <w:r>
              <w:rPr>
                <w:rFonts w:hint="default" w:ascii="Times New Roman" w:hAnsi="Times New Roman" w:eastAsia="黑体" w:cs="Times New Roman"/>
                <w:b w:val="0"/>
                <w:bCs w:val="0"/>
                <w:color w:val="000000" w:themeColor="text1"/>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lang w:eastAsia="zh-CN"/>
                <w14:textFill>
                  <w14:solidFill>
                    <w14:schemeClr w14:val="tx1"/>
                  </w14:solidFill>
                </w14:textFill>
              </w:rPr>
              <w:t>）</w:t>
            </w:r>
            <w:r>
              <w:rPr>
                <w:rFonts w:hint="default" w:ascii="Times New Roman" w:hAnsi="Times New Roman" w:eastAsia="黑体" w:cs="Times New Roman"/>
                <w:b w:val="0"/>
                <w:bCs w:val="0"/>
                <w:color w:val="000000" w:themeColor="text1"/>
                <w:lang w:val="en-US" w:eastAsia="zh-CN"/>
                <w14:textFill>
                  <w14:solidFill>
                    <w14:schemeClr w14:val="tx1"/>
                  </w14:solidFill>
                </w14:textFill>
              </w:rPr>
              <w:t xml:space="preserve">第三章 </w:t>
            </w:r>
            <w:r>
              <w:rPr>
                <w:rFonts w:hint="default" w:ascii="Times New Roman" w:hAnsi="Times New Roman" w:eastAsia="黑体" w:cs="Times New Roman"/>
                <w:b w:val="0"/>
                <w:bCs w:val="0"/>
                <w:color w:val="000000" w:themeColor="text1"/>
                <w14:textFill>
                  <w14:solidFill>
                    <w14:schemeClr w14:val="tx1"/>
                  </w14:solidFill>
                </w14:textFill>
              </w:rPr>
              <w:t>第四节</w:t>
            </w:r>
            <w:r>
              <w:rPr>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一、实施生态环境分区管控：落实湖南省、怀化市“三线一单”生态环境分区管控要求，将“三线一单”作为硬约束落实到环境管控单元并实施差异化的生态环境准入管理，加强省级以上产业园区和园区以外地区生态环境准入管理。</w:t>
            </w:r>
          </w:p>
          <w:p w14:paraId="5F34D6A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黑体" w:cs="Times New Roman"/>
                <w:b w:val="0"/>
                <w:bCs w:val="0"/>
                <w:color w:val="000000" w:themeColor="text1"/>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14:textFill>
                  <w14:solidFill>
                    <w14:schemeClr w14:val="tx1"/>
                  </w14:solidFill>
                </w14:textFill>
              </w:rPr>
              <w:t>第五章 第一节</w:t>
            </w:r>
            <w:r>
              <w:rPr>
                <w:color w:val="000000" w:themeColor="text1"/>
                <w14:textFill>
                  <w14:solidFill>
                    <w14:schemeClr w14:val="tx1"/>
                  </w14:solidFill>
                </w14:textFill>
              </w:rPr>
              <w:t xml:space="preserve"> 三、实施重点领域水污染治理：完善生活污水治理体系。加快城乡污水处理设施建设与改造，完善城乡生活污水收集体系，加强现有城镇生活污水处理厂运营维护与管理，补齐污水收集和处理设施短板。</w:t>
            </w:r>
          </w:p>
          <w:p w14:paraId="548FE7CE">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14:textFill>
                  <w14:solidFill>
                    <w14:schemeClr w14:val="tx1"/>
                  </w14:solidFill>
                </w14:textFill>
              </w:rPr>
              <w:t>第七章 第一节</w:t>
            </w:r>
            <w:r>
              <w:rPr>
                <w:color w:val="000000" w:themeColor="text1"/>
                <w14:textFill>
                  <w14:solidFill>
                    <w14:schemeClr w14:val="tx1"/>
                  </w14:solidFill>
                </w14:textFill>
              </w:rPr>
              <w:t xml:space="preserve"> 三、完善危险废物全过程监管：强化危险废物源头管控，推动源头减量化。规范危险废物贮存场所（设施），完善危险废物环境管理体系。</w:t>
            </w:r>
          </w:p>
          <w:p w14:paraId="358AE84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黑体" w:cs="Times New Roman"/>
                <w:b w:val="0"/>
                <w:bCs w:val="0"/>
                <w:color w:val="000000" w:themeColor="text1"/>
                <w:lang w:val="en-US" w:eastAsia="zh-CN"/>
                <w14:textFill>
                  <w14:solidFill>
                    <w14:schemeClr w14:val="tx1"/>
                  </w14:solidFill>
                </w14:textFill>
              </w:rPr>
              <w:t xml:space="preserve">（5）第七章 </w:t>
            </w:r>
            <w:r>
              <w:rPr>
                <w:rFonts w:hint="default" w:ascii="Times New Roman" w:hAnsi="Times New Roman" w:eastAsia="黑体" w:cs="Times New Roman"/>
                <w:b w:val="0"/>
                <w:bCs w:val="0"/>
                <w:color w:val="000000" w:themeColor="text1"/>
                <w14:textFill>
                  <w14:solidFill>
                    <w14:schemeClr w14:val="tx1"/>
                  </w14:solidFill>
                </w14:textFill>
              </w:rPr>
              <w:t>第二节</w:t>
            </w:r>
            <w:r>
              <w:rPr>
                <w:color w:val="000000" w:themeColor="text1"/>
                <w14:textFill>
                  <w14:solidFill>
                    <w14:schemeClr w14:val="tx1"/>
                  </w14:solidFill>
                </w14:textFill>
              </w:rPr>
              <w:t xml:space="preserve"> 一、强化危险化学品源头管控：全面开展安全风险排查和隐患治理，结合实际细化排查标准，对危险化学品企业、化工园区组织实施精准化安全风险排查评估，分类建立完善安全风险数据库和信息管理系统，实施最严格的治理整顿。</w:t>
            </w:r>
          </w:p>
          <w:p w14:paraId="07503A4C">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ascii="Times New Roman" w:hAnsi="Times New Roman" w:eastAsia="黑体" w:cs="Times New Roman"/>
                <w:color w:val="000000" w:themeColor="text1"/>
                <w:lang w:val="en-US" w:eastAsia="zh-CN"/>
                <w14:textFill>
                  <w14:solidFill>
                    <w14:schemeClr w14:val="tx1"/>
                  </w14:solidFill>
                </w14:textFill>
              </w:rPr>
              <w:t>本项目</w:t>
            </w:r>
            <w:r>
              <w:rPr>
                <w:rFonts w:hint="default" w:ascii="Times New Roman" w:hAnsi="Times New Roman" w:eastAsia="黑体" w:cs="Times New Roman"/>
                <w:color w:val="000000" w:themeColor="text1"/>
                <w:lang w:val="en-US" w:eastAsia="zh-CN"/>
                <w14:textFill>
                  <w14:solidFill>
                    <w14:schemeClr w14:val="tx1"/>
                  </w14:solidFill>
                </w14:textFill>
              </w:rPr>
              <w:t>相符性分析：</w:t>
            </w:r>
          </w:p>
          <w:p w14:paraId="1DDE250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u w:val="single"/>
                <w:lang w:val="en-US" w:eastAsia="zh-CN"/>
                <w14:textFill>
                  <w14:solidFill>
                    <w14:schemeClr w14:val="tx1"/>
                  </w14:solidFill>
                </w14:textFill>
              </w:rPr>
              <w:t>本项目位于湖南省怀化市溆浦县卢峰镇（原仲夏乡）太坪村一组</w:t>
            </w:r>
            <w:r>
              <w:rPr>
                <w:rFonts w:hint="eastAsia" w:cs="Times New Roman"/>
                <w:color w:val="000000" w:themeColor="text1"/>
                <w:lang w:val="en-US" w:eastAsia="zh-CN"/>
                <w14:textFill>
                  <w14:solidFill>
                    <w14:schemeClr w14:val="tx1"/>
                  </w14:solidFill>
                </w14:textFill>
              </w:rPr>
              <w:t>，在现有厂房内进行建设，不新增用地。</w:t>
            </w:r>
          </w:p>
          <w:p w14:paraId="0BFBFD2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（2）本项目符合《怀化市生态环境分区管控基本要求暨环境管控单元（省级及以上产业园区除外）生态环境准入清单》。</w:t>
            </w:r>
          </w:p>
          <w:p w14:paraId="7A8FF17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（3）本项目不新增员工，不产生生活污水；</w:t>
            </w:r>
            <w:r>
              <w:rPr>
                <w:rFonts w:hint="eastAsia" w:cs="Times New Roman"/>
                <w:color w:val="000000" w:themeColor="text1"/>
                <w:u w:val="single"/>
                <w:lang w:val="en-US" w:eastAsia="zh-CN"/>
                <w14:textFill>
                  <w14:solidFill>
                    <w14:schemeClr w14:val="tx1"/>
                  </w14:solidFill>
                </w14:textFill>
              </w:rPr>
              <w:t>辊筒清洗用水</w:t>
            </w:r>
            <w:r>
              <w:rPr>
                <w:rFonts w:hint="eastAsia" w:cs="Times New Roman"/>
                <w:color w:val="000000" w:themeColor="text1"/>
                <w:lang w:val="en-US" w:eastAsia="zh-CN"/>
                <w14:textFill>
                  <w14:solidFill>
                    <w14:schemeClr w14:val="tx1"/>
                  </w14:solidFill>
                </w14:textFill>
              </w:rPr>
              <w:t>用于油漆调配，不外排；</w:t>
            </w:r>
          </w:p>
          <w:p w14:paraId="6AC0064E">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eastAsia" w:cs="Times New Roman"/>
                <w:color w:val="000000" w:themeColor="text1"/>
                <w:u w:val="single"/>
                <w:lang w:val="en-US" w:eastAsia="zh-CN"/>
                <w14:textFill>
                  <w14:solidFill>
                    <w14:schemeClr w14:val="tx1"/>
                  </w14:solidFill>
                </w14:textFill>
              </w:rPr>
              <w:t>本项目危险废物分类暂存于危废暂存间内</w:t>
            </w:r>
            <w:r>
              <w:rPr>
                <w:rFonts w:hint="eastAsia" w:cs="Times New Roman"/>
                <w:color w:val="000000" w:themeColor="text1"/>
                <w:lang w:val="en-US" w:eastAsia="zh-CN"/>
                <w14:textFill>
                  <w14:solidFill>
                    <w14:schemeClr w14:val="tx1"/>
                  </w14:solidFill>
                </w14:textFill>
              </w:rPr>
              <w:t>（采取防风、防雨、防晒、防流失、防扬散、防渗漏等），定期交由资质单位处理。</w:t>
            </w:r>
          </w:p>
          <w:p w14:paraId="1D78267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（5）本项目将对危化品及风险物质进行严格管控，并建立使用台账。</w:t>
            </w:r>
          </w:p>
          <w:p w14:paraId="20E957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黑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综上所述，本项目符合《怀化市“十四五”生态环境保护规划》</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中相关要求。</w:t>
            </w:r>
          </w:p>
          <w:p w14:paraId="2F0C31AE">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pPr>
            <w:r>
              <w:rPr>
                <w:rFonts w:hint="eastAsia" w:eastAsia="黑体" w:cs="Times New Roman"/>
                <w:b w:val="0"/>
                <w:bCs w:val="0"/>
                <w:color w:val="000000" w:themeColor="text1"/>
                <w:vertAlign w:val="baseline"/>
                <w:lang w:val="en-US" w:eastAsia="zh-CN"/>
                <w14:textFill>
                  <w14:solidFill>
                    <w14:schemeClr w14:val="tx1"/>
                  </w14:solidFill>
                </w14:textFill>
              </w:rPr>
              <w:t>6</w:t>
            </w:r>
            <w:r>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t>.与其他相关</w:t>
            </w:r>
            <w:r>
              <w:rPr>
                <w:rFonts w:hint="eastAsia" w:eastAsia="黑体" w:cs="Times New Roman"/>
                <w:b w:val="0"/>
                <w:bCs w:val="0"/>
                <w:color w:val="000000" w:themeColor="text1"/>
                <w:vertAlign w:val="baseline"/>
                <w:lang w:val="en-US" w:eastAsia="zh-CN"/>
                <w14:textFill>
                  <w14:solidFill>
                    <w14:schemeClr w14:val="tx1"/>
                  </w14:solidFill>
                </w14:textFill>
              </w:rPr>
              <w:t>规划及</w:t>
            </w:r>
            <w:r>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t>政策的相符性分析</w:t>
            </w:r>
          </w:p>
          <w:p w14:paraId="3AE2D8FF">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eastAsia" w:eastAsia="黑体" w:cs="Times New Roman"/>
                <w:b w:val="0"/>
                <w:bCs w:val="0"/>
                <w:color w:val="000000" w:themeColor="text1"/>
                <w:u w:val="single"/>
                <w:vertAlign w:val="baseline"/>
                <w:lang w:val="en-US" w:eastAsia="zh-CN"/>
                <w14:textFill>
                  <w14:solidFill>
                    <w14:schemeClr w14:val="tx1"/>
                  </w14:solidFill>
                </w14:textFill>
              </w:rPr>
              <w:t>6.1</w:t>
            </w:r>
            <w:r>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t>《湖南省长江经济带发展负面清单实施细则（试行，2022年版）</w:t>
            </w:r>
            <w:r>
              <w:rPr>
                <w:rFonts w:hint="eastAsia" w:eastAsia="黑体" w:cs="Times New Roman"/>
                <w:b w:val="0"/>
                <w:bCs w:val="0"/>
                <w:color w:val="000000" w:themeColor="text1"/>
                <w:u w:val="single"/>
                <w:vertAlign w:val="baseline"/>
                <w:lang w:val="en-US" w:eastAsia="zh-CN"/>
                <w14:textFill>
                  <w14:solidFill>
                    <w14:schemeClr w14:val="tx1"/>
                  </w14:solidFill>
                </w14:textFill>
              </w:rPr>
              <w:t>》</w:t>
            </w:r>
          </w:p>
          <w:p w14:paraId="2CC563F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本项目与《</w:t>
            </w:r>
            <w:r>
              <w:rPr>
                <w:rFonts w:hint="eastAsia"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湖南省长江经济带发展负面清单实施细则</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试行，2022年版</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）》相符性分析详见下表1-</w:t>
            </w:r>
            <w:r>
              <w:rPr>
                <w:rFonts w:hint="eastAsia"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p>
          <w:p w14:paraId="5D0F78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表1-4 与《湖南省长江经济带发展负面清单实施细则（试行，2022年版）》（节选）符合性分析</w:t>
            </w:r>
          </w:p>
          <w:tbl>
            <w:tblPr>
              <w:tblStyle w:val="8"/>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199"/>
              <w:gridCol w:w="2382"/>
              <w:gridCol w:w="947"/>
            </w:tblGrid>
            <w:tr w14:paraId="219E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1" w:type="dxa"/>
                  <w:noWrap w:val="0"/>
                  <w:vAlign w:val="center"/>
                </w:tcPr>
                <w:p w14:paraId="5D3A53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序号</w:t>
                  </w:r>
                </w:p>
              </w:tc>
              <w:tc>
                <w:tcPr>
                  <w:tcW w:w="4199" w:type="dxa"/>
                  <w:noWrap w:val="0"/>
                  <w:vAlign w:val="center"/>
                </w:tcPr>
                <w:p w14:paraId="0B9D12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负面清单实施细则（节选）</w:t>
                  </w:r>
                </w:p>
              </w:tc>
              <w:tc>
                <w:tcPr>
                  <w:tcW w:w="2382" w:type="dxa"/>
                  <w:noWrap w:val="0"/>
                  <w:vAlign w:val="center"/>
                </w:tcPr>
                <w:p w14:paraId="4B9C03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本项目情况</w:t>
                  </w:r>
                </w:p>
              </w:tc>
              <w:tc>
                <w:tcPr>
                  <w:tcW w:w="947" w:type="dxa"/>
                  <w:noWrap w:val="0"/>
                  <w:vAlign w:val="center"/>
                </w:tcPr>
                <w:p w14:paraId="479499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符合性</w:t>
                  </w:r>
                </w:p>
              </w:tc>
            </w:tr>
            <w:tr w14:paraId="6F49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1" w:type="dxa"/>
                  <w:noWrap w:val="0"/>
                  <w:vAlign w:val="center"/>
                </w:tcPr>
                <w:p w14:paraId="756E8E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1</w:t>
                  </w:r>
                </w:p>
              </w:tc>
              <w:tc>
                <w:tcPr>
                  <w:tcW w:w="4199" w:type="dxa"/>
                  <w:noWrap w:val="0"/>
                  <w:vAlign w:val="center"/>
                </w:tcPr>
                <w:p w14:paraId="34137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禁止建设不符合全国和省级港口布局规划以及港口总体规划的码头项目</w:t>
                  </w:r>
                </w:p>
              </w:tc>
              <w:tc>
                <w:tcPr>
                  <w:tcW w:w="2382" w:type="dxa"/>
                  <w:noWrap w:val="0"/>
                  <w:vAlign w:val="center"/>
                </w:tcPr>
                <w:p w14:paraId="14031396">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本项目不属于码头项目</w:t>
                  </w:r>
                </w:p>
              </w:tc>
              <w:tc>
                <w:tcPr>
                  <w:tcW w:w="947" w:type="dxa"/>
                  <w:noWrap w:val="0"/>
                  <w:vAlign w:val="center"/>
                </w:tcPr>
                <w:p w14:paraId="1B9B7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16CF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671" w:type="dxa"/>
                  <w:noWrap w:val="0"/>
                  <w:vAlign w:val="center"/>
                </w:tcPr>
                <w:p w14:paraId="1CA60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2</w:t>
                  </w:r>
                </w:p>
              </w:tc>
              <w:tc>
                <w:tcPr>
                  <w:tcW w:w="4199" w:type="dxa"/>
                  <w:noWrap w:val="0"/>
                  <w:vAlign w:val="center"/>
                </w:tcPr>
                <w:p w14:paraId="18B3AE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禁止在自然保护区核心区、缓冲区的岸线和河段范围内投资建设旅游和生产经营项目</w:t>
                  </w:r>
                </w:p>
              </w:tc>
              <w:tc>
                <w:tcPr>
                  <w:tcW w:w="2382" w:type="dxa"/>
                  <w:noWrap w:val="0"/>
                  <w:vAlign w:val="center"/>
                </w:tcPr>
                <w:p w14:paraId="53394FF0">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本项目</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的建设地点</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不</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涉及自然保护区、缓冲区的岸线和河段范围</w:t>
                  </w:r>
                </w:p>
              </w:tc>
              <w:tc>
                <w:tcPr>
                  <w:tcW w:w="947" w:type="dxa"/>
                  <w:noWrap w:val="0"/>
                  <w:vAlign w:val="center"/>
                </w:tcPr>
                <w:p w14:paraId="127483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3228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671" w:type="dxa"/>
                  <w:noWrap w:val="0"/>
                  <w:vAlign w:val="center"/>
                </w:tcPr>
                <w:p w14:paraId="78BC1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3</w:t>
                  </w:r>
                </w:p>
              </w:tc>
              <w:tc>
                <w:tcPr>
                  <w:tcW w:w="4199" w:type="dxa"/>
                  <w:noWrap w:val="0"/>
                  <w:vAlign w:val="center"/>
                </w:tcPr>
                <w:p w14:paraId="3C894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2382" w:type="dxa"/>
                  <w:noWrap w:val="0"/>
                  <w:vAlign w:val="center"/>
                </w:tcPr>
                <w:p w14:paraId="72CB4FB0">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本项目的建设地点不涉及风景名胜区</w:t>
                  </w:r>
                </w:p>
              </w:tc>
              <w:tc>
                <w:tcPr>
                  <w:tcW w:w="947" w:type="dxa"/>
                  <w:noWrap w:val="0"/>
                  <w:vAlign w:val="center"/>
                </w:tcPr>
                <w:p w14:paraId="3C4B21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p>
                <w:p w14:paraId="2B5C5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p>
                <w:p w14:paraId="4C6E5A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3A0A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4F2F8D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4</w:t>
                  </w:r>
                </w:p>
              </w:tc>
              <w:tc>
                <w:tcPr>
                  <w:tcW w:w="4199" w:type="dxa"/>
                  <w:noWrap w:val="0"/>
                  <w:vAlign w:val="center"/>
                </w:tcPr>
                <w:p w14:paraId="65C77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他废弃物；禁止设置油库；禁止使用含磷洗涤用品；饮用水水源二级保护区内禁止新建、改建、向水体排放污染物的投资建设项目。原有排污口依法拆除或关闭。禁止设立装卸垃圾、粪便、油类和有毒物品的码头。</w:t>
                  </w:r>
                </w:p>
              </w:tc>
              <w:tc>
                <w:tcPr>
                  <w:tcW w:w="2382" w:type="dxa"/>
                  <w:noWrap w:val="0"/>
                  <w:vAlign w:val="center"/>
                </w:tcPr>
                <w:p w14:paraId="321BE7D4">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本项目建设地点不涉及</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饮用水水源保护区</w:t>
                  </w:r>
                </w:p>
                <w:p w14:paraId="191400E8">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947" w:type="dxa"/>
                  <w:noWrap w:val="0"/>
                  <w:vAlign w:val="center"/>
                </w:tcPr>
                <w:p w14:paraId="6BBE7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p>
                <w:p w14:paraId="058561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4191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5296EA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5</w:t>
                  </w:r>
                </w:p>
              </w:tc>
              <w:tc>
                <w:tcPr>
                  <w:tcW w:w="4199" w:type="dxa"/>
                  <w:noWrap w:val="0"/>
                  <w:vAlign w:val="center"/>
                </w:tcPr>
                <w:p w14:paraId="0E1549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禁止在水产种质资源保护区的岸线和河段范围内新建排污口、实施非法围垦河道和围湖造田造地等投资建设项目。</w:t>
                  </w:r>
                </w:p>
              </w:tc>
              <w:tc>
                <w:tcPr>
                  <w:tcW w:w="2382" w:type="dxa"/>
                  <w:noWrap w:val="0"/>
                  <w:vAlign w:val="center"/>
                </w:tcPr>
                <w:p w14:paraId="1D348471">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本项目建设不涉及</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水产种质资源保护区</w:t>
                  </w:r>
                </w:p>
              </w:tc>
              <w:tc>
                <w:tcPr>
                  <w:tcW w:w="947" w:type="dxa"/>
                  <w:noWrap w:val="0"/>
                  <w:vAlign w:val="center"/>
                </w:tcPr>
                <w:p w14:paraId="33B799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6590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02C43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6</w:t>
                  </w:r>
                </w:p>
              </w:tc>
              <w:tc>
                <w:tcPr>
                  <w:tcW w:w="4199" w:type="dxa"/>
                  <w:noWrap w:val="0"/>
                  <w:vAlign w:val="center"/>
                </w:tcPr>
                <w:p w14:paraId="48542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 以外的项目；禁止填湖造地、围湖造田及非法围垦河道，禁止非法建设矮围网围、填埋湿地等侵占河湖水域或者违法利用、占用河湖岸线的行为。</w:t>
                  </w:r>
                </w:p>
              </w:tc>
              <w:tc>
                <w:tcPr>
                  <w:tcW w:w="2382" w:type="dxa"/>
                  <w:noWrap w:val="0"/>
                  <w:vAlign w:val="center"/>
                </w:tcPr>
                <w:p w14:paraId="6FD8D852">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本项目建设</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未利用、占用长江流域河湖岸线</w:t>
                  </w:r>
                </w:p>
              </w:tc>
              <w:tc>
                <w:tcPr>
                  <w:tcW w:w="947" w:type="dxa"/>
                  <w:noWrap w:val="0"/>
                  <w:vAlign w:val="center"/>
                </w:tcPr>
                <w:p w14:paraId="325D6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0FD3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2BF593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7</w:t>
                  </w:r>
                </w:p>
              </w:tc>
              <w:tc>
                <w:tcPr>
                  <w:tcW w:w="4199" w:type="dxa"/>
                  <w:noWrap w:val="0"/>
                  <w:vAlign w:val="center"/>
                </w:tcPr>
                <w:p w14:paraId="6FCE76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禁止未经许可在长江干支流及湖泊新设、改设或扩大排污口。</w:t>
                  </w:r>
                </w:p>
              </w:tc>
              <w:tc>
                <w:tcPr>
                  <w:tcW w:w="2382" w:type="dxa"/>
                  <w:noWrap w:val="0"/>
                  <w:vAlign w:val="center"/>
                </w:tcPr>
                <w:p w14:paraId="4CC8FD33">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本项目建设不涉及入河排污口</w:t>
                  </w:r>
                </w:p>
              </w:tc>
              <w:tc>
                <w:tcPr>
                  <w:tcW w:w="947" w:type="dxa"/>
                  <w:noWrap w:val="0"/>
                  <w:vAlign w:val="center"/>
                </w:tcPr>
                <w:p w14:paraId="7BD7F3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1813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2DBAD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8</w:t>
                  </w:r>
                </w:p>
              </w:tc>
              <w:tc>
                <w:tcPr>
                  <w:tcW w:w="4199" w:type="dxa"/>
                  <w:noWrap w:val="0"/>
                  <w:vAlign w:val="center"/>
                </w:tcPr>
                <w:p w14:paraId="59765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禁止在洞庭湖、湘江、资江、沅江、澧水干流和45个水生生物保护区开展生产性捕捞。</w:t>
                  </w:r>
                </w:p>
              </w:tc>
              <w:tc>
                <w:tcPr>
                  <w:tcW w:w="2382" w:type="dxa"/>
                  <w:noWrap w:val="0"/>
                  <w:vAlign w:val="center"/>
                </w:tcPr>
                <w:p w14:paraId="24C7786F">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本项目建设不涉及生产性捕捞</w:t>
                  </w:r>
                </w:p>
              </w:tc>
              <w:tc>
                <w:tcPr>
                  <w:tcW w:w="947" w:type="dxa"/>
                  <w:noWrap w:val="0"/>
                  <w:vAlign w:val="center"/>
                </w:tcPr>
                <w:p w14:paraId="5472B1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09FC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3CBAD6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9</w:t>
                  </w:r>
                </w:p>
              </w:tc>
              <w:tc>
                <w:tcPr>
                  <w:tcW w:w="4199" w:type="dxa"/>
                  <w:noWrap w:val="0"/>
                  <w:vAlign w:val="center"/>
                </w:tcPr>
                <w:p w14:paraId="3F379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2382" w:type="dxa"/>
                  <w:noWrap w:val="0"/>
                  <w:vAlign w:val="center"/>
                </w:tcPr>
                <w:p w14:paraId="3BBFD5AB">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本项目不属于</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禁止新建项目</w:t>
                  </w:r>
                </w:p>
              </w:tc>
              <w:tc>
                <w:tcPr>
                  <w:tcW w:w="947" w:type="dxa"/>
                  <w:noWrap w:val="0"/>
                  <w:vAlign w:val="center"/>
                </w:tcPr>
                <w:p w14:paraId="4ED286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1664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175118F0">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10</w:t>
                  </w:r>
                </w:p>
              </w:tc>
              <w:tc>
                <w:tcPr>
                  <w:tcW w:w="4199" w:type="dxa"/>
                  <w:noWrap w:val="0"/>
                  <w:vAlign w:val="center"/>
                </w:tcPr>
                <w:p w14:paraId="78C2CC5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禁止在合规园区外新建、扩建钢铁、石化、化工、焦化、建材、有色、制浆造纸等高污染项目。高污染项目严格按照生态环境部《环境保护综合名录</w:t>
                  </w:r>
                  <w:r>
                    <w:rPr>
                      <w:rFonts w:hint="default" w:ascii="Times New Roman" w:hAnsi="Times New Roman" w:eastAsia="黑体" w:cs="Times New Roman"/>
                      <w:b w:val="0"/>
                      <w:bCs w:val="0"/>
                      <w:color w:val="000000" w:themeColor="text1"/>
                      <w:sz w:val="21"/>
                      <w:szCs w:val="21"/>
                      <w:u w:val="single"/>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2021年版</w:t>
                  </w:r>
                  <w:r>
                    <w:rPr>
                      <w:rFonts w:hint="default" w:ascii="Times New Roman" w:hAnsi="Times New Roman" w:eastAsia="黑体" w:cs="Times New Roman"/>
                      <w:b w:val="0"/>
                      <w:bCs w:val="0"/>
                      <w:color w:val="000000" w:themeColor="text1"/>
                      <w:sz w:val="21"/>
                      <w:szCs w:val="21"/>
                      <w:u w:val="single"/>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》有关要求执行。</w:t>
                  </w:r>
                </w:p>
              </w:tc>
              <w:tc>
                <w:tcPr>
                  <w:tcW w:w="2382" w:type="dxa"/>
                  <w:noWrap w:val="0"/>
                  <w:vAlign w:val="center"/>
                </w:tcPr>
                <w:p w14:paraId="5AD70B11">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本项目</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不属于钢铁、石化、化工、焦化、建材、有色、制浆造纸等高污染项目</w:t>
                  </w:r>
                </w:p>
              </w:tc>
              <w:tc>
                <w:tcPr>
                  <w:tcW w:w="947" w:type="dxa"/>
                  <w:noWrap w:val="0"/>
                  <w:vAlign w:val="center"/>
                </w:tcPr>
                <w:p w14:paraId="36D28484">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p>
                <w:p w14:paraId="37B36ADB">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5C63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0BD150B8">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11</w:t>
                  </w:r>
                </w:p>
              </w:tc>
              <w:tc>
                <w:tcPr>
                  <w:tcW w:w="4199" w:type="dxa"/>
                  <w:noWrap w:val="0"/>
                  <w:vAlign w:val="center"/>
                </w:tcPr>
                <w:p w14:paraId="5261A34E">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禁止新建、扩建不符合国家石化、现代煤化工等产业布局规划的项目。未通过认定的化工园区，不得新建、改扩建化工项目</w:t>
                  </w:r>
                  <w:r>
                    <w:rPr>
                      <w:rFonts w:hint="default" w:ascii="Times New Roman" w:hAnsi="Times New Roman" w:eastAsia="黑体" w:cs="Times New Roman"/>
                      <w:b w:val="0"/>
                      <w:bCs w:val="0"/>
                      <w:color w:val="000000" w:themeColor="text1"/>
                      <w:sz w:val="21"/>
                      <w:szCs w:val="21"/>
                      <w:u w:val="single"/>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安全、环保、节能和智能化改造项目除外</w:t>
                  </w:r>
                  <w:r>
                    <w:rPr>
                      <w:rFonts w:hint="default" w:ascii="Times New Roman" w:hAnsi="Times New Roman" w:eastAsia="黑体" w:cs="Times New Roman"/>
                      <w:b w:val="0"/>
                      <w:bCs w:val="0"/>
                      <w:color w:val="000000" w:themeColor="text1"/>
                      <w:sz w:val="21"/>
                      <w:szCs w:val="21"/>
                      <w:u w:val="single"/>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w:t>
                  </w:r>
                </w:p>
              </w:tc>
              <w:tc>
                <w:tcPr>
                  <w:tcW w:w="2382" w:type="dxa"/>
                  <w:noWrap w:val="0"/>
                  <w:vAlign w:val="center"/>
                </w:tcPr>
                <w:p w14:paraId="166BB972">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本项目不属于燃煤、燃油发电项目</w:t>
                  </w:r>
                </w:p>
              </w:tc>
              <w:tc>
                <w:tcPr>
                  <w:tcW w:w="947" w:type="dxa"/>
                  <w:noWrap w:val="0"/>
                  <w:vAlign w:val="center"/>
                </w:tcPr>
                <w:p w14:paraId="48C92CD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36DE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1F4AFA98">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12</w:t>
                  </w:r>
                </w:p>
              </w:tc>
              <w:tc>
                <w:tcPr>
                  <w:tcW w:w="4199" w:type="dxa"/>
                  <w:noWrap w:val="0"/>
                  <w:vAlign w:val="center"/>
                </w:tcPr>
                <w:p w14:paraId="7D51BBC0">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禁止新建、扩建法律法规和相关政策明令禁止的落后产能项目；对不符合要求的落后产能存量项目依法依规退出。禁止新建、扩建不符合国家产能置换要求的严重过剩产能行业</w:t>
                  </w:r>
                  <w:r>
                    <w:rPr>
                      <w:rFonts w:hint="default" w:ascii="Times New Roman" w:hAnsi="Times New Roman" w:eastAsia="黑体" w:cs="Times New Roman"/>
                      <w:b w:val="0"/>
                      <w:bCs w:val="0"/>
                      <w:color w:val="000000" w:themeColor="text1"/>
                      <w:sz w:val="21"/>
                      <w:szCs w:val="21"/>
                      <w:u w:val="single"/>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钢铁、水泥、电解铝、平板玻璃、船舶等行业</w:t>
                  </w:r>
                  <w:r>
                    <w:rPr>
                      <w:rFonts w:hint="default" w:ascii="Times New Roman" w:hAnsi="Times New Roman" w:eastAsia="黑体" w:cs="Times New Roman"/>
                      <w:b w:val="0"/>
                      <w:bCs w:val="0"/>
                      <w:color w:val="000000" w:themeColor="text1"/>
                      <w:sz w:val="21"/>
                      <w:szCs w:val="21"/>
                      <w:u w:val="single"/>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的项目。对确有必要新建、扩建的，必须严格执行产能置换实施办法，实施减量或等量置换，依法依规办理有关手续。禁止新建、扩建不符合要求的高耗能高排放项目。</w:t>
                  </w:r>
                </w:p>
              </w:tc>
              <w:tc>
                <w:tcPr>
                  <w:tcW w:w="2382" w:type="dxa"/>
                  <w:noWrap w:val="0"/>
                  <w:vAlign w:val="center"/>
                </w:tcPr>
                <w:p w14:paraId="5E9A1E51">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本项目不属于禁止</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新建、扩建类</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项目</w:t>
                  </w:r>
                </w:p>
              </w:tc>
              <w:tc>
                <w:tcPr>
                  <w:tcW w:w="947" w:type="dxa"/>
                  <w:noWrap w:val="0"/>
                  <w:vAlign w:val="center"/>
                </w:tcPr>
                <w:p w14:paraId="7DAC18FF">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bl>
          <w:p w14:paraId="4981ACF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综上所述，本项目符合湖南省长江经济带发展负面清单实施细则</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中相关</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要求。</w:t>
            </w:r>
          </w:p>
          <w:p w14:paraId="44D5284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pPr>
            <w:r>
              <w:rPr>
                <w:rFonts w:hint="eastAsia" w:eastAsia="黑体" w:cs="Times New Roman"/>
                <w:b w:val="0"/>
                <w:bCs w:val="0"/>
                <w:color w:val="000000" w:themeColor="text1"/>
                <w:vertAlign w:val="baseline"/>
                <w:lang w:val="en-US" w:eastAsia="zh-CN"/>
                <w14:textFill>
                  <w14:solidFill>
                    <w14:schemeClr w14:val="tx1"/>
                  </w14:solidFill>
                </w14:textFill>
              </w:rPr>
              <w:t>6.2《湖南省空气质量持续改善行动计划实施方案》（湘政办发〔2024〕33号）</w:t>
            </w:r>
          </w:p>
          <w:p w14:paraId="55976F54">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本项目与《湖南省空气质量持续改善行动计划实施方案》</w:t>
            </w:r>
            <w:r>
              <w:rPr>
                <w:rFonts w:hint="eastAsia" w:cs="Times New Roman"/>
                <w:b w:val="0"/>
                <w:bCs w:val="0"/>
                <w:color w:val="000000" w:themeColor="text1"/>
                <w:u w:val="single"/>
                <w:vertAlign w:val="baseline"/>
                <w:lang w:val="en-US" w:eastAsia="zh-CN"/>
                <w14:textFill>
                  <w14:solidFill>
                    <w14:schemeClr w14:val="tx1"/>
                  </w14:solidFill>
                </w14:textFill>
              </w:rPr>
              <w:t>（湘政办发〔2024〕33号）</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相符性分析详见下表1-</w:t>
            </w:r>
            <w:r>
              <w:rPr>
                <w:rFonts w:hint="eastAsia" w:cs="Times New Roman"/>
                <w:b w:val="0"/>
                <w:bCs w:val="0"/>
                <w:color w:val="000000" w:themeColor="text1"/>
                <w:u w:val="single"/>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p>
          <w:p w14:paraId="7BC906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w:t>
            </w:r>
            <w:r>
              <w:rPr>
                <w:rFonts w:hint="eastAsia" w:eastAsia="黑体" w:cs="Times New Roman"/>
                <w:b w:val="0"/>
                <w:bCs w:val="0"/>
                <w:color w:val="000000" w:themeColor="text1"/>
                <w:sz w:val="21"/>
                <w:szCs w:val="21"/>
                <w:u w:val="single"/>
                <w:vertAlign w:val="baseline"/>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 xml:space="preserve"> 与《湖南省空气质量持续改善行动计划实施方案》</w:t>
            </w:r>
            <w:r>
              <w:rPr>
                <w:rFonts w:hint="eastAsia" w:eastAsia="黑体" w:cs="Times New Roman"/>
                <w:b w:val="0"/>
                <w:bCs w:val="0"/>
                <w:color w:val="000000" w:themeColor="text1"/>
                <w:sz w:val="21"/>
                <w:szCs w:val="21"/>
                <w:u w:val="single"/>
                <w:vertAlign w:val="baseline"/>
                <w:lang w:val="en-US" w:eastAsia="zh-CN"/>
                <w14:textFill>
                  <w14:solidFill>
                    <w14:schemeClr w14:val="tx1"/>
                  </w14:solidFill>
                </w14:textFill>
              </w:rPr>
              <w:t>（湘政办发〔2024〕33号）（节选）</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符合性分析</w:t>
            </w:r>
          </w:p>
          <w:tbl>
            <w:tblPr>
              <w:tblStyle w:val="8"/>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529"/>
              <w:gridCol w:w="2052"/>
              <w:gridCol w:w="947"/>
            </w:tblGrid>
            <w:tr w14:paraId="23B3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71" w:type="dxa"/>
                  <w:noWrap w:val="0"/>
                  <w:vAlign w:val="center"/>
                </w:tcPr>
                <w:p w14:paraId="54B79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序号</w:t>
                  </w:r>
                </w:p>
              </w:tc>
              <w:tc>
                <w:tcPr>
                  <w:tcW w:w="4529" w:type="dxa"/>
                  <w:noWrap w:val="0"/>
                  <w:vAlign w:val="center"/>
                </w:tcPr>
                <w:p w14:paraId="61C286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实施方案（节选）</w:t>
                  </w:r>
                </w:p>
              </w:tc>
              <w:tc>
                <w:tcPr>
                  <w:tcW w:w="2052" w:type="dxa"/>
                  <w:noWrap w:val="0"/>
                  <w:vAlign w:val="center"/>
                </w:tcPr>
                <w:p w14:paraId="33EBB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本项目情况</w:t>
                  </w:r>
                </w:p>
              </w:tc>
              <w:tc>
                <w:tcPr>
                  <w:tcW w:w="947" w:type="dxa"/>
                  <w:noWrap w:val="0"/>
                  <w:vAlign w:val="center"/>
                </w:tcPr>
                <w:p w14:paraId="6F69FB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符合性</w:t>
                  </w:r>
                </w:p>
              </w:tc>
            </w:tr>
            <w:tr w14:paraId="1C35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199" w:type="dxa"/>
                  <w:gridSpan w:val="4"/>
                  <w:noWrap w:val="0"/>
                  <w:vAlign w:val="center"/>
                </w:tcPr>
                <w:p w14:paraId="3C44013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二、推进产业结构优化升级</w:t>
                  </w:r>
                </w:p>
              </w:tc>
            </w:tr>
            <w:tr w14:paraId="031C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671" w:type="dxa"/>
                  <w:noWrap w:val="0"/>
                  <w:vAlign w:val="center"/>
                </w:tcPr>
                <w:p w14:paraId="3ADF4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1</w:t>
                  </w:r>
                </w:p>
              </w:tc>
              <w:tc>
                <w:tcPr>
                  <w:tcW w:w="4529" w:type="dxa"/>
                  <w:noWrap w:val="0"/>
                  <w:vAlign w:val="center"/>
                </w:tcPr>
                <w:p w14:paraId="75114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一）加强“两高”项目管理。新改扩建项目严格落实国家和省级产业规划、产业政策、生态环境分区管控方案、规划环评、项目环评、节能审查、产能置换、重点污染物总量控制、污染物排放区域削减、碳排放达峰目标等相关要求，原则上达到国内清洁生产先进水平、采用清洁运输方式，主要产品能效达到标杆水平。涉及产能置换、能耗替代、煤耗替代和污染物总量控制的项目，被置换产能及其配套设施关停，能耗、煤耗、新增污染物总量削减替代措施落实后，新建项目方可投产。严禁新增钢铁产能，建立多元化废钢资源保障体系，持续提升钢铁工业的废钢使用量。</w:t>
                  </w:r>
                </w:p>
              </w:tc>
              <w:tc>
                <w:tcPr>
                  <w:tcW w:w="2052" w:type="dxa"/>
                  <w:noWrap w:val="0"/>
                  <w:vAlign w:val="center"/>
                </w:tcPr>
                <w:p w14:paraId="5E50EE0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本项目不属于“两高”项目；本项目已严格落实相关要求。</w:t>
                  </w:r>
                </w:p>
              </w:tc>
              <w:tc>
                <w:tcPr>
                  <w:tcW w:w="947" w:type="dxa"/>
                  <w:noWrap w:val="0"/>
                  <w:vAlign w:val="center"/>
                </w:tcPr>
                <w:p w14:paraId="153724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2F58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noWrap w:val="0"/>
                  <w:vAlign w:val="center"/>
                </w:tcPr>
                <w:p w14:paraId="723420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2</w:t>
                  </w:r>
                </w:p>
              </w:tc>
              <w:tc>
                <w:tcPr>
                  <w:tcW w:w="4529" w:type="dxa"/>
                  <w:noWrap w:val="0"/>
                  <w:vAlign w:val="center"/>
                </w:tcPr>
                <w:p w14:paraId="3094492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二）加快退出重点行业落后产能。严格执行《产业结构调整指导目录》，制定实施利用能耗、环保、质量、安全、技术等标准推动落后产能退出年度工作方案，加大重点行业落后产能淘汰力度，推动大规模设备更新，开展小型生物质锅炉清理整合。</w:t>
                  </w:r>
                </w:p>
              </w:tc>
              <w:tc>
                <w:tcPr>
                  <w:tcW w:w="2052" w:type="dxa"/>
                  <w:noWrap w:val="0"/>
                  <w:vAlign w:val="center"/>
                </w:tcPr>
                <w:p w14:paraId="61A93A6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本项目不属于《产业结构调整指导目录》中的“鼓励类”、“淘汰类”与“限制类”范畴，本项目为允许类项目。</w:t>
                  </w:r>
                </w:p>
              </w:tc>
              <w:tc>
                <w:tcPr>
                  <w:tcW w:w="947" w:type="dxa"/>
                  <w:noWrap w:val="0"/>
                  <w:vAlign w:val="center"/>
                </w:tcPr>
                <w:p w14:paraId="474B3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79AD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noWrap w:val="0"/>
                  <w:vAlign w:val="center"/>
                </w:tcPr>
                <w:p w14:paraId="56C6E6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3</w:t>
                  </w:r>
                </w:p>
              </w:tc>
              <w:tc>
                <w:tcPr>
                  <w:tcW w:w="4529" w:type="dxa"/>
                  <w:noWrap w:val="0"/>
                  <w:vAlign w:val="center"/>
                </w:tcPr>
                <w:p w14:paraId="63CF7C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四）推动低VOCs含量原辅材料和产品源头替代。严格执行VOCs含量限值标准，严格控制生产和使用高VOCs含量原辅材料建设项目。以工业涂装、包装印刷、家具制造和电子行业等为重点，指导企业制定低（无）VOCs含量原辅材料替代计划，大力推动“应替尽替”。室外构筑物防护和城市道路交通标志推广使用低（无）VOCs含量涂料。</w:t>
                  </w:r>
                </w:p>
              </w:tc>
              <w:tc>
                <w:tcPr>
                  <w:tcW w:w="2052" w:type="dxa"/>
                  <w:noWrap w:val="0"/>
                  <w:vAlign w:val="center"/>
                </w:tcPr>
                <w:p w14:paraId="2F2244BF">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本项目所使用原辅材料为低VOCs含量原辅材料。</w:t>
                  </w:r>
                </w:p>
              </w:tc>
              <w:tc>
                <w:tcPr>
                  <w:tcW w:w="947" w:type="dxa"/>
                  <w:noWrap w:val="0"/>
                  <w:vAlign w:val="center"/>
                </w:tcPr>
                <w:p w14:paraId="72674F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312B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9" w:type="dxa"/>
                  <w:gridSpan w:val="4"/>
                  <w:noWrap w:val="0"/>
                  <w:vAlign w:val="center"/>
                </w:tcPr>
                <w:p w14:paraId="5740914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六、推动重点领域和行业多污染物减排</w:t>
                  </w:r>
                </w:p>
              </w:tc>
            </w:tr>
            <w:tr w14:paraId="2CFE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688967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4</w:t>
                  </w:r>
                </w:p>
              </w:tc>
              <w:tc>
                <w:tcPr>
                  <w:tcW w:w="4529" w:type="dxa"/>
                  <w:noWrap w:val="0"/>
                  <w:vAlign w:val="center"/>
                </w:tcPr>
                <w:p w14:paraId="0376DA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十六）深化VOCs全流程综合治理。全面开展VOCs收集治理设施排查整治，加快淘汰不合规定、低效失效、无法稳定达标的治理设施。落实非正常工况作业产生的VOCs废气、污水处理场所高浓度有机废气、含VOCs有机废水储罐和装置区集水井（池）有机废气收集处理要求。</w:t>
                  </w:r>
                </w:p>
              </w:tc>
              <w:tc>
                <w:tcPr>
                  <w:tcW w:w="2052" w:type="dxa"/>
                  <w:noWrap w:val="0"/>
                  <w:vAlign w:val="center"/>
                </w:tcPr>
                <w:p w14:paraId="32177E1C">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本项目产生的二甲苯、非甲烷总烃废气经收集后由“二级活性炭吸附装置”处理后，通过15m排气筒达标外排。</w:t>
                  </w:r>
                </w:p>
              </w:tc>
              <w:tc>
                <w:tcPr>
                  <w:tcW w:w="947" w:type="dxa"/>
                  <w:noWrap w:val="0"/>
                  <w:vAlign w:val="center"/>
                </w:tcPr>
                <w:p w14:paraId="43F51F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bl>
          <w:p w14:paraId="6F6D9B3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综上所述，本项目符合</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湖南省空气质量持续改善行动计划实施方案中相关</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要求。</w:t>
            </w:r>
          </w:p>
          <w:p w14:paraId="435507A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pPr>
            <w:r>
              <w:rPr>
                <w:rFonts w:hint="eastAsia" w:eastAsia="黑体" w:cs="Times New Roman"/>
                <w:b w:val="0"/>
                <w:bCs w:val="0"/>
                <w:color w:val="000000" w:themeColor="text1"/>
                <w:vertAlign w:val="baseline"/>
                <w:lang w:val="en-US" w:eastAsia="zh-CN"/>
                <w14:textFill>
                  <w14:solidFill>
                    <w14:schemeClr w14:val="tx1"/>
                  </w14:solidFill>
                </w14:textFill>
              </w:rPr>
              <w:t>6.3《挥发性有机物</w:t>
            </w:r>
            <w:r>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t>（VOCs）污染防治技术政策》（环保部公告2013年第31号）</w:t>
            </w:r>
          </w:p>
          <w:p w14:paraId="4D4F22FD">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本项目与《挥发性有机物（VOCs）污染防治技术政策》</w:t>
            </w:r>
            <w:r>
              <w:rPr>
                <w:rFonts w:hint="eastAsia" w:cs="Times New Roman"/>
                <w:b w:val="0"/>
                <w:bCs w:val="0"/>
                <w:color w:val="000000" w:themeColor="text1"/>
                <w:u w:val="single"/>
                <w:vertAlign w:val="baseline"/>
                <w:lang w:val="en-US" w:eastAsia="zh-CN"/>
                <w14:textFill>
                  <w14:solidFill>
                    <w14:schemeClr w14:val="tx1"/>
                  </w14:solidFill>
                </w14:textFill>
              </w:rPr>
              <w:t>（环保部公告2013年第31号）</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相符性分析详见下表1-</w:t>
            </w:r>
            <w:r>
              <w:rPr>
                <w:rFonts w:hint="eastAsia" w:cs="Times New Roman"/>
                <w:b w:val="0"/>
                <w:bCs w:val="0"/>
                <w:color w:val="000000" w:themeColor="text1"/>
                <w:u w:val="single"/>
                <w:vertAlign w:val="baseli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p>
          <w:p w14:paraId="5DB204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w:t>
            </w:r>
            <w:r>
              <w:rPr>
                <w:rFonts w:hint="eastAsia" w:eastAsia="黑体" w:cs="Times New Roman"/>
                <w:b w:val="0"/>
                <w:bCs w:val="0"/>
                <w:color w:val="000000" w:themeColor="text1"/>
                <w:sz w:val="21"/>
                <w:szCs w:val="21"/>
                <w:u w:val="single"/>
                <w:vertAlign w:val="baseline"/>
                <w:lang w:val="en-US" w:eastAsia="zh-CN"/>
                <w14:textFill>
                  <w14:solidFill>
                    <w14:schemeClr w14:val="tx1"/>
                  </w14:solidFill>
                </w14:textFill>
              </w:rPr>
              <w:t>6</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 xml:space="preserve"> 与《挥发性有机物（VOCs）污染防治技术政策》（环保部公告2013年第31号）</w:t>
            </w:r>
            <w:r>
              <w:rPr>
                <w:rFonts w:hint="eastAsia" w:eastAsia="黑体" w:cs="Times New Roman"/>
                <w:b w:val="0"/>
                <w:bCs w:val="0"/>
                <w:color w:val="000000" w:themeColor="text1"/>
                <w:sz w:val="21"/>
                <w:szCs w:val="21"/>
                <w:u w:val="single"/>
                <w:vertAlign w:val="baseline"/>
                <w:lang w:val="en-US" w:eastAsia="zh-CN"/>
                <w14:textFill>
                  <w14:solidFill>
                    <w14:schemeClr w14:val="tx1"/>
                  </w14:solidFill>
                </w14:textFill>
              </w:rPr>
              <w:t>（节选）</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符合性分析</w:t>
            </w:r>
          </w:p>
          <w:tbl>
            <w:tblPr>
              <w:tblStyle w:val="8"/>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940"/>
              <w:gridCol w:w="3042"/>
              <w:gridCol w:w="941"/>
            </w:tblGrid>
            <w:tr w14:paraId="0ABD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216" w:type="dxa"/>
                  <w:gridSpan w:val="2"/>
                  <w:noWrap w:val="0"/>
                  <w:vAlign w:val="center"/>
                </w:tcPr>
                <w:p w14:paraId="66A38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政策条文（节选）</w:t>
                  </w:r>
                </w:p>
              </w:tc>
              <w:tc>
                <w:tcPr>
                  <w:tcW w:w="3042" w:type="dxa"/>
                  <w:noWrap w:val="0"/>
                  <w:vAlign w:val="center"/>
                </w:tcPr>
                <w:p w14:paraId="763C3E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本项目情况</w:t>
                  </w:r>
                </w:p>
              </w:tc>
              <w:tc>
                <w:tcPr>
                  <w:tcW w:w="941" w:type="dxa"/>
                  <w:noWrap w:val="0"/>
                  <w:vAlign w:val="center"/>
                </w:tcPr>
                <w:p w14:paraId="5643C3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符合性</w:t>
                  </w:r>
                </w:p>
              </w:tc>
            </w:tr>
            <w:tr w14:paraId="5869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76" w:type="dxa"/>
                  <w:vMerge w:val="restart"/>
                  <w:noWrap w:val="0"/>
                  <w:vAlign w:val="center"/>
                </w:tcPr>
                <w:p w14:paraId="692C2F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源头和过程控制</w:t>
                  </w:r>
                </w:p>
              </w:tc>
              <w:tc>
                <w:tcPr>
                  <w:tcW w:w="2940" w:type="dxa"/>
                  <w:noWrap w:val="0"/>
                  <w:vAlign w:val="center"/>
                </w:tcPr>
                <w:p w14:paraId="7AECA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鼓励采用密闭一体化生产技术，并对生产过程中产生的废气分类收集后处理。</w:t>
                  </w:r>
                </w:p>
              </w:tc>
              <w:tc>
                <w:tcPr>
                  <w:tcW w:w="3042" w:type="dxa"/>
                  <w:noWrap w:val="0"/>
                  <w:vAlign w:val="center"/>
                </w:tcPr>
                <w:p w14:paraId="265EFA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本项目上漆工艺在上漆房中进行，上漆房为密闭装置，收集的后的废气经“二级活性炭吸附装置”处理后达标排放。</w:t>
                  </w:r>
                </w:p>
              </w:tc>
              <w:tc>
                <w:tcPr>
                  <w:tcW w:w="941" w:type="dxa"/>
                  <w:noWrap w:val="0"/>
                  <w:vAlign w:val="center"/>
                </w:tcPr>
                <w:p w14:paraId="2D1475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0A76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noWrap w:val="0"/>
                  <w:vAlign w:val="center"/>
                </w:tcPr>
                <w:p w14:paraId="1D41F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2940" w:type="dxa"/>
                  <w:noWrap w:val="0"/>
                  <w:vAlign w:val="center"/>
                </w:tcPr>
                <w:p w14:paraId="099599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鼓励使用通过环境标志产品认证的环保型涂料、油墨、胶粘剂和清洗剂；</w:t>
                  </w:r>
                </w:p>
                <w:p w14:paraId="04DC3E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3042" w:type="dxa"/>
                  <w:noWrap w:val="0"/>
                  <w:vAlign w:val="center"/>
                </w:tcPr>
                <w:p w14:paraId="209A74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本项目采用的原辅材料为低VOCs含量的环保型涂料，上漆采用的涂装工艺为辊涂；本项目上漆工艺在上漆房中进行，上漆房为密闭装置，收集的后的废气经“二级活性炭吸附装置”处理后达标排放。</w:t>
                  </w:r>
                </w:p>
              </w:tc>
              <w:tc>
                <w:tcPr>
                  <w:tcW w:w="941" w:type="dxa"/>
                  <w:noWrap w:val="0"/>
                  <w:vAlign w:val="center"/>
                </w:tcPr>
                <w:p w14:paraId="54F17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项目</w:t>
                  </w:r>
                </w:p>
              </w:tc>
            </w:tr>
            <w:tr w14:paraId="4EEF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noWrap w:val="0"/>
                  <w:vAlign w:val="center"/>
                </w:tcPr>
                <w:p w14:paraId="091026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2940" w:type="dxa"/>
                  <w:noWrap w:val="0"/>
                  <w:vAlign w:val="center"/>
                </w:tcPr>
                <w:p w14:paraId="593C64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含VOCs产品的使用过程中，应采取废气收集措施，提高废气收集效率，减少废气的无组织排放与逸散，并对收集后的废气进行回收或处理后达标排放。</w:t>
                  </w:r>
                </w:p>
              </w:tc>
              <w:tc>
                <w:tcPr>
                  <w:tcW w:w="3042" w:type="dxa"/>
                  <w:noWrap w:val="0"/>
                  <w:vAlign w:val="center"/>
                </w:tcPr>
                <w:p w14:paraId="0E1F3E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本项目上漆工艺在上漆房中进行，上漆房为密闭装置，收集的后的废气经“二级活性炭吸附装置”处理，仅少量无组织废气排放，能够实现达标排放。</w:t>
                  </w:r>
                </w:p>
              </w:tc>
              <w:tc>
                <w:tcPr>
                  <w:tcW w:w="941" w:type="dxa"/>
                  <w:noWrap w:val="0"/>
                  <w:vAlign w:val="center"/>
                </w:tcPr>
                <w:p w14:paraId="64696A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2D9E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noWrap w:val="0"/>
                  <w:vAlign w:val="center"/>
                </w:tcPr>
                <w:p w14:paraId="7F6E8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末端治理和综合利用</w:t>
                  </w:r>
                </w:p>
              </w:tc>
              <w:tc>
                <w:tcPr>
                  <w:tcW w:w="2940" w:type="dxa"/>
                  <w:noWrap w:val="0"/>
                  <w:vAlign w:val="center"/>
                </w:tcPr>
                <w:p w14:paraId="130FF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14:textFill>
                        <w14:solidFill>
                          <w14:schemeClr w14:val="tx1"/>
                        </w14:solidFill>
                      </w14:textFill>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042" w:type="dxa"/>
                  <w:noWrap w:val="0"/>
                  <w:vAlign w:val="center"/>
                </w:tcPr>
                <w:p w14:paraId="2C021E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本项目上漆工艺过程中产生的低浓度有机废气经“二级活性炭吸附装置”处理达标后排放。</w:t>
                  </w:r>
                </w:p>
              </w:tc>
              <w:tc>
                <w:tcPr>
                  <w:tcW w:w="941" w:type="dxa"/>
                  <w:noWrap w:val="0"/>
                  <w:vAlign w:val="center"/>
                </w:tcPr>
                <w:p w14:paraId="17633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2922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0"/>
                  <w:vAlign w:val="center"/>
                </w:tcPr>
                <w:p w14:paraId="4004A0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2940" w:type="dxa"/>
                  <w:noWrap w:val="0"/>
                  <w:vAlign w:val="center"/>
                </w:tcPr>
                <w:p w14:paraId="089492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14:textFill>
                        <w14:solidFill>
                          <w14:schemeClr w14:val="tx1"/>
                        </w14:solidFill>
                      </w14:textFill>
                    </w:rPr>
                    <w:t>对于不能再生的过滤材料、吸附剂及催化剂等净化材料，应按照国家固体废物管理的相关规定处理处置</w:t>
                  </w:r>
                </w:p>
              </w:tc>
              <w:tc>
                <w:tcPr>
                  <w:tcW w:w="3042" w:type="dxa"/>
                  <w:noWrap w:val="0"/>
                  <w:vAlign w:val="center"/>
                </w:tcPr>
                <w:p w14:paraId="33FBC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本项目废气治理设施在废气收集治理过程中会产生废活性炭，废活性炭为危险废物，经收集后暂存于危废暂存间，定期交由有危险废物处理资质的单位进行处理</w:t>
                  </w:r>
                </w:p>
              </w:tc>
              <w:tc>
                <w:tcPr>
                  <w:tcW w:w="941" w:type="dxa"/>
                  <w:noWrap w:val="0"/>
                  <w:vAlign w:val="center"/>
                </w:tcPr>
                <w:p w14:paraId="688DD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2CC4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noWrap w:val="0"/>
                  <w:vAlign w:val="center"/>
                </w:tcPr>
                <w:p w14:paraId="6E338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14:textFill>
                        <w14:solidFill>
                          <w14:schemeClr w14:val="tx1"/>
                        </w14:solidFill>
                      </w14:textFill>
                    </w:rPr>
                    <w:t>运行与监测</w:t>
                  </w:r>
                </w:p>
              </w:tc>
              <w:tc>
                <w:tcPr>
                  <w:tcW w:w="2940" w:type="dxa"/>
                  <w:noWrap w:val="0"/>
                  <w:vAlign w:val="center"/>
                </w:tcPr>
                <w:p w14:paraId="3742A25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14:textFill>
                        <w14:solidFill>
                          <w14:schemeClr w14:val="tx1"/>
                        </w14:solidFill>
                      </w14:textFill>
                    </w:rPr>
                    <w:t>鼓励企业自行开展VOCs监测，并及时主动向当地环保行政主管部门报送监测结果。</w:t>
                  </w:r>
                </w:p>
              </w:tc>
              <w:tc>
                <w:tcPr>
                  <w:tcW w:w="3042" w:type="dxa"/>
                  <w:noWrap w:val="0"/>
                  <w:vAlign w:val="center"/>
                </w:tcPr>
                <w:p w14:paraId="407E4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本项目在投入运营后会每年开展VOCs监测</w:t>
                  </w:r>
                </w:p>
              </w:tc>
              <w:tc>
                <w:tcPr>
                  <w:tcW w:w="941" w:type="dxa"/>
                  <w:noWrap w:val="0"/>
                  <w:vAlign w:val="center"/>
                </w:tcPr>
                <w:p w14:paraId="67AED0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554B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0"/>
                  <w:vAlign w:val="center"/>
                </w:tcPr>
                <w:p w14:paraId="1151B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2940" w:type="dxa"/>
                  <w:noWrap w:val="0"/>
                  <w:vAlign w:val="center"/>
                </w:tcPr>
                <w:p w14:paraId="3F2DBF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14:textFill>
                        <w14:solidFill>
                          <w14:schemeClr w14:val="tx1"/>
                        </w14:solidFill>
                      </w14:textFill>
                    </w:rPr>
                    <w:t>企业应建立健全VOCs治理设施的运行维护规程和台帐等日常管理制度，并根据工艺要求定期对各类设备、电气、自控仪表等进行检修维护，确保设施的稳定运行。</w:t>
                  </w:r>
                </w:p>
              </w:tc>
              <w:tc>
                <w:tcPr>
                  <w:tcW w:w="3042" w:type="dxa"/>
                  <w:noWrap w:val="0"/>
                  <w:vAlign w:val="center"/>
                </w:tcPr>
                <w:p w14:paraId="1E17F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本项目在运营后会对废气污染治理设施定期维修，会建立健全的VOCs治理设施的运行维护规程和台帐等日常管理制度，以确保设施稳定运行。</w:t>
                  </w:r>
                </w:p>
              </w:tc>
              <w:tc>
                <w:tcPr>
                  <w:tcW w:w="941" w:type="dxa"/>
                  <w:noWrap w:val="0"/>
                  <w:vAlign w:val="center"/>
                </w:tcPr>
                <w:p w14:paraId="0083B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bl>
          <w:p w14:paraId="2787896F">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综上所述，本项目符合</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挥发性有机物（VOCs）污染防治技术政策中相关</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要求。</w:t>
            </w:r>
          </w:p>
          <w:p w14:paraId="53265A3D">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pPr>
            <w:r>
              <w:rPr>
                <w:rFonts w:hint="eastAsia" w:eastAsia="黑体" w:cs="Times New Roman"/>
                <w:b w:val="0"/>
                <w:bCs w:val="0"/>
                <w:color w:val="000000" w:themeColor="text1"/>
                <w:vertAlign w:val="baseline"/>
                <w:lang w:val="en-US" w:eastAsia="zh-CN"/>
                <w14:textFill>
                  <w14:solidFill>
                    <w14:schemeClr w14:val="tx1"/>
                  </w14:solidFill>
                </w14:textFill>
              </w:rPr>
              <w:t>6.4《</w:t>
            </w:r>
            <w:r>
              <w:rPr>
                <w:rFonts w:hint="default" w:ascii="Times New Roman" w:hAnsi="Times New Roman" w:eastAsia="黑体" w:cs="Times New Roman"/>
                <w:b w:val="0"/>
                <w:bCs w:val="0"/>
                <w:color w:val="000000" w:themeColor="text1"/>
                <w:vertAlign w:val="baseline"/>
                <w:lang w:val="en-US" w:eastAsia="zh-CN"/>
                <w14:textFill>
                  <w14:solidFill>
                    <w14:schemeClr w14:val="tx1"/>
                  </w14:solidFill>
                </w14:textFill>
              </w:rPr>
              <w:t>关于加快解决当前挥发性有机物治理突出问题的通知</w:t>
            </w:r>
            <w:r>
              <w:rPr>
                <w:rFonts w:hint="eastAsia" w:eastAsia="黑体" w:cs="Times New Roman"/>
                <w:b w:val="0"/>
                <w:bCs w:val="0"/>
                <w:color w:val="000000" w:themeColor="text1"/>
                <w:vertAlign w:val="baseline"/>
                <w:lang w:val="en-US" w:eastAsia="zh-CN"/>
                <w14:textFill>
                  <w14:solidFill>
                    <w14:schemeClr w14:val="tx1"/>
                  </w14:solidFill>
                </w14:textFill>
              </w:rPr>
              <w:t>》（环大气﹝2021﹞65号）</w:t>
            </w:r>
          </w:p>
          <w:p w14:paraId="7A6EF9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本项目与《关于加快解决当前挥发性有机物治理突出问题的通知》（环大气﹝2021﹞65号）相符性分析详见下表1-</w:t>
            </w:r>
            <w:r>
              <w:rPr>
                <w:rFonts w:hint="eastAsia" w:cs="Times New Roman"/>
                <w:b w:val="0"/>
                <w:bCs w:val="0"/>
                <w:color w:val="000000" w:themeColor="text1"/>
                <w:u w:val="single"/>
                <w:vertAlign w:val="baseli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p>
          <w:p w14:paraId="7E7AC3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p w14:paraId="6B9B89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p w14:paraId="11B2E3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表1-7 与《关于加快解决当前挥发性有机物治理突出问题的通知》（环大气﹝2021﹞65号）（节选）符合性分析</w:t>
            </w:r>
          </w:p>
          <w:tbl>
            <w:tblPr>
              <w:tblStyle w:val="8"/>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4098"/>
              <w:gridCol w:w="2418"/>
              <w:gridCol w:w="941"/>
            </w:tblGrid>
            <w:tr w14:paraId="495B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840" w:type="dxa"/>
                  <w:gridSpan w:val="2"/>
                  <w:noWrap w:val="0"/>
                  <w:vAlign w:val="center"/>
                </w:tcPr>
                <w:p w14:paraId="4E2448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《通知》文件附件“挥发性有机物治理突出问题排查整治工作要求”（节选）</w:t>
                  </w:r>
                </w:p>
              </w:tc>
              <w:tc>
                <w:tcPr>
                  <w:tcW w:w="2418" w:type="dxa"/>
                  <w:noWrap w:val="0"/>
                  <w:vAlign w:val="center"/>
                </w:tcPr>
                <w:p w14:paraId="2EC90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本项目情况</w:t>
                  </w:r>
                </w:p>
              </w:tc>
              <w:tc>
                <w:tcPr>
                  <w:tcW w:w="941" w:type="dxa"/>
                  <w:noWrap w:val="0"/>
                  <w:vAlign w:val="center"/>
                </w:tcPr>
                <w:p w14:paraId="4DDEB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符合性</w:t>
                  </w:r>
                </w:p>
              </w:tc>
            </w:tr>
            <w:tr w14:paraId="3366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42" w:type="dxa"/>
                  <w:vMerge w:val="restart"/>
                  <w:noWrap w:val="0"/>
                  <w:vAlign w:val="center"/>
                </w:tcPr>
                <w:p w14:paraId="6FD69C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废气收集设施</w:t>
                  </w:r>
                </w:p>
              </w:tc>
              <w:tc>
                <w:tcPr>
                  <w:tcW w:w="4098" w:type="dxa"/>
                  <w:noWrap w:val="0"/>
                  <w:vAlign w:val="center"/>
                </w:tcPr>
                <w:p w14:paraId="7357D3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产生VOCs的生产环节优先采用密闭设备、在密闭空间中操作或采用全密闭集气罩收集方式，并保持负压运行。无尘等级要求车间需设置成正压的，宜建设内层正压、外层微负压的双层整体密闭收集空间。</w:t>
                  </w:r>
                </w:p>
              </w:tc>
              <w:tc>
                <w:tcPr>
                  <w:tcW w:w="2418" w:type="dxa"/>
                  <w:noWrap w:val="0"/>
                  <w:vAlign w:val="center"/>
                </w:tcPr>
                <w:p w14:paraId="0D3FF20E">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本项目上漆房为密闭装置，废气采用负压收集。</w:t>
                  </w:r>
                </w:p>
              </w:tc>
              <w:tc>
                <w:tcPr>
                  <w:tcW w:w="941" w:type="dxa"/>
                  <w:noWrap w:val="0"/>
                  <w:vAlign w:val="center"/>
                </w:tcPr>
                <w:p w14:paraId="2E9C4C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5101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42" w:type="dxa"/>
                  <w:vMerge w:val="continue"/>
                  <w:noWrap w:val="0"/>
                  <w:vAlign w:val="center"/>
                </w:tcPr>
                <w:p w14:paraId="20C148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4098" w:type="dxa"/>
                  <w:noWrap w:val="0"/>
                  <w:vAlign w:val="center"/>
                </w:tcPr>
                <w:p w14:paraId="15790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工业涂装行业建设密闭上漆房，对于大型构件（船舶、钢结构）实施分段涂装，废气进行收集治理；对于确需露天涂装的，应采用符合国家或地方标准要求的低（无）VOCs 含量涂料，或使用移动式废气收集治理设施。</w:t>
                  </w:r>
                </w:p>
              </w:tc>
              <w:tc>
                <w:tcPr>
                  <w:tcW w:w="2418" w:type="dxa"/>
                  <w:noWrap w:val="0"/>
                  <w:vAlign w:val="center"/>
                </w:tcPr>
                <w:p w14:paraId="054175B9">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本项目上漆工艺在密闭上漆房进行，产生的废气经负压收集后通过废气治理设施治理达标后排放。</w:t>
                  </w:r>
                </w:p>
              </w:tc>
              <w:tc>
                <w:tcPr>
                  <w:tcW w:w="941" w:type="dxa"/>
                  <w:noWrap w:val="0"/>
                  <w:vAlign w:val="center"/>
                </w:tcPr>
                <w:p w14:paraId="0A9034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1093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vMerge w:val="continue"/>
                  <w:noWrap w:val="0"/>
                  <w:vAlign w:val="center"/>
                </w:tcPr>
                <w:p w14:paraId="22167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4098" w:type="dxa"/>
                  <w:noWrap w:val="0"/>
                  <w:vAlign w:val="center"/>
                </w:tcPr>
                <w:p w14:paraId="1B6C6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使用 VOCs质量占比大于等于10%的涂料、油墨、胶粘剂、稀释剂、清洗剂等物料存储、调配、转移、输送等环节应密闭。</w:t>
                  </w:r>
                </w:p>
              </w:tc>
              <w:tc>
                <w:tcPr>
                  <w:tcW w:w="2418" w:type="dxa"/>
                  <w:noWrap w:val="0"/>
                  <w:vAlign w:val="center"/>
                </w:tcPr>
                <w:p w14:paraId="5D7B6CE6">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本项目上漆工艺所使用的水性漆、油性漆调漆、辊筒清洗均在密闭上漆房里进行；本项目设有原辅料仓库，油漆存放于密闭容器中，非取用时封口密闭。</w:t>
                  </w:r>
                </w:p>
              </w:tc>
              <w:tc>
                <w:tcPr>
                  <w:tcW w:w="941" w:type="dxa"/>
                  <w:noWrap w:val="0"/>
                  <w:vAlign w:val="center"/>
                </w:tcPr>
                <w:p w14:paraId="3EAC9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0745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vMerge w:val="restart"/>
                  <w:noWrap w:val="0"/>
                  <w:vAlign w:val="center"/>
                </w:tcPr>
                <w:p w14:paraId="1E976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有机废气治理设施</w:t>
                  </w:r>
                </w:p>
                <w:p w14:paraId="045918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4098" w:type="dxa"/>
                  <w:noWrap w:val="0"/>
                  <w:vAlign w:val="center"/>
                </w:tcPr>
                <w:p w14:paraId="5F614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tc>
              <w:tc>
                <w:tcPr>
                  <w:tcW w:w="2418" w:type="dxa"/>
                  <w:noWrap w:val="0"/>
                  <w:vAlign w:val="center"/>
                </w:tcPr>
                <w:p w14:paraId="2E503EF0">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本项目产生的废气为低浓度有机废气，采用的废气治理设施为“二级活性炭吸附装置”。</w:t>
                  </w:r>
                </w:p>
              </w:tc>
              <w:tc>
                <w:tcPr>
                  <w:tcW w:w="941" w:type="dxa"/>
                  <w:noWrap w:val="0"/>
                  <w:vAlign w:val="center"/>
                </w:tcPr>
                <w:p w14:paraId="60081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2625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vMerge w:val="continue"/>
                  <w:noWrap w:val="0"/>
                  <w:vAlign w:val="center"/>
                </w:tcPr>
                <w:p w14:paraId="4DA59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4098" w:type="dxa"/>
                  <w:noWrap w:val="0"/>
                  <w:vAlign w:val="center"/>
                </w:tcPr>
                <w:p w14:paraId="006562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及时清理、更换吸附剂、吸收剂、催化剂、蓄热体、过滤棉、灯管、电器元件等治理设施耗材，确保设施能够稳定高效运行；做好生产设备和治设施启停机时间、检维修情况、治理设施耗材维护更换、处置情况等台账记录；对于 VOCs 治理设施产生的废过滤棉、废催化剂、废吸附剂、废吸收剂、废有机溶剂等，应及时清运，属于危险废物的应交有资质的单位处理处置。</w:t>
                  </w:r>
                </w:p>
              </w:tc>
              <w:tc>
                <w:tcPr>
                  <w:tcW w:w="2418" w:type="dxa"/>
                  <w:noWrap w:val="0"/>
                  <w:vAlign w:val="center"/>
                </w:tcPr>
                <w:p w14:paraId="14DD95D8">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废气治理设施为“二级活性炭吸附装置”，本项目废气治理设施在废气收集治理过程中会产生废活性炭，废活性炭为危险废物，经收集后暂存于危废暂存间，定期交由有危险废物处理资质的单位进行处理；同时，本项目也会做好生产设备和治设施启停机时间、检维修情况、治理设施耗材维护更换、处置情况等台账记录。</w:t>
                  </w:r>
                </w:p>
              </w:tc>
              <w:tc>
                <w:tcPr>
                  <w:tcW w:w="941" w:type="dxa"/>
                  <w:noWrap w:val="0"/>
                  <w:vAlign w:val="center"/>
                </w:tcPr>
                <w:p w14:paraId="7B2093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6A7A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vMerge w:val="continue"/>
                  <w:noWrap w:val="0"/>
                  <w:vAlign w:val="center"/>
                </w:tcPr>
                <w:p w14:paraId="16B93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4098" w:type="dxa"/>
                  <w:noWrap w:val="0"/>
                  <w:vAlign w:val="center"/>
                </w:tcPr>
                <w:p w14:paraId="1CAD05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采用活性炭吸附工艺的企业，应根据废气排放特征，按照相关工程技术规范设计净化工艺和设备，使废气在吸附装置中有足够的停留时间，选择符合相关产品质量标准的活性炭，并足额充填、及时更换。</w:t>
                  </w:r>
                </w:p>
              </w:tc>
              <w:tc>
                <w:tcPr>
                  <w:tcW w:w="2418" w:type="dxa"/>
                  <w:noWrap w:val="0"/>
                  <w:vAlign w:val="center"/>
                </w:tcPr>
                <w:p w14:paraId="2F361E1A">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为保持活性炭的处理效率，建设单位活性炭装置每4个月更换活性炭，即每年需更换3次</w:t>
                  </w:r>
                </w:p>
              </w:tc>
              <w:tc>
                <w:tcPr>
                  <w:tcW w:w="941" w:type="dxa"/>
                  <w:noWrap w:val="0"/>
                  <w:vAlign w:val="center"/>
                </w:tcPr>
                <w:p w14:paraId="3627B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15E5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14:paraId="1A8C95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产品 VOCs 含量</w:t>
                  </w:r>
                </w:p>
              </w:tc>
              <w:tc>
                <w:tcPr>
                  <w:tcW w:w="4098" w:type="dxa"/>
                  <w:noWrap w:val="0"/>
                  <w:vAlign w:val="center"/>
                </w:tcPr>
                <w:p w14:paraId="632E5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工业涂装、包装印刷、鞋革箱包制造、竹木制品、电子等重点行业要加大低（无）VOCs 含量原辅材料的源头替代力度，加强成熟技术替代品的应用。</w:t>
                  </w:r>
                </w:p>
              </w:tc>
              <w:tc>
                <w:tcPr>
                  <w:tcW w:w="2418" w:type="dxa"/>
                  <w:noWrap w:val="0"/>
                  <w:vAlign w:val="center"/>
                </w:tcPr>
                <w:p w14:paraId="493AAE82">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本项目在生产中所用涂料均为低VOCs含量的原辅材料</w:t>
                  </w:r>
                </w:p>
              </w:tc>
              <w:tc>
                <w:tcPr>
                  <w:tcW w:w="941" w:type="dxa"/>
                  <w:noWrap w:val="0"/>
                  <w:vAlign w:val="center"/>
                </w:tcPr>
                <w:p w14:paraId="269F38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bl>
          <w:p w14:paraId="102C12BD">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t>综上所述，本项目符合关于加快解决当前挥发性有机物治理突出问题的通知</w:t>
            </w:r>
            <w:r>
              <w:rPr>
                <w:rFonts w:hint="eastAsia" w:ascii="Times New Roman" w:hAnsi="Times New Roman" w:eastAsia="宋体" w:cs="Times New Roman"/>
                <w:b w:val="0"/>
                <w:bCs w:val="0"/>
                <w:color w:val="000000" w:themeColor="text1"/>
                <w:vertAlign w:val="baseline"/>
                <w:lang w:val="en-US" w:eastAsia="zh-CN"/>
                <w14:textFill>
                  <w14:solidFill>
                    <w14:schemeClr w14:val="tx1"/>
                  </w14:solidFill>
                </w14:textFill>
              </w:rPr>
              <w:t>文件附件</w:t>
            </w:r>
            <w:r>
              <w:rPr>
                <w:rFonts w:hint="default" w:ascii="Times New Roman" w:hAnsi="Times New Roman" w:eastAsia="宋体" w:cs="Times New Roman"/>
                <w:b w:val="0"/>
                <w:bCs w:val="0"/>
                <w:color w:val="000000" w:themeColor="text1"/>
                <w:vertAlign w:val="baseline"/>
                <w:lang w:val="en-US" w:eastAsia="zh-CN"/>
                <w14:textFill>
                  <w14:solidFill>
                    <w14:schemeClr w14:val="tx1"/>
                  </w14:solidFill>
                </w14:textFill>
              </w:rPr>
              <w:t>中相关要求。</w:t>
            </w:r>
          </w:p>
          <w:p w14:paraId="2EF81E7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t>6.5《工业防护涂料中有害物质限量》（GB30981-2020）</w:t>
            </w:r>
          </w:p>
          <w:p w14:paraId="6FF5C7D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本项目与《工业防护涂料中有害物质限量》（GB30981-2020）相符性分析详见下表1-</w:t>
            </w:r>
            <w:r>
              <w:rPr>
                <w:rFonts w:hint="eastAsia"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8、1-9</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p>
          <w:p w14:paraId="6D5A6B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表1-8 水性涂料中VOC含量的限量值要求（节选）符合性分析</w:t>
            </w:r>
          </w:p>
          <w:tbl>
            <w:tblPr>
              <w:tblStyle w:val="8"/>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4"/>
              <w:gridCol w:w="1403"/>
              <w:gridCol w:w="1972"/>
              <w:gridCol w:w="1322"/>
              <w:gridCol w:w="1174"/>
            </w:tblGrid>
            <w:tr w14:paraId="5F98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73" w:type="dxa"/>
                  <w:vAlign w:val="center"/>
                </w:tcPr>
                <w:p w14:paraId="246C5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产品类别</w:t>
                  </w:r>
                </w:p>
              </w:tc>
              <w:tc>
                <w:tcPr>
                  <w:tcW w:w="4549" w:type="dxa"/>
                  <w:gridSpan w:val="3"/>
                  <w:vAlign w:val="center"/>
                </w:tcPr>
                <w:p w14:paraId="60731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主要产品类型</w:t>
                  </w:r>
                </w:p>
              </w:tc>
              <w:tc>
                <w:tcPr>
                  <w:tcW w:w="1322" w:type="dxa"/>
                  <w:vAlign w:val="center"/>
                </w:tcPr>
                <w:p w14:paraId="315EA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限量值（g/L）</w:t>
                  </w:r>
                </w:p>
              </w:tc>
              <w:tc>
                <w:tcPr>
                  <w:tcW w:w="1174" w:type="dxa"/>
                  <w:vAlign w:val="center"/>
                </w:tcPr>
                <w:p w14:paraId="48CBB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本项目（g/L）</w:t>
                  </w:r>
                </w:p>
              </w:tc>
            </w:tr>
            <w:tr w14:paraId="4207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73" w:type="dxa"/>
                  <w:vMerge w:val="restart"/>
                  <w:vAlign w:val="center"/>
                </w:tcPr>
                <w:p w14:paraId="476FB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工业防护涂料</w:t>
                  </w:r>
                </w:p>
              </w:tc>
              <w:tc>
                <w:tcPr>
                  <w:tcW w:w="1174" w:type="dxa"/>
                  <w:vMerge w:val="restart"/>
                  <w:vAlign w:val="center"/>
                </w:tcPr>
                <w:p w14:paraId="6D0A05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机械设备涂料</w:t>
                  </w:r>
                </w:p>
              </w:tc>
              <w:tc>
                <w:tcPr>
                  <w:tcW w:w="1403" w:type="dxa"/>
                  <w:vMerge w:val="restart"/>
                  <w:vAlign w:val="center"/>
                </w:tcPr>
                <w:p w14:paraId="710891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港口机械和化工机械涂料（含零部件涂料）</w:t>
                  </w:r>
                </w:p>
              </w:tc>
              <w:tc>
                <w:tcPr>
                  <w:tcW w:w="1972" w:type="dxa"/>
                  <w:vAlign w:val="center"/>
                </w:tcPr>
                <w:p w14:paraId="4F572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车间底漆</w:t>
                  </w:r>
                </w:p>
              </w:tc>
              <w:tc>
                <w:tcPr>
                  <w:tcW w:w="1322" w:type="dxa"/>
                  <w:vAlign w:val="center"/>
                </w:tcPr>
                <w:p w14:paraId="47BD56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≤300</w:t>
                  </w:r>
                </w:p>
              </w:tc>
              <w:tc>
                <w:tcPr>
                  <w:tcW w:w="1174" w:type="dxa"/>
                  <w:vAlign w:val="center"/>
                </w:tcPr>
                <w:p w14:paraId="22F21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r>
            <w:tr w14:paraId="7C61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73" w:type="dxa"/>
                  <w:vMerge w:val="continue"/>
                  <w:vAlign w:val="center"/>
                </w:tcPr>
                <w:p w14:paraId="496EE7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0DAB9E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2C527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972" w:type="dxa"/>
                  <w:vAlign w:val="center"/>
                </w:tcPr>
                <w:p w14:paraId="3627EF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底漆</w:t>
                  </w:r>
                </w:p>
              </w:tc>
              <w:tc>
                <w:tcPr>
                  <w:tcW w:w="1322" w:type="dxa"/>
                  <w:vAlign w:val="center"/>
                </w:tcPr>
                <w:p w14:paraId="6A129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≤300</w:t>
                  </w:r>
                </w:p>
              </w:tc>
              <w:tc>
                <w:tcPr>
                  <w:tcW w:w="1174" w:type="dxa"/>
                  <w:vAlign w:val="center"/>
                </w:tcPr>
                <w:p w14:paraId="603759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r>
            <w:tr w14:paraId="7222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73" w:type="dxa"/>
                  <w:vMerge w:val="continue"/>
                  <w:vAlign w:val="center"/>
                </w:tcPr>
                <w:p w14:paraId="0106C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15BA4C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3DCEA4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972" w:type="dxa"/>
                  <w:vAlign w:val="center"/>
                </w:tcPr>
                <w:p w14:paraId="198B63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中涂</w:t>
                  </w:r>
                </w:p>
              </w:tc>
              <w:tc>
                <w:tcPr>
                  <w:tcW w:w="1322" w:type="dxa"/>
                  <w:vAlign w:val="center"/>
                </w:tcPr>
                <w:p w14:paraId="6E1F1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≤250</w:t>
                  </w:r>
                </w:p>
              </w:tc>
              <w:tc>
                <w:tcPr>
                  <w:tcW w:w="1174" w:type="dxa"/>
                  <w:vAlign w:val="center"/>
                </w:tcPr>
                <w:p w14:paraId="5CE65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r>
            <w:tr w14:paraId="36BB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173" w:type="dxa"/>
                  <w:vMerge w:val="continue"/>
                  <w:vAlign w:val="center"/>
                </w:tcPr>
                <w:p w14:paraId="35DB6B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5507BA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5F7903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972" w:type="dxa"/>
                  <w:vAlign w:val="center"/>
                </w:tcPr>
                <w:p w14:paraId="4B5E0C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面漆</w:t>
                  </w:r>
                </w:p>
              </w:tc>
              <w:tc>
                <w:tcPr>
                  <w:tcW w:w="1322" w:type="dxa"/>
                  <w:vAlign w:val="center"/>
                </w:tcPr>
                <w:p w14:paraId="64284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≤300</w:t>
                  </w:r>
                </w:p>
              </w:tc>
              <w:tc>
                <w:tcPr>
                  <w:tcW w:w="1174" w:type="dxa"/>
                  <w:vAlign w:val="center"/>
                </w:tcPr>
                <w:p w14:paraId="1068B5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270</w:t>
                  </w:r>
                </w:p>
              </w:tc>
            </w:tr>
            <w:tr w14:paraId="3B0B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3" w:type="dxa"/>
                  <w:vMerge w:val="continue"/>
                  <w:vAlign w:val="center"/>
                </w:tcPr>
                <w:p w14:paraId="197F34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631C7F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306AD6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972" w:type="dxa"/>
                  <w:vAlign w:val="center"/>
                </w:tcPr>
                <w:p w14:paraId="36B1D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清漆</w:t>
                  </w:r>
                </w:p>
              </w:tc>
              <w:tc>
                <w:tcPr>
                  <w:tcW w:w="1322" w:type="dxa"/>
                  <w:vAlign w:val="center"/>
                </w:tcPr>
                <w:p w14:paraId="723A7A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≤300</w:t>
                  </w:r>
                </w:p>
              </w:tc>
              <w:tc>
                <w:tcPr>
                  <w:tcW w:w="1174" w:type="dxa"/>
                  <w:vAlign w:val="center"/>
                </w:tcPr>
                <w:p w14:paraId="288F3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 xml:space="preserve">/ </w:t>
                  </w:r>
                </w:p>
              </w:tc>
            </w:tr>
          </w:tbl>
          <w:p w14:paraId="42B239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表1-9 溶剂型涂料中VOC含量的限量值要求（节选）符合性分析</w:t>
            </w:r>
          </w:p>
          <w:tbl>
            <w:tblPr>
              <w:tblStyle w:val="8"/>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4"/>
              <w:gridCol w:w="1403"/>
              <w:gridCol w:w="1038"/>
              <w:gridCol w:w="934"/>
              <w:gridCol w:w="1322"/>
              <w:gridCol w:w="1174"/>
            </w:tblGrid>
            <w:tr w14:paraId="5931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73" w:type="dxa"/>
                  <w:vAlign w:val="center"/>
                </w:tcPr>
                <w:p w14:paraId="25491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产品类别</w:t>
                  </w:r>
                </w:p>
              </w:tc>
              <w:tc>
                <w:tcPr>
                  <w:tcW w:w="4549" w:type="dxa"/>
                  <w:gridSpan w:val="4"/>
                  <w:vAlign w:val="center"/>
                </w:tcPr>
                <w:p w14:paraId="7772A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主要产品类型</w:t>
                  </w:r>
                </w:p>
              </w:tc>
              <w:tc>
                <w:tcPr>
                  <w:tcW w:w="1322" w:type="dxa"/>
                  <w:vAlign w:val="center"/>
                </w:tcPr>
                <w:p w14:paraId="74F55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限量值（g/L）</w:t>
                  </w:r>
                </w:p>
              </w:tc>
              <w:tc>
                <w:tcPr>
                  <w:tcW w:w="1174" w:type="dxa"/>
                  <w:vAlign w:val="center"/>
                </w:tcPr>
                <w:p w14:paraId="1EE0E2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本项目（g/L）</w:t>
                  </w:r>
                </w:p>
              </w:tc>
            </w:tr>
            <w:tr w14:paraId="2D6B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73" w:type="dxa"/>
                  <w:vMerge w:val="restart"/>
                  <w:vAlign w:val="center"/>
                </w:tcPr>
                <w:p w14:paraId="06D41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工业防护涂料</w:t>
                  </w:r>
                </w:p>
              </w:tc>
              <w:tc>
                <w:tcPr>
                  <w:tcW w:w="1174" w:type="dxa"/>
                  <w:vMerge w:val="restart"/>
                  <w:vAlign w:val="center"/>
                </w:tcPr>
                <w:p w14:paraId="1A616D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机械设备涂料</w:t>
                  </w:r>
                </w:p>
              </w:tc>
              <w:tc>
                <w:tcPr>
                  <w:tcW w:w="1403" w:type="dxa"/>
                  <w:vMerge w:val="restart"/>
                  <w:vAlign w:val="center"/>
                </w:tcPr>
                <w:p w14:paraId="53936F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港口机械和化工机械涂料（含零部件涂料）</w:t>
                  </w:r>
                </w:p>
              </w:tc>
              <w:tc>
                <w:tcPr>
                  <w:tcW w:w="1972" w:type="dxa"/>
                  <w:gridSpan w:val="2"/>
                  <w:vAlign w:val="center"/>
                </w:tcPr>
                <w:p w14:paraId="11D435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车间底漆</w:t>
                  </w:r>
                </w:p>
              </w:tc>
              <w:tc>
                <w:tcPr>
                  <w:tcW w:w="1322" w:type="dxa"/>
                  <w:vAlign w:val="center"/>
                </w:tcPr>
                <w:p w14:paraId="4E638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≤680</w:t>
                  </w:r>
                </w:p>
              </w:tc>
              <w:tc>
                <w:tcPr>
                  <w:tcW w:w="1174" w:type="dxa"/>
                  <w:vAlign w:val="center"/>
                </w:tcPr>
                <w:p w14:paraId="2DAF7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r>
            <w:tr w14:paraId="77B2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73" w:type="dxa"/>
                  <w:vMerge w:val="continue"/>
                  <w:vAlign w:val="center"/>
                </w:tcPr>
                <w:p w14:paraId="633B5A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4B60F4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064F2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038" w:type="dxa"/>
                  <w:vMerge w:val="restart"/>
                  <w:vAlign w:val="center"/>
                </w:tcPr>
                <w:p w14:paraId="58C6CA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底漆</w:t>
                  </w:r>
                </w:p>
              </w:tc>
              <w:tc>
                <w:tcPr>
                  <w:tcW w:w="934" w:type="dxa"/>
                  <w:vAlign w:val="center"/>
                </w:tcPr>
                <w:p w14:paraId="2597A2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无机</w:t>
                  </w:r>
                </w:p>
              </w:tc>
              <w:tc>
                <w:tcPr>
                  <w:tcW w:w="1322" w:type="dxa"/>
                  <w:vAlign w:val="center"/>
                </w:tcPr>
                <w:p w14:paraId="7BB798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≤600</w:t>
                  </w:r>
                </w:p>
              </w:tc>
              <w:tc>
                <w:tcPr>
                  <w:tcW w:w="1174" w:type="dxa"/>
                  <w:vAlign w:val="center"/>
                </w:tcPr>
                <w:p w14:paraId="799292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r>
            <w:tr w14:paraId="4AEF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73" w:type="dxa"/>
                  <w:vMerge w:val="continue"/>
                  <w:vAlign w:val="center"/>
                </w:tcPr>
                <w:p w14:paraId="68242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7BE6C2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21896B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038" w:type="dxa"/>
                  <w:vMerge w:val="continue"/>
                  <w:vAlign w:val="center"/>
                </w:tcPr>
                <w:p w14:paraId="564322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934" w:type="dxa"/>
                  <w:vAlign w:val="center"/>
                </w:tcPr>
                <w:p w14:paraId="29834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其他</w:t>
                  </w:r>
                </w:p>
              </w:tc>
              <w:tc>
                <w:tcPr>
                  <w:tcW w:w="1322" w:type="dxa"/>
                  <w:vAlign w:val="center"/>
                </w:tcPr>
                <w:p w14:paraId="73596E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≤550</w:t>
                  </w:r>
                </w:p>
              </w:tc>
              <w:tc>
                <w:tcPr>
                  <w:tcW w:w="1174" w:type="dxa"/>
                  <w:vAlign w:val="center"/>
                </w:tcPr>
                <w:p w14:paraId="60530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r>
            <w:tr w14:paraId="0A27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73" w:type="dxa"/>
                  <w:vMerge w:val="continue"/>
                  <w:vAlign w:val="center"/>
                </w:tcPr>
                <w:p w14:paraId="756A48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21A4C4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52A24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972" w:type="dxa"/>
                  <w:gridSpan w:val="2"/>
                  <w:vAlign w:val="center"/>
                </w:tcPr>
                <w:p w14:paraId="49FC6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中涂</w:t>
                  </w:r>
                </w:p>
              </w:tc>
              <w:tc>
                <w:tcPr>
                  <w:tcW w:w="1322" w:type="dxa"/>
                  <w:vAlign w:val="center"/>
                </w:tcPr>
                <w:p w14:paraId="1A5D1A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≤500</w:t>
                  </w:r>
                </w:p>
              </w:tc>
              <w:tc>
                <w:tcPr>
                  <w:tcW w:w="1174" w:type="dxa"/>
                  <w:vAlign w:val="center"/>
                </w:tcPr>
                <w:p w14:paraId="327839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r>
            <w:tr w14:paraId="796D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173" w:type="dxa"/>
                  <w:vMerge w:val="continue"/>
                  <w:vAlign w:val="center"/>
                </w:tcPr>
                <w:p w14:paraId="1B7C2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1FA8BE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35C95A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972" w:type="dxa"/>
                  <w:gridSpan w:val="2"/>
                  <w:vAlign w:val="center"/>
                </w:tcPr>
                <w:p w14:paraId="4B498A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面漆</w:t>
                  </w:r>
                </w:p>
              </w:tc>
              <w:tc>
                <w:tcPr>
                  <w:tcW w:w="1322" w:type="dxa"/>
                  <w:vAlign w:val="center"/>
                </w:tcPr>
                <w:p w14:paraId="53EE3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≤500</w:t>
                  </w:r>
                </w:p>
              </w:tc>
              <w:tc>
                <w:tcPr>
                  <w:tcW w:w="1174" w:type="dxa"/>
                  <w:vAlign w:val="center"/>
                </w:tcPr>
                <w:p w14:paraId="62062E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199.8</w:t>
                  </w:r>
                </w:p>
              </w:tc>
            </w:tr>
            <w:tr w14:paraId="76DD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3" w:type="dxa"/>
                  <w:vMerge w:val="continue"/>
                  <w:vAlign w:val="center"/>
                </w:tcPr>
                <w:p w14:paraId="621A6C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73272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36F41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972" w:type="dxa"/>
                  <w:gridSpan w:val="2"/>
                  <w:vAlign w:val="center"/>
                </w:tcPr>
                <w:p w14:paraId="4472E0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清漆</w:t>
                  </w:r>
                </w:p>
              </w:tc>
              <w:tc>
                <w:tcPr>
                  <w:tcW w:w="1322" w:type="dxa"/>
                  <w:vAlign w:val="center"/>
                </w:tcPr>
                <w:p w14:paraId="564723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≤500</w:t>
                  </w:r>
                </w:p>
              </w:tc>
              <w:tc>
                <w:tcPr>
                  <w:tcW w:w="1174" w:type="dxa"/>
                  <w:vAlign w:val="center"/>
                </w:tcPr>
                <w:p w14:paraId="5C277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 xml:space="preserve">/ </w:t>
                  </w:r>
                </w:p>
              </w:tc>
            </w:tr>
            <w:tr w14:paraId="4D93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3" w:type="dxa"/>
                  <w:vMerge w:val="continue"/>
                  <w:vAlign w:val="center"/>
                </w:tcPr>
                <w:p w14:paraId="11D5F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74" w:type="dxa"/>
                  <w:vMerge w:val="continue"/>
                  <w:vAlign w:val="center"/>
                </w:tcPr>
                <w:p w14:paraId="2F196A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403" w:type="dxa"/>
                  <w:vMerge w:val="continue"/>
                  <w:vAlign w:val="center"/>
                </w:tcPr>
                <w:p w14:paraId="7D47EC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972" w:type="dxa"/>
                  <w:gridSpan w:val="2"/>
                  <w:vAlign w:val="center"/>
                </w:tcPr>
                <w:p w14:paraId="66C2B1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特种涂料</w:t>
                  </w:r>
                </w:p>
                <w:p w14:paraId="207E9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（耐高温涂料等）</w:t>
                  </w:r>
                </w:p>
              </w:tc>
              <w:tc>
                <w:tcPr>
                  <w:tcW w:w="1322" w:type="dxa"/>
                  <w:vAlign w:val="center"/>
                </w:tcPr>
                <w:p w14:paraId="2FAE9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≤650</w:t>
                  </w:r>
                </w:p>
              </w:tc>
              <w:tc>
                <w:tcPr>
                  <w:tcW w:w="1174" w:type="dxa"/>
                  <w:vAlign w:val="center"/>
                </w:tcPr>
                <w:p w14:paraId="5A9F3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r>
          </w:tbl>
          <w:p w14:paraId="5043AC1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本项目限量值是根据油漆厂家提供的油漆MSDS报告中VOC挥发份含量数据计算得出，综上所述，</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本项目所用油性漆及水性漆的VOC含量满足《工业防护涂料中有害物质限量》（GB/T38597-2020）中相关要求。</w:t>
            </w:r>
          </w:p>
          <w:p w14:paraId="61D4C19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eastAsia" w:eastAsia="黑体" w:cs="Times New Roman"/>
                <w:b w:val="0"/>
                <w:bCs w:val="0"/>
                <w:color w:val="000000" w:themeColor="text1"/>
                <w:u w:val="single"/>
                <w:vertAlign w:val="baseline"/>
                <w:lang w:val="en-US" w:eastAsia="zh-CN"/>
                <w14:textFill>
                  <w14:solidFill>
                    <w14:schemeClr w14:val="tx1"/>
                  </w14:solidFill>
                </w14:textFill>
              </w:rPr>
              <w:t>6.6</w:t>
            </w:r>
            <w:r>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t>《挥发性有机物无组织排放控制标准》（GB37822-2019）</w:t>
            </w:r>
          </w:p>
          <w:p w14:paraId="42B589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本项目与《挥发性有机物无组织排放控制标准》（GB37822-2019）相符性分析详见下表1-</w:t>
            </w:r>
            <w:r>
              <w:rPr>
                <w:rFonts w:hint="eastAsia"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p>
          <w:p w14:paraId="42EF2D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表1-10 与《挥发性有机物无组织排放控制标准》（GB37822-2019）（摘录）符合性分析</w:t>
            </w:r>
          </w:p>
          <w:tbl>
            <w:tblPr>
              <w:tblStyle w:val="8"/>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4200"/>
              <w:gridCol w:w="1772"/>
              <w:gridCol w:w="939"/>
            </w:tblGrid>
            <w:tr w14:paraId="5EA8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488" w:type="dxa"/>
                  <w:gridSpan w:val="2"/>
                  <w:noWrap w:val="0"/>
                  <w:vAlign w:val="center"/>
                </w:tcPr>
                <w:p w14:paraId="150666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《标准》文件附件4工业企业VOCs治理检查要点（摘录）</w:t>
                  </w:r>
                </w:p>
              </w:tc>
              <w:tc>
                <w:tcPr>
                  <w:tcW w:w="1772" w:type="dxa"/>
                  <w:noWrap w:val="0"/>
                  <w:vAlign w:val="center"/>
                </w:tcPr>
                <w:p w14:paraId="6C925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本项目情况</w:t>
                  </w:r>
                </w:p>
              </w:tc>
              <w:tc>
                <w:tcPr>
                  <w:tcW w:w="939" w:type="dxa"/>
                  <w:noWrap w:val="0"/>
                  <w:vAlign w:val="center"/>
                </w:tcPr>
                <w:p w14:paraId="6CA7AE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符合性</w:t>
                  </w:r>
                </w:p>
              </w:tc>
            </w:tr>
            <w:tr w14:paraId="741D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288" w:type="dxa"/>
                  <w:noWrap w:val="0"/>
                  <w:vAlign w:val="center"/>
                </w:tcPr>
                <w:p w14:paraId="755C20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VOCs物料储存</w:t>
                  </w:r>
                </w:p>
              </w:tc>
              <w:tc>
                <w:tcPr>
                  <w:tcW w:w="4200" w:type="dxa"/>
                  <w:noWrap w:val="0"/>
                  <w:vAlign w:val="center"/>
                </w:tcPr>
                <w:p w14:paraId="35375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VOCs物料应储存于密闭的容器、包装袋、储罐、储库、料仓中；盛装VOCs物料的容器或包装袋应存放于室内，或存放于设置有雨棚、遮阳和防设施的专用场地；盛装VOCs物料的容器或包装袋在非取用状态时应加盖、封口，保持密闭。</w:t>
                  </w:r>
                </w:p>
              </w:tc>
              <w:tc>
                <w:tcPr>
                  <w:tcW w:w="1772" w:type="dxa"/>
                  <w:noWrap w:val="0"/>
                  <w:vAlign w:val="center"/>
                </w:tcPr>
                <w:p w14:paraId="636E3E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本项目设有原辅料仓库，VOCs物料存放于密闭容器中。VOCs物料非取用时封口密闭。</w:t>
                  </w:r>
                </w:p>
              </w:tc>
              <w:tc>
                <w:tcPr>
                  <w:tcW w:w="939" w:type="dxa"/>
                  <w:noWrap w:val="0"/>
                  <w:vAlign w:val="center"/>
                </w:tcPr>
                <w:p w14:paraId="4C14D6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49CC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288" w:type="dxa"/>
                  <w:noWrap w:val="0"/>
                  <w:vAlign w:val="center"/>
                </w:tcPr>
                <w:p w14:paraId="7973BA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VOCs物料转移和输送</w:t>
                  </w:r>
                </w:p>
              </w:tc>
              <w:tc>
                <w:tcPr>
                  <w:tcW w:w="4200" w:type="dxa"/>
                  <w:noWrap w:val="0"/>
                  <w:vAlign w:val="center"/>
                </w:tcPr>
                <w:p w14:paraId="6D2FCE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液态VOCs 物料应采用密闭管道输送。采用非管道输送方式转移液态VOCs物料时，应采用密闭容器、罐车；粉状、粒状VOCs物料应采用气力输送设备、管状带式输送机、螺旋输送机等密闭输送方式，或采用密闭的包装袋、容器或罐车进行物料转移</w:t>
                  </w:r>
                </w:p>
              </w:tc>
              <w:tc>
                <w:tcPr>
                  <w:tcW w:w="1772" w:type="dxa"/>
                  <w:noWrap w:val="0"/>
                  <w:vAlign w:val="center"/>
                </w:tcPr>
                <w:p w14:paraId="34278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本项目VOCs物料采用密闭容器进行</w:t>
                  </w: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物料转移</w:t>
                  </w:r>
                  <w:r>
                    <w:rPr>
                      <w:rFonts w:hint="default" w:ascii="Times New Roman" w:hAnsi="Times New Roman" w:eastAsia="黑体" w:cs="Times New Roman"/>
                      <w:color w:val="000000" w:themeColor="text1"/>
                      <w:sz w:val="21"/>
                      <w:szCs w:val="21"/>
                      <w:u w:val="single"/>
                      <w14:textFill>
                        <w14:solidFill>
                          <w14:schemeClr w14:val="tx1"/>
                        </w14:solidFill>
                      </w14:textFill>
                    </w:rPr>
                    <w:t>。</w:t>
                  </w:r>
                </w:p>
                <w:p w14:paraId="3E56E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939" w:type="dxa"/>
                  <w:noWrap w:val="0"/>
                  <w:vAlign w:val="center"/>
                </w:tcPr>
                <w:p w14:paraId="49E59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118A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1288" w:type="dxa"/>
                  <w:vMerge w:val="restart"/>
                  <w:noWrap w:val="0"/>
                  <w:vAlign w:val="center"/>
                </w:tcPr>
                <w:p w14:paraId="409B4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VOCs无组织废气收集处理系统</w:t>
                  </w:r>
                </w:p>
              </w:tc>
              <w:tc>
                <w:tcPr>
                  <w:tcW w:w="4200" w:type="dxa"/>
                  <w:noWrap w:val="0"/>
                  <w:vAlign w:val="center"/>
                </w:tcPr>
                <w:p w14:paraId="2B4FF6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VOCs废气收集处理系统与生产工艺设备同步运行。VOCs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772" w:type="dxa"/>
                  <w:noWrap w:val="0"/>
                  <w:vAlign w:val="center"/>
                </w:tcPr>
                <w:p w14:paraId="092FF9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项目废气收集处理系统与生产工序操作同步运行，并进行日常监督维护发现故障，立即停止VOCs物料的使用，待检修合格后才进行投产；</w:t>
                  </w:r>
                </w:p>
              </w:tc>
              <w:tc>
                <w:tcPr>
                  <w:tcW w:w="939" w:type="dxa"/>
                  <w:noWrap w:val="0"/>
                  <w:vAlign w:val="center"/>
                </w:tcPr>
                <w:p w14:paraId="391392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p>
                <w:p w14:paraId="12CC51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p>
                <w:p w14:paraId="4C255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1CAF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noWrap w:val="0"/>
                  <w:vAlign w:val="center"/>
                </w:tcPr>
                <w:p w14:paraId="02E43D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4200" w:type="dxa"/>
                  <w:noWrap w:val="0"/>
                  <w:vAlign w:val="center"/>
                </w:tcPr>
                <w:p w14:paraId="52ACB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废气收集系统要求：废气收集系统排风罩（集气罩）设置应符合GB/T16758的规定，采用外部排风罩的，应按GB/T16758、AQ/T4274-2016 规定的方法测量控制风速，测量点应选取在距排风罩开口面最远处的VOCs无组织排放位置，控制风速不应低于0.3m/s（行业相关规范有具体规定的，按相关规定执行）</w:t>
                  </w:r>
                </w:p>
              </w:tc>
              <w:tc>
                <w:tcPr>
                  <w:tcW w:w="1772" w:type="dxa"/>
                  <w:vMerge w:val="restart"/>
                  <w:noWrap w:val="0"/>
                  <w:vAlign w:val="center"/>
                </w:tcPr>
                <w:p w14:paraId="5A7BF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本项目按相关规范要求，将产生VOCs均设置为密闭车间进行废气收集；</w:t>
                  </w: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废气收集系统排风罩（集气罩）设置符合GB/T16758的规定；</w:t>
                  </w:r>
                  <w:r>
                    <w:rPr>
                      <w:rFonts w:hint="default" w:ascii="Times New Roman" w:hAnsi="Times New Roman" w:eastAsia="黑体" w:cs="Times New Roman"/>
                      <w:color w:val="000000" w:themeColor="text1"/>
                      <w:sz w:val="21"/>
                      <w:szCs w:val="21"/>
                      <w:u w:val="single"/>
                      <w14:textFill>
                        <w14:solidFill>
                          <w14:schemeClr w14:val="tx1"/>
                        </w14:solidFill>
                      </w14:textFill>
                    </w:rPr>
                    <w:t>本项目NMHC初始排放速率≤2kg/h，采取的废气收集处理系统按GB16297或相关行业排放标准规定进行设计；本项目排气筒高度为15m高。</w:t>
                  </w:r>
                </w:p>
              </w:tc>
              <w:tc>
                <w:tcPr>
                  <w:tcW w:w="939" w:type="dxa"/>
                  <w:vMerge w:val="restart"/>
                  <w:noWrap w:val="0"/>
                  <w:vAlign w:val="center"/>
                </w:tcPr>
                <w:p w14:paraId="69218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14:textFill>
                        <w14:solidFill>
                          <w14:schemeClr w14:val="tx1"/>
                        </w14:solidFill>
                      </w14:textFill>
                    </w:rPr>
                  </w:pPr>
                </w:p>
                <w:p w14:paraId="53F49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符合</w:t>
                  </w:r>
                </w:p>
              </w:tc>
            </w:tr>
            <w:tr w14:paraId="58B8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noWrap w:val="0"/>
                  <w:vAlign w:val="center"/>
                </w:tcPr>
                <w:p w14:paraId="7E25B9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4200" w:type="dxa"/>
                  <w:noWrap w:val="0"/>
                  <w:vAlign w:val="center"/>
                </w:tcPr>
                <w:p w14:paraId="57414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VOCs 排放控制要求：1.收集的废气中NMHC初始排放速率≥3kg/h 时，应配置VOCs处理设施，处理效率不应低于80%；对于重点地区，收集的废气中NMHC初始排放速率≥2kg/h时，应配置VOCs处理设施，处理效率不应低于80%；采用的原辅材料符合国家有关低VOCs含量产品规定的除外；2、排气筒高度不低于15m（因安全考虑或有特殊工艺要求的除外），具体高度以及与周围建筑物的相对高度关系应根据环境影响评价文件确定。</w:t>
                  </w:r>
                </w:p>
              </w:tc>
              <w:tc>
                <w:tcPr>
                  <w:tcW w:w="1772" w:type="dxa"/>
                  <w:vMerge w:val="continue"/>
                  <w:noWrap w:val="0"/>
                  <w:vAlign w:val="center"/>
                </w:tcPr>
                <w:p w14:paraId="04FC9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939" w:type="dxa"/>
                  <w:vMerge w:val="continue"/>
                  <w:noWrap w:val="0"/>
                  <w:vAlign w:val="center"/>
                </w:tcPr>
                <w:p w14:paraId="206571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bl>
          <w:p w14:paraId="5D02F0CD">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综上所述，本项目符合挥发性有机物无组织排放控制标准</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文件附件中相关</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要求。</w:t>
            </w:r>
          </w:p>
          <w:p w14:paraId="21E063A4">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eastAsia" w:eastAsia="黑体" w:cs="Times New Roman"/>
                <w:b w:val="0"/>
                <w:bCs w:val="0"/>
                <w:color w:val="000000" w:themeColor="text1"/>
                <w:u w:val="single"/>
                <w:vertAlign w:val="baseline"/>
                <w:lang w:val="en-US" w:eastAsia="zh-CN"/>
                <w14:textFill>
                  <w14:solidFill>
                    <w14:schemeClr w14:val="tx1"/>
                  </w14:solidFill>
                </w14:textFill>
              </w:rPr>
              <w:t>6.7</w:t>
            </w:r>
            <w:r>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t>《重点行业挥发性有机物综合治理方案》（环大气﹝2019﹞53号）</w:t>
            </w:r>
          </w:p>
          <w:p w14:paraId="7D6D928C">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本项目与《重点行业挥发性有机物综合治理方案》（环大气﹝2019﹞53号）相符性分析详见下表1</w:t>
            </w:r>
            <w:r>
              <w:rPr>
                <w:rFonts w:hint="eastAsia"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p>
          <w:p w14:paraId="3A33DA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表1-11 与《重点行业挥发性有机物综合治理方案》（环大气﹝2019﹞53号）（节选）符合性分析</w:t>
            </w:r>
          </w:p>
          <w:tbl>
            <w:tblPr>
              <w:tblStyle w:val="8"/>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141"/>
              <w:gridCol w:w="1524"/>
              <w:gridCol w:w="863"/>
            </w:tblGrid>
            <w:tr w14:paraId="64B8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noWrap w:val="0"/>
                  <w:vAlign w:val="center"/>
                </w:tcPr>
                <w:p w14:paraId="746182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序号</w:t>
                  </w:r>
                </w:p>
              </w:tc>
              <w:tc>
                <w:tcPr>
                  <w:tcW w:w="5141" w:type="dxa"/>
                  <w:noWrap w:val="0"/>
                  <w:vAlign w:val="center"/>
                </w:tcPr>
                <w:p w14:paraId="79621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《方案》文件要求（节选）</w:t>
                  </w:r>
                </w:p>
              </w:tc>
              <w:tc>
                <w:tcPr>
                  <w:tcW w:w="1524" w:type="dxa"/>
                  <w:noWrap w:val="0"/>
                  <w:vAlign w:val="center"/>
                </w:tcPr>
                <w:p w14:paraId="257A9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本项目情况</w:t>
                  </w:r>
                </w:p>
              </w:tc>
              <w:tc>
                <w:tcPr>
                  <w:tcW w:w="863" w:type="dxa"/>
                  <w:noWrap w:val="0"/>
                  <w:vAlign w:val="center"/>
                </w:tcPr>
                <w:p w14:paraId="1DCE36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符合性</w:t>
                  </w:r>
                </w:p>
              </w:tc>
            </w:tr>
            <w:tr w14:paraId="650B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1" w:type="dxa"/>
                  <w:noWrap w:val="0"/>
                  <w:vAlign w:val="center"/>
                </w:tcPr>
                <w:p w14:paraId="6CCAF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1</w:t>
                  </w:r>
                </w:p>
              </w:tc>
              <w:tc>
                <w:tcPr>
                  <w:tcW w:w="5141" w:type="dxa"/>
                  <w:noWrap w:val="0"/>
                  <w:vAlign w:val="center"/>
                </w:tcPr>
                <w:p w14:paraId="5D6524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24" w:type="dxa"/>
                  <w:vMerge w:val="restart"/>
                  <w:noWrap w:val="0"/>
                  <w:vAlign w:val="center"/>
                </w:tcPr>
                <w:p w14:paraId="2C1D6E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本项目在上漆工艺中使用的原辅材料属于低VOCs含量产品，从源头减少VOCs产生；</w:t>
                  </w:r>
                </w:p>
                <w:p w14:paraId="64EB2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本项目上漆工段设置在单独的封闭上漆间中收集，收集效率≥90%，废气采用“二级活性炭吸附”装置处理有机废气，实现有效治理、达标排放。</w:t>
                  </w:r>
                </w:p>
              </w:tc>
              <w:tc>
                <w:tcPr>
                  <w:tcW w:w="863" w:type="dxa"/>
                  <w:vMerge w:val="restart"/>
                  <w:noWrap w:val="0"/>
                  <w:vAlign w:val="center"/>
                </w:tcPr>
                <w:p w14:paraId="17188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2C52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671" w:type="dxa"/>
                  <w:noWrap w:val="0"/>
                  <w:vAlign w:val="center"/>
                </w:tcPr>
                <w:p w14:paraId="5ABCF9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2</w:t>
                  </w:r>
                </w:p>
              </w:tc>
              <w:tc>
                <w:tcPr>
                  <w:tcW w:w="5141" w:type="dxa"/>
                  <w:noWrap w:val="0"/>
                  <w:vAlign w:val="center"/>
                </w:tcPr>
                <w:p w14:paraId="2571B7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全面加强无组织排放控制。重点对含VOCs物料（包括VOCs原辅材料、含VOCs产品、含VOCs 废 以及有机聚合物材料等）储存、转移和输送、设备与管线组件泄漏、敞开液面逸散以及工艺过程等五类排放源实施管控，通过采取设备与场所密闭、工艺改进、废气有效收集等措施，削减VOCs无组织排放。</w:t>
                  </w:r>
                </w:p>
              </w:tc>
              <w:tc>
                <w:tcPr>
                  <w:tcW w:w="1524" w:type="dxa"/>
                  <w:vMerge w:val="continue"/>
                  <w:noWrap w:val="0"/>
                  <w:vAlign w:val="center"/>
                </w:tcPr>
                <w:p w14:paraId="21D488A1">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863" w:type="dxa"/>
                  <w:vMerge w:val="continue"/>
                  <w:noWrap w:val="0"/>
                  <w:vAlign w:val="center"/>
                </w:tcPr>
                <w:p w14:paraId="1434A8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3534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71" w:type="dxa"/>
                  <w:noWrap w:val="0"/>
                  <w:vAlign w:val="center"/>
                </w:tcPr>
                <w:p w14:paraId="1FDAE1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3</w:t>
                  </w:r>
                </w:p>
              </w:tc>
              <w:tc>
                <w:tcPr>
                  <w:tcW w:w="5141" w:type="dxa"/>
                  <w:noWrap w:val="0"/>
                  <w:vAlign w:val="center"/>
                </w:tcPr>
                <w:p w14:paraId="6942A2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工业涂装 VOCs 综合治理。加大汽车、家具、集装箱、电子产品、工程机械等行业VOCs治理力度，重点区域应结合本地产业特征，加快实施其他行业涂装VOCs综合治理。强化源头控制，加快使用粉末、水性、高固体分、辐射固化等低VOCs含量的涂料替代溶剂型涂料。加快推广紧凑式涂装工艺、先进涂装技术和设备。工程机械制造要提高室内涂装比例，鼓励采用自动喷涂、静电喷涂等技术。电子产品制造推广使用静电喷涂等技术。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  排放工序应配备有效的废气收集系统。</w:t>
                  </w:r>
                </w:p>
              </w:tc>
              <w:tc>
                <w:tcPr>
                  <w:tcW w:w="1524" w:type="dxa"/>
                  <w:vMerge w:val="continue"/>
                  <w:noWrap w:val="0"/>
                  <w:vAlign w:val="center"/>
                </w:tcPr>
                <w:p w14:paraId="36479CE0">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863" w:type="dxa"/>
                  <w:vMerge w:val="continue"/>
                  <w:noWrap w:val="0"/>
                  <w:vAlign w:val="center"/>
                </w:tcPr>
                <w:p w14:paraId="1E183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bl>
          <w:p w14:paraId="7FF2FC5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综上所述，本项目符合重点行业挥发性有机物综合治理方案</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中相关</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要求。</w:t>
            </w:r>
          </w:p>
          <w:p w14:paraId="2245C79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t>6.8《湖南省大气污染防治“守护蓝天”攻坚行动计划（2023-2025年）》（湘政办发〔2023〕34号）</w:t>
            </w:r>
          </w:p>
          <w:p w14:paraId="14674564">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本项目与《湖南省大气污染防治“守护蓝天”攻坚行动计划（2023-2025年）》（湘政办发〔2023〕34号）相符性分析详见下表1</w:t>
            </w:r>
            <w:r>
              <w:rPr>
                <w:rFonts w:hint="eastAsia"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u w:val="single"/>
                <w:vertAlign w:val="baseline"/>
                <w:lang w:val="en-US" w:eastAsia="zh-CN"/>
                <w14:textFill>
                  <w14:solidFill>
                    <w14:schemeClr w14:val="tx1"/>
                  </w14:solidFill>
                </w14:textFill>
              </w:rPr>
              <w:t>。</w:t>
            </w:r>
          </w:p>
          <w:p w14:paraId="23E94C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表1-12 与《湖南省大气污染防治“守护蓝天”攻坚行动计划（2023-2025年）》（湘政办发〔2023〕34号）（节选）符合性分析</w:t>
            </w:r>
          </w:p>
          <w:tbl>
            <w:tblPr>
              <w:tblStyle w:val="8"/>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051"/>
              <w:gridCol w:w="2530"/>
              <w:gridCol w:w="947"/>
            </w:tblGrid>
            <w:tr w14:paraId="154F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722" w:type="dxa"/>
                  <w:gridSpan w:val="2"/>
                  <w:noWrap w:val="0"/>
                  <w:vAlign w:val="center"/>
                </w:tcPr>
                <w:p w14:paraId="2FD01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《行动计划》文件要求（节选）</w:t>
                  </w:r>
                </w:p>
              </w:tc>
              <w:tc>
                <w:tcPr>
                  <w:tcW w:w="2530" w:type="dxa"/>
                  <w:noWrap w:val="0"/>
                  <w:vAlign w:val="center"/>
                </w:tcPr>
                <w:p w14:paraId="32DC2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本项目情况</w:t>
                  </w:r>
                </w:p>
              </w:tc>
              <w:tc>
                <w:tcPr>
                  <w:tcW w:w="947" w:type="dxa"/>
                  <w:noWrap w:val="0"/>
                  <w:vAlign w:val="center"/>
                </w:tcPr>
                <w:p w14:paraId="6D0C55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符合性</w:t>
                  </w:r>
                </w:p>
              </w:tc>
            </w:tr>
            <w:tr w14:paraId="4F27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71" w:type="dxa"/>
                  <w:vMerge w:val="restart"/>
                  <w:noWrap w:val="0"/>
                  <w:vAlign w:val="center"/>
                </w:tcPr>
                <w:p w14:paraId="7D4FB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工业和信息化领域</w:t>
                  </w:r>
                </w:p>
              </w:tc>
              <w:tc>
                <w:tcPr>
                  <w:tcW w:w="4051" w:type="dxa"/>
                  <w:noWrap w:val="0"/>
                  <w:vAlign w:val="center"/>
                </w:tcPr>
                <w:p w14:paraId="7131FB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优化产业结构和布局。严格项目准入，遏制“两高一低”项目盲目发展。落实产业规划及产业政策，严格执行重点行业产能置换办法，依法依规淘汰落后产能。</w:t>
                  </w:r>
                </w:p>
              </w:tc>
              <w:tc>
                <w:tcPr>
                  <w:tcW w:w="2530" w:type="dxa"/>
                  <w:noWrap w:val="0"/>
                  <w:vAlign w:val="center"/>
                </w:tcPr>
                <w:p w14:paraId="4E3C21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本项目不属于《环境保护综合名录（2021年版）》中高耗能高排放项目，不属于《产业结构调整指导目录（2024年本）》限制类淘汰类设施及生产线</w:t>
                  </w:r>
                </w:p>
              </w:tc>
              <w:tc>
                <w:tcPr>
                  <w:tcW w:w="947" w:type="dxa"/>
                  <w:noWrap w:val="0"/>
                  <w:vAlign w:val="center"/>
                </w:tcPr>
                <w:p w14:paraId="709CD2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1C67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continue"/>
                  <w:noWrap w:val="0"/>
                  <w:vAlign w:val="center"/>
                </w:tcPr>
                <w:p w14:paraId="04542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4051" w:type="dxa"/>
                  <w:noWrap w:val="0"/>
                  <w:vAlign w:val="center"/>
                </w:tcPr>
                <w:p w14:paraId="0B4FE6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加大低VOCs原辅材料替代力度。建立多部门联合执法机制，加大监督检查力度，确保生产、销售、使用符合VOCs含量限值标准的产品。以工业涂装、包装印刷和胶粘剂使用等为重点，在企业清洁生产审核中明确提出低VOCs原辅材料替代要求。</w:t>
                  </w:r>
                </w:p>
              </w:tc>
              <w:tc>
                <w:tcPr>
                  <w:tcW w:w="2530" w:type="dxa"/>
                  <w:noWrap w:val="0"/>
                  <w:vAlign w:val="center"/>
                </w:tcPr>
                <w:p w14:paraId="17249E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本项目由于产品要求无法完全采用水性涂料代替，但项目所采用的油漆原料为符合国家标准的原料，其挥发性有机物含量符合环保要求</w:t>
                  </w:r>
                </w:p>
              </w:tc>
              <w:tc>
                <w:tcPr>
                  <w:tcW w:w="947" w:type="dxa"/>
                  <w:noWrap w:val="0"/>
                  <w:vAlign w:val="center"/>
                </w:tcPr>
                <w:p w14:paraId="1BC532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r w14:paraId="17FF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noWrap w:val="0"/>
                  <w:vAlign w:val="center"/>
                </w:tcPr>
                <w:p w14:paraId="7821C6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工业治理领域</w:t>
                  </w:r>
                </w:p>
              </w:tc>
              <w:tc>
                <w:tcPr>
                  <w:tcW w:w="4051" w:type="dxa"/>
                  <w:noWrap w:val="0"/>
                  <w:vAlign w:val="center"/>
                </w:tcPr>
                <w:p w14:paraId="069452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开展涉VOCs重点行业全流程整治。持续开展VOCs治理突出问题排查，清理整顿简易低效、不合规定治理设施，强化无组织和非正常工况废气排放管控。规范开展泄漏检测与修复。</w:t>
                  </w:r>
                </w:p>
              </w:tc>
              <w:tc>
                <w:tcPr>
                  <w:tcW w:w="2530" w:type="dxa"/>
                  <w:noWrap w:val="0"/>
                  <w:vAlign w:val="center"/>
                </w:tcPr>
                <w:p w14:paraId="6023FC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本项目上漆工艺在上漆房中进行，上漆房为密闭装置，收集的后的废气经“二级活性炭吸附装置”处理，仅少量无组织废气排放，能够实现达标排放。</w:t>
                  </w:r>
                </w:p>
              </w:tc>
              <w:tc>
                <w:tcPr>
                  <w:tcW w:w="947" w:type="dxa"/>
                  <w:noWrap w:val="0"/>
                  <w:vAlign w:val="center"/>
                </w:tcPr>
                <w:p w14:paraId="1E379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符合</w:t>
                  </w:r>
                </w:p>
              </w:tc>
            </w:tr>
          </w:tbl>
          <w:p w14:paraId="79FCD0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u w:val="single"/>
                <w:vertAlign w:val="baseline"/>
                <w:lang w:val="en-US" w:eastAsia="zh-CN"/>
                <w14:textFill>
                  <w14:solidFill>
                    <w14:schemeClr w14:val="tx1"/>
                  </w14:solidFill>
                </w14:textFill>
              </w:rPr>
              <w:t>综上所述，本项目符合湖南省大气污染防治“守护蓝天”攻坚行动计划（2023-2025年）中相关要求。</w:t>
            </w:r>
          </w:p>
          <w:p w14:paraId="1149469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p w14:paraId="663BB03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p w14:paraId="62BB7F4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p w14:paraId="10694D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p w14:paraId="6FBB367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p w14:paraId="2AD2CE9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p w14:paraId="3762AB8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p w14:paraId="2C75902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p w14:paraId="0F26547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pPr>
          </w:p>
        </w:tc>
      </w:tr>
    </w:tbl>
    <w:p w14:paraId="356756C3">
      <w:pPr>
        <w:jc w:val="both"/>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7975048D">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Times New Roman" w:hAnsi="Times New Roman" w:eastAsia="黑体" w:cs="Times New Roman"/>
          <w:b/>
          <w:bCs w:val="0"/>
          <w:color w:val="000000" w:themeColor="text1"/>
          <w:sz w:val="28"/>
          <w:szCs w:val="28"/>
          <w:lang w:val="en-US" w:eastAsia="zh-CN"/>
          <w14:textFill>
            <w14:solidFill>
              <w14:schemeClr w14:val="tx1"/>
            </w14:solidFill>
          </w14:textFill>
        </w:rPr>
      </w:pPr>
      <w:bookmarkStart w:id="7" w:name="_Toc913"/>
      <w:bookmarkStart w:id="8" w:name="_Toc22421"/>
      <w:bookmarkStart w:id="9" w:name="_Toc19958"/>
      <w:bookmarkStart w:id="10" w:name="_Toc2650"/>
      <w:r>
        <w:rPr>
          <w:rFonts w:hint="eastAsia" w:ascii="Times New Roman" w:hAnsi="Times New Roman" w:eastAsia="黑体" w:cs="Times New Roman"/>
          <w:b/>
          <w:bCs w:val="0"/>
          <w:color w:val="000000" w:themeColor="text1"/>
          <w:sz w:val="28"/>
          <w:szCs w:val="28"/>
          <w:lang w:val="en-US" w:eastAsia="zh-CN"/>
          <w14:textFill>
            <w14:solidFill>
              <w14:schemeClr w14:val="tx1"/>
            </w14:solidFill>
          </w14:textFill>
        </w:rPr>
        <w:t>二</w:t>
      </w:r>
      <w:r>
        <w:rPr>
          <w:rFonts w:hint="default" w:ascii="Times New Roman" w:hAnsi="Times New Roman" w:eastAsia="黑体" w:cs="Times New Roman"/>
          <w:b/>
          <w:bCs w:val="0"/>
          <w:color w:val="000000" w:themeColor="text1"/>
          <w:sz w:val="28"/>
          <w:szCs w:val="28"/>
          <w:lang w:val="en-US" w:eastAsia="zh-CN"/>
          <w14:textFill>
            <w14:solidFill>
              <w14:schemeClr w14:val="tx1"/>
            </w14:solidFill>
          </w14:textFill>
        </w:rPr>
        <w:t>、建设项目</w:t>
      </w:r>
      <w:r>
        <w:rPr>
          <w:rFonts w:hint="eastAsia" w:ascii="Times New Roman" w:hAnsi="Times New Roman" w:eastAsia="黑体" w:cs="Times New Roman"/>
          <w:b/>
          <w:bCs w:val="0"/>
          <w:color w:val="000000" w:themeColor="text1"/>
          <w:sz w:val="28"/>
          <w:szCs w:val="28"/>
          <w:lang w:val="en-US" w:eastAsia="zh-CN"/>
          <w14:textFill>
            <w14:solidFill>
              <w14:schemeClr w14:val="tx1"/>
            </w14:solidFill>
          </w14:textFill>
        </w:rPr>
        <w:t>工程分析</w:t>
      </w:r>
      <w:bookmarkEnd w:id="7"/>
      <w:bookmarkEnd w:id="8"/>
      <w:bookmarkEnd w:id="9"/>
      <w:bookmarkEnd w:id="10"/>
    </w:p>
    <w:tbl>
      <w:tblPr>
        <w:tblStyle w:val="8"/>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8416"/>
      </w:tblGrid>
      <w:tr w14:paraId="1C37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dxa"/>
            <w:noWrap w:val="0"/>
            <w:vAlign w:val="center"/>
          </w:tcPr>
          <w:p w14:paraId="596F12BD">
            <w:pPr>
              <w:jc w:val="center"/>
              <w:rPr>
                <w:rFonts w:hint="default"/>
                <w:color w:val="000000" w:themeColor="text1"/>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建设内容</w:t>
            </w:r>
          </w:p>
        </w:tc>
        <w:tc>
          <w:tcPr>
            <w:tcW w:w="8416" w:type="dxa"/>
            <w:noWrap w:val="0"/>
            <w:vAlign w:val="top"/>
          </w:tcPr>
          <w:p w14:paraId="0E4661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1.工程内容及规模</w:t>
            </w:r>
          </w:p>
          <w:p w14:paraId="3BC67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项目由来</w:t>
            </w:r>
          </w:p>
          <w:p w14:paraId="1509BF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湖南省益能环保科技有限公司（以下简称“建设单位”）</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位于湖南省怀化市溆浦县卢峰镇（</w:t>
            </w:r>
            <w:r>
              <w:rPr>
                <w:rFonts w:hint="eastAsia" w:cs="Times New Roman"/>
                <w:b w:val="0"/>
                <w:bCs w:val="0"/>
                <w:color w:val="000000" w:themeColor="text1"/>
                <w:sz w:val="24"/>
                <w:szCs w:val="24"/>
                <w:lang w:val="en-US" w:eastAsia="zh-CN"/>
                <w14:textFill>
                  <w14:solidFill>
                    <w14:schemeClr w14:val="tx1"/>
                  </w14:solidFill>
                </w14:textFill>
              </w:rPr>
              <w:t>原仲夏乡</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）太坪村一组（中心地理坐标：中心地理坐标：27°55’22.195”N、110°33’42.632”E）</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14:paraId="2F8E22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2014年5月，建设单位委托怀化市环境保护科学研究所编制了《湖南省益能环保科技有限公司年产48台（套）污泥干化处理设备生产线建设项目环境影响报告表》，并于同年8月22日取得了怀化市环境保护局《关于湖南省益能环保科技有限公司年产48台（套）污泥干化处理设备生产线建设项目环境影响报告表的批复》（怀环审﹝2014﹞98号）（详见附件</w:t>
            </w:r>
            <w:r>
              <w:rPr>
                <w:rFonts w:hint="eastAsia" w:cs="Times New Roman"/>
                <w:b w:val="0"/>
                <w:bCs w:val="0"/>
                <w:color w:val="000000" w:themeColor="text1"/>
                <w:sz w:val="24"/>
                <w:szCs w:val="24"/>
                <w:lang w:val="en-US" w:eastAsia="zh-CN"/>
                <w14:textFill>
                  <w14:solidFill>
                    <w14:schemeClr w14:val="tx1"/>
                  </w14:solidFill>
                </w14:textFill>
              </w:rPr>
              <w:t>5</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14:paraId="2C2DDF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2015年5月，建设单位委托怀化市环境保护科学研究所编制了《湖南省益能环保科技有限公司年产48台（套）污泥干化处理设备生产线扩建项目环境影响报告表》，并于2016年5月18日取得了怀化市环境保护局《关于湖南省益能环保科技有限公司年产48台（套）污泥干化处理设备生产线扩建项目环境影响报告表的批复》（怀环审﹝2016﹞68号）（详见附件</w:t>
            </w:r>
            <w:r>
              <w:rPr>
                <w:rFonts w:hint="eastAsia" w:cs="Times New Roman"/>
                <w:b w:val="0"/>
                <w:bCs w:val="0"/>
                <w:color w:val="000000" w:themeColor="text1"/>
                <w:sz w:val="24"/>
                <w:szCs w:val="24"/>
                <w:lang w:val="en-US" w:eastAsia="zh-CN"/>
                <w14:textFill>
                  <w14:solidFill>
                    <w14:schemeClr w14:val="tx1"/>
                  </w14:solidFill>
                </w14:textFill>
              </w:rPr>
              <w:t>5</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14:paraId="3B3A98E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2017年3月，建设单位申请了竣工环境保护验收，2017年3月27日，溆浦县环保局出具了《湖南省益能环保科技有限公司年产48台（套）污泥干化处理设备生产线项目竣工环境保护验收会议纪要》及验收意见（溆环验﹝2017﹞11号）（详见附件</w:t>
            </w:r>
            <w:r>
              <w:rPr>
                <w:rFonts w:hint="eastAsia" w:cs="Times New Roman"/>
                <w:b w:val="0"/>
                <w:bCs w:val="0"/>
                <w:color w:val="000000" w:themeColor="text1"/>
                <w:sz w:val="24"/>
                <w:szCs w:val="24"/>
                <w:lang w:val="en-US" w:eastAsia="zh-CN"/>
                <w14:textFill>
                  <w14:solidFill>
                    <w14:schemeClr w14:val="tx1"/>
                  </w14:solidFill>
                </w14:textFill>
              </w:rPr>
              <w:t>6</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14:paraId="03BF83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u w:val="single"/>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现因企业生产发展需要（产品出口要求），建设单位</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拟在现有项目厂区1号车间建设“</w:t>
            </w:r>
            <w:r>
              <w:rPr>
                <w:rFonts w:hint="eastAsia" w:cs="Times New Roman"/>
                <w:b w:val="0"/>
                <w:bCs w:val="0"/>
                <w:color w:val="000000" w:themeColor="text1"/>
                <w:sz w:val="24"/>
                <w:szCs w:val="24"/>
                <w:lang w:val="en-US" w:eastAsia="zh-CN"/>
                <w14:textFill>
                  <w14:solidFill>
                    <w14:schemeClr w14:val="tx1"/>
                  </w14:solidFill>
                </w14:textFill>
              </w:rPr>
              <w:t>湖南省益能环保科技有限公司年产48台（套）污泥干化处理设备生产线</w:t>
            </w:r>
            <w:r>
              <w:rPr>
                <w:rFonts w:hint="eastAsia" w:cs="Times New Roman"/>
                <w:b w:val="0"/>
                <w:bCs w:val="0"/>
                <w:color w:val="000000" w:themeColor="text1"/>
                <w:sz w:val="24"/>
                <w:szCs w:val="24"/>
                <w:u w:val="single"/>
                <w:lang w:val="en-US" w:eastAsia="zh-CN"/>
                <w14:textFill>
                  <w14:solidFill>
                    <w14:schemeClr w14:val="tx1"/>
                  </w14:solidFill>
                </w14:textFill>
              </w:rPr>
              <w:t>新增上漆工艺</w:t>
            </w:r>
            <w:r>
              <w:rPr>
                <w:rFonts w:hint="eastAsia" w:cs="Times New Roman"/>
                <w:b w:val="0"/>
                <w:bCs w:val="0"/>
                <w:color w:val="000000" w:themeColor="text1"/>
                <w:sz w:val="24"/>
                <w:szCs w:val="24"/>
                <w:lang w:val="en-US" w:eastAsia="zh-CN"/>
                <w14:textFill>
                  <w14:solidFill>
                    <w14:schemeClr w14:val="tx1"/>
                  </w14:solidFill>
                </w14:textFill>
              </w:rPr>
              <w:t>建设项目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”（以下简称“本项目”），</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本项目</w:t>
            </w:r>
            <w:r>
              <w:rPr>
                <w:rFonts w:hint="eastAsia" w:cs="Times New Roman"/>
                <w:b w:val="0"/>
                <w:bCs w:val="0"/>
                <w:color w:val="000000" w:themeColor="text1"/>
                <w:sz w:val="24"/>
                <w:szCs w:val="24"/>
                <w:u w:val="single"/>
                <w:lang w:val="en-US" w:eastAsia="zh-CN"/>
                <w14:textFill>
                  <w14:solidFill>
                    <w14:schemeClr w14:val="tx1"/>
                  </w14:solidFill>
                </w14:textFill>
              </w:rPr>
              <w:t>仅</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新增</w:t>
            </w:r>
            <w:r>
              <w:rPr>
                <w:rFonts w:hint="eastAsia" w:cs="Times New Roman"/>
                <w:b w:val="0"/>
                <w:bCs w:val="0"/>
                <w:color w:val="000000" w:themeColor="text1"/>
                <w:sz w:val="24"/>
                <w:szCs w:val="24"/>
                <w:u w:val="single"/>
                <w:lang w:val="en-US" w:eastAsia="zh-CN"/>
                <w14:textFill>
                  <w14:solidFill>
                    <w14:schemeClr w14:val="tx1"/>
                  </w14:solidFill>
                </w14:textFill>
              </w:rPr>
              <w:t>上漆工艺</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，其余内容不变</w:t>
            </w:r>
            <w:r>
              <w:rPr>
                <w:rFonts w:hint="eastAsia"/>
                <w:color w:val="000000" w:themeColor="text1"/>
                <w:u w:val="single"/>
                <w:vertAlign w:val="baseline"/>
                <w:lang w:val="en-US" w:eastAsia="zh-CN"/>
                <w14:textFill>
                  <w14:solidFill>
                    <w14:schemeClr w14:val="tx1"/>
                  </w14:solidFill>
                </w14:textFill>
              </w:rPr>
              <w:t>。</w:t>
            </w:r>
          </w:p>
          <w:p w14:paraId="027534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1.2环境影响评价分类</w:t>
            </w:r>
          </w:p>
          <w:p w14:paraId="6DE4F3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中华人民共和国环境保护法》、《中华人民共和国环境影响评价法》和《建设项目环境保护管理条例》的有关规定，建设项目需要履行环境影响评价手续。对照《建设项目环境影响评价分类管理名录》，本项目属于“三十二、专用设备制造业35-70 环保、邮政、社会公共服务及其他专用设备制造 359</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，应编制环评报告表。</w:t>
            </w:r>
          </w:p>
          <w:p w14:paraId="2320EC38">
            <w:pPr>
              <w:spacing w:line="360" w:lineRule="auto"/>
              <w:ind w:left="0" w:leftChars="0" w:firstLine="0" w:firstLineChars="0"/>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表2-1 建设项目环境影响评价分类管理名录（摘录）</w:t>
            </w:r>
          </w:p>
          <w:tbl>
            <w:tblPr>
              <w:tblStyle w:val="8"/>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2311"/>
              <w:gridCol w:w="2520"/>
              <w:gridCol w:w="972"/>
            </w:tblGrid>
            <w:tr w14:paraId="7B65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407" w:type="dxa"/>
                  <w:tcBorders>
                    <w:tl2br w:val="single" w:color="auto" w:sz="4" w:space="0"/>
                  </w:tcBorders>
                  <w:noWrap w:val="0"/>
                  <w:vAlign w:val="top"/>
                </w:tcPr>
                <w:p w14:paraId="0C573B15">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 xml:space="preserve">            环评类别</w:t>
                  </w:r>
                </w:p>
                <w:p w14:paraId="1F458457">
                  <w:pPr>
                    <w:spacing w:line="240" w:lineRule="auto"/>
                    <w:jc w:val="both"/>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项目类别</w:t>
                  </w:r>
                </w:p>
              </w:tc>
              <w:tc>
                <w:tcPr>
                  <w:tcW w:w="2311" w:type="dxa"/>
                  <w:noWrap w:val="0"/>
                  <w:vAlign w:val="center"/>
                </w:tcPr>
                <w:p w14:paraId="55BDDA43">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报告书</w:t>
                  </w:r>
                </w:p>
              </w:tc>
              <w:tc>
                <w:tcPr>
                  <w:tcW w:w="2520" w:type="dxa"/>
                  <w:noWrap w:val="0"/>
                  <w:vAlign w:val="center"/>
                </w:tcPr>
                <w:p w14:paraId="6359F2D6">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报告表</w:t>
                  </w:r>
                </w:p>
              </w:tc>
              <w:tc>
                <w:tcPr>
                  <w:tcW w:w="972" w:type="dxa"/>
                  <w:noWrap w:val="0"/>
                  <w:vAlign w:val="center"/>
                </w:tcPr>
                <w:p w14:paraId="27CB189B">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登记表</w:t>
                  </w:r>
                </w:p>
              </w:tc>
            </w:tr>
            <w:tr w14:paraId="0C21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210" w:type="dxa"/>
                  <w:gridSpan w:val="4"/>
                  <w:noWrap w:val="0"/>
                  <w:vAlign w:val="center"/>
                </w:tcPr>
                <w:p w14:paraId="31BEDF3C">
                  <w:pPr>
                    <w:spacing w:line="240" w:lineRule="auto"/>
                    <w:jc w:val="both"/>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三十二、专用设备制造业</w:t>
                  </w:r>
                </w:p>
              </w:tc>
            </w:tr>
            <w:tr w14:paraId="5664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407" w:type="dxa"/>
                  <w:noWrap w:val="0"/>
                  <w:vAlign w:val="center"/>
                </w:tcPr>
                <w:p w14:paraId="6DF53B4B">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70 环保、邮政、社会公共服务及其他专用设备制造 359</w:t>
                  </w:r>
                </w:p>
              </w:tc>
              <w:tc>
                <w:tcPr>
                  <w:tcW w:w="2311" w:type="dxa"/>
                  <w:noWrap w:val="0"/>
                  <w:vAlign w:val="center"/>
                </w:tcPr>
                <w:p w14:paraId="18FAB9C1">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有电镀工艺的；年用溶剂型涂料（含稀释剂）10吨及以上的</w:t>
                  </w:r>
                </w:p>
              </w:tc>
              <w:tc>
                <w:tcPr>
                  <w:tcW w:w="2520" w:type="dxa"/>
                  <w:noWrap w:val="0"/>
                  <w:vAlign w:val="center"/>
                </w:tcPr>
                <w:p w14:paraId="1A099C7D">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其他（仅分割、焊接、组装的除外；年用非溶剂型低VOCs含量涂料10吨以下的除外）</w:t>
                  </w:r>
                </w:p>
              </w:tc>
              <w:tc>
                <w:tcPr>
                  <w:tcW w:w="972" w:type="dxa"/>
                  <w:noWrap w:val="0"/>
                  <w:vAlign w:val="center"/>
                </w:tcPr>
                <w:p w14:paraId="0663009C">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r>
          </w:tbl>
          <w:p w14:paraId="4802B5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中华人民共和国环境影响评价法》（2016年9月1日起施行，2018年12月29日修订）、中华人民共和国国务院令第682号《建设项目环境保护管理条例》（2017年6月21日国务院第177次常务会议通过）中规定的有关要求，一切可能对环境产生影响的新建、改扩建和技术改造项目均必须执行环境影响评价制度。因此，受建设单位委托，</w:t>
            </w:r>
            <w:r>
              <w:rPr>
                <w:rFonts w:hint="eastAsia" w:cs="Times New Roman"/>
                <w:b w:val="0"/>
                <w:bCs w:val="0"/>
                <w:color w:val="000000" w:themeColor="text1"/>
                <w:sz w:val="24"/>
                <w:szCs w:val="24"/>
                <w:vertAlign w:val="baseline"/>
                <w:lang w:val="en-US" w:eastAsia="zh-CN"/>
                <w14:textFill>
                  <w14:solidFill>
                    <w14:schemeClr w14:val="tx1"/>
                  </w14:solidFill>
                </w14:textFill>
              </w:rPr>
              <w:t>湖南</w:t>
            </w:r>
            <w:r>
              <w:rPr>
                <w:rFonts w:hint="eastAsia"/>
                <w:color w:val="000000" w:themeColor="text1"/>
                <w:lang w:val="en-US" w:eastAsia="zh-CN"/>
                <w14:textFill>
                  <w14:solidFill>
                    <w14:schemeClr w14:val="tx1"/>
                  </w14:solidFill>
                </w14:textFill>
              </w:rPr>
              <w:t>霖昇工程技术咨询有限公司</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以下简称“我公司”</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承担了该项目的环境影响评价工作</w:t>
            </w:r>
            <w:r>
              <w:rPr>
                <w:rFonts w:hint="eastAsia" w:cs="Times New Roman"/>
                <w:b w:val="0"/>
                <w:bCs w:val="0"/>
                <w:color w:val="000000" w:themeColor="text1"/>
                <w:sz w:val="24"/>
                <w:szCs w:val="24"/>
                <w:vertAlign w:val="baseline"/>
                <w:lang w:val="en-US" w:eastAsia="zh-CN"/>
                <w14:textFill>
                  <w14:solidFill>
                    <w14:schemeClr w14:val="tx1"/>
                  </w14:solidFill>
                </w14:textFill>
              </w:rPr>
              <w:t>（详见附件1）</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。我司在接受委托后，组织有关技术人员进行现场勘察、收集相关资料，并依据相关法律法规、导则标准以及技术规范和编制指南完成了《</w:t>
            </w:r>
            <w:r>
              <w:rPr>
                <w:rFonts w:hint="eastAsia" w:cs="Times New Roman"/>
                <w:b w:val="0"/>
                <w:bCs w:val="0"/>
                <w:color w:val="000000" w:themeColor="text1"/>
                <w:sz w:val="24"/>
                <w:szCs w:val="24"/>
                <w:vertAlign w:val="baseline"/>
                <w:lang w:val="en-US" w:eastAsia="zh-CN"/>
                <w14:textFill>
                  <w14:solidFill>
                    <w14:schemeClr w14:val="tx1"/>
                  </w14:solidFill>
                </w14:textFill>
              </w:rPr>
              <w:t>湖南省益能环保科技有限公司年产48台（套）污泥干化处理设备生产线新增上漆工艺建设项目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环境影响报告表》编制工作，并上报生态环境主管部门审批。</w:t>
            </w:r>
          </w:p>
          <w:p w14:paraId="70678B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项目</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建设内容</w:t>
            </w:r>
          </w:p>
          <w:p w14:paraId="2FC3E27B">
            <w:pPr>
              <w:ind w:firstLine="480" w:firstLineChars="200"/>
              <w:rPr>
                <w:rFonts w:hint="default" w:ascii="Times New Roman" w:hAnsi="Times New Roman" w:eastAsia="黑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highlight w:val="none"/>
                <w:lang w:val="en-US" w:eastAsia="zh-CN"/>
                <w14:textFill>
                  <w14:solidFill>
                    <w14:schemeClr w14:val="tx1"/>
                  </w14:solidFill>
                </w14:textFill>
              </w:rPr>
              <w:t>2.1项目技术经济指标</w:t>
            </w:r>
          </w:p>
          <w:p w14:paraId="120F5A0A">
            <w:pPr>
              <w:ind w:firstLine="480" w:firstLineChars="20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技术经济指标</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详见下表2-</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所示。</w:t>
            </w:r>
          </w:p>
          <w:p w14:paraId="4588D930">
            <w:pPr>
              <w:jc w:val="cente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表2-</w:t>
            </w: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 xml:space="preserve"> </w:t>
            </w: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扩建</w:t>
            </w: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前后项目技术经济指标一览表</w:t>
            </w:r>
          </w:p>
          <w:tbl>
            <w:tblPr>
              <w:tblStyle w:val="8"/>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089"/>
              <w:gridCol w:w="1972"/>
              <w:gridCol w:w="1488"/>
              <w:gridCol w:w="2010"/>
            </w:tblGrid>
            <w:tr w14:paraId="1D2E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vAlign w:val="center"/>
                </w:tcPr>
                <w:p w14:paraId="2939B3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序号</w:t>
                  </w:r>
                </w:p>
              </w:tc>
              <w:tc>
                <w:tcPr>
                  <w:tcW w:w="2089" w:type="dxa"/>
                  <w:vMerge w:val="restart"/>
                  <w:shd w:val="clear" w:color="auto" w:fill="auto"/>
                  <w:vAlign w:val="center"/>
                </w:tcPr>
                <w:p w14:paraId="079B7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名称</w:t>
                  </w:r>
                </w:p>
              </w:tc>
              <w:tc>
                <w:tcPr>
                  <w:tcW w:w="5470" w:type="dxa"/>
                  <w:gridSpan w:val="3"/>
                  <w:shd w:val="clear" w:color="auto" w:fill="auto"/>
                  <w:vAlign w:val="center"/>
                </w:tcPr>
                <w:p w14:paraId="75A72A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技术指标</w:t>
                  </w:r>
                </w:p>
              </w:tc>
            </w:tr>
            <w:tr w14:paraId="7D95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71" w:type="dxa"/>
                  <w:vMerge w:val="continue"/>
                  <w:shd w:val="clear" w:color="auto" w:fill="auto"/>
                  <w:vAlign w:val="center"/>
                </w:tcPr>
                <w:p w14:paraId="5287E3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p>
              </w:tc>
              <w:tc>
                <w:tcPr>
                  <w:tcW w:w="2089" w:type="dxa"/>
                  <w:vMerge w:val="continue"/>
                  <w:shd w:val="clear" w:color="auto" w:fill="auto"/>
                  <w:vAlign w:val="center"/>
                </w:tcPr>
                <w:p w14:paraId="25E7A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p>
              </w:tc>
              <w:tc>
                <w:tcPr>
                  <w:tcW w:w="1972" w:type="dxa"/>
                  <w:shd w:val="clear" w:color="auto" w:fill="auto"/>
                  <w:vAlign w:val="center"/>
                </w:tcPr>
                <w:p w14:paraId="401480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eastAsia="zh-CN"/>
                      <w14:textFill>
                        <w14:solidFill>
                          <w14:schemeClr w14:val="tx1"/>
                        </w14:solidFill>
                      </w14:textFill>
                    </w:rPr>
                    <w:t>现有项目</w:t>
                  </w: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扩建</w:t>
                  </w: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前）</w:t>
                  </w:r>
                </w:p>
              </w:tc>
              <w:tc>
                <w:tcPr>
                  <w:tcW w:w="1488" w:type="dxa"/>
                  <w:shd w:val="clear" w:color="auto" w:fill="auto"/>
                  <w:vAlign w:val="center"/>
                </w:tcPr>
                <w:p w14:paraId="5F6C4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本项目</w:t>
                  </w:r>
                </w:p>
              </w:tc>
              <w:tc>
                <w:tcPr>
                  <w:tcW w:w="2010" w:type="dxa"/>
                  <w:shd w:val="clear" w:color="auto" w:fill="auto"/>
                  <w:vAlign w:val="center"/>
                </w:tcPr>
                <w:p w14:paraId="1A25E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总体项目（扩建后）</w:t>
                  </w:r>
                </w:p>
              </w:tc>
            </w:tr>
            <w:tr w14:paraId="7F6E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48E1E6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1</w:t>
                  </w:r>
                </w:p>
              </w:tc>
              <w:tc>
                <w:tcPr>
                  <w:tcW w:w="2089" w:type="dxa"/>
                  <w:vAlign w:val="center"/>
                </w:tcPr>
                <w:p w14:paraId="5509D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总征地面积</w:t>
                  </w:r>
                </w:p>
              </w:tc>
              <w:tc>
                <w:tcPr>
                  <w:tcW w:w="1972" w:type="dxa"/>
                  <w:vAlign w:val="center"/>
                </w:tcPr>
                <w:p w14:paraId="76412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8913.33m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1488" w:type="dxa"/>
                  <w:vAlign w:val="center"/>
                </w:tcPr>
                <w:p w14:paraId="2CD8E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2ACFBE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8913.33m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r>
            <w:tr w14:paraId="19A0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3B2AF4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2</w:t>
                  </w:r>
                </w:p>
              </w:tc>
              <w:tc>
                <w:tcPr>
                  <w:tcW w:w="2089" w:type="dxa"/>
                  <w:vAlign w:val="center"/>
                </w:tcPr>
                <w:p w14:paraId="58069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道路占地面积</w:t>
                  </w:r>
                </w:p>
              </w:tc>
              <w:tc>
                <w:tcPr>
                  <w:tcW w:w="1972" w:type="dxa"/>
                  <w:vAlign w:val="center"/>
                </w:tcPr>
                <w:p w14:paraId="6C3F3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322m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1488" w:type="dxa"/>
                  <w:vAlign w:val="center"/>
                </w:tcPr>
                <w:p w14:paraId="2EFB36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0A81DB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322m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r>
            <w:tr w14:paraId="55D7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2F346E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3</w:t>
                  </w:r>
                </w:p>
              </w:tc>
              <w:tc>
                <w:tcPr>
                  <w:tcW w:w="2089" w:type="dxa"/>
                  <w:vAlign w:val="center"/>
                </w:tcPr>
                <w:p w14:paraId="6A0A57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总用地面积</w:t>
                  </w:r>
                </w:p>
              </w:tc>
              <w:tc>
                <w:tcPr>
                  <w:tcW w:w="1972" w:type="dxa"/>
                  <w:vAlign w:val="center"/>
                </w:tcPr>
                <w:p w14:paraId="31439D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8389.6m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1488" w:type="dxa"/>
                  <w:vAlign w:val="center"/>
                </w:tcPr>
                <w:p w14:paraId="1263A8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13963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8389.6m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r>
            <w:tr w14:paraId="2D15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3EC19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4</w:t>
                  </w:r>
                </w:p>
              </w:tc>
              <w:tc>
                <w:tcPr>
                  <w:tcW w:w="2089" w:type="dxa"/>
                  <w:vAlign w:val="center"/>
                </w:tcPr>
                <w:p w14:paraId="5770D9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建筑占地面积</w:t>
                  </w:r>
                </w:p>
              </w:tc>
              <w:tc>
                <w:tcPr>
                  <w:tcW w:w="1972" w:type="dxa"/>
                  <w:vAlign w:val="center"/>
                </w:tcPr>
                <w:p w14:paraId="4047DF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2910.5m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1488" w:type="dxa"/>
                  <w:vAlign w:val="center"/>
                </w:tcPr>
                <w:p w14:paraId="0D37F8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318E2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2910.5m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r>
            <w:tr w14:paraId="184A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0284D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5</w:t>
                  </w:r>
                </w:p>
              </w:tc>
              <w:tc>
                <w:tcPr>
                  <w:tcW w:w="2089" w:type="dxa"/>
                  <w:vAlign w:val="center"/>
                </w:tcPr>
                <w:p w14:paraId="0EF99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总建筑面积</w:t>
                  </w:r>
                </w:p>
              </w:tc>
              <w:tc>
                <w:tcPr>
                  <w:tcW w:w="1972" w:type="dxa"/>
                  <w:vAlign w:val="center"/>
                </w:tcPr>
                <w:p w14:paraId="7D9DEA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6070.0m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1488" w:type="dxa"/>
                  <w:vAlign w:val="center"/>
                </w:tcPr>
                <w:p w14:paraId="6889EC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1430D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6070.0m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r>
            <w:tr w14:paraId="2FB3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2ECDF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6</w:t>
                  </w:r>
                </w:p>
              </w:tc>
              <w:tc>
                <w:tcPr>
                  <w:tcW w:w="2089" w:type="dxa"/>
                  <w:vAlign w:val="center"/>
                </w:tcPr>
                <w:p w14:paraId="40F6FB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建筑密度</w:t>
                  </w:r>
                </w:p>
              </w:tc>
              <w:tc>
                <w:tcPr>
                  <w:tcW w:w="1972" w:type="dxa"/>
                  <w:vAlign w:val="center"/>
                </w:tcPr>
                <w:p w14:paraId="36BBE3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325m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1488" w:type="dxa"/>
                  <w:vAlign w:val="center"/>
                </w:tcPr>
                <w:p w14:paraId="37E30F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1E8549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325m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r>
            <w:tr w14:paraId="6915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63029D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7</w:t>
                  </w:r>
                </w:p>
              </w:tc>
              <w:tc>
                <w:tcPr>
                  <w:tcW w:w="2089" w:type="dxa"/>
                  <w:vAlign w:val="center"/>
                </w:tcPr>
                <w:p w14:paraId="51E114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建筑限高</w:t>
                  </w:r>
                </w:p>
              </w:tc>
              <w:tc>
                <w:tcPr>
                  <w:tcW w:w="1972" w:type="dxa"/>
                  <w:vAlign w:val="center"/>
                </w:tcPr>
                <w:p w14:paraId="3AFEE1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12m</w:t>
                  </w:r>
                </w:p>
              </w:tc>
              <w:tc>
                <w:tcPr>
                  <w:tcW w:w="1488" w:type="dxa"/>
                  <w:vAlign w:val="center"/>
                </w:tcPr>
                <w:p w14:paraId="7128A5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5F8C7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12m</w:t>
                  </w:r>
                </w:p>
              </w:tc>
            </w:tr>
            <w:tr w14:paraId="6972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384ADB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8</w:t>
                  </w:r>
                </w:p>
              </w:tc>
              <w:tc>
                <w:tcPr>
                  <w:tcW w:w="2089" w:type="dxa"/>
                  <w:vAlign w:val="center"/>
                </w:tcPr>
                <w:p w14:paraId="208F5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容积率</w:t>
                  </w:r>
                </w:p>
              </w:tc>
              <w:tc>
                <w:tcPr>
                  <w:tcW w:w="1972" w:type="dxa"/>
                  <w:vAlign w:val="center"/>
                </w:tcPr>
                <w:p w14:paraId="4C8B59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0.72m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1488" w:type="dxa"/>
                  <w:vAlign w:val="center"/>
                </w:tcPr>
                <w:p w14:paraId="62C640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292E0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0.72m</w:t>
                  </w:r>
                  <w:r>
                    <w:rPr>
                      <w:rFonts w:hint="default" w:ascii="Times New Roman" w:hAnsi="Times New Roman" w:eastAsia="黑体" w:cs="Times New Roman"/>
                      <w:b w:val="0"/>
                      <w:bCs w:val="0"/>
                      <w:color w:val="000000" w:themeColor="text1"/>
                      <w:sz w:val="21"/>
                      <w:szCs w:val="21"/>
                      <w:highlight w:val="none"/>
                      <w:vertAlign w:val="superscript"/>
                      <w:lang w:val="en-US" w:eastAsia="zh-CN"/>
                      <w14:textFill>
                        <w14:solidFill>
                          <w14:schemeClr w14:val="tx1"/>
                        </w14:solidFill>
                      </w14:textFill>
                    </w:rPr>
                    <w:t>2</w:t>
                  </w:r>
                </w:p>
              </w:tc>
            </w:tr>
            <w:tr w14:paraId="7A2F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6FCDD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9</w:t>
                  </w:r>
                </w:p>
              </w:tc>
              <w:tc>
                <w:tcPr>
                  <w:tcW w:w="2089" w:type="dxa"/>
                  <w:vAlign w:val="center"/>
                </w:tcPr>
                <w:p w14:paraId="051A1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绿化率</w:t>
                  </w:r>
                </w:p>
              </w:tc>
              <w:tc>
                <w:tcPr>
                  <w:tcW w:w="1972" w:type="dxa"/>
                  <w:vAlign w:val="center"/>
                </w:tcPr>
                <w:p w14:paraId="130BFA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15%</w:t>
                  </w:r>
                </w:p>
              </w:tc>
              <w:tc>
                <w:tcPr>
                  <w:tcW w:w="1488" w:type="dxa"/>
                  <w:vAlign w:val="center"/>
                </w:tcPr>
                <w:p w14:paraId="5254CF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71275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15%</w:t>
                  </w:r>
                </w:p>
              </w:tc>
            </w:tr>
            <w:tr w14:paraId="7635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2437C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10</w:t>
                  </w:r>
                </w:p>
              </w:tc>
              <w:tc>
                <w:tcPr>
                  <w:tcW w:w="2089" w:type="dxa"/>
                  <w:vAlign w:val="center"/>
                </w:tcPr>
                <w:p w14:paraId="40829D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后退道路红线</w:t>
                  </w:r>
                </w:p>
              </w:tc>
              <w:tc>
                <w:tcPr>
                  <w:tcW w:w="1972" w:type="dxa"/>
                  <w:vAlign w:val="center"/>
                </w:tcPr>
                <w:p w14:paraId="70BD2E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5m</w:t>
                  </w:r>
                </w:p>
              </w:tc>
              <w:tc>
                <w:tcPr>
                  <w:tcW w:w="1488" w:type="dxa"/>
                  <w:vAlign w:val="center"/>
                </w:tcPr>
                <w:p w14:paraId="37180A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0</w:t>
                  </w:r>
                </w:p>
              </w:tc>
              <w:tc>
                <w:tcPr>
                  <w:tcW w:w="2010" w:type="dxa"/>
                  <w:vAlign w:val="center"/>
                </w:tcPr>
                <w:p w14:paraId="38ECD8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5m</w:t>
                  </w:r>
                </w:p>
              </w:tc>
            </w:tr>
          </w:tbl>
          <w:p w14:paraId="4E3AD9BC">
            <w:pPr>
              <w:ind w:firstLine="480" w:firstLineChars="200"/>
              <w:rPr>
                <w:rFonts w:hint="default" w:ascii="Times New Roman" w:hAnsi="Times New Roman" w:eastAsia="黑体" w:cs="Times New Roman"/>
                <w:b w:val="0"/>
                <w:bCs w:val="0"/>
                <w:color w:val="000000" w:themeColor="text1"/>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73025</wp:posOffset>
                      </wp:positionV>
                      <wp:extent cx="5119370" cy="1845310"/>
                      <wp:effectExtent l="6350" t="6350" r="17780" b="15240"/>
                      <wp:wrapNone/>
                      <wp:docPr id="28" name="矩形 28"/>
                      <wp:cNvGraphicFramePr/>
                      <a:graphic xmlns:a="http://schemas.openxmlformats.org/drawingml/2006/main">
                        <a:graphicData uri="http://schemas.microsoft.com/office/word/2010/wordprocessingShape">
                          <wps:wsp>
                            <wps:cNvSpPr/>
                            <wps:spPr>
                              <a:xfrm>
                                <a:off x="1428115" y="993775"/>
                                <a:ext cx="5119370" cy="1845310"/>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5pt;margin-top:5.75pt;height:145.3pt;width:403.1pt;z-index:251661312;v-text-anchor:middle;mso-width-relative:page;mso-height-relative:page;" fillcolor="#000000 [3213]" filled="t" stroked="t" coordsize="21600,21600" o:gfxdata="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3vQkLtYAAAAJAQAA&#10;DwAAAAAAAAABACAAAAAiAAAAZHJzL2Rvd25yZXYueG1sUEsBAhQAFAAAAAgAh07iQHMM1SCNAgAA&#10;JAUAAA4AAAAAAAAAAQAgAAAAJQEAAGRycy9lMm9Eb2MueG1sUEsFBgAAAAAGAAYAWQEAACQGAAAA&#10;AA==&#10;">
                      <v:fill on="t" focussize="0,0"/>
                      <v:stroke weight="1pt" color="#2E54A1 [2404]" miterlimit="8" joinstyle="miter"/>
                      <v:imagedata o:title=""/>
                      <o:lock v:ext="edit" aspectratio="f"/>
                    </v:rect>
                  </w:pict>
                </mc:Fallback>
              </mc:AlternateContent>
            </w:r>
            <w:r>
              <w:rPr>
                <w:rFonts w:hint="default" w:ascii="Times New Roman" w:hAnsi="Times New Roman" w:eastAsia="黑体" w:cs="Times New Roman"/>
                <w:b w:val="0"/>
                <w:bCs w:val="0"/>
                <w:color w:val="000000" w:themeColor="text1"/>
                <w:highlight w:val="none"/>
                <w:lang w:val="en-US" w:eastAsia="zh-CN"/>
                <w14:textFill>
                  <w14:solidFill>
                    <w14:schemeClr w14:val="tx1"/>
                  </w14:solidFill>
                </w14:textFill>
              </w:rPr>
              <w:t>2.2项目建设内容</w:t>
            </w:r>
          </w:p>
          <w:p w14:paraId="75C702AE">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建设内容详见</w:t>
            </w:r>
            <w:r>
              <w:rPr>
                <w:color w:val="000000" w:themeColor="text1"/>
                <w:highlight w:val="none"/>
                <w14:textFill>
                  <w14:solidFill>
                    <w14:schemeClr w14:val="tx1"/>
                  </w14:solidFill>
                </w14:textFill>
              </w:rPr>
              <w:t>下表2-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所示。</w:t>
            </w:r>
          </w:p>
          <w:p w14:paraId="446B6725">
            <w:pPr>
              <w:jc w:val="cente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表2-</w:t>
            </w: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 xml:space="preserve"> </w:t>
            </w: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扩建</w:t>
            </w: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前后项目</w:t>
            </w: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建设内容</w:t>
            </w: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一览表</w:t>
            </w:r>
          </w:p>
          <w:tbl>
            <w:tblPr>
              <w:tblStyle w:val="8"/>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332"/>
              <w:gridCol w:w="2328"/>
              <w:gridCol w:w="2028"/>
              <w:gridCol w:w="1993"/>
            </w:tblGrid>
            <w:tr w14:paraId="2AD8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Merge w:val="restart"/>
                  <w:shd w:val="clear" w:color="auto" w:fill="auto"/>
                  <w:vAlign w:val="center"/>
                </w:tcPr>
                <w:p w14:paraId="39C9A4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序号</w:t>
                  </w:r>
                </w:p>
              </w:tc>
              <w:tc>
                <w:tcPr>
                  <w:tcW w:w="1332" w:type="dxa"/>
                  <w:vMerge w:val="restart"/>
                  <w:shd w:val="clear" w:color="auto" w:fill="auto"/>
                  <w:vAlign w:val="center"/>
                </w:tcPr>
                <w:p w14:paraId="3920C0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名称</w:t>
                  </w:r>
                </w:p>
              </w:tc>
              <w:tc>
                <w:tcPr>
                  <w:tcW w:w="6349" w:type="dxa"/>
                  <w:gridSpan w:val="3"/>
                  <w:shd w:val="clear" w:color="auto" w:fill="auto"/>
                  <w:vAlign w:val="center"/>
                </w:tcPr>
                <w:p w14:paraId="1FE887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技术指标</w:t>
                  </w:r>
                </w:p>
              </w:tc>
            </w:tr>
            <w:tr w14:paraId="4EEF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Merge w:val="continue"/>
                  <w:shd w:val="clear" w:color="auto" w:fill="auto"/>
                  <w:vAlign w:val="center"/>
                </w:tcPr>
                <w:p w14:paraId="20E23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p>
              </w:tc>
              <w:tc>
                <w:tcPr>
                  <w:tcW w:w="1332" w:type="dxa"/>
                  <w:vMerge w:val="continue"/>
                  <w:shd w:val="clear" w:color="auto" w:fill="auto"/>
                  <w:vAlign w:val="center"/>
                </w:tcPr>
                <w:p w14:paraId="412160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p>
              </w:tc>
              <w:tc>
                <w:tcPr>
                  <w:tcW w:w="2328" w:type="dxa"/>
                  <w:shd w:val="clear" w:color="auto" w:fill="auto"/>
                  <w:vAlign w:val="center"/>
                </w:tcPr>
                <w:p w14:paraId="3D009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eastAsia="zh-CN"/>
                      <w14:textFill>
                        <w14:solidFill>
                          <w14:schemeClr w14:val="tx1"/>
                        </w14:solidFill>
                      </w14:textFill>
                    </w:rPr>
                    <w:t>现有项目</w:t>
                  </w: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w:t>
                  </w: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扩建</w:t>
                  </w: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前）</w:t>
                  </w:r>
                </w:p>
              </w:tc>
              <w:tc>
                <w:tcPr>
                  <w:tcW w:w="2028" w:type="dxa"/>
                  <w:shd w:val="clear" w:color="auto" w:fill="auto"/>
                  <w:vAlign w:val="center"/>
                </w:tcPr>
                <w:p w14:paraId="69661D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本项目</w:t>
                  </w:r>
                  <w:r>
                    <w:rPr>
                      <w:rFonts w:hint="default" w:ascii="Times New Roman" w:hAnsi="Times New Roman" w:eastAsia="黑体" w:cs="Times New Roman"/>
                      <w:b w:val="0"/>
                      <w:bCs w:val="0"/>
                      <w:color w:val="000000" w:themeColor="text1"/>
                      <w:sz w:val="21"/>
                      <w:szCs w:val="21"/>
                      <w:highlight w:val="none"/>
                      <w:u w:val="single"/>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扩建项目</w:t>
                  </w:r>
                  <w:r>
                    <w:rPr>
                      <w:rFonts w:hint="default" w:ascii="Times New Roman" w:hAnsi="Times New Roman" w:eastAsia="黑体" w:cs="Times New Roman"/>
                      <w:b w:val="0"/>
                      <w:bCs w:val="0"/>
                      <w:color w:val="000000" w:themeColor="text1"/>
                      <w:sz w:val="21"/>
                      <w:szCs w:val="21"/>
                      <w:highlight w:val="none"/>
                      <w:u w:val="single"/>
                      <w:lang w:eastAsia="zh-CN"/>
                      <w14:textFill>
                        <w14:solidFill>
                          <w14:schemeClr w14:val="tx1"/>
                        </w14:solidFill>
                      </w14:textFill>
                    </w:rPr>
                    <w:t>）</w:t>
                  </w:r>
                </w:p>
              </w:tc>
              <w:tc>
                <w:tcPr>
                  <w:tcW w:w="1993" w:type="dxa"/>
                  <w:shd w:val="clear" w:color="auto" w:fill="auto"/>
                  <w:vAlign w:val="center"/>
                </w:tcPr>
                <w:p w14:paraId="1F8A2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总体项目（扩建后）</w:t>
                  </w:r>
                </w:p>
              </w:tc>
            </w:tr>
            <w:tr w14:paraId="3255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14:paraId="6EBC55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1</w:t>
                  </w:r>
                </w:p>
              </w:tc>
              <w:tc>
                <w:tcPr>
                  <w:tcW w:w="1332" w:type="dxa"/>
                  <w:vAlign w:val="center"/>
                </w:tcPr>
                <w:p w14:paraId="4F225A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产品方案</w:t>
                  </w:r>
                </w:p>
              </w:tc>
              <w:tc>
                <w:tcPr>
                  <w:tcW w:w="2328" w:type="dxa"/>
                  <w:vAlign w:val="center"/>
                </w:tcPr>
                <w:p w14:paraId="53961C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污泥干化处理设备</w:t>
                  </w:r>
                </w:p>
              </w:tc>
              <w:tc>
                <w:tcPr>
                  <w:tcW w:w="2028" w:type="dxa"/>
                  <w:vAlign w:val="center"/>
                </w:tcPr>
                <w:p w14:paraId="51E4D3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w:t>
                  </w:r>
                </w:p>
              </w:tc>
              <w:tc>
                <w:tcPr>
                  <w:tcW w:w="1993" w:type="dxa"/>
                  <w:vAlign w:val="center"/>
                </w:tcPr>
                <w:p w14:paraId="0195FE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污泥干化处理设备</w:t>
                  </w:r>
                </w:p>
              </w:tc>
            </w:tr>
            <w:tr w14:paraId="1BF1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14:paraId="4D7FF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2</w:t>
                  </w:r>
                </w:p>
              </w:tc>
              <w:tc>
                <w:tcPr>
                  <w:tcW w:w="1332" w:type="dxa"/>
                  <w:vAlign w:val="center"/>
                </w:tcPr>
                <w:p w14:paraId="66BFF7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产品产量</w:t>
                  </w:r>
                </w:p>
              </w:tc>
              <w:tc>
                <w:tcPr>
                  <w:tcW w:w="2328" w:type="dxa"/>
                  <w:vAlign w:val="center"/>
                </w:tcPr>
                <w:p w14:paraId="2B5B5E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48台（套）</w:t>
                  </w:r>
                </w:p>
              </w:tc>
              <w:tc>
                <w:tcPr>
                  <w:tcW w:w="2028" w:type="dxa"/>
                  <w:vAlign w:val="center"/>
                </w:tcPr>
                <w:p w14:paraId="020CE0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w:t>
                  </w:r>
                </w:p>
              </w:tc>
              <w:tc>
                <w:tcPr>
                  <w:tcW w:w="1993" w:type="dxa"/>
                  <w:vAlign w:val="center"/>
                </w:tcPr>
                <w:p w14:paraId="41D1D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48台（套）</w:t>
                  </w:r>
                </w:p>
              </w:tc>
            </w:tr>
            <w:tr w14:paraId="0075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7" w:type="dxa"/>
                  <w:vAlign w:val="center"/>
                </w:tcPr>
                <w:p w14:paraId="3DEBCC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3</w:t>
                  </w:r>
                </w:p>
              </w:tc>
              <w:tc>
                <w:tcPr>
                  <w:tcW w:w="1332" w:type="dxa"/>
                  <w:vAlign w:val="center"/>
                </w:tcPr>
                <w:p w14:paraId="7E884D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生产线工艺</w:t>
                  </w:r>
                </w:p>
              </w:tc>
              <w:tc>
                <w:tcPr>
                  <w:tcW w:w="2328" w:type="dxa"/>
                  <w:vAlign w:val="center"/>
                </w:tcPr>
                <w:p w14:paraId="3A0835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w:t>
                  </w:r>
                </w:p>
              </w:tc>
              <w:tc>
                <w:tcPr>
                  <w:tcW w:w="2028" w:type="dxa"/>
                  <w:vAlign w:val="center"/>
                </w:tcPr>
                <w:p w14:paraId="4CA45C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上漆工艺</w:t>
                  </w:r>
                </w:p>
              </w:tc>
              <w:tc>
                <w:tcPr>
                  <w:tcW w:w="1993" w:type="dxa"/>
                  <w:vAlign w:val="center"/>
                </w:tcPr>
                <w:p w14:paraId="162FF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上漆工艺</w:t>
                  </w:r>
                </w:p>
              </w:tc>
            </w:tr>
          </w:tbl>
          <w:p w14:paraId="7F7BE0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2.3</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项目</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工程组成</w:t>
            </w:r>
          </w:p>
          <w:p w14:paraId="016F2B49">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color w:val="000000" w:themeColor="text1"/>
                <w:highlight w:val="none"/>
                <w14:textFill>
                  <w14:solidFill>
                    <w14:schemeClr w14:val="tx1"/>
                  </w14:solidFill>
                </w14:textFill>
              </w:rPr>
              <w:t>项目工程</w:t>
            </w:r>
            <w:r>
              <w:rPr>
                <w:rFonts w:hint="eastAsia"/>
                <w:color w:val="000000" w:themeColor="text1"/>
                <w:highlight w:val="none"/>
                <w:lang w:val="en-US" w:eastAsia="zh-CN"/>
                <w14:textFill>
                  <w14:solidFill>
                    <w14:schemeClr w14:val="tx1"/>
                  </w14:solidFill>
                </w14:textFill>
              </w:rPr>
              <w:t>组成具体情况详见</w:t>
            </w:r>
            <w:r>
              <w:rPr>
                <w:color w:val="000000" w:themeColor="text1"/>
                <w:highlight w:val="none"/>
                <w14:textFill>
                  <w14:solidFill>
                    <w14:schemeClr w14:val="tx1"/>
                  </w14:solidFill>
                </w14:textFill>
              </w:rPr>
              <w:t>下表2-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所示。</w:t>
            </w:r>
          </w:p>
          <w:p w14:paraId="5DE8C480">
            <w:pPr>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表2-</w:t>
            </w: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 xml:space="preserve"> </w:t>
            </w: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扩建</w:t>
            </w: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前后项目</w:t>
            </w: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工程组成具体情况</w:t>
            </w:r>
            <w:r>
              <w:rPr>
                <w:rFonts w:hint="default" w:ascii="Times New Roman" w:hAnsi="Times New Roman" w:eastAsia="黑体" w:cs="Times New Roman"/>
                <w:b w:val="0"/>
                <w:bCs w:val="0"/>
                <w:color w:val="000000" w:themeColor="text1"/>
                <w:sz w:val="21"/>
                <w:szCs w:val="21"/>
                <w:highlight w:val="none"/>
                <w14:textFill>
                  <w14:solidFill>
                    <w14:schemeClr w14:val="tx1"/>
                  </w14:solidFill>
                </w14:textFill>
              </w:rPr>
              <w:t>一览表</w:t>
            </w:r>
          </w:p>
          <w:tbl>
            <w:tblPr>
              <w:tblStyle w:val="7"/>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1"/>
              <w:gridCol w:w="902"/>
              <w:gridCol w:w="36"/>
              <w:gridCol w:w="757"/>
              <w:gridCol w:w="1410"/>
              <w:gridCol w:w="1502"/>
              <w:gridCol w:w="1606"/>
              <w:gridCol w:w="1398"/>
            </w:tblGrid>
            <w:tr w14:paraId="7EED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631" w:type="dxa"/>
                  <w:vMerge w:val="restart"/>
                  <w:tcBorders>
                    <w:tl2br w:val="nil"/>
                    <w:tr2bl w:val="nil"/>
                  </w:tcBorders>
                  <w:shd w:val="clear" w:color="auto" w:fill="auto"/>
                  <w:noWrap/>
                  <w:vAlign w:val="center"/>
                </w:tcPr>
                <w:p w14:paraId="01964F59">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类别</w:t>
                  </w:r>
                </w:p>
              </w:tc>
              <w:tc>
                <w:tcPr>
                  <w:tcW w:w="1695" w:type="dxa"/>
                  <w:gridSpan w:val="3"/>
                  <w:vMerge w:val="restart"/>
                  <w:tcBorders>
                    <w:tl2br w:val="nil"/>
                    <w:tr2bl w:val="nil"/>
                  </w:tcBorders>
                  <w:shd w:val="clear" w:color="auto" w:fill="auto"/>
                  <w:noWrap/>
                  <w:vAlign w:val="center"/>
                </w:tcPr>
                <w:p w14:paraId="7D3ACF3D">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单项工程</w:t>
                  </w:r>
                </w:p>
              </w:tc>
              <w:tc>
                <w:tcPr>
                  <w:tcW w:w="4518" w:type="dxa"/>
                  <w:gridSpan w:val="3"/>
                  <w:tcBorders>
                    <w:tl2br w:val="nil"/>
                    <w:tr2bl w:val="nil"/>
                  </w:tcBorders>
                  <w:shd w:val="clear" w:color="auto" w:fill="auto"/>
                  <w:noWrap/>
                  <w:vAlign w:val="center"/>
                </w:tcPr>
                <w:p w14:paraId="5C9B3BBF">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工程内容及规模</w:t>
                  </w:r>
                </w:p>
              </w:tc>
              <w:tc>
                <w:tcPr>
                  <w:tcW w:w="1398" w:type="dxa"/>
                  <w:vMerge w:val="restart"/>
                  <w:tcBorders>
                    <w:tl2br w:val="nil"/>
                    <w:tr2bl w:val="nil"/>
                  </w:tcBorders>
                  <w:shd w:val="clear" w:color="auto" w:fill="auto"/>
                  <w:noWrap/>
                  <w:vAlign w:val="center"/>
                </w:tcPr>
                <w:p w14:paraId="73B03065">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备注</w:t>
                  </w:r>
                </w:p>
              </w:tc>
            </w:tr>
            <w:tr w14:paraId="6D12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1" w:type="dxa"/>
                  <w:vMerge w:val="continue"/>
                  <w:tcBorders>
                    <w:tl2br w:val="nil"/>
                    <w:tr2bl w:val="nil"/>
                  </w:tcBorders>
                  <w:shd w:val="clear" w:color="auto" w:fill="auto"/>
                  <w:noWrap/>
                  <w:vAlign w:val="center"/>
                </w:tcPr>
                <w:p w14:paraId="17EE398D">
                  <w:pPr>
                    <w:spacing w:line="240" w:lineRule="auto"/>
                    <w:jc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p>
              </w:tc>
              <w:tc>
                <w:tcPr>
                  <w:tcW w:w="1695" w:type="dxa"/>
                  <w:gridSpan w:val="3"/>
                  <w:vMerge w:val="continue"/>
                  <w:tcBorders>
                    <w:tl2br w:val="nil"/>
                    <w:tr2bl w:val="nil"/>
                  </w:tcBorders>
                  <w:shd w:val="clear" w:color="auto" w:fill="auto"/>
                  <w:noWrap/>
                  <w:vAlign w:val="center"/>
                </w:tcPr>
                <w:p w14:paraId="2469B6D7">
                  <w:pPr>
                    <w:spacing w:line="240" w:lineRule="auto"/>
                    <w:jc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p>
              </w:tc>
              <w:tc>
                <w:tcPr>
                  <w:tcW w:w="1410" w:type="dxa"/>
                  <w:tcBorders>
                    <w:tl2br w:val="nil"/>
                    <w:tr2bl w:val="nil"/>
                  </w:tcBorders>
                  <w:shd w:val="clear" w:color="auto" w:fill="auto"/>
                  <w:noWrap/>
                  <w:vAlign w:val="center"/>
                </w:tcPr>
                <w:p w14:paraId="41AF54F1">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现有项目</w:t>
                  </w:r>
                </w:p>
                <w:p w14:paraId="4D9E187C">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（扩建前）</w:t>
                  </w:r>
                </w:p>
              </w:tc>
              <w:tc>
                <w:tcPr>
                  <w:tcW w:w="1502" w:type="dxa"/>
                  <w:tcBorders>
                    <w:tl2br w:val="nil"/>
                    <w:tr2bl w:val="nil"/>
                  </w:tcBorders>
                  <w:shd w:val="clear" w:color="auto" w:fill="auto"/>
                  <w:noWrap/>
                  <w:vAlign w:val="center"/>
                </w:tcPr>
                <w:p w14:paraId="7E1D4F3B">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本项目</w:t>
                  </w:r>
                </w:p>
                <w:p w14:paraId="5291A62E">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（扩建项目）</w:t>
                  </w:r>
                </w:p>
              </w:tc>
              <w:tc>
                <w:tcPr>
                  <w:tcW w:w="1606" w:type="dxa"/>
                  <w:tcBorders>
                    <w:tl2br w:val="nil"/>
                    <w:tr2bl w:val="nil"/>
                  </w:tcBorders>
                  <w:shd w:val="clear" w:color="auto" w:fill="auto"/>
                  <w:noWrap/>
                  <w:vAlign w:val="center"/>
                </w:tcPr>
                <w:p w14:paraId="3AC40288">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t>总体项目</w:t>
                  </w:r>
                </w:p>
                <w:p w14:paraId="112B1FAC">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t>（扩建后）</w:t>
                  </w:r>
                </w:p>
              </w:tc>
              <w:tc>
                <w:tcPr>
                  <w:tcW w:w="1398" w:type="dxa"/>
                  <w:vMerge w:val="continue"/>
                  <w:tcBorders>
                    <w:tl2br w:val="nil"/>
                    <w:tr2bl w:val="nil"/>
                  </w:tcBorders>
                  <w:shd w:val="clear" w:color="auto" w:fill="auto"/>
                  <w:noWrap/>
                  <w:vAlign w:val="center"/>
                </w:tcPr>
                <w:p w14:paraId="1229C29C">
                  <w:pPr>
                    <w:spacing w:line="240" w:lineRule="auto"/>
                    <w:jc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p>
              </w:tc>
            </w:tr>
            <w:tr w14:paraId="774B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restart"/>
                  <w:tcBorders>
                    <w:tl2br w:val="nil"/>
                    <w:tr2bl w:val="nil"/>
                  </w:tcBorders>
                  <w:shd w:val="clear" w:color="auto" w:fill="auto"/>
                  <w:noWrap/>
                  <w:vAlign w:val="center"/>
                </w:tcPr>
                <w:p w14:paraId="6747786C">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主体工程</w:t>
                  </w:r>
                </w:p>
              </w:tc>
              <w:tc>
                <w:tcPr>
                  <w:tcW w:w="1695" w:type="dxa"/>
                  <w:gridSpan w:val="3"/>
                  <w:tcBorders>
                    <w:tl2br w:val="nil"/>
                    <w:tr2bl w:val="nil"/>
                  </w:tcBorders>
                  <w:shd w:val="clear" w:color="auto" w:fill="auto"/>
                  <w:noWrap/>
                  <w:vAlign w:val="center"/>
                </w:tcPr>
                <w:p w14:paraId="75AE8D1E">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1号厂房车间</w:t>
                  </w:r>
                </w:p>
                <w:p w14:paraId="4E89F88C">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（钢架结构、建筑面积1440m</w:t>
                  </w:r>
                  <w:r>
                    <w:rPr>
                      <w:rFonts w:hint="default" w:ascii="Times New Roman" w:hAnsi="Times New Roman" w:eastAsia="黑体" w:cs="Times New Roman"/>
                      <w:i w:val="0"/>
                      <w:iCs w:val="0"/>
                      <w:color w:val="000000" w:themeColor="text1"/>
                      <w:kern w:val="0"/>
                      <w:sz w:val="21"/>
                      <w:szCs w:val="21"/>
                      <w:u w:val="none"/>
                      <w:vertAlign w:val="superscript"/>
                      <w:lang w:val="en-US" w:eastAsia="zh-CN" w:bidi="ar"/>
                      <w14:textFill>
                        <w14:solidFill>
                          <w14:schemeClr w14:val="tx1"/>
                        </w14:solidFill>
                      </w14:textFill>
                    </w:rPr>
                    <w:t>2</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410" w:type="dxa"/>
                  <w:tcBorders>
                    <w:tl2br w:val="nil"/>
                    <w:tr2bl w:val="nil"/>
                  </w:tcBorders>
                  <w:shd w:val="clear" w:color="auto" w:fill="auto"/>
                  <w:vAlign w:val="center"/>
                </w:tcPr>
                <w:p w14:paraId="5B4756AA">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机加工（钣金、焊接）</w:t>
                  </w:r>
                </w:p>
              </w:tc>
              <w:tc>
                <w:tcPr>
                  <w:tcW w:w="1502" w:type="dxa"/>
                  <w:tcBorders>
                    <w:tl2br w:val="nil"/>
                    <w:tr2bl w:val="nil"/>
                  </w:tcBorders>
                  <w:shd w:val="clear" w:color="auto" w:fill="auto"/>
                  <w:vAlign w:val="center"/>
                </w:tcPr>
                <w:p w14:paraId="05D38765">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上漆、晾干</w:t>
                  </w:r>
                </w:p>
              </w:tc>
              <w:tc>
                <w:tcPr>
                  <w:tcW w:w="1606" w:type="dxa"/>
                  <w:tcBorders>
                    <w:tl2br w:val="nil"/>
                    <w:tr2bl w:val="nil"/>
                  </w:tcBorders>
                  <w:shd w:val="clear" w:color="auto" w:fill="auto"/>
                  <w:vAlign w:val="center"/>
                </w:tcPr>
                <w:p w14:paraId="4169AE3A">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上漆、晾干</w:t>
                  </w:r>
                </w:p>
              </w:tc>
              <w:tc>
                <w:tcPr>
                  <w:tcW w:w="1398" w:type="dxa"/>
                  <w:tcBorders>
                    <w:tl2br w:val="nil"/>
                    <w:tr2bl w:val="nil"/>
                  </w:tcBorders>
                  <w:shd w:val="clear" w:color="auto" w:fill="auto"/>
                  <w:vAlign w:val="center"/>
                </w:tcPr>
                <w:p w14:paraId="514909F5">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本项目在1号厂房车间内进行建设，新增上漆工艺</w:t>
                  </w:r>
                </w:p>
              </w:tc>
            </w:tr>
            <w:tr w14:paraId="6A37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631" w:type="dxa"/>
                  <w:vMerge w:val="continue"/>
                  <w:tcBorders>
                    <w:tl2br w:val="nil"/>
                    <w:tr2bl w:val="nil"/>
                  </w:tcBorders>
                  <w:shd w:val="clear" w:color="auto" w:fill="auto"/>
                  <w:noWrap/>
                  <w:vAlign w:val="center"/>
                </w:tcPr>
                <w:p w14:paraId="3C405A0A">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p>
              </w:tc>
              <w:tc>
                <w:tcPr>
                  <w:tcW w:w="1695" w:type="dxa"/>
                  <w:gridSpan w:val="3"/>
                  <w:tcBorders>
                    <w:tl2br w:val="nil"/>
                    <w:tr2bl w:val="nil"/>
                  </w:tcBorders>
                  <w:shd w:val="clear" w:color="auto" w:fill="auto"/>
                  <w:noWrap/>
                  <w:vAlign w:val="center"/>
                </w:tcPr>
                <w:p w14:paraId="36842FDF">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2号厂房车间</w:t>
                  </w:r>
                </w:p>
                <w:p w14:paraId="23128A3F">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（钢架结构、建筑面积1440m</w:t>
                  </w:r>
                  <w:r>
                    <w:rPr>
                      <w:rFonts w:hint="default" w:ascii="Times New Roman" w:hAnsi="Times New Roman" w:eastAsia="黑体" w:cs="Times New Roman"/>
                      <w:i w:val="0"/>
                      <w:iCs w:val="0"/>
                      <w:color w:val="000000" w:themeColor="text1"/>
                      <w:kern w:val="0"/>
                      <w:sz w:val="21"/>
                      <w:szCs w:val="21"/>
                      <w:u w:val="none"/>
                      <w:vertAlign w:val="superscript"/>
                      <w:lang w:val="en-US" w:eastAsia="zh-CN" w:bidi="ar"/>
                      <w14:textFill>
                        <w14:solidFill>
                          <w14:schemeClr w14:val="tx1"/>
                        </w14:solidFill>
                      </w14:textFill>
                    </w:rPr>
                    <w:t>2</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410" w:type="dxa"/>
                  <w:tcBorders>
                    <w:tl2br w:val="nil"/>
                    <w:tr2bl w:val="nil"/>
                  </w:tcBorders>
                  <w:shd w:val="clear" w:color="auto" w:fill="auto"/>
                  <w:vAlign w:val="center"/>
                </w:tcPr>
                <w:p w14:paraId="162DB2F3">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机加工（钣金、焊接）</w:t>
                  </w:r>
                </w:p>
              </w:tc>
              <w:tc>
                <w:tcPr>
                  <w:tcW w:w="1502" w:type="dxa"/>
                  <w:tcBorders>
                    <w:tl2br w:val="nil"/>
                    <w:tr2bl w:val="nil"/>
                  </w:tcBorders>
                  <w:shd w:val="clear" w:color="auto" w:fill="auto"/>
                  <w:vAlign w:val="center"/>
                </w:tcPr>
                <w:p w14:paraId="0BE288BD">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tl2br w:val="nil"/>
                    <w:tr2bl w:val="nil"/>
                  </w:tcBorders>
                  <w:shd w:val="clear" w:color="auto" w:fill="auto"/>
                  <w:vAlign w:val="center"/>
                </w:tcPr>
                <w:p w14:paraId="0FBB5212">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机加工（钣金、焊接）</w:t>
                  </w:r>
                </w:p>
              </w:tc>
              <w:tc>
                <w:tcPr>
                  <w:tcW w:w="1398" w:type="dxa"/>
                  <w:tcBorders>
                    <w:tl2br w:val="nil"/>
                    <w:tr2bl w:val="nil"/>
                  </w:tcBorders>
                  <w:shd w:val="clear" w:color="auto" w:fill="auto"/>
                  <w:vAlign w:val="center"/>
                </w:tcPr>
                <w:p w14:paraId="3D2DFA5A">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0E46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31" w:type="dxa"/>
                  <w:vMerge w:val="restart"/>
                  <w:tcBorders>
                    <w:tl2br w:val="nil"/>
                    <w:tr2bl w:val="nil"/>
                  </w:tcBorders>
                  <w:shd w:val="clear" w:color="auto" w:fill="auto"/>
                  <w:noWrap/>
                  <w:vAlign w:val="center"/>
                </w:tcPr>
                <w:p w14:paraId="4561A7FA">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辅助工程</w:t>
                  </w:r>
                </w:p>
              </w:tc>
              <w:tc>
                <w:tcPr>
                  <w:tcW w:w="1695" w:type="dxa"/>
                  <w:gridSpan w:val="3"/>
                  <w:tcBorders>
                    <w:tl2br w:val="nil"/>
                    <w:tr2bl w:val="nil"/>
                  </w:tcBorders>
                  <w:shd w:val="clear" w:color="auto" w:fill="auto"/>
                  <w:noWrap/>
                  <w:vAlign w:val="center"/>
                </w:tcPr>
                <w:p w14:paraId="44D298A6">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办公楼</w:t>
                  </w:r>
                </w:p>
                <w:p w14:paraId="79C2B20E">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（砖混结构）</w:t>
                  </w:r>
                </w:p>
              </w:tc>
              <w:tc>
                <w:tcPr>
                  <w:tcW w:w="1410" w:type="dxa"/>
                  <w:tcBorders>
                    <w:tl2br w:val="nil"/>
                    <w:tr2bl w:val="nil"/>
                  </w:tcBorders>
                  <w:shd w:val="clear" w:color="auto" w:fill="auto"/>
                  <w:vAlign w:val="center"/>
                </w:tcPr>
                <w:p w14:paraId="71FA2728">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办公</w:t>
                  </w:r>
                </w:p>
              </w:tc>
              <w:tc>
                <w:tcPr>
                  <w:tcW w:w="1502" w:type="dxa"/>
                  <w:tcBorders>
                    <w:tl2br w:val="nil"/>
                    <w:tr2bl w:val="nil"/>
                  </w:tcBorders>
                  <w:shd w:val="clear" w:color="auto" w:fill="auto"/>
                  <w:vAlign w:val="center"/>
                </w:tcPr>
                <w:p w14:paraId="7CD2BC7B">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w:t>
                  </w:r>
                </w:p>
              </w:tc>
              <w:tc>
                <w:tcPr>
                  <w:tcW w:w="1606" w:type="dxa"/>
                  <w:tcBorders>
                    <w:tl2br w:val="nil"/>
                    <w:tr2bl w:val="nil"/>
                  </w:tcBorders>
                  <w:shd w:val="clear" w:color="auto" w:fill="auto"/>
                  <w:vAlign w:val="center"/>
                </w:tcPr>
                <w:p w14:paraId="3C74D41A">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办公</w:t>
                  </w:r>
                </w:p>
              </w:tc>
              <w:tc>
                <w:tcPr>
                  <w:tcW w:w="1398" w:type="dxa"/>
                  <w:tcBorders>
                    <w:tl2br w:val="nil"/>
                    <w:tr2bl w:val="nil"/>
                  </w:tcBorders>
                  <w:shd w:val="clear" w:color="auto" w:fill="auto"/>
                  <w:vAlign w:val="center"/>
                </w:tcPr>
                <w:p w14:paraId="4A4D0DCF">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72EF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31" w:type="dxa"/>
                  <w:vMerge w:val="continue"/>
                  <w:tcBorders>
                    <w:tl2br w:val="nil"/>
                    <w:tr2bl w:val="nil"/>
                  </w:tcBorders>
                  <w:shd w:val="clear" w:color="auto" w:fill="auto"/>
                  <w:noWrap/>
                  <w:vAlign w:val="center"/>
                </w:tcPr>
                <w:p w14:paraId="01A78F97">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1695" w:type="dxa"/>
                  <w:gridSpan w:val="3"/>
                  <w:tcBorders>
                    <w:tl2br w:val="nil"/>
                    <w:tr2bl w:val="nil"/>
                  </w:tcBorders>
                  <w:shd w:val="clear" w:color="auto" w:fill="auto"/>
                  <w:noWrap/>
                  <w:vAlign w:val="center"/>
                </w:tcPr>
                <w:p w14:paraId="7D1241E8">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综合楼</w:t>
                  </w:r>
                </w:p>
                <w:p w14:paraId="75360CF1">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（砖混结构）</w:t>
                  </w:r>
                </w:p>
              </w:tc>
              <w:tc>
                <w:tcPr>
                  <w:tcW w:w="1410" w:type="dxa"/>
                  <w:tcBorders>
                    <w:tl2br w:val="nil"/>
                    <w:tr2bl w:val="nil"/>
                  </w:tcBorders>
                  <w:shd w:val="clear" w:color="auto" w:fill="auto"/>
                  <w:vAlign w:val="center"/>
                </w:tcPr>
                <w:p w14:paraId="085AD103">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1F为员工食堂，2~3F为员工宿舍</w:t>
                  </w:r>
                </w:p>
              </w:tc>
              <w:tc>
                <w:tcPr>
                  <w:tcW w:w="1502" w:type="dxa"/>
                  <w:tcBorders>
                    <w:tl2br w:val="nil"/>
                    <w:tr2bl w:val="nil"/>
                  </w:tcBorders>
                  <w:shd w:val="clear" w:color="auto" w:fill="auto"/>
                  <w:vAlign w:val="center"/>
                </w:tcPr>
                <w:p w14:paraId="72B905F4">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w:t>
                  </w:r>
                </w:p>
              </w:tc>
              <w:tc>
                <w:tcPr>
                  <w:tcW w:w="1606" w:type="dxa"/>
                  <w:tcBorders>
                    <w:tl2br w:val="nil"/>
                    <w:tr2bl w:val="nil"/>
                  </w:tcBorders>
                  <w:shd w:val="clear" w:color="auto" w:fill="auto"/>
                  <w:vAlign w:val="center"/>
                </w:tcPr>
                <w:p w14:paraId="5F24C094">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1F为员工食堂，2~3F为员工宿舍</w:t>
                  </w:r>
                </w:p>
              </w:tc>
              <w:tc>
                <w:tcPr>
                  <w:tcW w:w="1398" w:type="dxa"/>
                  <w:tcBorders>
                    <w:tl2br w:val="nil"/>
                    <w:tr2bl w:val="nil"/>
                  </w:tcBorders>
                  <w:shd w:val="clear" w:color="auto" w:fill="auto"/>
                  <w:vAlign w:val="center"/>
                </w:tcPr>
                <w:p w14:paraId="2DE28096">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0F28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31" w:type="dxa"/>
                  <w:vMerge w:val="restart"/>
                  <w:tcBorders>
                    <w:tl2br w:val="nil"/>
                    <w:tr2bl w:val="nil"/>
                  </w:tcBorders>
                  <w:shd w:val="clear" w:color="auto" w:fill="auto"/>
                  <w:noWrap/>
                  <w:vAlign w:val="center"/>
                </w:tcPr>
                <w:p w14:paraId="4DC84174">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公用工程</w:t>
                  </w:r>
                </w:p>
              </w:tc>
              <w:tc>
                <w:tcPr>
                  <w:tcW w:w="902" w:type="dxa"/>
                  <w:vMerge w:val="restart"/>
                  <w:tcBorders>
                    <w:right w:val="single" w:color="000000" w:sz="4" w:space="0"/>
                    <w:tl2br w:val="nil"/>
                    <w:tr2bl w:val="nil"/>
                  </w:tcBorders>
                  <w:shd w:val="clear" w:color="auto" w:fill="auto"/>
                  <w:noWrap/>
                  <w:vAlign w:val="center"/>
                </w:tcPr>
                <w:p w14:paraId="26CCAB8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给水</w:t>
                  </w:r>
                </w:p>
              </w:tc>
              <w:tc>
                <w:tcPr>
                  <w:tcW w:w="793" w:type="dxa"/>
                  <w:gridSpan w:val="2"/>
                  <w:tcBorders>
                    <w:left w:val="single" w:color="000000" w:sz="4" w:space="0"/>
                    <w:bottom w:val="single" w:color="000000" w:sz="4" w:space="0"/>
                    <w:tl2br w:val="nil"/>
                    <w:tr2bl w:val="nil"/>
                  </w:tcBorders>
                  <w:shd w:val="clear" w:color="auto" w:fill="auto"/>
                  <w:noWrap/>
                  <w:vAlign w:val="center"/>
                </w:tcPr>
                <w:p w14:paraId="520A1A89">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生活用水</w:t>
                  </w:r>
                </w:p>
              </w:tc>
              <w:tc>
                <w:tcPr>
                  <w:tcW w:w="1410" w:type="dxa"/>
                  <w:tcBorders>
                    <w:bottom w:val="single" w:color="000000" w:sz="4" w:space="0"/>
                    <w:tl2br w:val="nil"/>
                    <w:tr2bl w:val="nil"/>
                  </w:tcBorders>
                  <w:shd w:val="clear" w:color="auto" w:fill="auto"/>
                  <w:vAlign w:val="center"/>
                </w:tcPr>
                <w:p w14:paraId="1AB3BBBD">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市政供水</w:t>
                  </w:r>
                </w:p>
                <w:p w14:paraId="4BD3D03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（员工生活）</w:t>
                  </w:r>
                </w:p>
              </w:tc>
              <w:tc>
                <w:tcPr>
                  <w:tcW w:w="1502" w:type="dxa"/>
                  <w:tcBorders>
                    <w:bottom w:val="single" w:color="000000" w:sz="4" w:space="0"/>
                    <w:tl2br w:val="nil"/>
                    <w:tr2bl w:val="nil"/>
                  </w:tcBorders>
                  <w:shd w:val="clear" w:color="auto" w:fill="auto"/>
                  <w:vAlign w:val="center"/>
                </w:tcPr>
                <w:p w14:paraId="44F6FF9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bottom w:val="single" w:color="000000" w:sz="4" w:space="0"/>
                    <w:tl2br w:val="nil"/>
                    <w:tr2bl w:val="nil"/>
                  </w:tcBorders>
                  <w:shd w:val="clear" w:color="auto" w:fill="auto"/>
                  <w:vAlign w:val="center"/>
                </w:tcPr>
                <w:p w14:paraId="66111608">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市政供水</w:t>
                  </w:r>
                </w:p>
                <w:p w14:paraId="44922E3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（员工生活）</w:t>
                  </w:r>
                </w:p>
              </w:tc>
              <w:tc>
                <w:tcPr>
                  <w:tcW w:w="1398" w:type="dxa"/>
                  <w:tcBorders>
                    <w:bottom w:val="single" w:color="000000" w:sz="4" w:space="0"/>
                    <w:tl2br w:val="nil"/>
                    <w:tr2bl w:val="nil"/>
                  </w:tcBorders>
                  <w:shd w:val="clear" w:color="auto" w:fill="auto"/>
                  <w:vAlign w:val="center"/>
                </w:tcPr>
                <w:p w14:paraId="00458A4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黑体" w:cs="Times New Roman"/>
                      <w:i w:val="0"/>
                      <w:iCs w:val="0"/>
                      <w:color w:val="000000" w:themeColor="text1"/>
                      <w:kern w:val="2"/>
                      <w:sz w:val="21"/>
                      <w:szCs w:val="21"/>
                      <w:u w:val="none"/>
                      <w:lang w:val="en-US" w:eastAsia="zh-CN" w:bidi="ar-SA"/>
                      <w14:textFill>
                        <w14:solidFill>
                          <w14:schemeClr w14:val="tx1"/>
                        </w14:solidFill>
                      </w14:textFill>
                    </w:rPr>
                    <w:t>依托现有，本项目不新增 员工</w:t>
                  </w:r>
                </w:p>
              </w:tc>
            </w:tr>
            <w:tr w14:paraId="7F0A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31" w:type="dxa"/>
                  <w:vMerge w:val="continue"/>
                  <w:tcBorders>
                    <w:tl2br w:val="nil"/>
                    <w:tr2bl w:val="nil"/>
                  </w:tcBorders>
                  <w:shd w:val="clear" w:color="auto" w:fill="auto"/>
                  <w:noWrap/>
                  <w:vAlign w:val="center"/>
                </w:tcPr>
                <w:p w14:paraId="4895CE49">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02" w:type="dxa"/>
                  <w:vMerge w:val="continue"/>
                  <w:tcBorders>
                    <w:right w:val="single" w:color="000000" w:sz="4" w:space="0"/>
                    <w:tl2br w:val="nil"/>
                    <w:tr2bl w:val="nil"/>
                  </w:tcBorders>
                  <w:shd w:val="clear" w:color="auto" w:fill="auto"/>
                  <w:noWrap/>
                  <w:vAlign w:val="center"/>
                </w:tcPr>
                <w:p w14:paraId="0546857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p>
              </w:tc>
              <w:tc>
                <w:tcPr>
                  <w:tcW w:w="793" w:type="dxa"/>
                  <w:gridSpan w:val="2"/>
                  <w:tcBorders>
                    <w:top w:val="single" w:color="000000" w:sz="4" w:space="0"/>
                    <w:left w:val="single" w:color="000000" w:sz="4" w:space="0"/>
                    <w:tl2br w:val="nil"/>
                    <w:tr2bl w:val="nil"/>
                  </w:tcBorders>
                  <w:shd w:val="clear" w:color="auto" w:fill="auto"/>
                  <w:noWrap/>
                  <w:vAlign w:val="center"/>
                </w:tcPr>
                <w:p w14:paraId="74862A65">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生产用水</w:t>
                  </w:r>
                </w:p>
              </w:tc>
              <w:tc>
                <w:tcPr>
                  <w:tcW w:w="1410" w:type="dxa"/>
                  <w:tcBorders>
                    <w:top w:val="single" w:color="000000" w:sz="4" w:space="0"/>
                    <w:tl2br w:val="nil"/>
                    <w:tr2bl w:val="nil"/>
                  </w:tcBorders>
                  <w:shd w:val="clear" w:color="auto" w:fill="auto"/>
                  <w:vAlign w:val="center"/>
                </w:tcPr>
                <w:p w14:paraId="7EF52E7A">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w:t>
                  </w:r>
                </w:p>
              </w:tc>
              <w:tc>
                <w:tcPr>
                  <w:tcW w:w="1502" w:type="dxa"/>
                  <w:tcBorders>
                    <w:top w:val="single" w:color="000000" w:sz="4" w:space="0"/>
                    <w:tl2br w:val="nil"/>
                    <w:tr2bl w:val="nil"/>
                  </w:tcBorders>
                  <w:shd w:val="clear" w:color="auto" w:fill="auto"/>
                  <w:vAlign w:val="center"/>
                </w:tcPr>
                <w:p w14:paraId="5D3D94A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t>市政供水</w:t>
                  </w:r>
                </w:p>
                <w:p w14:paraId="4B546E3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t>（清洗辊筒）</w:t>
                  </w:r>
                </w:p>
              </w:tc>
              <w:tc>
                <w:tcPr>
                  <w:tcW w:w="1606" w:type="dxa"/>
                  <w:tcBorders>
                    <w:top w:val="single" w:color="000000" w:sz="4" w:space="0"/>
                    <w:tl2br w:val="nil"/>
                    <w:tr2bl w:val="nil"/>
                  </w:tcBorders>
                  <w:shd w:val="clear" w:color="auto" w:fill="auto"/>
                  <w:vAlign w:val="center"/>
                </w:tcPr>
                <w:p w14:paraId="0F6E2C9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t>市政供水</w:t>
                  </w:r>
                </w:p>
                <w:p w14:paraId="1C411791">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t>（清洗辊筒）</w:t>
                  </w:r>
                </w:p>
              </w:tc>
              <w:tc>
                <w:tcPr>
                  <w:tcW w:w="1398" w:type="dxa"/>
                  <w:tcBorders>
                    <w:top w:val="single" w:color="000000" w:sz="4" w:space="0"/>
                    <w:tl2br w:val="nil"/>
                    <w:tr2bl w:val="nil"/>
                  </w:tcBorders>
                  <w:shd w:val="clear" w:color="auto" w:fill="auto"/>
                  <w:vAlign w:val="center"/>
                </w:tcPr>
                <w:p w14:paraId="4960ECA9">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黑体" w:cs="Times New Roman"/>
                      <w:i w:val="0"/>
                      <w:iCs w:val="0"/>
                      <w:color w:val="000000" w:themeColor="text1"/>
                      <w:kern w:val="2"/>
                      <w:sz w:val="21"/>
                      <w:szCs w:val="21"/>
                      <w:u w:val="single"/>
                      <w:lang w:val="en-US" w:eastAsia="zh-CN" w:bidi="ar-SA"/>
                      <w14:textFill>
                        <w14:solidFill>
                          <w14:schemeClr w14:val="tx1"/>
                        </w14:solidFill>
                      </w14:textFill>
                    </w:rPr>
                    <w:t>本项目生产用水为辊筒清洗用水</w:t>
                  </w:r>
                </w:p>
              </w:tc>
            </w:tr>
            <w:tr w14:paraId="1F09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1" w:type="dxa"/>
                  <w:vMerge w:val="continue"/>
                  <w:tcBorders>
                    <w:tl2br w:val="nil"/>
                    <w:tr2bl w:val="nil"/>
                  </w:tcBorders>
                  <w:shd w:val="clear" w:color="auto" w:fill="auto"/>
                  <w:noWrap/>
                  <w:vAlign w:val="center"/>
                </w:tcPr>
                <w:p w14:paraId="2C916702">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1695" w:type="dxa"/>
                  <w:gridSpan w:val="3"/>
                  <w:tcBorders>
                    <w:tl2br w:val="nil"/>
                    <w:tr2bl w:val="nil"/>
                  </w:tcBorders>
                  <w:shd w:val="clear" w:color="auto" w:fill="auto"/>
                  <w:noWrap/>
                  <w:vAlign w:val="center"/>
                </w:tcPr>
                <w:p w14:paraId="189C3A8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供电</w:t>
                  </w:r>
                </w:p>
              </w:tc>
              <w:tc>
                <w:tcPr>
                  <w:tcW w:w="1410" w:type="dxa"/>
                  <w:tcBorders>
                    <w:tl2br w:val="nil"/>
                    <w:tr2bl w:val="nil"/>
                  </w:tcBorders>
                  <w:shd w:val="clear" w:color="auto" w:fill="auto"/>
                  <w:vAlign w:val="center"/>
                </w:tcPr>
                <w:p w14:paraId="0205857D">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市政供电</w:t>
                  </w:r>
                </w:p>
              </w:tc>
              <w:tc>
                <w:tcPr>
                  <w:tcW w:w="1502" w:type="dxa"/>
                  <w:tcBorders>
                    <w:tl2br w:val="nil"/>
                    <w:tr2bl w:val="nil"/>
                  </w:tcBorders>
                  <w:shd w:val="clear" w:color="auto" w:fill="auto"/>
                  <w:vAlign w:val="center"/>
                </w:tcPr>
                <w:p w14:paraId="2C78D9A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市政供电</w:t>
                  </w:r>
                </w:p>
              </w:tc>
              <w:tc>
                <w:tcPr>
                  <w:tcW w:w="1606" w:type="dxa"/>
                  <w:tcBorders>
                    <w:tl2br w:val="nil"/>
                    <w:tr2bl w:val="nil"/>
                  </w:tcBorders>
                  <w:shd w:val="clear" w:color="auto" w:fill="auto"/>
                  <w:vAlign w:val="center"/>
                </w:tcPr>
                <w:p w14:paraId="3A49B2C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市政供电</w:t>
                  </w:r>
                </w:p>
              </w:tc>
              <w:tc>
                <w:tcPr>
                  <w:tcW w:w="1398" w:type="dxa"/>
                  <w:tcBorders>
                    <w:tl2br w:val="nil"/>
                    <w:tr2bl w:val="nil"/>
                  </w:tcBorders>
                  <w:shd w:val="clear" w:color="auto" w:fill="auto"/>
                  <w:vAlign w:val="center"/>
                </w:tcPr>
                <w:p w14:paraId="37C40578">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r>
            <w:tr w14:paraId="2BA8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631" w:type="dxa"/>
                  <w:vMerge w:val="continue"/>
                  <w:tcBorders>
                    <w:tl2br w:val="nil"/>
                    <w:tr2bl w:val="nil"/>
                  </w:tcBorders>
                  <w:shd w:val="clear" w:color="auto" w:fill="auto"/>
                  <w:noWrap/>
                  <w:vAlign w:val="center"/>
                </w:tcPr>
                <w:p w14:paraId="5823C696">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restart"/>
                  <w:tcBorders>
                    <w:right w:val="single" w:color="000000" w:sz="4" w:space="0"/>
                    <w:tl2br w:val="nil"/>
                    <w:tr2bl w:val="nil"/>
                  </w:tcBorders>
                  <w:shd w:val="clear" w:color="auto" w:fill="auto"/>
                  <w:noWrap/>
                  <w:vAlign w:val="center"/>
                </w:tcPr>
                <w:p w14:paraId="2D3EB06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排水</w:t>
                  </w:r>
                </w:p>
              </w:tc>
              <w:tc>
                <w:tcPr>
                  <w:tcW w:w="757" w:type="dxa"/>
                  <w:tcBorders>
                    <w:left w:val="single" w:color="000000" w:sz="4" w:space="0"/>
                    <w:bottom w:val="single" w:color="000000" w:sz="4" w:space="0"/>
                    <w:tl2br w:val="nil"/>
                    <w:tr2bl w:val="nil"/>
                  </w:tcBorders>
                  <w:shd w:val="clear" w:color="auto" w:fill="auto"/>
                  <w:noWrap/>
                  <w:vAlign w:val="center"/>
                </w:tcPr>
                <w:p w14:paraId="728705E1">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生活污水</w:t>
                  </w:r>
                </w:p>
              </w:tc>
              <w:tc>
                <w:tcPr>
                  <w:tcW w:w="1410" w:type="dxa"/>
                  <w:tcBorders>
                    <w:bottom w:val="single" w:color="000000" w:sz="4" w:space="0"/>
                    <w:tl2br w:val="nil"/>
                    <w:tr2bl w:val="nil"/>
                  </w:tcBorders>
                  <w:shd w:val="clear" w:color="auto" w:fill="auto"/>
                  <w:vAlign w:val="center"/>
                </w:tcPr>
                <w:p w14:paraId="776E4468">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生活污水地埋式处理设备</w:t>
                  </w:r>
                </w:p>
              </w:tc>
              <w:tc>
                <w:tcPr>
                  <w:tcW w:w="1502" w:type="dxa"/>
                  <w:tcBorders>
                    <w:bottom w:val="single" w:color="000000" w:sz="4" w:space="0"/>
                    <w:tl2br w:val="nil"/>
                    <w:tr2bl w:val="nil"/>
                  </w:tcBorders>
                  <w:shd w:val="clear" w:color="auto" w:fill="auto"/>
                  <w:vAlign w:val="center"/>
                </w:tcPr>
                <w:p w14:paraId="42E8829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bottom w:val="single" w:color="000000" w:sz="4" w:space="0"/>
                    <w:tl2br w:val="nil"/>
                    <w:tr2bl w:val="nil"/>
                  </w:tcBorders>
                  <w:shd w:val="clear" w:color="auto" w:fill="auto"/>
                  <w:vAlign w:val="center"/>
                </w:tcPr>
                <w:p w14:paraId="07F4B64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生活污水地埋式处理设备</w:t>
                  </w:r>
                </w:p>
              </w:tc>
              <w:tc>
                <w:tcPr>
                  <w:tcW w:w="1398" w:type="dxa"/>
                  <w:tcBorders>
                    <w:bottom w:val="single" w:color="000000" w:sz="4" w:space="0"/>
                    <w:tl2br w:val="nil"/>
                    <w:tr2bl w:val="nil"/>
                  </w:tcBorders>
                  <w:shd w:val="clear" w:color="auto" w:fill="auto"/>
                  <w:vAlign w:val="center"/>
                </w:tcPr>
                <w:p w14:paraId="57C1F2D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2"/>
                      <w:sz w:val="21"/>
                      <w:szCs w:val="21"/>
                      <w:u w:val="none"/>
                      <w:lang w:val="en-US" w:eastAsia="zh-CN" w:bidi="ar-SA"/>
                      <w14:textFill>
                        <w14:solidFill>
                          <w14:schemeClr w14:val="tx1"/>
                        </w14:solidFill>
                      </w14:textFill>
                    </w:rPr>
                    <w:t>依托现有，本项目不新增 员工</w:t>
                  </w:r>
                </w:p>
              </w:tc>
            </w:tr>
            <w:tr w14:paraId="1A49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631" w:type="dxa"/>
                  <w:vMerge w:val="continue"/>
                  <w:tcBorders>
                    <w:tl2br w:val="nil"/>
                    <w:tr2bl w:val="nil"/>
                  </w:tcBorders>
                  <w:shd w:val="clear" w:color="auto" w:fill="auto"/>
                  <w:noWrap/>
                  <w:vAlign w:val="center"/>
                </w:tcPr>
                <w:p w14:paraId="3B9C03E2">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continue"/>
                  <w:tcBorders>
                    <w:right w:val="single" w:color="000000" w:sz="4" w:space="0"/>
                    <w:tl2br w:val="nil"/>
                    <w:tr2bl w:val="nil"/>
                  </w:tcBorders>
                  <w:shd w:val="clear" w:color="auto" w:fill="auto"/>
                  <w:noWrap/>
                  <w:vAlign w:val="center"/>
                </w:tcPr>
                <w:p w14:paraId="4193B8E2">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p>
              </w:tc>
              <w:tc>
                <w:tcPr>
                  <w:tcW w:w="757" w:type="dxa"/>
                  <w:tcBorders>
                    <w:top w:val="single" w:color="000000" w:sz="4" w:space="0"/>
                    <w:left w:val="single" w:color="000000" w:sz="4" w:space="0"/>
                    <w:tl2br w:val="nil"/>
                    <w:tr2bl w:val="nil"/>
                  </w:tcBorders>
                  <w:shd w:val="clear" w:color="auto" w:fill="auto"/>
                  <w:noWrap/>
                  <w:vAlign w:val="center"/>
                </w:tcPr>
                <w:p w14:paraId="00CD0DC6">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生产污水</w:t>
                  </w:r>
                </w:p>
              </w:tc>
              <w:tc>
                <w:tcPr>
                  <w:tcW w:w="1410" w:type="dxa"/>
                  <w:tcBorders>
                    <w:top w:val="single" w:color="000000" w:sz="4" w:space="0"/>
                    <w:tl2br w:val="nil"/>
                    <w:tr2bl w:val="nil"/>
                  </w:tcBorders>
                  <w:shd w:val="clear" w:color="auto" w:fill="auto"/>
                  <w:vAlign w:val="center"/>
                </w:tcPr>
                <w:p w14:paraId="557C0D9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502" w:type="dxa"/>
                  <w:tcBorders>
                    <w:top w:val="single" w:color="000000" w:sz="4" w:space="0"/>
                    <w:tl2br w:val="nil"/>
                    <w:tr2bl w:val="nil"/>
                  </w:tcBorders>
                  <w:shd w:val="clear" w:color="auto" w:fill="auto"/>
                  <w:vAlign w:val="center"/>
                </w:tcPr>
                <w:p w14:paraId="6483CCC6">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辊筒清洗用水用于油漆调配，不外排</w:t>
                  </w:r>
                </w:p>
              </w:tc>
              <w:tc>
                <w:tcPr>
                  <w:tcW w:w="1606" w:type="dxa"/>
                  <w:tcBorders>
                    <w:top w:val="single" w:color="000000" w:sz="4" w:space="0"/>
                    <w:tl2br w:val="nil"/>
                    <w:tr2bl w:val="nil"/>
                  </w:tcBorders>
                  <w:shd w:val="clear" w:color="auto" w:fill="auto"/>
                  <w:vAlign w:val="center"/>
                </w:tcPr>
                <w:p w14:paraId="0503DF0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辊筒清洗用水用于油漆调配，不外排；</w:t>
                  </w:r>
                </w:p>
              </w:tc>
              <w:tc>
                <w:tcPr>
                  <w:tcW w:w="1398" w:type="dxa"/>
                  <w:tcBorders>
                    <w:top w:val="single" w:color="000000" w:sz="4" w:space="0"/>
                    <w:tl2br w:val="nil"/>
                    <w:tr2bl w:val="nil"/>
                  </w:tcBorders>
                  <w:shd w:val="clear" w:color="auto" w:fill="auto"/>
                  <w:vAlign w:val="center"/>
                </w:tcPr>
                <w:p w14:paraId="53EABA1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本项目新增辊筒清洗废水</w:t>
                  </w:r>
                </w:p>
              </w:tc>
            </w:tr>
            <w:tr w14:paraId="0EA4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631" w:type="dxa"/>
                  <w:vMerge w:val="restart"/>
                  <w:tcBorders>
                    <w:tl2br w:val="nil"/>
                    <w:tr2bl w:val="nil"/>
                  </w:tcBorders>
                  <w:shd w:val="clear" w:color="auto" w:fill="auto"/>
                  <w:noWrap/>
                  <w:vAlign w:val="center"/>
                </w:tcPr>
                <w:p w14:paraId="72328D2B">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t>环保工程</w:t>
                  </w:r>
                </w:p>
              </w:tc>
              <w:tc>
                <w:tcPr>
                  <w:tcW w:w="938" w:type="dxa"/>
                  <w:gridSpan w:val="2"/>
                  <w:vMerge w:val="restart"/>
                  <w:tcBorders>
                    <w:right w:val="single" w:color="000000" w:sz="4" w:space="0"/>
                    <w:tl2br w:val="nil"/>
                    <w:tr2bl w:val="nil"/>
                  </w:tcBorders>
                  <w:shd w:val="clear" w:color="auto" w:fill="auto"/>
                  <w:noWrap/>
                  <w:vAlign w:val="center"/>
                </w:tcPr>
                <w:p w14:paraId="2AB7A1C6">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废气</w:t>
                  </w:r>
                </w:p>
              </w:tc>
              <w:tc>
                <w:tcPr>
                  <w:tcW w:w="757" w:type="dxa"/>
                  <w:tcBorders>
                    <w:top w:val="single" w:color="000000" w:sz="4" w:space="0"/>
                    <w:left w:val="single" w:color="000000" w:sz="4" w:space="0"/>
                    <w:tl2br w:val="nil"/>
                    <w:tr2bl w:val="nil"/>
                  </w:tcBorders>
                  <w:shd w:val="clear" w:color="auto" w:fill="auto"/>
                  <w:noWrap/>
                  <w:vAlign w:val="center"/>
                </w:tcPr>
                <w:p w14:paraId="40AFF8DD">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焊接烟尘</w:t>
                  </w:r>
                </w:p>
              </w:tc>
              <w:tc>
                <w:tcPr>
                  <w:tcW w:w="1410" w:type="dxa"/>
                  <w:tcBorders>
                    <w:top w:val="single" w:color="000000" w:sz="4" w:space="0"/>
                    <w:tl2br w:val="nil"/>
                    <w:tr2bl w:val="nil"/>
                  </w:tcBorders>
                  <w:shd w:val="clear" w:color="auto" w:fill="auto"/>
                  <w:vAlign w:val="center"/>
                </w:tcPr>
                <w:p w14:paraId="49E756F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移动式焊烟净化器</w:t>
                  </w:r>
                </w:p>
              </w:tc>
              <w:tc>
                <w:tcPr>
                  <w:tcW w:w="1502" w:type="dxa"/>
                  <w:tcBorders>
                    <w:top w:val="single" w:color="000000" w:sz="4" w:space="0"/>
                    <w:tl2br w:val="nil"/>
                    <w:tr2bl w:val="nil"/>
                  </w:tcBorders>
                  <w:shd w:val="clear" w:color="auto" w:fill="auto"/>
                  <w:vAlign w:val="center"/>
                </w:tcPr>
                <w:p w14:paraId="44F9CE08">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top w:val="single" w:color="000000" w:sz="4" w:space="0"/>
                    <w:tl2br w:val="nil"/>
                    <w:tr2bl w:val="nil"/>
                  </w:tcBorders>
                  <w:shd w:val="clear" w:color="auto" w:fill="auto"/>
                  <w:vAlign w:val="center"/>
                </w:tcPr>
                <w:p w14:paraId="2DD72B76">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移动式焊烟净化器</w:t>
                  </w:r>
                </w:p>
              </w:tc>
              <w:tc>
                <w:tcPr>
                  <w:tcW w:w="1398" w:type="dxa"/>
                  <w:tcBorders>
                    <w:top w:val="single" w:color="000000" w:sz="4" w:space="0"/>
                    <w:tl2br w:val="nil"/>
                    <w:tr2bl w:val="nil"/>
                  </w:tcBorders>
                  <w:shd w:val="clear" w:color="auto" w:fill="auto"/>
                  <w:vAlign w:val="center"/>
                </w:tcPr>
                <w:p w14:paraId="5A6FC44E">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3016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shd w:val="clear" w:color="auto" w:fill="auto"/>
                  <w:noWrap/>
                  <w:vAlign w:val="center"/>
                </w:tcPr>
                <w:p w14:paraId="082F095E">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continue"/>
                  <w:tcBorders>
                    <w:right w:val="single" w:color="000000" w:sz="4" w:space="0"/>
                    <w:tl2br w:val="nil"/>
                    <w:tr2bl w:val="nil"/>
                  </w:tcBorders>
                  <w:shd w:val="clear" w:color="auto" w:fill="auto"/>
                  <w:noWrap/>
                  <w:vAlign w:val="center"/>
                </w:tcPr>
                <w:p w14:paraId="24EAD6B2">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p>
              </w:tc>
              <w:tc>
                <w:tcPr>
                  <w:tcW w:w="757" w:type="dxa"/>
                  <w:tcBorders>
                    <w:top w:val="single" w:color="000000" w:sz="4" w:space="0"/>
                    <w:left w:val="single" w:color="000000" w:sz="4" w:space="0"/>
                    <w:tl2br w:val="nil"/>
                    <w:tr2bl w:val="nil"/>
                  </w:tcBorders>
                  <w:shd w:val="clear" w:color="auto" w:fill="auto"/>
                  <w:noWrap/>
                  <w:vAlign w:val="center"/>
                </w:tcPr>
                <w:p w14:paraId="55C61B0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上漆、废气</w:t>
                  </w:r>
                </w:p>
              </w:tc>
              <w:tc>
                <w:tcPr>
                  <w:tcW w:w="1410" w:type="dxa"/>
                  <w:tcBorders>
                    <w:top w:val="single" w:color="000000" w:sz="4" w:space="0"/>
                    <w:tl2br w:val="nil"/>
                    <w:tr2bl w:val="nil"/>
                  </w:tcBorders>
                  <w:shd w:val="clear" w:color="auto" w:fill="auto"/>
                  <w:vAlign w:val="center"/>
                </w:tcPr>
                <w:p w14:paraId="4BE7FD14">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502" w:type="dxa"/>
                  <w:tcBorders>
                    <w:top w:val="single" w:color="000000" w:sz="4" w:space="0"/>
                    <w:tl2br w:val="nil"/>
                    <w:tr2bl w:val="nil"/>
                  </w:tcBorders>
                  <w:shd w:val="clear" w:color="auto" w:fill="auto"/>
                  <w:vAlign w:val="center"/>
                </w:tcPr>
                <w:p w14:paraId="01293BFE">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“上漆房封闭+负压收集+二级活性炭吸附”</w:t>
                  </w:r>
                  <w:r>
                    <w:rPr>
                      <w:rFonts w:hint="eastAsia"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装置</w:t>
                  </w:r>
                </w:p>
              </w:tc>
              <w:tc>
                <w:tcPr>
                  <w:tcW w:w="1606" w:type="dxa"/>
                  <w:tcBorders>
                    <w:top w:val="single" w:color="000000" w:sz="4" w:space="0"/>
                    <w:tl2br w:val="nil"/>
                    <w:tr2bl w:val="nil"/>
                  </w:tcBorders>
                  <w:shd w:val="clear" w:color="auto" w:fill="auto"/>
                  <w:vAlign w:val="center"/>
                </w:tcPr>
                <w:p w14:paraId="3288139A">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“上漆房封闭+负压收集+二级活性炭吸附”</w:t>
                  </w:r>
                  <w:r>
                    <w:rPr>
                      <w:rFonts w:hint="eastAsia"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装置</w:t>
                  </w:r>
                </w:p>
              </w:tc>
              <w:tc>
                <w:tcPr>
                  <w:tcW w:w="1398" w:type="dxa"/>
                  <w:tcBorders>
                    <w:top w:val="single" w:color="000000" w:sz="4" w:space="0"/>
                    <w:tl2br w:val="nil"/>
                    <w:tr2bl w:val="nil"/>
                  </w:tcBorders>
                  <w:shd w:val="clear" w:color="auto" w:fill="auto"/>
                  <w:vAlign w:val="center"/>
                </w:tcPr>
                <w:p w14:paraId="782B21A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新增了废气治理设施</w:t>
                  </w:r>
                </w:p>
              </w:tc>
            </w:tr>
            <w:tr w14:paraId="6BDE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shd w:val="clear" w:color="auto" w:fill="auto"/>
                  <w:noWrap/>
                  <w:vAlign w:val="center"/>
                </w:tcPr>
                <w:p w14:paraId="6C428F4B">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continue"/>
                  <w:tcBorders>
                    <w:right w:val="single" w:color="000000" w:sz="4" w:space="0"/>
                    <w:tl2br w:val="nil"/>
                    <w:tr2bl w:val="nil"/>
                  </w:tcBorders>
                  <w:shd w:val="clear" w:color="auto" w:fill="auto"/>
                  <w:noWrap/>
                  <w:vAlign w:val="center"/>
                </w:tcPr>
                <w:p w14:paraId="07680877">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p>
              </w:tc>
              <w:tc>
                <w:tcPr>
                  <w:tcW w:w="757" w:type="dxa"/>
                  <w:tcBorders>
                    <w:top w:val="single" w:color="000000" w:sz="4" w:space="0"/>
                    <w:left w:val="single" w:color="000000" w:sz="4" w:space="0"/>
                    <w:tl2br w:val="nil"/>
                    <w:tr2bl w:val="nil"/>
                  </w:tcBorders>
                  <w:shd w:val="clear" w:color="auto" w:fill="auto"/>
                  <w:noWrap/>
                  <w:vAlign w:val="center"/>
                </w:tcPr>
                <w:p w14:paraId="63BCD299">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晾干废气</w:t>
                  </w:r>
                </w:p>
              </w:tc>
              <w:tc>
                <w:tcPr>
                  <w:tcW w:w="1410" w:type="dxa"/>
                  <w:tcBorders>
                    <w:top w:val="single" w:color="000000" w:sz="4" w:space="0"/>
                    <w:tl2br w:val="nil"/>
                    <w:tr2bl w:val="nil"/>
                  </w:tcBorders>
                  <w:shd w:val="clear" w:color="auto" w:fill="auto"/>
                  <w:vAlign w:val="center"/>
                </w:tcPr>
                <w:p w14:paraId="44CC9411">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502" w:type="dxa"/>
                  <w:tcBorders>
                    <w:top w:val="single" w:color="000000" w:sz="4" w:space="0"/>
                    <w:tl2br w:val="nil"/>
                    <w:tr2bl w:val="nil"/>
                  </w:tcBorders>
                  <w:shd w:val="clear" w:color="auto" w:fill="auto"/>
                  <w:vAlign w:val="center"/>
                </w:tcPr>
                <w:p w14:paraId="0D391BC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加强工段封闭收集措施及车间的通风措施</w:t>
                  </w:r>
                </w:p>
              </w:tc>
              <w:tc>
                <w:tcPr>
                  <w:tcW w:w="1606" w:type="dxa"/>
                  <w:tcBorders>
                    <w:top w:val="single" w:color="000000" w:sz="4" w:space="0"/>
                    <w:tl2br w:val="nil"/>
                    <w:tr2bl w:val="nil"/>
                  </w:tcBorders>
                  <w:shd w:val="clear" w:color="auto" w:fill="auto"/>
                  <w:vAlign w:val="center"/>
                </w:tcPr>
                <w:p w14:paraId="284EE42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加强工段封闭收集措施及车间的通风措施</w:t>
                  </w:r>
                </w:p>
              </w:tc>
              <w:tc>
                <w:tcPr>
                  <w:tcW w:w="1398" w:type="dxa"/>
                  <w:tcBorders>
                    <w:top w:val="single" w:color="000000" w:sz="4" w:space="0"/>
                    <w:tl2br w:val="nil"/>
                    <w:tr2bl w:val="nil"/>
                  </w:tcBorders>
                  <w:shd w:val="clear" w:color="auto" w:fill="auto"/>
                  <w:vAlign w:val="center"/>
                </w:tcPr>
                <w:p w14:paraId="3C59AB3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r>
            <w:tr w14:paraId="238B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shd w:val="clear" w:color="auto" w:fill="auto"/>
                  <w:noWrap/>
                  <w:vAlign w:val="center"/>
                </w:tcPr>
                <w:p w14:paraId="0E57C963">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continue"/>
                  <w:tcBorders>
                    <w:right w:val="single" w:color="000000" w:sz="4" w:space="0"/>
                    <w:tl2br w:val="nil"/>
                    <w:tr2bl w:val="nil"/>
                  </w:tcBorders>
                  <w:shd w:val="clear" w:color="auto" w:fill="auto"/>
                  <w:noWrap/>
                  <w:vAlign w:val="center"/>
                </w:tcPr>
                <w:p w14:paraId="31B9EA7E">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p>
              </w:tc>
              <w:tc>
                <w:tcPr>
                  <w:tcW w:w="757" w:type="dxa"/>
                  <w:tcBorders>
                    <w:top w:val="single" w:color="000000" w:sz="4" w:space="0"/>
                    <w:left w:val="single" w:color="000000" w:sz="4" w:space="0"/>
                    <w:tl2br w:val="nil"/>
                    <w:tr2bl w:val="nil"/>
                  </w:tcBorders>
                  <w:shd w:val="clear" w:color="auto" w:fill="auto"/>
                  <w:noWrap/>
                  <w:vAlign w:val="center"/>
                </w:tcPr>
                <w:p w14:paraId="3EFA5734">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食堂油烟</w:t>
                  </w:r>
                </w:p>
              </w:tc>
              <w:tc>
                <w:tcPr>
                  <w:tcW w:w="1410" w:type="dxa"/>
                  <w:tcBorders>
                    <w:top w:val="single" w:color="000000" w:sz="4" w:space="0"/>
                    <w:tl2br w:val="nil"/>
                    <w:tr2bl w:val="nil"/>
                  </w:tcBorders>
                  <w:shd w:val="clear" w:color="auto" w:fill="auto"/>
                  <w:vAlign w:val="center"/>
                </w:tcPr>
                <w:p w14:paraId="48A02E1D">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高效油烟净化器</w:t>
                  </w:r>
                </w:p>
              </w:tc>
              <w:tc>
                <w:tcPr>
                  <w:tcW w:w="1502" w:type="dxa"/>
                  <w:tcBorders>
                    <w:top w:val="single" w:color="000000" w:sz="4" w:space="0"/>
                    <w:tl2br w:val="nil"/>
                    <w:tr2bl w:val="nil"/>
                  </w:tcBorders>
                  <w:shd w:val="clear" w:color="auto" w:fill="auto"/>
                  <w:vAlign w:val="center"/>
                </w:tcPr>
                <w:p w14:paraId="4E136345">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top w:val="single" w:color="000000" w:sz="4" w:space="0"/>
                    <w:tl2br w:val="nil"/>
                    <w:tr2bl w:val="nil"/>
                  </w:tcBorders>
                  <w:shd w:val="clear" w:color="auto" w:fill="auto"/>
                  <w:vAlign w:val="center"/>
                </w:tcPr>
                <w:p w14:paraId="43960D2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高效油烟净</w:t>
                  </w:r>
                </w:p>
                <w:p w14:paraId="11A978D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化器</w:t>
                  </w:r>
                </w:p>
              </w:tc>
              <w:tc>
                <w:tcPr>
                  <w:tcW w:w="1398" w:type="dxa"/>
                  <w:tcBorders>
                    <w:top w:val="single" w:color="000000" w:sz="4" w:space="0"/>
                    <w:tl2br w:val="nil"/>
                    <w:tr2bl w:val="nil"/>
                  </w:tcBorders>
                  <w:shd w:val="clear" w:color="auto" w:fill="auto"/>
                  <w:vAlign w:val="center"/>
                </w:tcPr>
                <w:p w14:paraId="67443FE1">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0BCD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shd w:val="clear" w:color="auto" w:fill="auto"/>
                  <w:noWrap/>
                  <w:vAlign w:val="center"/>
                </w:tcPr>
                <w:p w14:paraId="75206921">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restart"/>
                  <w:tcBorders>
                    <w:right w:val="single" w:color="000000" w:sz="4" w:space="0"/>
                    <w:tl2br w:val="nil"/>
                    <w:tr2bl w:val="nil"/>
                  </w:tcBorders>
                  <w:shd w:val="clear" w:color="auto" w:fill="auto"/>
                  <w:noWrap/>
                  <w:vAlign w:val="center"/>
                </w:tcPr>
                <w:p w14:paraId="024C8867">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废水</w:t>
                  </w:r>
                </w:p>
              </w:tc>
              <w:tc>
                <w:tcPr>
                  <w:tcW w:w="757" w:type="dxa"/>
                  <w:tcBorders>
                    <w:top w:val="single" w:color="000000" w:sz="4" w:space="0"/>
                    <w:left w:val="single" w:color="000000" w:sz="4" w:space="0"/>
                    <w:tl2br w:val="nil"/>
                    <w:tr2bl w:val="nil"/>
                  </w:tcBorders>
                  <w:shd w:val="clear" w:color="auto" w:fill="auto"/>
                  <w:noWrap/>
                  <w:vAlign w:val="center"/>
                </w:tcPr>
                <w:p w14:paraId="300CC56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生活污水</w:t>
                  </w:r>
                </w:p>
              </w:tc>
              <w:tc>
                <w:tcPr>
                  <w:tcW w:w="1410" w:type="dxa"/>
                  <w:tcBorders>
                    <w:top w:val="single" w:color="000000" w:sz="4" w:space="0"/>
                    <w:tl2br w:val="nil"/>
                    <w:tr2bl w:val="nil"/>
                  </w:tcBorders>
                  <w:shd w:val="clear" w:color="auto" w:fill="auto"/>
                  <w:vAlign w:val="center"/>
                </w:tcPr>
                <w:p w14:paraId="045EFD3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生活污水地埋式处理设备</w:t>
                  </w:r>
                </w:p>
              </w:tc>
              <w:tc>
                <w:tcPr>
                  <w:tcW w:w="1502" w:type="dxa"/>
                  <w:tcBorders>
                    <w:top w:val="single" w:color="000000" w:sz="4" w:space="0"/>
                    <w:tl2br w:val="nil"/>
                    <w:tr2bl w:val="nil"/>
                  </w:tcBorders>
                  <w:shd w:val="clear" w:color="auto" w:fill="auto"/>
                  <w:vAlign w:val="center"/>
                </w:tcPr>
                <w:p w14:paraId="21C704E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top w:val="single" w:color="000000" w:sz="4" w:space="0"/>
                    <w:tl2br w:val="nil"/>
                    <w:tr2bl w:val="nil"/>
                  </w:tcBorders>
                  <w:shd w:val="clear" w:color="auto" w:fill="auto"/>
                  <w:vAlign w:val="center"/>
                </w:tcPr>
                <w:p w14:paraId="477E28A5">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生活污水地埋式处理设备</w:t>
                  </w:r>
                </w:p>
              </w:tc>
              <w:tc>
                <w:tcPr>
                  <w:tcW w:w="1398" w:type="dxa"/>
                  <w:tcBorders>
                    <w:top w:val="single" w:color="000000" w:sz="4" w:space="0"/>
                    <w:tl2br w:val="nil"/>
                    <w:tr2bl w:val="nil"/>
                  </w:tcBorders>
                  <w:shd w:val="clear" w:color="auto" w:fill="auto"/>
                  <w:vAlign w:val="center"/>
                </w:tcPr>
                <w:p w14:paraId="48B3A8A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208C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shd w:val="clear" w:color="auto" w:fill="auto"/>
                  <w:noWrap/>
                  <w:vAlign w:val="center"/>
                </w:tcPr>
                <w:p w14:paraId="0B612F49">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continue"/>
                  <w:tcBorders>
                    <w:right w:val="single" w:color="000000" w:sz="4" w:space="0"/>
                    <w:tl2br w:val="nil"/>
                    <w:tr2bl w:val="nil"/>
                  </w:tcBorders>
                  <w:shd w:val="clear" w:color="auto" w:fill="auto"/>
                  <w:noWrap/>
                  <w:vAlign w:val="center"/>
                </w:tcPr>
                <w:p w14:paraId="392D4A7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p>
              </w:tc>
              <w:tc>
                <w:tcPr>
                  <w:tcW w:w="757" w:type="dxa"/>
                  <w:tcBorders>
                    <w:top w:val="single" w:color="000000" w:sz="4" w:space="0"/>
                    <w:left w:val="single" w:color="000000" w:sz="4" w:space="0"/>
                    <w:tl2br w:val="nil"/>
                    <w:tr2bl w:val="nil"/>
                  </w:tcBorders>
                  <w:shd w:val="clear" w:color="auto" w:fill="auto"/>
                  <w:noWrap/>
                  <w:vAlign w:val="center"/>
                </w:tcPr>
                <w:p w14:paraId="57DB706E">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生产废水</w:t>
                  </w:r>
                </w:p>
              </w:tc>
              <w:tc>
                <w:tcPr>
                  <w:tcW w:w="1410" w:type="dxa"/>
                  <w:tcBorders>
                    <w:top w:val="single" w:color="000000" w:sz="4" w:space="0"/>
                    <w:tl2br w:val="nil"/>
                    <w:tr2bl w:val="nil"/>
                  </w:tcBorders>
                  <w:shd w:val="clear" w:color="auto" w:fill="auto"/>
                  <w:vAlign w:val="center"/>
                </w:tcPr>
                <w:p w14:paraId="4DFD2296">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502" w:type="dxa"/>
                  <w:tcBorders>
                    <w:top w:val="single" w:color="000000" w:sz="4" w:space="0"/>
                    <w:tl2br w:val="nil"/>
                    <w:tr2bl w:val="nil"/>
                  </w:tcBorders>
                  <w:shd w:val="clear" w:color="auto" w:fill="auto"/>
                  <w:vAlign w:val="center"/>
                </w:tcPr>
                <w:p w14:paraId="7473E022">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油漆调漆</w:t>
                  </w:r>
                </w:p>
              </w:tc>
              <w:tc>
                <w:tcPr>
                  <w:tcW w:w="1606" w:type="dxa"/>
                  <w:tcBorders>
                    <w:top w:val="single" w:color="000000" w:sz="4" w:space="0"/>
                    <w:tl2br w:val="nil"/>
                    <w:tr2bl w:val="nil"/>
                  </w:tcBorders>
                  <w:shd w:val="clear" w:color="auto" w:fill="auto"/>
                  <w:vAlign w:val="center"/>
                </w:tcPr>
                <w:p w14:paraId="174B3409">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油漆调漆</w:t>
                  </w:r>
                </w:p>
              </w:tc>
              <w:tc>
                <w:tcPr>
                  <w:tcW w:w="1398" w:type="dxa"/>
                  <w:tcBorders>
                    <w:top w:val="single" w:color="000000" w:sz="4" w:space="0"/>
                    <w:tl2br w:val="nil"/>
                    <w:tr2bl w:val="nil"/>
                  </w:tcBorders>
                  <w:shd w:val="clear" w:color="auto" w:fill="auto"/>
                  <w:vAlign w:val="center"/>
                </w:tcPr>
                <w:p w14:paraId="2F2AD011">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用于油漆调漆，不外排</w:t>
                  </w:r>
                </w:p>
              </w:tc>
            </w:tr>
            <w:tr w14:paraId="61E9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shd w:val="clear" w:color="auto" w:fill="auto"/>
                  <w:noWrap/>
                  <w:vAlign w:val="center"/>
                </w:tcPr>
                <w:p w14:paraId="31928834">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tcBorders>
                    <w:right w:val="single" w:color="000000" w:sz="4" w:space="0"/>
                    <w:tl2br w:val="nil"/>
                    <w:tr2bl w:val="nil"/>
                  </w:tcBorders>
                  <w:shd w:val="clear" w:color="auto" w:fill="auto"/>
                  <w:noWrap/>
                  <w:vAlign w:val="center"/>
                </w:tcPr>
                <w:p w14:paraId="768340D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噪声</w:t>
                  </w:r>
                </w:p>
              </w:tc>
              <w:tc>
                <w:tcPr>
                  <w:tcW w:w="757" w:type="dxa"/>
                  <w:tcBorders>
                    <w:top w:val="single" w:color="000000" w:sz="4" w:space="0"/>
                    <w:left w:val="single" w:color="000000" w:sz="4" w:space="0"/>
                    <w:tl2br w:val="nil"/>
                    <w:tr2bl w:val="nil"/>
                  </w:tcBorders>
                  <w:shd w:val="clear" w:color="auto" w:fill="auto"/>
                  <w:noWrap/>
                  <w:vAlign w:val="center"/>
                </w:tcPr>
                <w:p w14:paraId="7648C23A">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机械噪声</w:t>
                  </w:r>
                </w:p>
              </w:tc>
              <w:tc>
                <w:tcPr>
                  <w:tcW w:w="1410" w:type="dxa"/>
                  <w:tcBorders>
                    <w:top w:val="single" w:color="000000" w:sz="4" w:space="0"/>
                    <w:tl2br w:val="nil"/>
                    <w:tr2bl w:val="nil"/>
                  </w:tcBorders>
                  <w:shd w:val="clear" w:color="auto" w:fill="auto"/>
                  <w:vAlign w:val="center"/>
                </w:tcPr>
                <w:p w14:paraId="570D84F1">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vertAlign w:val="baseline"/>
                      <w14:textFill>
                        <w14:solidFill>
                          <w14:schemeClr w14:val="tx1"/>
                        </w14:solidFill>
                      </w14:textFill>
                    </w:rPr>
                    <w:t>墙体隔声、厂区绿化</w:t>
                  </w:r>
                </w:p>
              </w:tc>
              <w:tc>
                <w:tcPr>
                  <w:tcW w:w="1502" w:type="dxa"/>
                  <w:tcBorders>
                    <w:top w:val="single" w:color="000000" w:sz="4" w:space="0"/>
                    <w:tl2br w:val="nil"/>
                    <w:tr2bl w:val="nil"/>
                  </w:tcBorders>
                  <w:shd w:val="clear" w:color="auto" w:fill="auto"/>
                  <w:vAlign w:val="center"/>
                </w:tcPr>
                <w:p w14:paraId="5D830EB5">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top w:val="single" w:color="000000" w:sz="4" w:space="0"/>
                    <w:tl2br w:val="nil"/>
                    <w:tr2bl w:val="nil"/>
                  </w:tcBorders>
                  <w:shd w:val="clear" w:color="auto" w:fill="auto"/>
                  <w:vAlign w:val="center"/>
                </w:tcPr>
                <w:p w14:paraId="2B8BD67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vertAlign w:val="baseline"/>
                      <w14:textFill>
                        <w14:solidFill>
                          <w14:schemeClr w14:val="tx1"/>
                        </w14:solidFill>
                      </w14:textFill>
                    </w:rPr>
                    <w:t>墙体隔声、厂区绿化</w:t>
                  </w:r>
                </w:p>
              </w:tc>
              <w:tc>
                <w:tcPr>
                  <w:tcW w:w="1398" w:type="dxa"/>
                  <w:tcBorders>
                    <w:top w:val="single" w:color="000000" w:sz="4" w:space="0"/>
                    <w:tl2br w:val="nil"/>
                    <w:tr2bl w:val="nil"/>
                  </w:tcBorders>
                  <w:shd w:val="clear" w:color="auto" w:fill="auto"/>
                  <w:vAlign w:val="center"/>
                </w:tcPr>
                <w:p w14:paraId="7607F2B7">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0FF1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shd w:val="clear" w:color="auto" w:fill="auto"/>
                  <w:noWrap/>
                  <w:vAlign w:val="center"/>
                </w:tcPr>
                <w:p w14:paraId="463829FA">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restart"/>
                  <w:tcBorders>
                    <w:right w:val="single" w:color="000000" w:sz="4" w:space="0"/>
                    <w:tl2br w:val="nil"/>
                    <w:tr2bl w:val="nil"/>
                  </w:tcBorders>
                  <w:shd w:val="clear" w:color="auto" w:fill="auto"/>
                  <w:noWrap/>
                  <w:vAlign w:val="center"/>
                </w:tcPr>
                <w:p w14:paraId="01786F6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固废</w:t>
                  </w:r>
                </w:p>
              </w:tc>
              <w:tc>
                <w:tcPr>
                  <w:tcW w:w="757" w:type="dxa"/>
                  <w:tcBorders>
                    <w:top w:val="single" w:color="000000" w:sz="4" w:space="0"/>
                    <w:left w:val="single" w:color="000000" w:sz="4" w:space="0"/>
                    <w:tl2br w:val="nil"/>
                    <w:tr2bl w:val="nil"/>
                  </w:tcBorders>
                  <w:shd w:val="clear" w:color="auto" w:fill="auto"/>
                  <w:noWrap/>
                  <w:vAlign w:val="center"/>
                </w:tcPr>
                <w:p w14:paraId="6D6BB7F7">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生活垃圾</w:t>
                  </w:r>
                </w:p>
              </w:tc>
              <w:tc>
                <w:tcPr>
                  <w:tcW w:w="1410" w:type="dxa"/>
                  <w:tcBorders>
                    <w:top w:val="single" w:color="000000" w:sz="4" w:space="0"/>
                    <w:tl2br w:val="nil"/>
                    <w:tr2bl w:val="nil"/>
                  </w:tcBorders>
                  <w:shd w:val="clear" w:color="auto" w:fill="auto"/>
                  <w:vAlign w:val="center"/>
                </w:tcPr>
                <w:p w14:paraId="48FAAE42">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生活垃圾堆放处</w:t>
                  </w:r>
                </w:p>
              </w:tc>
              <w:tc>
                <w:tcPr>
                  <w:tcW w:w="1502" w:type="dxa"/>
                  <w:tcBorders>
                    <w:top w:val="single" w:color="000000" w:sz="4" w:space="0"/>
                    <w:tl2br w:val="nil"/>
                    <w:tr2bl w:val="nil"/>
                  </w:tcBorders>
                  <w:shd w:val="clear" w:color="auto" w:fill="auto"/>
                  <w:vAlign w:val="center"/>
                </w:tcPr>
                <w:p w14:paraId="6B1B754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top w:val="single" w:color="000000" w:sz="4" w:space="0"/>
                    <w:tl2br w:val="nil"/>
                    <w:tr2bl w:val="nil"/>
                  </w:tcBorders>
                  <w:shd w:val="clear" w:color="auto" w:fill="auto"/>
                  <w:vAlign w:val="center"/>
                </w:tcPr>
                <w:p w14:paraId="1AD1139A">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生活垃圾堆</w:t>
                  </w:r>
                </w:p>
                <w:p w14:paraId="514F7FDD">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放处</w:t>
                  </w:r>
                </w:p>
              </w:tc>
              <w:tc>
                <w:tcPr>
                  <w:tcW w:w="1398" w:type="dxa"/>
                  <w:tcBorders>
                    <w:top w:val="single" w:color="000000" w:sz="4" w:space="0"/>
                    <w:tl2br w:val="nil"/>
                    <w:tr2bl w:val="nil"/>
                  </w:tcBorders>
                  <w:shd w:val="clear" w:color="auto" w:fill="auto"/>
                  <w:vAlign w:val="center"/>
                </w:tcPr>
                <w:p w14:paraId="010F6A12">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3AE6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31" w:type="dxa"/>
                  <w:vMerge w:val="continue"/>
                  <w:tcBorders>
                    <w:tl2br w:val="nil"/>
                    <w:tr2bl w:val="nil"/>
                  </w:tcBorders>
                  <w:shd w:val="clear" w:color="auto" w:fill="auto"/>
                  <w:noWrap/>
                  <w:vAlign w:val="center"/>
                </w:tcPr>
                <w:p w14:paraId="75187CDC">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none"/>
                      <w:lang w:val="en-US" w:eastAsia="zh-CN"/>
                      <w14:textFill>
                        <w14:solidFill>
                          <w14:schemeClr w14:val="tx1"/>
                        </w14:solidFill>
                      </w14:textFill>
                    </w:rPr>
                  </w:pPr>
                </w:p>
              </w:tc>
              <w:tc>
                <w:tcPr>
                  <w:tcW w:w="938" w:type="dxa"/>
                  <w:gridSpan w:val="2"/>
                  <w:vMerge w:val="continue"/>
                  <w:tcBorders>
                    <w:right w:val="single" w:color="000000" w:sz="4" w:space="0"/>
                    <w:tl2br w:val="nil"/>
                    <w:tr2bl w:val="nil"/>
                  </w:tcBorders>
                  <w:shd w:val="clear" w:color="auto" w:fill="auto"/>
                  <w:noWrap/>
                  <w:vAlign w:val="center"/>
                </w:tcPr>
                <w:p w14:paraId="50C189A1">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p>
              </w:tc>
              <w:tc>
                <w:tcPr>
                  <w:tcW w:w="757" w:type="dxa"/>
                  <w:tcBorders>
                    <w:top w:val="single" w:color="000000" w:sz="4" w:space="0"/>
                    <w:left w:val="single" w:color="000000" w:sz="4" w:space="0"/>
                    <w:tl2br w:val="nil"/>
                    <w:tr2bl w:val="nil"/>
                  </w:tcBorders>
                  <w:shd w:val="clear" w:color="auto" w:fill="auto"/>
                  <w:noWrap/>
                  <w:vAlign w:val="center"/>
                </w:tcPr>
                <w:p w14:paraId="4A4C93D2">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一般工业固废</w:t>
                  </w:r>
                </w:p>
              </w:tc>
              <w:tc>
                <w:tcPr>
                  <w:tcW w:w="1410" w:type="dxa"/>
                  <w:tcBorders>
                    <w:top w:val="single" w:color="000000" w:sz="4" w:space="0"/>
                    <w:tl2br w:val="nil"/>
                    <w:tr2bl w:val="nil"/>
                  </w:tcBorders>
                  <w:shd w:val="clear" w:color="auto" w:fill="auto"/>
                  <w:vAlign w:val="center"/>
                </w:tcPr>
                <w:p w14:paraId="4C1CAFC7">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一般工业固废暂存间</w:t>
                  </w:r>
                </w:p>
              </w:tc>
              <w:tc>
                <w:tcPr>
                  <w:tcW w:w="1502" w:type="dxa"/>
                  <w:tcBorders>
                    <w:top w:val="single" w:color="000000" w:sz="4" w:space="0"/>
                    <w:tl2br w:val="nil"/>
                    <w:tr2bl w:val="nil"/>
                  </w:tcBorders>
                  <w:shd w:val="clear" w:color="auto" w:fill="auto"/>
                  <w:vAlign w:val="center"/>
                </w:tcPr>
                <w:p w14:paraId="2D2C151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606" w:type="dxa"/>
                  <w:tcBorders>
                    <w:top w:val="single" w:color="000000" w:sz="4" w:space="0"/>
                    <w:tl2br w:val="nil"/>
                    <w:tr2bl w:val="nil"/>
                  </w:tcBorders>
                  <w:shd w:val="clear" w:color="auto" w:fill="auto"/>
                  <w:vAlign w:val="center"/>
                </w:tcPr>
                <w:p w14:paraId="1AA67938">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一般工业固废暂存间</w:t>
                  </w:r>
                </w:p>
              </w:tc>
              <w:tc>
                <w:tcPr>
                  <w:tcW w:w="1398" w:type="dxa"/>
                  <w:tcBorders>
                    <w:top w:val="single" w:color="000000" w:sz="4" w:space="0"/>
                    <w:tl2br w:val="nil"/>
                    <w:tr2bl w:val="nil"/>
                  </w:tcBorders>
                  <w:shd w:val="clear" w:color="auto" w:fill="auto"/>
                  <w:vAlign w:val="center"/>
                </w:tcPr>
                <w:p w14:paraId="3CB8845E">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依托现有</w:t>
                  </w:r>
                </w:p>
              </w:tc>
            </w:tr>
            <w:tr w14:paraId="7B77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shd w:val="clear" w:color="auto" w:fill="auto"/>
                  <w:noWrap/>
                  <w:vAlign w:val="center"/>
                </w:tcPr>
                <w:p w14:paraId="25D8FC29">
                  <w:pPr>
                    <w:keepNext w:val="0"/>
                    <w:keepLines w:val="0"/>
                    <w:widowControl/>
                    <w:suppressLineNumbers w:val="0"/>
                    <w:spacing w:line="240" w:lineRule="auto"/>
                    <w:jc w:val="center"/>
                    <w:textAlignment w:val="center"/>
                    <w:rPr>
                      <w:rFonts w:hint="default" w:ascii="Times New Roman" w:hAnsi="Times New Roman" w:eastAsia="黑体" w:cs="Times New Roman"/>
                      <w:i w:val="0"/>
                      <w:iCs w:val="0"/>
                      <w:color w:val="000000" w:themeColor="text1"/>
                      <w:sz w:val="21"/>
                      <w:szCs w:val="21"/>
                      <w:u w:val="single"/>
                      <w:lang w:val="en-US" w:eastAsia="zh-CN"/>
                      <w14:textFill>
                        <w14:solidFill>
                          <w14:schemeClr w14:val="tx1"/>
                        </w14:solidFill>
                      </w14:textFill>
                    </w:rPr>
                  </w:pPr>
                </w:p>
              </w:tc>
              <w:tc>
                <w:tcPr>
                  <w:tcW w:w="938" w:type="dxa"/>
                  <w:gridSpan w:val="2"/>
                  <w:vMerge w:val="continue"/>
                  <w:tcBorders>
                    <w:right w:val="single" w:color="000000" w:sz="4" w:space="0"/>
                    <w:tl2br w:val="nil"/>
                    <w:tr2bl w:val="nil"/>
                  </w:tcBorders>
                  <w:shd w:val="clear" w:color="auto" w:fill="auto"/>
                  <w:noWrap/>
                  <w:vAlign w:val="center"/>
                </w:tcPr>
                <w:p w14:paraId="4B9AE7F2">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p>
              </w:tc>
              <w:tc>
                <w:tcPr>
                  <w:tcW w:w="757" w:type="dxa"/>
                  <w:tcBorders>
                    <w:top w:val="single" w:color="000000" w:sz="4" w:space="0"/>
                    <w:left w:val="single" w:color="000000" w:sz="4" w:space="0"/>
                    <w:tl2br w:val="nil"/>
                    <w:tr2bl w:val="nil"/>
                  </w:tcBorders>
                  <w:shd w:val="clear" w:color="auto" w:fill="auto"/>
                  <w:noWrap/>
                  <w:vAlign w:val="center"/>
                </w:tcPr>
                <w:p w14:paraId="1152495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危险废物</w:t>
                  </w:r>
                </w:p>
              </w:tc>
              <w:tc>
                <w:tcPr>
                  <w:tcW w:w="1410" w:type="dxa"/>
                  <w:tcBorders>
                    <w:top w:val="single" w:color="000000" w:sz="4" w:space="0"/>
                    <w:tl2br w:val="nil"/>
                    <w:tr2bl w:val="nil"/>
                  </w:tcBorders>
                  <w:shd w:val="clear" w:color="auto" w:fill="auto"/>
                  <w:vAlign w:val="center"/>
                </w:tcPr>
                <w:p w14:paraId="487F665D">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w:t>
                  </w:r>
                </w:p>
              </w:tc>
              <w:tc>
                <w:tcPr>
                  <w:tcW w:w="1502" w:type="dxa"/>
                  <w:tcBorders>
                    <w:top w:val="single" w:color="000000" w:sz="4" w:space="0"/>
                    <w:tl2br w:val="nil"/>
                    <w:tr2bl w:val="nil"/>
                  </w:tcBorders>
                  <w:shd w:val="clear" w:color="auto" w:fill="auto"/>
                  <w:vAlign w:val="center"/>
                </w:tcPr>
                <w:p w14:paraId="7384265E">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w:t>
                  </w:r>
                </w:p>
              </w:tc>
              <w:tc>
                <w:tcPr>
                  <w:tcW w:w="1606" w:type="dxa"/>
                  <w:tcBorders>
                    <w:top w:val="single" w:color="000000" w:sz="4" w:space="0"/>
                    <w:tl2br w:val="nil"/>
                    <w:tr2bl w:val="nil"/>
                  </w:tcBorders>
                  <w:shd w:val="clear" w:color="auto" w:fill="auto"/>
                  <w:vAlign w:val="center"/>
                </w:tcPr>
                <w:p w14:paraId="69D5C514">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危废暂存间</w:t>
                  </w:r>
                </w:p>
              </w:tc>
              <w:tc>
                <w:tcPr>
                  <w:tcW w:w="1398" w:type="dxa"/>
                  <w:tcBorders>
                    <w:top w:val="single" w:color="000000" w:sz="4" w:space="0"/>
                    <w:tl2br w:val="nil"/>
                    <w:tr2bl w:val="nil"/>
                  </w:tcBorders>
                  <w:shd w:val="clear" w:color="auto" w:fill="auto"/>
                  <w:vAlign w:val="center"/>
                </w:tcPr>
                <w:p w14:paraId="488C7D05">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依托现有</w:t>
                  </w:r>
                </w:p>
              </w:tc>
            </w:tr>
          </w:tbl>
          <w:p w14:paraId="4AD8D9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项目</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生产设备</w:t>
            </w:r>
          </w:p>
          <w:p w14:paraId="6266502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生产设备具体情况详见下表2-5。</w:t>
            </w:r>
          </w:p>
          <w:p w14:paraId="4CE2B1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表2-5扩建前后项目主要生产设备一览表</w:t>
            </w:r>
          </w:p>
          <w:tbl>
            <w:tblPr>
              <w:tblStyle w:val="8"/>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236"/>
              <w:gridCol w:w="2191"/>
              <w:gridCol w:w="1385"/>
              <w:gridCol w:w="1385"/>
              <w:gridCol w:w="1385"/>
            </w:tblGrid>
            <w:tr w14:paraId="09F0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restart"/>
                  <w:vAlign w:val="center"/>
                </w:tcPr>
                <w:p w14:paraId="5B690C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序号</w:t>
                  </w:r>
                </w:p>
              </w:tc>
              <w:tc>
                <w:tcPr>
                  <w:tcW w:w="1236" w:type="dxa"/>
                  <w:vMerge w:val="restart"/>
                  <w:vAlign w:val="center"/>
                </w:tcPr>
                <w:p w14:paraId="7BE0A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设备名称</w:t>
                  </w:r>
                </w:p>
              </w:tc>
              <w:tc>
                <w:tcPr>
                  <w:tcW w:w="2191" w:type="dxa"/>
                  <w:vMerge w:val="restart"/>
                  <w:vAlign w:val="center"/>
                </w:tcPr>
                <w:p w14:paraId="35F42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规格、技术参数等</w:t>
                  </w:r>
                </w:p>
              </w:tc>
              <w:tc>
                <w:tcPr>
                  <w:tcW w:w="4155" w:type="dxa"/>
                  <w:gridSpan w:val="3"/>
                  <w:vAlign w:val="center"/>
                </w:tcPr>
                <w:p w14:paraId="20115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数量（台）</w:t>
                  </w:r>
                </w:p>
              </w:tc>
            </w:tr>
            <w:tr w14:paraId="6E26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37AD3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1236" w:type="dxa"/>
                  <w:vMerge w:val="continue"/>
                  <w:vAlign w:val="center"/>
                </w:tcPr>
                <w:p w14:paraId="0FE0D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2191" w:type="dxa"/>
                  <w:vMerge w:val="continue"/>
                  <w:vAlign w:val="center"/>
                </w:tcPr>
                <w:p w14:paraId="329250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1385" w:type="dxa"/>
                  <w:vAlign w:val="center"/>
                </w:tcPr>
                <w:p w14:paraId="4D74F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现有项目</w:t>
                  </w:r>
                </w:p>
                <w:p w14:paraId="746883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（扩建前）</w:t>
                  </w:r>
                </w:p>
              </w:tc>
              <w:tc>
                <w:tcPr>
                  <w:tcW w:w="1385" w:type="dxa"/>
                  <w:vAlign w:val="center"/>
                </w:tcPr>
                <w:p w14:paraId="7D6D29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本项目</w:t>
                  </w:r>
                </w:p>
                <w:p w14:paraId="646DA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（扩建项目）</w:t>
                  </w:r>
                </w:p>
              </w:tc>
              <w:tc>
                <w:tcPr>
                  <w:tcW w:w="1385" w:type="dxa"/>
                  <w:vAlign w:val="center"/>
                </w:tcPr>
                <w:p w14:paraId="60F58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总体项目</w:t>
                  </w:r>
                </w:p>
                <w:p w14:paraId="4AD31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（扩建后）</w:t>
                  </w:r>
                </w:p>
              </w:tc>
            </w:tr>
            <w:tr w14:paraId="43E6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5AAA88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w:t>
                  </w:r>
                </w:p>
              </w:tc>
              <w:tc>
                <w:tcPr>
                  <w:tcW w:w="1236" w:type="dxa"/>
                  <w:vAlign w:val="center"/>
                </w:tcPr>
                <w:p w14:paraId="076354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折板机</w:t>
                  </w:r>
                </w:p>
              </w:tc>
              <w:tc>
                <w:tcPr>
                  <w:tcW w:w="2191" w:type="dxa"/>
                  <w:vAlign w:val="center"/>
                </w:tcPr>
                <w:p w14:paraId="658C6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V-CWT2500</w:t>
                  </w:r>
                </w:p>
              </w:tc>
              <w:tc>
                <w:tcPr>
                  <w:tcW w:w="1385" w:type="dxa"/>
                  <w:vAlign w:val="center"/>
                </w:tcPr>
                <w:p w14:paraId="0732E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w:t>
                  </w:r>
                </w:p>
              </w:tc>
              <w:tc>
                <w:tcPr>
                  <w:tcW w:w="1385" w:type="dxa"/>
                  <w:vAlign w:val="center"/>
                </w:tcPr>
                <w:p w14:paraId="773991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3D6FC8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w:t>
                  </w:r>
                </w:p>
              </w:tc>
            </w:tr>
            <w:tr w14:paraId="27BE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169ADB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w:t>
                  </w:r>
                </w:p>
              </w:tc>
              <w:tc>
                <w:tcPr>
                  <w:tcW w:w="1236" w:type="dxa"/>
                  <w:vAlign w:val="center"/>
                </w:tcPr>
                <w:p w14:paraId="2E4930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剪板机</w:t>
                  </w:r>
                </w:p>
              </w:tc>
              <w:tc>
                <w:tcPr>
                  <w:tcW w:w="2191" w:type="dxa"/>
                  <w:vAlign w:val="center"/>
                </w:tcPr>
                <w:p w14:paraId="4B4E03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08CD7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w:t>
                  </w:r>
                </w:p>
              </w:tc>
              <w:tc>
                <w:tcPr>
                  <w:tcW w:w="1385" w:type="dxa"/>
                  <w:vAlign w:val="center"/>
                </w:tcPr>
                <w:p w14:paraId="24463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70A80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w:t>
                  </w:r>
                </w:p>
              </w:tc>
            </w:tr>
            <w:tr w14:paraId="099C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07669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3</w:t>
                  </w:r>
                </w:p>
              </w:tc>
              <w:tc>
                <w:tcPr>
                  <w:tcW w:w="1236" w:type="dxa"/>
                  <w:vAlign w:val="center"/>
                </w:tcPr>
                <w:p w14:paraId="09AE98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卷板机</w:t>
                  </w:r>
                </w:p>
              </w:tc>
              <w:tc>
                <w:tcPr>
                  <w:tcW w:w="2191" w:type="dxa"/>
                  <w:vAlign w:val="center"/>
                </w:tcPr>
                <w:p w14:paraId="0EF4D1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1B474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4</w:t>
                  </w:r>
                </w:p>
              </w:tc>
              <w:tc>
                <w:tcPr>
                  <w:tcW w:w="1385" w:type="dxa"/>
                  <w:vAlign w:val="center"/>
                </w:tcPr>
                <w:p w14:paraId="7CFF24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7E619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4</w:t>
                  </w:r>
                </w:p>
              </w:tc>
            </w:tr>
            <w:tr w14:paraId="5152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18756A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4</w:t>
                  </w:r>
                </w:p>
              </w:tc>
              <w:tc>
                <w:tcPr>
                  <w:tcW w:w="1236" w:type="dxa"/>
                  <w:vAlign w:val="center"/>
                </w:tcPr>
                <w:p w14:paraId="2AC47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车床</w:t>
                  </w:r>
                </w:p>
              </w:tc>
              <w:tc>
                <w:tcPr>
                  <w:tcW w:w="2191" w:type="dxa"/>
                  <w:vAlign w:val="center"/>
                </w:tcPr>
                <w:p w14:paraId="124772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C6132</w:t>
                  </w:r>
                </w:p>
              </w:tc>
              <w:tc>
                <w:tcPr>
                  <w:tcW w:w="1385" w:type="dxa"/>
                  <w:vAlign w:val="center"/>
                </w:tcPr>
                <w:p w14:paraId="24AF78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w:t>
                  </w:r>
                </w:p>
              </w:tc>
              <w:tc>
                <w:tcPr>
                  <w:tcW w:w="1385" w:type="dxa"/>
                  <w:vAlign w:val="center"/>
                </w:tcPr>
                <w:p w14:paraId="580ACC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32637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w:t>
                  </w:r>
                </w:p>
              </w:tc>
            </w:tr>
            <w:tr w14:paraId="2149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4859C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5</w:t>
                  </w:r>
                </w:p>
              </w:tc>
              <w:tc>
                <w:tcPr>
                  <w:tcW w:w="1236" w:type="dxa"/>
                  <w:vAlign w:val="center"/>
                </w:tcPr>
                <w:p w14:paraId="58C6F2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行车</w:t>
                  </w:r>
                </w:p>
              </w:tc>
              <w:tc>
                <w:tcPr>
                  <w:tcW w:w="2191" w:type="dxa"/>
                  <w:vAlign w:val="center"/>
                </w:tcPr>
                <w:p w14:paraId="467B66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12吨</w:t>
                  </w:r>
                </w:p>
              </w:tc>
              <w:tc>
                <w:tcPr>
                  <w:tcW w:w="1385" w:type="dxa"/>
                  <w:vAlign w:val="center"/>
                </w:tcPr>
                <w:p w14:paraId="6A49BE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w:t>
                  </w:r>
                </w:p>
              </w:tc>
              <w:tc>
                <w:tcPr>
                  <w:tcW w:w="1385" w:type="dxa"/>
                  <w:vAlign w:val="center"/>
                </w:tcPr>
                <w:p w14:paraId="35CBB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22086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w:t>
                  </w:r>
                </w:p>
              </w:tc>
            </w:tr>
            <w:tr w14:paraId="6293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5CB6D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6</w:t>
                  </w:r>
                </w:p>
              </w:tc>
              <w:tc>
                <w:tcPr>
                  <w:tcW w:w="1236" w:type="dxa"/>
                  <w:vAlign w:val="center"/>
                </w:tcPr>
                <w:p w14:paraId="5E8D3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焊接机</w:t>
                  </w:r>
                </w:p>
              </w:tc>
              <w:tc>
                <w:tcPr>
                  <w:tcW w:w="2191" w:type="dxa"/>
                  <w:vAlign w:val="center"/>
                </w:tcPr>
                <w:p w14:paraId="01544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42EB7D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w:t>
                  </w:r>
                </w:p>
              </w:tc>
              <w:tc>
                <w:tcPr>
                  <w:tcW w:w="1385" w:type="dxa"/>
                  <w:vAlign w:val="center"/>
                </w:tcPr>
                <w:p w14:paraId="26463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74C0C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w:t>
                  </w:r>
                </w:p>
              </w:tc>
            </w:tr>
            <w:tr w14:paraId="790D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2DC5AA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7</w:t>
                  </w:r>
                </w:p>
              </w:tc>
              <w:tc>
                <w:tcPr>
                  <w:tcW w:w="1236" w:type="dxa"/>
                  <w:vAlign w:val="center"/>
                </w:tcPr>
                <w:p w14:paraId="1248C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辊筒</w:t>
                  </w:r>
                </w:p>
              </w:tc>
              <w:tc>
                <w:tcPr>
                  <w:tcW w:w="2191" w:type="dxa"/>
                  <w:vAlign w:val="center"/>
                </w:tcPr>
                <w:p w14:paraId="50640A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7AF8FF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210A90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2个</w:t>
                  </w:r>
                </w:p>
              </w:tc>
              <w:tc>
                <w:tcPr>
                  <w:tcW w:w="1385" w:type="dxa"/>
                  <w:vAlign w:val="center"/>
                </w:tcPr>
                <w:p w14:paraId="48360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2个</w:t>
                  </w:r>
                </w:p>
              </w:tc>
            </w:tr>
            <w:tr w14:paraId="1716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7921E7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8</w:t>
                  </w:r>
                </w:p>
              </w:tc>
              <w:tc>
                <w:tcPr>
                  <w:tcW w:w="1236" w:type="dxa"/>
                  <w:vAlign w:val="center"/>
                </w:tcPr>
                <w:p w14:paraId="5E94A6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上漆房</w:t>
                  </w:r>
                </w:p>
              </w:tc>
              <w:tc>
                <w:tcPr>
                  <w:tcW w:w="2191" w:type="dxa"/>
                  <w:vAlign w:val="center"/>
                </w:tcPr>
                <w:p w14:paraId="1603CC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20m*6m*5m</w:t>
                  </w:r>
                </w:p>
              </w:tc>
              <w:tc>
                <w:tcPr>
                  <w:tcW w:w="1385" w:type="dxa"/>
                  <w:vAlign w:val="center"/>
                </w:tcPr>
                <w:p w14:paraId="2D1F29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1385" w:type="dxa"/>
                  <w:vAlign w:val="center"/>
                </w:tcPr>
                <w:p w14:paraId="3C93E8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1个</w:t>
                  </w:r>
                </w:p>
              </w:tc>
              <w:tc>
                <w:tcPr>
                  <w:tcW w:w="1385" w:type="dxa"/>
                  <w:vAlign w:val="center"/>
                </w:tcPr>
                <w:p w14:paraId="6FC88D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1个</w:t>
                  </w:r>
                </w:p>
              </w:tc>
            </w:tr>
          </w:tbl>
          <w:p w14:paraId="1D996F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项目</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主要原辅材料</w:t>
            </w:r>
          </w:p>
          <w:p w14:paraId="66E1306D">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主要原辅材料</w:t>
            </w:r>
            <w:r>
              <w:rPr>
                <w:rFonts w:hint="eastAsia" w:cs="Times New Roman"/>
                <w:b w:val="0"/>
                <w:bCs w:val="0"/>
                <w:color w:val="000000" w:themeColor="text1"/>
                <w:sz w:val="24"/>
                <w:szCs w:val="24"/>
                <w:vertAlign w:val="baseline"/>
                <w:lang w:val="en-US" w:eastAsia="zh-CN"/>
                <w14:textFill>
                  <w14:solidFill>
                    <w14:schemeClr w14:val="tx1"/>
                  </w14:solidFill>
                </w14:textFill>
              </w:rPr>
              <w:t>具体</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情况详见下表2-6</w:t>
            </w:r>
            <w:r>
              <w:rPr>
                <w:rFonts w:hint="eastAsia" w:cs="Times New Roman"/>
                <w:b w:val="0"/>
                <w:bCs w:val="0"/>
                <w:color w:val="000000" w:themeColor="text1"/>
                <w:sz w:val="24"/>
                <w:szCs w:val="24"/>
                <w:vertAlign w:val="baseline"/>
                <w:lang w:val="en-US" w:eastAsia="zh-CN"/>
                <w14:textFill>
                  <w14:solidFill>
                    <w14:schemeClr w14:val="tx1"/>
                  </w14:solidFill>
                </w14:textFill>
              </w:rPr>
              <w:t>、2-7</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1B2574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表2-6扩建前后项目主要原辅材料消耗情况一览表</w:t>
            </w:r>
          </w:p>
          <w:tbl>
            <w:tblPr>
              <w:tblStyle w:val="8"/>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752"/>
              <w:gridCol w:w="1954"/>
              <w:gridCol w:w="1896"/>
              <w:gridCol w:w="2029"/>
            </w:tblGrid>
            <w:tr w14:paraId="5BC4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Merge w:val="restart"/>
                  <w:vAlign w:val="center"/>
                </w:tcPr>
                <w:p w14:paraId="66DDB1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序号</w:t>
                  </w:r>
                </w:p>
              </w:tc>
              <w:tc>
                <w:tcPr>
                  <w:tcW w:w="1752" w:type="dxa"/>
                  <w:vMerge w:val="restart"/>
                  <w:vAlign w:val="center"/>
                </w:tcPr>
                <w:p w14:paraId="37CC6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名称</w:t>
                  </w:r>
                </w:p>
              </w:tc>
              <w:tc>
                <w:tcPr>
                  <w:tcW w:w="5879" w:type="dxa"/>
                  <w:gridSpan w:val="3"/>
                  <w:vAlign w:val="center"/>
                </w:tcPr>
                <w:p w14:paraId="034F6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用量</w:t>
                  </w:r>
                </w:p>
              </w:tc>
            </w:tr>
            <w:tr w14:paraId="15B3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601" w:type="dxa"/>
                  <w:vMerge w:val="continue"/>
                  <w:vAlign w:val="center"/>
                </w:tcPr>
                <w:p w14:paraId="260711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1752" w:type="dxa"/>
                  <w:vMerge w:val="continue"/>
                  <w:vAlign w:val="center"/>
                </w:tcPr>
                <w:p w14:paraId="5064EB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1954" w:type="dxa"/>
                  <w:vAlign w:val="center"/>
                </w:tcPr>
                <w:p w14:paraId="004C37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现有项目（扩建前）</w:t>
                  </w:r>
                </w:p>
              </w:tc>
              <w:tc>
                <w:tcPr>
                  <w:tcW w:w="1896" w:type="dxa"/>
                  <w:vAlign w:val="center"/>
                </w:tcPr>
                <w:p w14:paraId="4D44B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本项目（扩建项目）</w:t>
                  </w:r>
                </w:p>
              </w:tc>
              <w:tc>
                <w:tcPr>
                  <w:tcW w:w="2029" w:type="dxa"/>
                  <w:vAlign w:val="center"/>
                </w:tcPr>
                <w:p w14:paraId="07D04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总体项目（扩建后）</w:t>
                  </w:r>
                </w:p>
              </w:tc>
            </w:tr>
            <w:tr w14:paraId="0586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5DDB2E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w:t>
                  </w:r>
                </w:p>
              </w:tc>
              <w:tc>
                <w:tcPr>
                  <w:tcW w:w="1752" w:type="dxa"/>
                  <w:vAlign w:val="center"/>
                </w:tcPr>
                <w:p w14:paraId="75794E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Q235钢板</w:t>
                  </w:r>
                </w:p>
              </w:tc>
              <w:tc>
                <w:tcPr>
                  <w:tcW w:w="1954" w:type="dxa"/>
                  <w:vAlign w:val="center"/>
                </w:tcPr>
                <w:p w14:paraId="42B33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500t</w:t>
                  </w:r>
                </w:p>
              </w:tc>
              <w:tc>
                <w:tcPr>
                  <w:tcW w:w="1896" w:type="dxa"/>
                  <w:vAlign w:val="center"/>
                </w:tcPr>
                <w:p w14:paraId="60280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4E9111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500t</w:t>
                  </w:r>
                </w:p>
              </w:tc>
            </w:tr>
            <w:tr w14:paraId="0FB7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23E896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w:t>
                  </w:r>
                </w:p>
              </w:tc>
              <w:tc>
                <w:tcPr>
                  <w:tcW w:w="1752" w:type="dxa"/>
                  <w:vAlign w:val="center"/>
                </w:tcPr>
                <w:p w14:paraId="27E505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Q235无缝钢管</w:t>
                  </w:r>
                </w:p>
              </w:tc>
              <w:tc>
                <w:tcPr>
                  <w:tcW w:w="1954" w:type="dxa"/>
                  <w:vAlign w:val="center"/>
                </w:tcPr>
                <w:p w14:paraId="4D7B2C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250t</w:t>
                  </w:r>
                </w:p>
              </w:tc>
              <w:tc>
                <w:tcPr>
                  <w:tcW w:w="1896" w:type="dxa"/>
                  <w:vAlign w:val="center"/>
                </w:tcPr>
                <w:p w14:paraId="3D92A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52C96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250t</w:t>
                  </w:r>
                </w:p>
              </w:tc>
            </w:tr>
            <w:tr w14:paraId="028D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73C2F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3</w:t>
                  </w:r>
                </w:p>
              </w:tc>
              <w:tc>
                <w:tcPr>
                  <w:tcW w:w="1752" w:type="dxa"/>
                  <w:vAlign w:val="center"/>
                </w:tcPr>
                <w:p w14:paraId="3223BA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角铁</w:t>
                  </w:r>
                </w:p>
              </w:tc>
              <w:tc>
                <w:tcPr>
                  <w:tcW w:w="1954" w:type="dxa"/>
                  <w:vAlign w:val="center"/>
                </w:tcPr>
                <w:p w14:paraId="65C73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20t</w:t>
                  </w:r>
                </w:p>
              </w:tc>
              <w:tc>
                <w:tcPr>
                  <w:tcW w:w="1896" w:type="dxa"/>
                  <w:vAlign w:val="center"/>
                </w:tcPr>
                <w:p w14:paraId="59343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1D2C9F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20t</w:t>
                  </w:r>
                </w:p>
              </w:tc>
            </w:tr>
            <w:tr w14:paraId="671D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770930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4</w:t>
                  </w:r>
                </w:p>
              </w:tc>
              <w:tc>
                <w:tcPr>
                  <w:tcW w:w="1752" w:type="dxa"/>
                  <w:vAlign w:val="center"/>
                </w:tcPr>
                <w:p w14:paraId="2AFE09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槽钢</w:t>
                  </w:r>
                </w:p>
              </w:tc>
              <w:tc>
                <w:tcPr>
                  <w:tcW w:w="1954" w:type="dxa"/>
                  <w:vAlign w:val="center"/>
                </w:tcPr>
                <w:p w14:paraId="2BEBBA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100t</w:t>
                  </w:r>
                </w:p>
              </w:tc>
              <w:tc>
                <w:tcPr>
                  <w:tcW w:w="1896" w:type="dxa"/>
                  <w:vAlign w:val="center"/>
                </w:tcPr>
                <w:p w14:paraId="6C283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6A0962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100t</w:t>
                  </w:r>
                </w:p>
              </w:tc>
            </w:tr>
            <w:tr w14:paraId="5314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vAlign w:val="center"/>
                </w:tcPr>
                <w:p w14:paraId="688F3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5</w:t>
                  </w:r>
                </w:p>
              </w:tc>
              <w:tc>
                <w:tcPr>
                  <w:tcW w:w="1752" w:type="dxa"/>
                  <w:vAlign w:val="center"/>
                </w:tcPr>
                <w:p w14:paraId="3A677F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方管</w:t>
                  </w:r>
                </w:p>
              </w:tc>
              <w:tc>
                <w:tcPr>
                  <w:tcW w:w="1954" w:type="dxa"/>
                  <w:vAlign w:val="center"/>
                </w:tcPr>
                <w:p w14:paraId="3B2C6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100t</w:t>
                  </w:r>
                </w:p>
              </w:tc>
              <w:tc>
                <w:tcPr>
                  <w:tcW w:w="1896" w:type="dxa"/>
                  <w:vAlign w:val="center"/>
                </w:tcPr>
                <w:p w14:paraId="01AD64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1F003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100t</w:t>
                  </w:r>
                </w:p>
              </w:tc>
            </w:tr>
            <w:tr w14:paraId="3233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198605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6</w:t>
                  </w:r>
                </w:p>
              </w:tc>
              <w:tc>
                <w:tcPr>
                  <w:tcW w:w="1752" w:type="dxa"/>
                  <w:vAlign w:val="center"/>
                </w:tcPr>
                <w:p w14:paraId="3134D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钢丝</w:t>
                  </w:r>
                </w:p>
              </w:tc>
              <w:tc>
                <w:tcPr>
                  <w:tcW w:w="1954" w:type="dxa"/>
                  <w:vAlign w:val="center"/>
                </w:tcPr>
                <w:p w14:paraId="7B3CC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10t</w:t>
                  </w:r>
                </w:p>
              </w:tc>
              <w:tc>
                <w:tcPr>
                  <w:tcW w:w="1896" w:type="dxa"/>
                  <w:vAlign w:val="center"/>
                </w:tcPr>
                <w:p w14:paraId="643469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5B5535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10t</w:t>
                  </w:r>
                </w:p>
              </w:tc>
            </w:tr>
            <w:tr w14:paraId="5C5B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36295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7</w:t>
                  </w:r>
                </w:p>
              </w:tc>
              <w:tc>
                <w:tcPr>
                  <w:tcW w:w="1752" w:type="dxa"/>
                  <w:vAlign w:val="center"/>
                </w:tcPr>
                <w:p w14:paraId="23D71C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花纹板</w:t>
                  </w:r>
                </w:p>
              </w:tc>
              <w:tc>
                <w:tcPr>
                  <w:tcW w:w="1954" w:type="dxa"/>
                  <w:vAlign w:val="center"/>
                </w:tcPr>
                <w:p w14:paraId="755510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50t</w:t>
                  </w:r>
                </w:p>
              </w:tc>
              <w:tc>
                <w:tcPr>
                  <w:tcW w:w="1896" w:type="dxa"/>
                  <w:vAlign w:val="center"/>
                </w:tcPr>
                <w:p w14:paraId="723A9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4FB05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50t</w:t>
                  </w:r>
                </w:p>
              </w:tc>
            </w:tr>
            <w:tr w14:paraId="2D39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4A153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8</w:t>
                  </w:r>
                </w:p>
              </w:tc>
              <w:tc>
                <w:tcPr>
                  <w:tcW w:w="1752" w:type="dxa"/>
                  <w:vAlign w:val="center"/>
                </w:tcPr>
                <w:p w14:paraId="2ABFF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滤料及附件</w:t>
                  </w:r>
                </w:p>
              </w:tc>
              <w:tc>
                <w:tcPr>
                  <w:tcW w:w="1954" w:type="dxa"/>
                  <w:vAlign w:val="center"/>
                </w:tcPr>
                <w:p w14:paraId="2FB23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60套</w:t>
                  </w:r>
                </w:p>
              </w:tc>
              <w:tc>
                <w:tcPr>
                  <w:tcW w:w="1896" w:type="dxa"/>
                  <w:vAlign w:val="center"/>
                </w:tcPr>
                <w:p w14:paraId="1757A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793EF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60套</w:t>
                  </w:r>
                </w:p>
              </w:tc>
            </w:tr>
            <w:tr w14:paraId="7315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01" w:type="dxa"/>
                  <w:vAlign w:val="center"/>
                </w:tcPr>
                <w:p w14:paraId="340A0C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9</w:t>
                  </w:r>
                </w:p>
              </w:tc>
              <w:tc>
                <w:tcPr>
                  <w:tcW w:w="1752" w:type="dxa"/>
                  <w:vAlign w:val="center"/>
                </w:tcPr>
                <w:p w14:paraId="1A142A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耐油橡胶密封垫</w:t>
                  </w:r>
                </w:p>
              </w:tc>
              <w:tc>
                <w:tcPr>
                  <w:tcW w:w="1954" w:type="dxa"/>
                  <w:vAlign w:val="center"/>
                </w:tcPr>
                <w:p w14:paraId="486A7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c>
                <w:tcPr>
                  <w:tcW w:w="1896" w:type="dxa"/>
                  <w:vAlign w:val="center"/>
                </w:tcPr>
                <w:p w14:paraId="239C75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25064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r>
            <w:tr w14:paraId="674B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66698C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w:t>
                  </w:r>
                </w:p>
              </w:tc>
              <w:tc>
                <w:tcPr>
                  <w:tcW w:w="1752" w:type="dxa"/>
                  <w:vAlign w:val="center"/>
                </w:tcPr>
                <w:p w14:paraId="26B6FE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阀门、管道配件</w:t>
                  </w:r>
                </w:p>
              </w:tc>
              <w:tc>
                <w:tcPr>
                  <w:tcW w:w="1954" w:type="dxa"/>
                  <w:vAlign w:val="center"/>
                </w:tcPr>
                <w:p w14:paraId="52FD1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c>
                <w:tcPr>
                  <w:tcW w:w="1896" w:type="dxa"/>
                  <w:vAlign w:val="center"/>
                </w:tcPr>
                <w:p w14:paraId="202778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2A136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r>
            <w:tr w14:paraId="7824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487A1A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11</w:t>
                  </w:r>
                </w:p>
              </w:tc>
              <w:tc>
                <w:tcPr>
                  <w:tcW w:w="1752" w:type="dxa"/>
                  <w:vAlign w:val="center"/>
                </w:tcPr>
                <w:p w14:paraId="09B97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轴承、标准件</w:t>
                  </w:r>
                </w:p>
              </w:tc>
              <w:tc>
                <w:tcPr>
                  <w:tcW w:w="1954" w:type="dxa"/>
                  <w:vAlign w:val="center"/>
                </w:tcPr>
                <w:p w14:paraId="5AFAD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c>
                <w:tcPr>
                  <w:tcW w:w="1896" w:type="dxa"/>
                  <w:vAlign w:val="center"/>
                </w:tcPr>
                <w:p w14:paraId="512B1F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246D3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r>
            <w:tr w14:paraId="1B32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486D5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12</w:t>
                  </w:r>
                </w:p>
              </w:tc>
              <w:tc>
                <w:tcPr>
                  <w:tcW w:w="1752" w:type="dxa"/>
                  <w:vAlign w:val="center"/>
                </w:tcPr>
                <w:p w14:paraId="23B3B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PLC控制柜</w:t>
                  </w:r>
                </w:p>
              </w:tc>
              <w:tc>
                <w:tcPr>
                  <w:tcW w:w="1954" w:type="dxa"/>
                  <w:vAlign w:val="center"/>
                </w:tcPr>
                <w:p w14:paraId="788FD8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c>
                <w:tcPr>
                  <w:tcW w:w="1896" w:type="dxa"/>
                  <w:vAlign w:val="center"/>
                </w:tcPr>
                <w:p w14:paraId="3CDE58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5BD8F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r>
            <w:tr w14:paraId="5FB6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0D8BD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13</w:t>
                  </w:r>
                </w:p>
              </w:tc>
              <w:tc>
                <w:tcPr>
                  <w:tcW w:w="1752" w:type="dxa"/>
                  <w:vAlign w:val="center"/>
                </w:tcPr>
                <w:p w14:paraId="65DC7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电器配件</w:t>
                  </w:r>
                </w:p>
              </w:tc>
              <w:tc>
                <w:tcPr>
                  <w:tcW w:w="1954" w:type="dxa"/>
                  <w:vAlign w:val="center"/>
                </w:tcPr>
                <w:p w14:paraId="77A22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c>
                <w:tcPr>
                  <w:tcW w:w="1896" w:type="dxa"/>
                  <w:vAlign w:val="center"/>
                </w:tcPr>
                <w:p w14:paraId="0E92D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2402C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r>
            <w:tr w14:paraId="79CC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13FCE8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14</w:t>
                  </w:r>
                </w:p>
              </w:tc>
              <w:tc>
                <w:tcPr>
                  <w:tcW w:w="1752" w:type="dxa"/>
                  <w:vAlign w:val="center"/>
                </w:tcPr>
                <w:p w14:paraId="53E7D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电动机</w:t>
                  </w:r>
                </w:p>
              </w:tc>
              <w:tc>
                <w:tcPr>
                  <w:tcW w:w="1954" w:type="dxa"/>
                  <w:vAlign w:val="center"/>
                </w:tcPr>
                <w:p w14:paraId="789E7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c>
                <w:tcPr>
                  <w:tcW w:w="1896" w:type="dxa"/>
                  <w:vAlign w:val="center"/>
                </w:tcPr>
                <w:p w14:paraId="4CF03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30F36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r>
            <w:tr w14:paraId="399D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5C0F67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15</w:t>
                  </w:r>
                </w:p>
              </w:tc>
              <w:tc>
                <w:tcPr>
                  <w:tcW w:w="1752" w:type="dxa"/>
                  <w:vAlign w:val="center"/>
                </w:tcPr>
                <w:p w14:paraId="2C392B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输泥系统</w:t>
                  </w:r>
                </w:p>
              </w:tc>
              <w:tc>
                <w:tcPr>
                  <w:tcW w:w="1954" w:type="dxa"/>
                  <w:vAlign w:val="center"/>
                </w:tcPr>
                <w:p w14:paraId="25F67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48套</w:t>
                  </w:r>
                </w:p>
              </w:tc>
              <w:tc>
                <w:tcPr>
                  <w:tcW w:w="1896" w:type="dxa"/>
                  <w:vAlign w:val="center"/>
                </w:tcPr>
                <w:p w14:paraId="6A9874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13BC1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48套</w:t>
                  </w:r>
                </w:p>
              </w:tc>
            </w:tr>
            <w:tr w14:paraId="4402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79E61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16</w:t>
                  </w:r>
                </w:p>
              </w:tc>
              <w:tc>
                <w:tcPr>
                  <w:tcW w:w="1752" w:type="dxa"/>
                  <w:vAlign w:val="center"/>
                </w:tcPr>
                <w:p w14:paraId="14702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3寸脉冲阀</w:t>
                  </w:r>
                </w:p>
              </w:tc>
              <w:tc>
                <w:tcPr>
                  <w:tcW w:w="1954" w:type="dxa"/>
                  <w:vAlign w:val="center"/>
                </w:tcPr>
                <w:p w14:paraId="1E887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c>
                <w:tcPr>
                  <w:tcW w:w="1896" w:type="dxa"/>
                  <w:vAlign w:val="center"/>
                </w:tcPr>
                <w:p w14:paraId="19531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5D121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r>
            <w:tr w14:paraId="00C0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223F3D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17</w:t>
                  </w:r>
                </w:p>
              </w:tc>
              <w:tc>
                <w:tcPr>
                  <w:tcW w:w="1752" w:type="dxa"/>
                  <w:vAlign w:val="center"/>
                </w:tcPr>
                <w:p w14:paraId="42BC8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气路配件</w:t>
                  </w:r>
                </w:p>
              </w:tc>
              <w:tc>
                <w:tcPr>
                  <w:tcW w:w="1954" w:type="dxa"/>
                  <w:vAlign w:val="center"/>
                </w:tcPr>
                <w:p w14:paraId="25264E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c>
                <w:tcPr>
                  <w:tcW w:w="1896" w:type="dxa"/>
                  <w:vAlign w:val="center"/>
                </w:tcPr>
                <w:p w14:paraId="0AE46A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01712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200套</w:t>
                  </w:r>
                </w:p>
              </w:tc>
            </w:tr>
            <w:tr w14:paraId="24BF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479222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18</w:t>
                  </w:r>
                </w:p>
              </w:tc>
              <w:tc>
                <w:tcPr>
                  <w:tcW w:w="1752" w:type="dxa"/>
                  <w:vAlign w:val="center"/>
                </w:tcPr>
                <w:p w14:paraId="0CB80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焊丝</w:t>
                  </w:r>
                </w:p>
              </w:tc>
              <w:tc>
                <w:tcPr>
                  <w:tcW w:w="1954" w:type="dxa"/>
                  <w:vAlign w:val="center"/>
                </w:tcPr>
                <w:p w14:paraId="6AACF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100t</w:t>
                  </w:r>
                </w:p>
              </w:tc>
              <w:tc>
                <w:tcPr>
                  <w:tcW w:w="1896" w:type="dxa"/>
                  <w:vAlign w:val="center"/>
                </w:tcPr>
                <w:p w14:paraId="080AB3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1AA89F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100t</w:t>
                  </w:r>
                </w:p>
              </w:tc>
            </w:tr>
            <w:tr w14:paraId="59D3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43AE79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19</w:t>
                  </w:r>
                </w:p>
              </w:tc>
              <w:tc>
                <w:tcPr>
                  <w:tcW w:w="1752" w:type="dxa"/>
                  <w:vAlign w:val="center"/>
                </w:tcPr>
                <w:p w14:paraId="341F54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润滑油</w:t>
                  </w:r>
                </w:p>
              </w:tc>
              <w:tc>
                <w:tcPr>
                  <w:tcW w:w="1954" w:type="dxa"/>
                  <w:vAlign w:val="center"/>
                </w:tcPr>
                <w:p w14:paraId="304A7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0.5t</w:t>
                  </w:r>
                </w:p>
              </w:tc>
              <w:tc>
                <w:tcPr>
                  <w:tcW w:w="1896" w:type="dxa"/>
                  <w:vAlign w:val="center"/>
                </w:tcPr>
                <w:p w14:paraId="1F8B1F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683F96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0.5t</w:t>
                  </w:r>
                </w:p>
              </w:tc>
            </w:tr>
            <w:tr w14:paraId="2E18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vAlign w:val="center"/>
                </w:tcPr>
                <w:p w14:paraId="4B94BC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w:t>
                  </w:r>
                </w:p>
              </w:tc>
              <w:tc>
                <w:tcPr>
                  <w:tcW w:w="1752" w:type="dxa"/>
                  <w:vAlign w:val="center"/>
                </w:tcPr>
                <w:p w14:paraId="6A8349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乳化液</w:t>
                  </w:r>
                </w:p>
              </w:tc>
              <w:tc>
                <w:tcPr>
                  <w:tcW w:w="1954" w:type="dxa"/>
                  <w:vAlign w:val="center"/>
                </w:tcPr>
                <w:p w14:paraId="3E56F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0.1t</w:t>
                  </w:r>
                </w:p>
              </w:tc>
              <w:tc>
                <w:tcPr>
                  <w:tcW w:w="1896" w:type="dxa"/>
                  <w:vAlign w:val="center"/>
                </w:tcPr>
                <w:p w14:paraId="3F3F3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029" w:type="dxa"/>
                  <w:vAlign w:val="center"/>
                </w:tcPr>
                <w:p w14:paraId="7A4412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0.1t</w:t>
                  </w:r>
                </w:p>
              </w:tc>
            </w:tr>
            <w:tr w14:paraId="626D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508A20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21</w:t>
                  </w:r>
                </w:p>
              </w:tc>
              <w:tc>
                <w:tcPr>
                  <w:tcW w:w="1752" w:type="dxa"/>
                  <w:vAlign w:val="center"/>
                </w:tcPr>
                <w:p w14:paraId="05B955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水性漆</w:t>
                  </w:r>
                </w:p>
              </w:tc>
              <w:tc>
                <w:tcPr>
                  <w:tcW w:w="1954" w:type="dxa"/>
                  <w:vAlign w:val="center"/>
                </w:tcPr>
                <w:p w14:paraId="75B81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896" w:type="dxa"/>
                  <w:vAlign w:val="center"/>
                </w:tcPr>
                <w:p w14:paraId="6F09A5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1t</w:t>
                  </w:r>
                </w:p>
              </w:tc>
              <w:tc>
                <w:tcPr>
                  <w:tcW w:w="2029" w:type="dxa"/>
                  <w:vAlign w:val="center"/>
                </w:tcPr>
                <w:p w14:paraId="65E7DC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1t</w:t>
                  </w:r>
                </w:p>
              </w:tc>
            </w:tr>
            <w:tr w14:paraId="2C04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24891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22</w:t>
                  </w:r>
                </w:p>
              </w:tc>
              <w:tc>
                <w:tcPr>
                  <w:tcW w:w="1752" w:type="dxa"/>
                  <w:vAlign w:val="center"/>
                </w:tcPr>
                <w:p w14:paraId="334A9B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水性环氧固化剂</w:t>
                  </w:r>
                </w:p>
              </w:tc>
              <w:tc>
                <w:tcPr>
                  <w:tcW w:w="1954" w:type="dxa"/>
                  <w:vAlign w:val="center"/>
                </w:tcPr>
                <w:p w14:paraId="21038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896" w:type="dxa"/>
                  <w:vAlign w:val="center"/>
                </w:tcPr>
                <w:p w14:paraId="55416E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0.1t</w:t>
                  </w:r>
                </w:p>
              </w:tc>
              <w:tc>
                <w:tcPr>
                  <w:tcW w:w="2029" w:type="dxa"/>
                  <w:vAlign w:val="center"/>
                </w:tcPr>
                <w:p w14:paraId="4A722F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0.1t</w:t>
                  </w:r>
                </w:p>
              </w:tc>
            </w:tr>
            <w:tr w14:paraId="09FB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430ACE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23</w:t>
                  </w:r>
                </w:p>
              </w:tc>
              <w:tc>
                <w:tcPr>
                  <w:tcW w:w="1752" w:type="dxa"/>
                  <w:vAlign w:val="center"/>
                </w:tcPr>
                <w:p w14:paraId="5311F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油性漆</w:t>
                  </w:r>
                </w:p>
              </w:tc>
              <w:tc>
                <w:tcPr>
                  <w:tcW w:w="1954" w:type="dxa"/>
                  <w:vAlign w:val="center"/>
                </w:tcPr>
                <w:p w14:paraId="7123B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896" w:type="dxa"/>
                  <w:vAlign w:val="center"/>
                </w:tcPr>
                <w:p w14:paraId="2BFC3E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1.4t</w:t>
                  </w:r>
                </w:p>
              </w:tc>
              <w:tc>
                <w:tcPr>
                  <w:tcW w:w="2029" w:type="dxa"/>
                  <w:vAlign w:val="center"/>
                </w:tcPr>
                <w:p w14:paraId="75E2E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1.4t</w:t>
                  </w:r>
                </w:p>
              </w:tc>
            </w:tr>
            <w:tr w14:paraId="2836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6A1CB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23</w:t>
                  </w:r>
                </w:p>
              </w:tc>
              <w:tc>
                <w:tcPr>
                  <w:tcW w:w="1752" w:type="dxa"/>
                  <w:vAlign w:val="center"/>
                </w:tcPr>
                <w:p w14:paraId="52AF4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稀释剂</w:t>
                  </w:r>
                </w:p>
              </w:tc>
              <w:tc>
                <w:tcPr>
                  <w:tcW w:w="1954" w:type="dxa"/>
                  <w:vAlign w:val="center"/>
                </w:tcPr>
                <w:p w14:paraId="0565C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896" w:type="dxa"/>
                  <w:vAlign w:val="center"/>
                </w:tcPr>
                <w:p w14:paraId="686E5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0.2t</w:t>
                  </w:r>
                </w:p>
              </w:tc>
              <w:tc>
                <w:tcPr>
                  <w:tcW w:w="2029" w:type="dxa"/>
                  <w:vAlign w:val="center"/>
                </w:tcPr>
                <w:p w14:paraId="70D8C8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0.2t</w:t>
                  </w:r>
                </w:p>
              </w:tc>
            </w:tr>
            <w:tr w14:paraId="2EAF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vAlign w:val="center"/>
                </w:tcPr>
                <w:p w14:paraId="3A39D3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24</w:t>
                  </w:r>
                </w:p>
              </w:tc>
              <w:tc>
                <w:tcPr>
                  <w:tcW w:w="1752" w:type="dxa"/>
                  <w:vAlign w:val="center"/>
                </w:tcPr>
                <w:p w14:paraId="29AA95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固化剂</w:t>
                  </w:r>
                </w:p>
              </w:tc>
              <w:tc>
                <w:tcPr>
                  <w:tcW w:w="1954" w:type="dxa"/>
                  <w:vAlign w:val="center"/>
                </w:tcPr>
                <w:p w14:paraId="77A2FB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896" w:type="dxa"/>
                  <w:vAlign w:val="center"/>
                </w:tcPr>
                <w:p w14:paraId="0B1B9F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0.3t</w:t>
                  </w:r>
                </w:p>
              </w:tc>
              <w:tc>
                <w:tcPr>
                  <w:tcW w:w="2029" w:type="dxa"/>
                  <w:vAlign w:val="center"/>
                </w:tcPr>
                <w:p w14:paraId="569DEA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0.3t</w:t>
                  </w:r>
                </w:p>
              </w:tc>
            </w:tr>
          </w:tbl>
          <w:p w14:paraId="36A8CC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193675</wp:posOffset>
                      </wp:positionV>
                      <wp:extent cx="2702560" cy="2131060"/>
                      <wp:effectExtent l="6350" t="6350" r="15240" b="15240"/>
                      <wp:wrapNone/>
                      <wp:docPr id="45" name="矩形 45"/>
                      <wp:cNvGraphicFramePr/>
                      <a:graphic xmlns:a="http://schemas.openxmlformats.org/drawingml/2006/main">
                        <a:graphicData uri="http://schemas.microsoft.com/office/word/2010/wordprocessingShape">
                          <wps:wsp>
                            <wps:cNvSpPr/>
                            <wps:spPr>
                              <a:xfrm>
                                <a:off x="1380490" y="7533005"/>
                                <a:ext cx="2702560" cy="2131060"/>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15.25pt;height:167.8pt;width:212.8pt;z-index:251662336;v-text-anchor:middle;mso-width-relative:page;mso-height-relative:page;" fillcolor="#000000 [3213]" filled="t" stroked="t" coordsize="21600,21600" o:gfxdata="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gWTRd1wAAAAgB&#10;AAAPAAAAAAAAAAEAIAAAACIAAABkcnMvZG93bnJldi54bWxQSwECFAAUAAAACACHTuJAyg8IbI4C&#10;AAAlBQAADgAAAAAAAAABACAAAAAmAQAAZHJzL2Uyb0RvYy54bWxQSwUGAAAAAAYABgBZAQAAJgYA&#10;AAAA&#10;">
                      <v:fill on="t" focussize="0,0"/>
                      <v:stroke weight="1pt" color="#2E54A1 [2404]" miterlimit="8" joinstyle="miter"/>
                      <v:imagedata o:title=""/>
                      <o:lock v:ext="edit" aspectratio="f"/>
                    </v:rect>
                  </w:pict>
                </mc:Fallback>
              </mc:AlternateConten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表2-7扩建前后项目主要原辅材料储存及使用情况一览表</w:t>
            </w:r>
          </w:p>
          <w:tbl>
            <w:tblPr>
              <w:tblStyle w:val="8"/>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572"/>
              <w:gridCol w:w="816"/>
              <w:gridCol w:w="1188"/>
              <w:gridCol w:w="612"/>
              <w:gridCol w:w="720"/>
              <w:gridCol w:w="1740"/>
              <w:gridCol w:w="957"/>
            </w:tblGrid>
            <w:tr w14:paraId="2404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34474FD2">
                  <w:pPr>
                    <w:bidi w:val="0"/>
                    <w:spacing w:line="240" w:lineRule="auto"/>
                    <w:ind w:firstLine="0" w:firstLineChars="0"/>
                    <w:jc w:val="cente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u w:val="single"/>
                      <w:lang w:val="en-US" w:eastAsia="zh-CN"/>
                      <w14:textFill>
                        <w14:solidFill>
                          <w14:schemeClr w14:val="tx1"/>
                        </w14:solidFill>
                      </w14:textFill>
                    </w:rPr>
                    <w:t>序号</w:t>
                  </w:r>
                </w:p>
              </w:tc>
              <w:tc>
                <w:tcPr>
                  <w:tcW w:w="1572" w:type="dxa"/>
                  <w:vAlign w:val="center"/>
                </w:tcPr>
                <w:p w14:paraId="6DE77AA1">
                  <w:pPr>
                    <w:bidi w:val="0"/>
                    <w:spacing w:line="240" w:lineRule="auto"/>
                    <w:ind w:firstLine="0" w:firstLineChars="0"/>
                    <w:jc w:val="cente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u w:val="single"/>
                      <w14:textFill>
                        <w14:solidFill>
                          <w14:schemeClr w14:val="tx1"/>
                        </w14:solidFill>
                      </w14:textFill>
                    </w:rPr>
                    <w:t>名 称</w:t>
                  </w:r>
                </w:p>
              </w:tc>
              <w:tc>
                <w:tcPr>
                  <w:tcW w:w="816" w:type="dxa"/>
                  <w:vAlign w:val="center"/>
                </w:tcPr>
                <w:p w14:paraId="4339C6E3">
                  <w:pPr>
                    <w:bidi w:val="0"/>
                    <w:spacing w:line="240" w:lineRule="auto"/>
                    <w:ind w:firstLine="0" w:firstLineChars="0"/>
                    <w:jc w:val="cente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u w:val="single"/>
                      <w14:textFill>
                        <w14:solidFill>
                          <w14:schemeClr w14:val="tx1"/>
                        </w14:solidFill>
                      </w14:textFill>
                    </w:rPr>
                    <w:t>年</w:t>
                  </w:r>
                  <w:r>
                    <w:rPr>
                      <w:rFonts w:hint="default" w:ascii="Times New Roman" w:hAnsi="Times New Roman" w:eastAsia="黑体" w:cs="Times New Roman"/>
                      <w:color w:val="000000" w:themeColor="text1"/>
                      <w:sz w:val="18"/>
                      <w:szCs w:val="18"/>
                      <w:u w:val="single"/>
                      <w:lang w:eastAsia="zh-CN"/>
                      <w14:textFill>
                        <w14:solidFill>
                          <w14:schemeClr w14:val="tx1"/>
                        </w14:solidFill>
                      </w14:textFill>
                    </w:rPr>
                    <w:t>用</w:t>
                  </w:r>
                  <w:r>
                    <w:rPr>
                      <w:rFonts w:hint="default" w:ascii="Times New Roman" w:hAnsi="Times New Roman" w:eastAsia="黑体" w:cs="Times New Roman"/>
                      <w:color w:val="000000" w:themeColor="text1"/>
                      <w:sz w:val="18"/>
                      <w:szCs w:val="18"/>
                      <w:u w:val="single"/>
                      <w14:textFill>
                        <w14:solidFill>
                          <w14:schemeClr w14:val="tx1"/>
                        </w14:solidFill>
                      </w14:textFill>
                    </w:rPr>
                    <w:t>量</w:t>
                  </w:r>
                </w:p>
              </w:tc>
              <w:tc>
                <w:tcPr>
                  <w:tcW w:w="1188" w:type="dxa"/>
                  <w:vAlign w:val="center"/>
                </w:tcPr>
                <w:p w14:paraId="2D8AA252">
                  <w:pPr>
                    <w:bidi w:val="0"/>
                    <w:spacing w:line="240" w:lineRule="auto"/>
                    <w:ind w:firstLine="0" w:firstLineChars="0"/>
                    <w:jc w:val="cente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u w:val="single"/>
                      <w:lang w:val="en-US" w:eastAsia="zh-CN"/>
                      <w14:textFill>
                        <w14:solidFill>
                          <w14:schemeClr w14:val="tx1"/>
                        </w14:solidFill>
                      </w14:textFill>
                    </w:rPr>
                    <w:t>最大</w:t>
                  </w:r>
                  <w:r>
                    <w:rPr>
                      <w:rFonts w:hint="default" w:ascii="Times New Roman" w:hAnsi="Times New Roman" w:eastAsia="黑体" w:cs="Times New Roman"/>
                      <w:color w:val="000000" w:themeColor="text1"/>
                      <w:sz w:val="18"/>
                      <w:szCs w:val="18"/>
                      <w:u w:val="single"/>
                      <w14:textFill>
                        <w14:solidFill>
                          <w14:schemeClr w14:val="tx1"/>
                        </w14:solidFill>
                      </w14:textFill>
                    </w:rPr>
                    <w:t>储存量</w:t>
                  </w:r>
                </w:p>
              </w:tc>
              <w:tc>
                <w:tcPr>
                  <w:tcW w:w="612" w:type="dxa"/>
                  <w:vAlign w:val="center"/>
                </w:tcPr>
                <w:p w14:paraId="11322C27">
                  <w:pPr>
                    <w:bidi w:val="0"/>
                    <w:spacing w:line="240" w:lineRule="auto"/>
                    <w:ind w:firstLine="0" w:firstLineChars="0"/>
                    <w:jc w:val="cente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u w:val="single"/>
                      <w:lang w:val="en-US" w:eastAsia="zh-CN"/>
                      <w14:textFill>
                        <w14:solidFill>
                          <w14:schemeClr w14:val="tx1"/>
                        </w14:solidFill>
                      </w14:textFill>
                    </w:rPr>
                    <w:t>形态</w:t>
                  </w:r>
                </w:p>
              </w:tc>
              <w:tc>
                <w:tcPr>
                  <w:tcW w:w="720" w:type="dxa"/>
                  <w:vAlign w:val="center"/>
                </w:tcPr>
                <w:p w14:paraId="17397C63">
                  <w:pPr>
                    <w:bidi w:val="0"/>
                    <w:spacing w:line="240" w:lineRule="auto"/>
                    <w:ind w:firstLine="0" w:firstLineChars="0"/>
                    <w:jc w:val="cente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u w:val="single"/>
                      <w:lang w:val="en-US" w:eastAsia="zh-CN"/>
                      <w14:textFill>
                        <w14:solidFill>
                          <w14:schemeClr w14:val="tx1"/>
                        </w14:solidFill>
                      </w14:textFill>
                    </w:rPr>
                    <w:t>包装</w:t>
                  </w:r>
                </w:p>
              </w:tc>
              <w:tc>
                <w:tcPr>
                  <w:tcW w:w="1740" w:type="dxa"/>
                  <w:vAlign w:val="center"/>
                </w:tcPr>
                <w:p w14:paraId="3E821F47">
                  <w:pPr>
                    <w:bidi w:val="0"/>
                    <w:spacing w:line="240" w:lineRule="auto"/>
                    <w:ind w:firstLine="0" w:firstLineChars="0"/>
                    <w:jc w:val="cente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u w:val="single"/>
                      <w:lang w:val="en-US" w:eastAsia="zh-CN"/>
                      <w14:textFill>
                        <w14:solidFill>
                          <w14:schemeClr w14:val="tx1"/>
                        </w14:solidFill>
                      </w14:textFill>
                    </w:rPr>
                    <w:t>使用工序</w:t>
                  </w:r>
                </w:p>
              </w:tc>
              <w:tc>
                <w:tcPr>
                  <w:tcW w:w="957" w:type="dxa"/>
                  <w:vAlign w:val="center"/>
                </w:tcPr>
                <w:p w14:paraId="21476A46">
                  <w:pPr>
                    <w:bidi w:val="0"/>
                    <w:spacing w:line="240" w:lineRule="auto"/>
                    <w:ind w:firstLine="0" w:firstLineChars="0"/>
                    <w:jc w:val="cente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u w:val="single"/>
                      <w:lang w:val="en-US" w:eastAsia="zh-CN"/>
                      <w14:textFill>
                        <w14:solidFill>
                          <w14:schemeClr w14:val="tx1"/>
                        </w14:solidFill>
                      </w14:textFill>
                    </w:rPr>
                    <w:t>存放位置</w:t>
                  </w:r>
                </w:p>
              </w:tc>
            </w:tr>
            <w:tr w14:paraId="0802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595" w:type="dxa"/>
                  <w:vAlign w:val="center"/>
                </w:tcPr>
                <w:p w14:paraId="65ADA4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w:t>
                  </w:r>
                </w:p>
              </w:tc>
              <w:tc>
                <w:tcPr>
                  <w:tcW w:w="1572" w:type="dxa"/>
                  <w:vAlign w:val="center"/>
                </w:tcPr>
                <w:p w14:paraId="0A543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Q235钢板</w:t>
                  </w:r>
                </w:p>
              </w:tc>
              <w:tc>
                <w:tcPr>
                  <w:tcW w:w="816" w:type="dxa"/>
                  <w:vAlign w:val="center"/>
                </w:tcPr>
                <w:p w14:paraId="492516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500t</w:t>
                  </w:r>
                </w:p>
              </w:tc>
              <w:tc>
                <w:tcPr>
                  <w:tcW w:w="1188" w:type="dxa"/>
                  <w:vAlign w:val="center"/>
                </w:tcPr>
                <w:p w14:paraId="267FF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20t</w:t>
                  </w:r>
                </w:p>
              </w:tc>
              <w:tc>
                <w:tcPr>
                  <w:tcW w:w="612" w:type="dxa"/>
                  <w:vAlign w:val="center"/>
                </w:tcPr>
                <w:p w14:paraId="77454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143FB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散装</w:t>
                  </w:r>
                </w:p>
              </w:tc>
              <w:tc>
                <w:tcPr>
                  <w:tcW w:w="1740" w:type="dxa"/>
                  <w:vAlign w:val="center"/>
                </w:tcPr>
                <w:p w14:paraId="692E7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机加工（钣金）</w:t>
                  </w:r>
                </w:p>
              </w:tc>
              <w:tc>
                <w:tcPr>
                  <w:tcW w:w="957" w:type="dxa"/>
                  <w:vMerge w:val="restart"/>
                  <w:vAlign w:val="center"/>
                </w:tcPr>
                <w:p w14:paraId="463871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原辅材料仓库</w:t>
                  </w:r>
                </w:p>
              </w:tc>
            </w:tr>
            <w:tr w14:paraId="12B1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051B7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w:t>
                  </w:r>
                </w:p>
              </w:tc>
              <w:tc>
                <w:tcPr>
                  <w:tcW w:w="1572" w:type="dxa"/>
                  <w:vAlign w:val="center"/>
                </w:tcPr>
                <w:p w14:paraId="177D4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Q235无缝钢管</w:t>
                  </w:r>
                </w:p>
              </w:tc>
              <w:tc>
                <w:tcPr>
                  <w:tcW w:w="816" w:type="dxa"/>
                  <w:vAlign w:val="center"/>
                </w:tcPr>
                <w:p w14:paraId="3B6AE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250t</w:t>
                  </w:r>
                </w:p>
              </w:tc>
              <w:tc>
                <w:tcPr>
                  <w:tcW w:w="1188" w:type="dxa"/>
                  <w:vAlign w:val="center"/>
                </w:tcPr>
                <w:p w14:paraId="25BDF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5t</w:t>
                  </w:r>
                </w:p>
              </w:tc>
              <w:tc>
                <w:tcPr>
                  <w:tcW w:w="612" w:type="dxa"/>
                  <w:vAlign w:val="center"/>
                </w:tcPr>
                <w:p w14:paraId="665B78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318E21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散装</w:t>
                  </w:r>
                </w:p>
              </w:tc>
              <w:tc>
                <w:tcPr>
                  <w:tcW w:w="1740" w:type="dxa"/>
                  <w:vAlign w:val="center"/>
                </w:tcPr>
                <w:p w14:paraId="76994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机加工（钣金）</w:t>
                  </w:r>
                </w:p>
              </w:tc>
              <w:tc>
                <w:tcPr>
                  <w:tcW w:w="957" w:type="dxa"/>
                  <w:vMerge w:val="continue"/>
                  <w:vAlign w:val="center"/>
                </w:tcPr>
                <w:p w14:paraId="04D07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24D2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52F942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3</w:t>
                  </w:r>
                </w:p>
              </w:tc>
              <w:tc>
                <w:tcPr>
                  <w:tcW w:w="1572" w:type="dxa"/>
                  <w:vAlign w:val="center"/>
                </w:tcPr>
                <w:p w14:paraId="01E32A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角铁</w:t>
                  </w:r>
                </w:p>
              </w:tc>
              <w:tc>
                <w:tcPr>
                  <w:tcW w:w="816" w:type="dxa"/>
                  <w:vAlign w:val="center"/>
                </w:tcPr>
                <w:p w14:paraId="0D874E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20t</w:t>
                  </w:r>
                </w:p>
              </w:tc>
              <w:tc>
                <w:tcPr>
                  <w:tcW w:w="1188" w:type="dxa"/>
                  <w:vAlign w:val="center"/>
                </w:tcPr>
                <w:p w14:paraId="5476A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0.5t</w:t>
                  </w:r>
                </w:p>
              </w:tc>
              <w:tc>
                <w:tcPr>
                  <w:tcW w:w="612" w:type="dxa"/>
                  <w:vAlign w:val="center"/>
                </w:tcPr>
                <w:p w14:paraId="730CC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1B015B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散装</w:t>
                  </w:r>
                </w:p>
              </w:tc>
              <w:tc>
                <w:tcPr>
                  <w:tcW w:w="1740" w:type="dxa"/>
                  <w:vAlign w:val="center"/>
                </w:tcPr>
                <w:p w14:paraId="5ED73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机加工（钣金）</w:t>
                  </w:r>
                </w:p>
              </w:tc>
              <w:tc>
                <w:tcPr>
                  <w:tcW w:w="957" w:type="dxa"/>
                  <w:vMerge w:val="continue"/>
                  <w:vAlign w:val="center"/>
                </w:tcPr>
                <w:p w14:paraId="4DAEF6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4CB8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39B83F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4</w:t>
                  </w:r>
                </w:p>
              </w:tc>
              <w:tc>
                <w:tcPr>
                  <w:tcW w:w="1572" w:type="dxa"/>
                  <w:vAlign w:val="center"/>
                </w:tcPr>
                <w:p w14:paraId="6DB6CD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槽钢</w:t>
                  </w:r>
                </w:p>
              </w:tc>
              <w:tc>
                <w:tcPr>
                  <w:tcW w:w="816" w:type="dxa"/>
                  <w:vAlign w:val="center"/>
                </w:tcPr>
                <w:p w14:paraId="1201C9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100t</w:t>
                  </w:r>
                </w:p>
              </w:tc>
              <w:tc>
                <w:tcPr>
                  <w:tcW w:w="1188" w:type="dxa"/>
                  <w:vAlign w:val="center"/>
                </w:tcPr>
                <w:p w14:paraId="2CAD00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3t</w:t>
                  </w:r>
                </w:p>
              </w:tc>
              <w:tc>
                <w:tcPr>
                  <w:tcW w:w="612" w:type="dxa"/>
                  <w:vAlign w:val="center"/>
                </w:tcPr>
                <w:p w14:paraId="771D0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7FEE7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散装</w:t>
                  </w:r>
                </w:p>
              </w:tc>
              <w:tc>
                <w:tcPr>
                  <w:tcW w:w="1740" w:type="dxa"/>
                  <w:vAlign w:val="center"/>
                </w:tcPr>
                <w:p w14:paraId="36B09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机加工（钣金）</w:t>
                  </w:r>
                </w:p>
              </w:tc>
              <w:tc>
                <w:tcPr>
                  <w:tcW w:w="957" w:type="dxa"/>
                  <w:vMerge w:val="continue"/>
                  <w:vAlign w:val="center"/>
                </w:tcPr>
                <w:p w14:paraId="653AD5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5B15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5BC728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5</w:t>
                  </w:r>
                </w:p>
              </w:tc>
              <w:tc>
                <w:tcPr>
                  <w:tcW w:w="1572" w:type="dxa"/>
                  <w:vAlign w:val="center"/>
                </w:tcPr>
                <w:p w14:paraId="4078B4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方管</w:t>
                  </w:r>
                </w:p>
              </w:tc>
              <w:tc>
                <w:tcPr>
                  <w:tcW w:w="816" w:type="dxa"/>
                  <w:vAlign w:val="center"/>
                </w:tcPr>
                <w:p w14:paraId="0DBC9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100t</w:t>
                  </w:r>
                </w:p>
              </w:tc>
              <w:tc>
                <w:tcPr>
                  <w:tcW w:w="1188" w:type="dxa"/>
                  <w:vAlign w:val="center"/>
                </w:tcPr>
                <w:p w14:paraId="2EC30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3t</w:t>
                  </w:r>
                </w:p>
              </w:tc>
              <w:tc>
                <w:tcPr>
                  <w:tcW w:w="612" w:type="dxa"/>
                  <w:vAlign w:val="center"/>
                </w:tcPr>
                <w:p w14:paraId="6208BE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54C0E2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散装</w:t>
                  </w:r>
                </w:p>
              </w:tc>
              <w:tc>
                <w:tcPr>
                  <w:tcW w:w="1740" w:type="dxa"/>
                  <w:vAlign w:val="center"/>
                </w:tcPr>
                <w:p w14:paraId="4D575D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机加工（钣金）</w:t>
                  </w:r>
                </w:p>
              </w:tc>
              <w:tc>
                <w:tcPr>
                  <w:tcW w:w="957" w:type="dxa"/>
                  <w:vMerge w:val="continue"/>
                  <w:vAlign w:val="center"/>
                </w:tcPr>
                <w:p w14:paraId="35E36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4967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28E83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6</w:t>
                  </w:r>
                </w:p>
              </w:tc>
              <w:tc>
                <w:tcPr>
                  <w:tcW w:w="1572" w:type="dxa"/>
                  <w:vAlign w:val="center"/>
                </w:tcPr>
                <w:p w14:paraId="01A12B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钢丝</w:t>
                  </w:r>
                </w:p>
              </w:tc>
              <w:tc>
                <w:tcPr>
                  <w:tcW w:w="816" w:type="dxa"/>
                  <w:vAlign w:val="center"/>
                </w:tcPr>
                <w:p w14:paraId="21BFD0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10t</w:t>
                  </w:r>
                </w:p>
              </w:tc>
              <w:tc>
                <w:tcPr>
                  <w:tcW w:w="1188" w:type="dxa"/>
                  <w:vAlign w:val="center"/>
                </w:tcPr>
                <w:p w14:paraId="30134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0.5t</w:t>
                  </w:r>
                </w:p>
              </w:tc>
              <w:tc>
                <w:tcPr>
                  <w:tcW w:w="612" w:type="dxa"/>
                  <w:vAlign w:val="center"/>
                </w:tcPr>
                <w:p w14:paraId="231D24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42265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散装</w:t>
                  </w:r>
                </w:p>
              </w:tc>
              <w:tc>
                <w:tcPr>
                  <w:tcW w:w="1740" w:type="dxa"/>
                  <w:vAlign w:val="center"/>
                </w:tcPr>
                <w:p w14:paraId="5F492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机加工（钣金）</w:t>
                  </w:r>
                </w:p>
              </w:tc>
              <w:tc>
                <w:tcPr>
                  <w:tcW w:w="957" w:type="dxa"/>
                  <w:vMerge w:val="continue"/>
                  <w:vAlign w:val="center"/>
                </w:tcPr>
                <w:p w14:paraId="0F2F08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7221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56AC77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7</w:t>
                  </w:r>
                </w:p>
              </w:tc>
              <w:tc>
                <w:tcPr>
                  <w:tcW w:w="1572" w:type="dxa"/>
                  <w:vAlign w:val="center"/>
                </w:tcPr>
                <w:p w14:paraId="7E1D0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花纹板</w:t>
                  </w:r>
                </w:p>
              </w:tc>
              <w:tc>
                <w:tcPr>
                  <w:tcW w:w="816" w:type="dxa"/>
                  <w:vAlign w:val="center"/>
                </w:tcPr>
                <w:p w14:paraId="0D80D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50t</w:t>
                  </w:r>
                </w:p>
              </w:tc>
              <w:tc>
                <w:tcPr>
                  <w:tcW w:w="1188" w:type="dxa"/>
                  <w:vAlign w:val="center"/>
                </w:tcPr>
                <w:p w14:paraId="09BBAA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1t</w:t>
                  </w:r>
                </w:p>
              </w:tc>
              <w:tc>
                <w:tcPr>
                  <w:tcW w:w="612" w:type="dxa"/>
                  <w:vAlign w:val="center"/>
                </w:tcPr>
                <w:p w14:paraId="621915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427989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散装</w:t>
                  </w:r>
                </w:p>
              </w:tc>
              <w:tc>
                <w:tcPr>
                  <w:tcW w:w="1740" w:type="dxa"/>
                  <w:vAlign w:val="center"/>
                </w:tcPr>
                <w:p w14:paraId="24D14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机加工（钣金）</w:t>
                  </w:r>
                </w:p>
              </w:tc>
              <w:tc>
                <w:tcPr>
                  <w:tcW w:w="957" w:type="dxa"/>
                  <w:vMerge w:val="continue"/>
                  <w:vAlign w:val="center"/>
                </w:tcPr>
                <w:p w14:paraId="081224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0F9F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2960B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8</w:t>
                  </w:r>
                </w:p>
              </w:tc>
              <w:tc>
                <w:tcPr>
                  <w:tcW w:w="1572" w:type="dxa"/>
                  <w:vAlign w:val="center"/>
                </w:tcPr>
                <w:p w14:paraId="43CEBE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滤料及附件</w:t>
                  </w:r>
                </w:p>
              </w:tc>
              <w:tc>
                <w:tcPr>
                  <w:tcW w:w="816" w:type="dxa"/>
                  <w:vAlign w:val="center"/>
                </w:tcPr>
                <w:p w14:paraId="61380C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60套</w:t>
                  </w:r>
                </w:p>
              </w:tc>
              <w:tc>
                <w:tcPr>
                  <w:tcW w:w="1188" w:type="dxa"/>
                  <w:vAlign w:val="center"/>
                </w:tcPr>
                <w:p w14:paraId="10EE5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5套</w:t>
                  </w:r>
                </w:p>
              </w:tc>
              <w:tc>
                <w:tcPr>
                  <w:tcW w:w="612" w:type="dxa"/>
                  <w:vAlign w:val="center"/>
                </w:tcPr>
                <w:p w14:paraId="6F8A03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7C9F1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0AE94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570A1A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4531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4188CE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9</w:t>
                  </w:r>
                </w:p>
              </w:tc>
              <w:tc>
                <w:tcPr>
                  <w:tcW w:w="1572" w:type="dxa"/>
                  <w:vAlign w:val="center"/>
                </w:tcPr>
                <w:p w14:paraId="21E2AD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耐油橡胶密封垫</w:t>
                  </w:r>
                </w:p>
              </w:tc>
              <w:tc>
                <w:tcPr>
                  <w:tcW w:w="816" w:type="dxa"/>
                  <w:vAlign w:val="center"/>
                </w:tcPr>
                <w:p w14:paraId="12F05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200套</w:t>
                  </w:r>
                </w:p>
              </w:tc>
              <w:tc>
                <w:tcPr>
                  <w:tcW w:w="1188" w:type="dxa"/>
                  <w:vAlign w:val="center"/>
                </w:tcPr>
                <w:p w14:paraId="3FCF98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20套</w:t>
                  </w:r>
                </w:p>
              </w:tc>
              <w:tc>
                <w:tcPr>
                  <w:tcW w:w="612" w:type="dxa"/>
                  <w:vAlign w:val="center"/>
                </w:tcPr>
                <w:p w14:paraId="5AAE82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011A4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3B01B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61D091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65A0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4CE1C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10</w:t>
                  </w:r>
                </w:p>
              </w:tc>
              <w:tc>
                <w:tcPr>
                  <w:tcW w:w="1572" w:type="dxa"/>
                  <w:vAlign w:val="center"/>
                </w:tcPr>
                <w:p w14:paraId="73DB8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阀门、管道配件</w:t>
                  </w:r>
                </w:p>
              </w:tc>
              <w:tc>
                <w:tcPr>
                  <w:tcW w:w="816" w:type="dxa"/>
                  <w:vAlign w:val="center"/>
                </w:tcPr>
                <w:p w14:paraId="66408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sz w:val="18"/>
                    </w:rPr>
                    <mc:AlternateContent>
                      <mc:Choice Requires="wps">
                        <w:drawing>
                          <wp:anchor distT="0" distB="0" distL="114300" distR="114300" simplePos="0" relativeHeight="251663360" behindDoc="0" locked="0" layoutInCell="1" allowOverlap="1">
                            <wp:simplePos x="0" y="0"/>
                            <wp:positionH relativeFrom="column">
                              <wp:posOffset>-43815</wp:posOffset>
                            </wp:positionH>
                            <wp:positionV relativeFrom="paragraph">
                              <wp:posOffset>-16510</wp:posOffset>
                            </wp:positionV>
                            <wp:extent cx="1226820" cy="3333750"/>
                            <wp:effectExtent l="6350" t="6350" r="24130" b="12700"/>
                            <wp:wrapNone/>
                            <wp:docPr id="48" name="矩形 48"/>
                            <wp:cNvGraphicFramePr/>
                            <a:graphic xmlns:a="http://schemas.openxmlformats.org/drawingml/2006/main">
                              <a:graphicData uri="http://schemas.microsoft.com/office/word/2010/wordprocessingShape">
                                <wps:wsp>
                                  <wps:cNvSpPr/>
                                  <wps:spPr>
                                    <a:xfrm>
                                      <a:off x="2762250" y="910590"/>
                                      <a:ext cx="1226820" cy="3333750"/>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pt;margin-top:-1.3pt;height:262.5pt;width:96.6pt;z-index:251663360;v-text-anchor:middle;mso-width-relative:page;mso-height-relative:page;" fillcolor="#000000 [3213]" filled="t" stroked="t" coordsize="21600,21600" o:gfxdata="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1xpAp9gAAAAJAQAA&#10;DwAAAAAAAAABACAAAAAiAAAAZHJzL2Rvd25yZXYueG1sUEsBAhQAFAAAAAgAh07iQHVg8H6LAgAA&#10;JAUAAA4AAAAAAAAAAQAgAAAAJwEAAGRycy9lMm9Eb2MueG1sUEsFBgAAAAAGAAYAWQEAACQGAAAA&#10;AA==&#10;">
                            <v:fill on="t" focussize="0,0"/>
                            <v:stroke weight="1pt" color="#2E54A1 [2404]" miterlimit="8" joinstyle="miter"/>
                            <v:imagedata o:title=""/>
                            <o:lock v:ext="edit" aspectratio="f"/>
                          </v:rect>
                        </w:pict>
                      </mc:Fallback>
                    </mc:AlternateContent>
                  </w: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200套</w:t>
                  </w:r>
                </w:p>
              </w:tc>
              <w:tc>
                <w:tcPr>
                  <w:tcW w:w="1188" w:type="dxa"/>
                  <w:vAlign w:val="center"/>
                </w:tcPr>
                <w:p w14:paraId="28598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20套</w:t>
                  </w:r>
                </w:p>
              </w:tc>
              <w:tc>
                <w:tcPr>
                  <w:tcW w:w="612" w:type="dxa"/>
                  <w:vAlign w:val="center"/>
                </w:tcPr>
                <w:p w14:paraId="007FAD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38D64D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5D945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5FB9FA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4BA3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201A8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11</w:t>
                  </w:r>
                </w:p>
              </w:tc>
              <w:tc>
                <w:tcPr>
                  <w:tcW w:w="1572" w:type="dxa"/>
                  <w:vAlign w:val="center"/>
                </w:tcPr>
                <w:p w14:paraId="5E05F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轴承、标准件</w:t>
                  </w:r>
                </w:p>
              </w:tc>
              <w:tc>
                <w:tcPr>
                  <w:tcW w:w="816" w:type="dxa"/>
                  <w:vAlign w:val="center"/>
                </w:tcPr>
                <w:p w14:paraId="1E8F72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200套</w:t>
                  </w:r>
                </w:p>
              </w:tc>
              <w:tc>
                <w:tcPr>
                  <w:tcW w:w="1188" w:type="dxa"/>
                  <w:vAlign w:val="center"/>
                </w:tcPr>
                <w:p w14:paraId="7755B8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20套</w:t>
                  </w:r>
                </w:p>
              </w:tc>
              <w:tc>
                <w:tcPr>
                  <w:tcW w:w="612" w:type="dxa"/>
                  <w:vAlign w:val="center"/>
                </w:tcPr>
                <w:p w14:paraId="11499D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26121C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409EC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7F598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6810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60F8B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12</w:t>
                  </w:r>
                </w:p>
              </w:tc>
              <w:tc>
                <w:tcPr>
                  <w:tcW w:w="1572" w:type="dxa"/>
                  <w:vAlign w:val="center"/>
                </w:tcPr>
                <w:p w14:paraId="34BD80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PLC控制柜</w:t>
                  </w:r>
                </w:p>
              </w:tc>
              <w:tc>
                <w:tcPr>
                  <w:tcW w:w="816" w:type="dxa"/>
                  <w:vAlign w:val="center"/>
                </w:tcPr>
                <w:p w14:paraId="434D11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200套</w:t>
                  </w:r>
                </w:p>
              </w:tc>
              <w:tc>
                <w:tcPr>
                  <w:tcW w:w="1188" w:type="dxa"/>
                  <w:vAlign w:val="center"/>
                </w:tcPr>
                <w:p w14:paraId="65CDA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20套</w:t>
                  </w:r>
                </w:p>
              </w:tc>
              <w:tc>
                <w:tcPr>
                  <w:tcW w:w="612" w:type="dxa"/>
                  <w:vAlign w:val="center"/>
                </w:tcPr>
                <w:p w14:paraId="2DA42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163A88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3A1C1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48B18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58AA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1A1AC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13</w:t>
                  </w:r>
                </w:p>
              </w:tc>
              <w:tc>
                <w:tcPr>
                  <w:tcW w:w="1572" w:type="dxa"/>
                  <w:vAlign w:val="center"/>
                </w:tcPr>
                <w:p w14:paraId="60BF3F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电器配件</w:t>
                  </w:r>
                </w:p>
              </w:tc>
              <w:tc>
                <w:tcPr>
                  <w:tcW w:w="816" w:type="dxa"/>
                  <w:vAlign w:val="center"/>
                </w:tcPr>
                <w:p w14:paraId="15B6D2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200套</w:t>
                  </w:r>
                </w:p>
              </w:tc>
              <w:tc>
                <w:tcPr>
                  <w:tcW w:w="1188" w:type="dxa"/>
                  <w:vAlign w:val="center"/>
                </w:tcPr>
                <w:p w14:paraId="0F346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20套</w:t>
                  </w:r>
                </w:p>
              </w:tc>
              <w:tc>
                <w:tcPr>
                  <w:tcW w:w="612" w:type="dxa"/>
                  <w:vAlign w:val="center"/>
                </w:tcPr>
                <w:p w14:paraId="4A2E3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26E63F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1F1BB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3233EB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032D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44CFCA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14</w:t>
                  </w:r>
                </w:p>
              </w:tc>
              <w:tc>
                <w:tcPr>
                  <w:tcW w:w="1572" w:type="dxa"/>
                  <w:vAlign w:val="center"/>
                </w:tcPr>
                <w:p w14:paraId="25F7C3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电动机</w:t>
                  </w:r>
                </w:p>
              </w:tc>
              <w:tc>
                <w:tcPr>
                  <w:tcW w:w="816" w:type="dxa"/>
                  <w:vAlign w:val="center"/>
                </w:tcPr>
                <w:p w14:paraId="7F478D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200套</w:t>
                  </w:r>
                </w:p>
              </w:tc>
              <w:tc>
                <w:tcPr>
                  <w:tcW w:w="1188" w:type="dxa"/>
                  <w:vAlign w:val="center"/>
                </w:tcPr>
                <w:p w14:paraId="158164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20套</w:t>
                  </w:r>
                </w:p>
              </w:tc>
              <w:tc>
                <w:tcPr>
                  <w:tcW w:w="612" w:type="dxa"/>
                  <w:vAlign w:val="center"/>
                </w:tcPr>
                <w:p w14:paraId="3C7210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768E7B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18DF6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35948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0CD8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41219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15</w:t>
                  </w:r>
                </w:p>
              </w:tc>
              <w:tc>
                <w:tcPr>
                  <w:tcW w:w="1572" w:type="dxa"/>
                  <w:vAlign w:val="center"/>
                </w:tcPr>
                <w:p w14:paraId="668586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输泥系统</w:t>
                  </w:r>
                </w:p>
              </w:tc>
              <w:tc>
                <w:tcPr>
                  <w:tcW w:w="816" w:type="dxa"/>
                  <w:vAlign w:val="center"/>
                </w:tcPr>
                <w:p w14:paraId="5169D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48套</w:t>
                  </w:r>
                </w:p>
              </w:tc>
              <w:tc>
                <w:tcPr>
                  <w:tcW w:w="1188" w:type="dxa"/>
                  <w:vAlign w:val="center"/>
                </w:tcPr>
                <w:p w14:paraId="58D58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5套</w:t>
                  </w:r>
                </w:p>
              </w:tc>
              <w:tc>
                <w:tcPr>
                  <w:tcW w:w="612" w:type="dxa"/>
                  <w:vAlign w:val="center"/>
                </w:tcPr>
                <w:p w14:paraId="01C342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0371F1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669C0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71F335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0D9D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067FF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16</w:t>
                  </w:r>
                </w:p>
              </w:tc>
              <w:tc>
                <w:tcPr>
                  <w:tcW w:w="1572" w:type="dxa"/>
                  <w:vAlign w:val="center"/>
                </w:tcPr>
                <w:p w14:paraId="2AD53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3寸脉冲阀</w:t>
                  </w:r>
                </w:p>
              </w:tc>
              <w:tc>
                <w:tcPr>
                  <w:tcW w:w="816" w:type="dxa"/>
                  <w:vAlign w:val="center"/>
                </w:tcPr>
                <w:p w14:paraId="5C71B3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200套</w:t>
                  </w:r>
                </w:p>
              </w:tc>
              <w:tc>
                <w:tcPr>
                  <w:tcW w:w="1188" w:type="dxa"/>
                  <w:vAlign w:val="center"/>
                </w:tcPr>
                <w:p w14:paraId="0A42DF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20套</w:t>
                  </w:r>
                </w:p>
              </w:tc>
              <w:tc>
                <w:tcPr>
                  <w:tcW w:w="612" w:type="dxa"/>
                  <w:vAlign w:val="center"/>
                </w:tcPr>
                <w:p w14:paraId="64588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31956B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木箱</w:t>
                  </w:r>
                </w:p>
              </w:tc>
              <w:tc>
                <w:tcPr>
                  <w:tcW w:w="1740" w:type="dxa"/>
                  <w:vAlign w:val="center"/>
                </w:tcPr>
                <w:p w14:paraId="34954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7F7E45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6F7E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32244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17</w:t>
                  </w:r>
                </w:p>
              </w:tc>
              <w:tc>
                <w:tcPr>
                  <w:tcW w:w="1572" w:type="dxa"/>
                  <w:vAlign w:val="center"/>
                </w:tcPr>
                <w:p w14:paraId="795E44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气路配件</w:t>
                  </w:r>
                </w:p>
              </w:tc>
              <w:tc>
                <w:tcPr>
                  <w:tcW w:w="816" w:type="dxa"/>
                  <w:vAlign w:val="center"/>
                </w:tcPr>
                <w:p w14:paraId="1FEAD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200套</w:t>
                  </w:r>
                </w:p>
              </w:tc>
              <w:tc>
                <w:tcPr>
                  <w:tcW w:w="1188" w:type="dxa"/>
                  <w:vAlign w:val="center"/>
                </w:tcPr>
                <w:p w14:paraId="5FFF1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20套</w:t>
                  </w:r>
                </w:p>
              </w:tc>
              <w:tc>
                <w:tcPr>
                  <w:tcW w:w="612" w:type="dxa"/>
                  <w:vAlign w:val="center"/>
                </w:tcPr>
                <w:p w14:paraId="6635D3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297DA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盒装</w:t>
                  </w:r>
                </w:p>
              </w:tc>
              <w:tc>
                <w:tcPr>
                  <w:tcW w:w="1740" w:type="dxa"/>
                  <w:vAlign w:val="center"/>
                </w:tcPr>
                <w:p w14:paraId="07D74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调试、检测、组装</w:t>
                  </w:r>
                </w:p>
              </w:tc>
              <w:tc>
                <w:tcPr>
                  <w:tcW w:w="957" w:type="dxa"/>
                  <w:vMerge w:val="continue"/>
                  <w:vAlign w:val="center"/>
                </w:tcPr>
                <w:p w14:paraId="5FD93D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429D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62CD3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18</w:t>
                  </w:r>
                </w:p>
              </w:tc>
              <w:tc>
                <w:tcPr>
                  <w:tcW w:w="1572" w:type="dxa"/>
                  <w:vAlign w:val="center"/>
                </w:tcPr>
                <w:p w14:paraId="56C8F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焊丝</w:t>
                  </w:r>
                </w:p>
              </w:tc>
              <w:tc>
                <w:tcPr>
                  <w:tcW w:w="816" w:type="dxa"/>
                  <w:vAlign w:val="center"/>
                </w:tcPr>
                <w:p w14:paraId="46F11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100t</w:t>
                  </w:r>
                </w:p>
              </w:tc>
              <w:tc>
                <w:tcPr>
                  <w:tcW w:w="1188" w:type="dxa"/>
                  <w:vAlign w:val="center"/>
                </w:tcPr>
                <w:p w14:paraId="4E838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20t</w:t>
                  </w:r>
                </w:p>
              </w:tc>
              <w:tc>
                <w:tcPr>
                  <w:tcW w:w="612" w:type="dxa"/>
                  <w:vAlign w:val="center"/>
                </w:tcPr>
                <w:p w14:paraId="22B97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固态</w:t>
                  </w:r>
                </w:p>
              </w:tc>
              <w:tc>
                <w:tcPr>
                  <w:tcW w:w="720" w:type="dxa"/>
                  <w:vAlign w:val="center"/>
                </w:tcPr>
                <w:p w14:paraId="0DA4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盒装</w:t>
                  </w:r>
                </w:p>
              </w:tc>
              <w:tc>
                <w:tcPr>
                  <w:tcW w:w="1740" w:type="dxa"/>
                  <w:vAlign w:val="center"/>
                </w:tcPr>
                <w:p w14:paraId="5C5143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机加工（焊接）</w:t>
                  </w:r>
                </w:p>
              </w:tc>
              <w:tc>
                <w:tcPr>
                  <w:tcW w:w="957" w:type="dxa"/>
                  <w:vMerge w:val="continue"/>
                  <w:vAlign w:val="center"/>
                </w:tcPr>
                <w:p w14:paraId="0B5960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2CC8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50D6A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19</w:t>
                  </w:r>
                </w:p>
              </w:tc>
              <w:tc>
                <w:tcPr>
                  <w:tcW w:w="1572" w:type="dxa"/>
                  <w:vAlign w:val="center"/>
                </w:tcPr>
                <w:p w14:paraId="224F9B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润滑油</w:t>
                  </w:r>
                </w:p>
              </w:tc>
              <w:tc>
                <w:tcPr>
                  <w:tcW w:w="816" w:type="dxa"/>
                  <w:vAlign w:val="center"/>
                </w:tcPr>
                <w:p w14:paraId="448A86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0.5t</w:t>
                  </w:r>
                </w:p>
              </w:tc>
              <w:tc>
                <w:tcPr>
                  <w:tcW w:w="1188" w:type="dxa"/>
                  <w:vAlign w:val="center"/>
                </w:tcPr>
                <w:p w14:paraId="3DFFB5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0.01t</w:t>
                  </w:r>
                </w:p>
              </w:tc>
              <w:tc>
                <w:tcPr>
                  <w:tcW w:w="612" w:type="dxa"/>
                  <w:vAlign w:val="center"/>
                </w:tcPr>
                <w:p w14:paraId="4078C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液态</w:t>
                  </w:r>
                </w:p>
              </w:tc>
              <w:tc>
                <w:tcPr>
                  <w:tcW w:w="720" w:type="dxa"/>
                  <w:vAlign w:val="center"/>
                </w:tcPr>
                <w:p w14:paraId="1066D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桶装</w:t>
                  </w:r>
                </w:p>
              </w:tc>
              <w:tc>
                <w:tcPr>
                  <w:tcW w:w="1740" w:type="dxa"/>
                  <w:vAlign w:val="center"/>
                </w:tcPr>
                <w:p w14:paraId="34C83F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w:t>
                  </w:r>
                </w:p>
              </w:tc>
              <w:tc>
                <w:tcPr>
                  <w:tcW w:w="957" w:type="dxa"/>
                  <w:vMerge w:val="restart"/>
                  <w:vAlign w:val="center"/>
                </w:tcPr>
                <w:p w14:paraId="39413F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危险化学品仓库</w:t>
                  </w:r>
                </w:p>
              </w:tc>
            </w:tr>
            <w:tr w14:paraId="5525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51FF7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20</w:t>
                  </w:r>
                </w:p>
              </w:tc>
              <w:tc>
                <w:tcPr>
                  <w:tcW w:w="1572" w:type="dxa"/>
                  <w:vAlign w:val="center"/>
                </w:tcPr>
                <w:p w14:paraId="030FA3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乳化液</w:t>
                  </w:r>
                </w:p>
              </w:tc>
              <w:tc>
                <w:tcPr>
                  <w:tcW w:w="816" w:type="dxa"/>
                  <w:vAlign w:val="center"/>
                </w:tcPr>
                <w:p w14:paraId="2FDD4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0.1t</w:t>
                  </w:r>
                </w:p>
              </w:tc>
              <w:tc>
                <w:tcPr>
                  <w:tcW w:w="1188" w:type="dxa"/>
                  <w:vAlign w:val="center"/>
                </w:tcPr>
                <w:p w14:paraId="116BAB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0.01t</w:t>
                  </w:r>
                </w:p>
              </w:tc>
              <w:tc>
                <w:tcPr>
                  <w:tcW w:w="612" w:type="dxa"/>
                  <w:vAlign w:val="center"/>
                </w:tcPr>
                <w:p w14:paraId="74599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液态</w:t>
                  </w:r>
                </w:p>
              </w:tc>
              <w:tc>
                <w:tcPr>
                  <w:tcW w:w="720" w:type="dxa"/>
                  <w:vAlign w:val="center"/>
                </w:tcPr>
                <w:p w14:paraId="52394F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桶装</w:t>
                  </w:r>
                </w:p>
              </w:tc>
              <w:tc>
                <w:tcPr>
                  <w:tcW w:w="1740" w:type="dxa"/>
                  <w:vAlign w:val="center"/>
                </w:tcPr>
                <w:p w14:paraId="3B9B3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机加工</w:t>
                  </w:r>
                </w:p>
              </w:tc>
              <w:tc>
                <w:tcPr>
                  <w:tcW w:w="957" w:type="dxa"/>
                  <w:vMerge w:val="continue"/>
                  <w:vAlign w:val="center"/>
                </w:tcPr>
                <w:p w14:paraId="6E176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5089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4998A9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21</w:t>
                  </w:r>
                </w:p>
              </w:tc>
              <w:tc>
                <w:tcPr>
                  <w:tcW w:w="1572" w:type="dxa"/>
                  <w:vAlign w:val="center"/>
                </w:tcPr>
                <w:p w14:paraId="32B4C8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水性漆</w:t>
                  </w:r>
                </w:p>
              </w:tc>
              <w:tc>
                <w:tcPr>
                  <w:tcW w:w="816" w:type="dxa"/>
                  <w:vAlign w:val="center"/>
                </w:tcPr>
                <w:p w14:paraId="55266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1t</w:t>
                  </w:r>
                </w:p>
              </w:tc>
              <w:tc>
                <w:tcPr>
                  <w:tcW w:w="1188" w:type="dxa"/>
                  <w:vAlign w:val="center"/>
                </w:tcPr>
                <w:p w14:paraId="159462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0.01t</w:t>
                  </w:r>
                </w:p>
              </w:tc>
              <w:tc>
                <w:tcPr>
                  <w:tcW w:w="612" w:type="dxa"/>
                  <w:vAlign w:val="center"/>
                </w:tcPr>
                <w:p w14:paraId="050C2F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液态</w:t>
                  </w:r>
                </w:p>
              </w:tc>
              <w:tc>
                <w:tcPr>
                  <w:tcW w:w="720" w:type="dxa"/>
                  <w:vAlign w:val="center"/>
                </w:tcPr>
                <w:p w14:paraId="4E222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桶装</w:t>
                  </w:r>
                </w:p>
              </w:tc>
              <w:tc>
                <w:tcPr>
                  <w:tcW w:w="1740" w:type="dxa"/>
                  <w:vAlign w:val="center"/>
                </w:tcPr>
                <w:p w14:paraId="6E736A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上漆</w:t>
                  </w:r>
                </w:p>
              </w:tc>
              <w:tc>
                <w:tcPr>
                  <w:tcW w:w="957" w:type="dxa"/>
                  <w:vMerge w:val="continue"/>
                  <w:vAlign w:val="center"/>
                </w:tcPr>
                <w:p w14:paraId="6463A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1AA0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79A818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22</w:t>
                  </w:r>
                </w:p>
              </w:tc>
              <w:tc>
                <w:tcPr>
                  <w:tcW w:w="1572" w:type="dxa"/>
                  <w:vAlign w:val="center"/>
                </w:tcPr>
                <w:p w14:paraId="1011DA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水性环氧固化剂</w:t>
                  </w:r>
                </w:p>
              </w:tc>
              <w:tc>
                <w:tcPr>
                  <w:tcW w:w="816" w:type="dxa"/>
                  <w:vAlign w:val="center"/>
                </w:tcPr>
                <w:p w14:paraId="02682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0.1t</w:t>
                  </w:r>
                </w:p>
              </w:tc>
              <w:tc>
                <w:tcPr>
                  <w:tcW w:w="1188" w:type="dxa"/>
                  <w:vAlign w:val="center"/>
                </w:tcPr>
                <w:p w14:paraId="79997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0.01t</w:t>
                  </w:r>
                </w:p>
              </w:tc>
              <w:tc>
                <w:tcPr>
                  <w:tcW w:w="612" w:type="dxa"/>
                  <w:vAlign w:val="center"/>
                </w:tcPr>
                <w:p w14:paraId="03832E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液态</w:t>
                  </w:r>
                </w:p>
              </w:tc>
              <w:tc>
                <w:tcPr>
                  <w:tcW w:w="720" w:type="dxa"/>
                  <w:vAlign w:val="center"/>
                </w:tcPr>
                <w:p w14:paraId="4FF25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桶装</w:t>
                  </w:r>
                </w:p>
              </w:tc>
              <w:tc>
                <w:tcPr>
                  <w:tcW w:w="1740" w:type="dxa"/>
                  <w:vAlign w:val="center"/>
                </w:tcPr>
                <w:p w14:paraId="2987D4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上漆</w:t>
                  </w:r>
                </w:p>
              </w:tc>
              <w:tc>
                <w:tcPr>
                  <w:tcW w:w="957" w:type="dxa"/>
                  <w:vMerge w:val="continue"/>
                  <w:vAlign w:val="center"/>
                </w:tcPr>
                <w:p w14:paraId="60F485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375C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15D96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23</w:t>
                  </w:r>
                </w:p>
              </w:tc>
              <w:tc>
                <w:tcPr>
                  <w:tcW w:w="1572" w:type="dxa"/>
                  <w:vAlign w:val="center"/>
                </w:tcPr>
                <w:p w14:paraId="05DBA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油性漆</w:t>
                  </w:r>
                </w:p>
              </w:tc>
              <w:tc>
                <w:tcPr>
                  <w:tcW w:w="816" w:type="dxa"/>
                  <w:vAlign w:val="center"/>
                </w:tcPr>
                <w:p w14:paraId="2A116E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1.4t</w:t>
                  </w:r>
                </w:p>
              </w:tc>
              <w:tc>
                <w:tcPr>
                  <w:tcW w:w="1188" w:type="dxa"/>
                  <w:vAlign w:val="center"/>
                </w:tcPr>
                <w:p w14:paraId="14E61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0.05t</w:t>
                  </w:r>
                </w:p>
              </w:tc>
              <w:tc>
                <w:tcPr>
                  <w:tcW w:w="612" w:type="dxa"/>
                  <w:vAlign w:val="center"/>
                </w:tcPr>
                <w:p w14:paraId="53A8BC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液态</w:t>
                  </w:r>
                </w:p>
              </w:tc>
              <w:tc>
                <w:tcPr>
                  <w:tcW w:w="720" w:type="dxa"/>
                  <w:vAlign w:val="center"/>
                </w:tcPr>
                <w:p w14:paraId="1C32B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桶装</w:t>
                  </w:r>
                </w:p>
              </w:tc>
              <w:tc>
                <w:tcPr>
                  <w:tcW w:w="1740" w:type="dxa"/>
                  <w:vAlign w:val="center"/>
                </w:tcPr>
                <w:p w14:paraId="7FAEC4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上漆</w:t>
                  </w:r>
                </w:p>
              </w:tc>
              <w:tc>
                <w:tcPr>
                  <w:tcW w:w="957" w:type="dxa"/>
                  <w:vMerge w:val="continue"/>
                  <w:vAlign w:val="center"/>
                </w:tcPr>
                <w:p w14:paraId="542D60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481C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01A864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23</w:t>
                  </w:r>
                </w:p>
              </w:tc>
              <w:tc>
                <w:tcPr>
                  <w:tcW w:w="1572" w:type="dxa"/>
                  <w:vAlign w:val="center"/>
                </w:tcPr>
                <w:p w14:paraId="30BDC2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稀释剂</w:t>
                  </w:r>
                </w:p>
              </w:tc>
              <w:tc>
                <w:tcPr>
                  <w:tcW w:w="816" w:type="dxa"/>
                  <w:vAlign w:val="center"/>
                </w:tcPr>
                <w:p w14:paraId="3BD9E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0.2t</w:t>
                  </w:r>
                </w:p>
              </w:tc>
              <w:tc>
                <w:tcPr>
                  <w:tcW w:w="1188" w:type="dxa"/>
                  <w:vAlign w:val="center"/>
                </w:tcPr>
                <w:p w14:paraId="50D87D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0.01t</w:t>
                  </w:r>
                </w:p>
              </w:tc>
              <w:tc>
                <w:tcPr>
                  <w:tcW w:w="612" w:type="dxa"/>
                  <w:vAlign w:val="center"/>
                </w:tcPr>
                <w:p w14:paraId="74AE4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液态</w:t>
                  </w:r>
                </w:p>
              </w:tc>
              <w:tc>
                <w:tcPr>
                  <w:tcW w:w="720" w:type="dxa"/>
                  <w:vAlign w:val="center"/>
                </w:tcPr>
                <w:p w14:paraId="4D315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桶装</w:t>
                  </w:r>
                </w:p>
              </w:tc>
              <w:tc>
                <w:tcPr>
                  <w:tcW w:w="1740" w:type="dxa"/>
                  <w:vAlign w:val="center"/>
                </w:tcPr>
                <w:p w14:paraId="00AF60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上漆</w:t>
                  </w:r>
                </w:p>
              </w:tc>
              <w:tc>
                <w:tcPr>
                  <w:tcW w:w="957" w:type="dxa"/>
                  <w:vMerge w:val="continue"/>
                  <w:vAlign w:val="center"/>
                </w:tcPr>
                <w:p w14:paraId="1ECDAF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r w14:paraId="7915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4EF7D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24</w:t>
                  </w:r>
                </w:p>
              </w:tc>
              <w:tc>
                <w:tcPr>
                  <w:tcW w:w="1572" w:type="dxa"/>
                  <w:vAlign w:val="center"/>
                </w:tcPr>
                <w:p w14:paraId="2EDCCE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固化剂</w:t>
                  </w:r>
                </w:p>
              </w:tc>
              <w:tc>
                <w:tcPr>
                  <w:tcW w:w="816" w:type="dxa"/>
                  <w:vAlign w:val="center"/>
                </w:tcPr>
                <w:p w14:paraId="57783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0.3t</w:t>
                  </w:r>
                </w:p>
              </w:tc>
              <w:tc>
                <w:tcPr>
                  <w:tcW w:w="1188" w:type="dxa"/>
                  <w:vAlign w:val="center"/>
                </w:tcPr>
                <w:p w14:paraId="0523C7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0.01t</w:t>
                  </w:r>
                </w:p>
              </w:tc>
              <w:tc>
                <w:tcPr>
                  <w:tcW w:w="612" w:type="dxa"/>
                  <w:vAlign w:val="center"/>
                </w:tcPr>
                <w:p w14:paraId="00316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液态</w:t>
                  </w:r>
                </w:p>
              </w:tc>
              <w:tc>
                <w:tcPr>
                  <w:tcW w:w="720" w:type="dxa"/>
                  <w:vAlign w:val="center"/>
                </w:tcPr>
                <w:p w14:paraId="336E2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桶装</w:t>
                  </w:r>
                </w:p>
              </w:tc>
              <w:tc>
                <w:tcPr>
                  <w:tcW w:w="1740" w:type="dxa"/>
                  <w:vAlign w:val="center"/>
                </w:tcPr>
                <w:p w14:paraId="6D3C2A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t>上漆</w:t>
                  </w:r>
                </w:p>
              </w:tc>
              <w:tc>
                <w:tcPr>
                  <w:tcW w:w="957" w:type="dxa"/>
                  <w:vMerge w:val="continue"/>
                  <w:vAlign w:val="center"/>
                </w:tcPr>
                <w:p w14:paraId="4B47C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18"/>
                      <w:szCs w:val="18"/>
                      <w:u w:val="single"/>
                      <w:vertAlign w:val="baseline"/>
                      <w:lang w:val="en-US" w:eastAsia="zh-CN"/>
                      <w14:textFill>
                        <w14:solidFill>
                          <w14:schemeClr w14:val="tx1"/>
                        </w14:solidFill>
                      </w14:textFill>
                    </w:rPr>
                  </w:pPr>
                </w:p>
              </w:tc>
            </w:tr>
          </w:tbl>
          <w:p w14:paraId="33E7AA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4.1</w:t>
            </w:r>
            <w:r>
              <w:rPr>
                <w:rFonts w:hint="eastAsia" w:eastAsia="黑体" w:cs="Times New Roman"/>
                <w:color w:val="000000" w:themeColor="text1"/>
                <w:sz w:val="24"/>
                <w:szCs w:val="24"/>
                <w:u w:val="single"/>
                <w:vertAlign w:val="baseline"/>
                <w:lang w:val="en-US" w:eastAsia="zh-CN"/>
                <w14:textFill>
                  <w14:solidFill>
                    <w14:schemeClr w14:val="tx1"/>
                  </w14:solidFill>
                </w14:textFill>
              </w:rPr>
              <w:t>涂料类型及涂料</w:t>
            </w:r>
            <w:r>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产能匹配分析</w:t>
            </w:r>
          </w:p>
          <w:p w14:paraId="3234273D">
            <w:pPr>
              <w:keepNext w:val="0"/>
              <w:keepLines w:val="0"/>
              <w:pageBreakBefore w:val="0"/>
              <w:widowControl w:val="0"/>
              <w:tabs>
                <w:tab w:val="left" w:pos="3043"/>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4.1.1涂料类型分析</w:t>
            </w:r>
          </w:p>
          <w:p w14:paraId="63E78E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szCs w:val="24"/>
                <w:u w:val="single"/>
                <w:vertAlign w:val="baseline"/>
                <w:lang w:val="en-US" w:eastAsia="zh-CN"/>
                <w14:textFill>
                  <w14:solidFill>
                    <w14:schemeClr w14:val="tx1"/>
                  </w14:solidFill>
                </w14:textFill>
              </w:rPr>
            </w:pPr>
            <w:r>
              <w:rPr>
                <w:rFonts w:hint="eastAsia" w:cs="Times New Roman"/>
                <w:color w:val="000000" w:themeColor="text1"/>
                <w:sz w:val="24"/>
                <w:szCs w:val="24"/>
                <w:u w:val="single"/>
                <w:vertAlign w:val="baseline"/>
                <w:lang w:val="en-US" w:eastAsia="zh-CN"/>
                <w14:textFill>
                  <w14:solidFill>
                    <w14:schemeClr w14:val="tx1"/>
                  </w14:solidFill>
                </w14:textFill>
              </w:rPr>
              <w:t>本项目需要对金属原材料表面进行上漆，项目所用涂料为水性漆和油性漆。本项目采用油性漆原因为：油性漆的形成的漆膜更致密，天然抗紫外线能力较强，有效延缓褪色。在温差大，湿度高的环境中更不容易开裂剥落，所以有部分顾客根据实际需求要求产品表面上漆采用油性漆。</w:t>
            </w:r>
          </w:p>
          <w:p w14:paraId="28A66C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4.1.</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涂料</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挥发性符合性</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分析</w:t>
            </w:r>
          </w:p>
          <w:p w14:paraId="6837C90F">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000000" w:themeColor="text1"/>
                <w:u w:val="single"/>
                <w14:textFill>
                  <w14:solidFill>
                    <w14:schemeClr w14:val="tx1"/>
                  </w14:solidFill>
                </w14:textFill>
              </w:rPr>
            </w:pPr>
            <w:r>
              <w:rPr>
                <w:color w:val="000000" w:themeColor="text1"/>
                <w:u w:val="single"/>
                <w14:textFill>
                  <w14:solidFill>
                    <w14:schemeClr w14:val="tx1"/>
                  </w14:solidFill>
                </w14:textFill>
              </w:rPr>
              <w:t>根据《低挥发性有机化合物含量涂料产品技术要求》（GB/T 38597-2020），该标准规定了低挥发性有机化合物含量涂料产品为施工状态下涂料产品中存在的挥发性有机化合物的质量符合标准相应产品的挥发性有机物含量限值要求的涂料产品。低挥发性有机化合物涂料产品的标准限值如下：</w:t>
            </w:r>
          </w:p>
          <w:p w14:paraId="0D03C5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表2-8 水性涂料中VOC含量要求（节选）</w:t>
            </w:r>
          </w:p>
          <w:tbl>
            <w:tblPr>
              <w:tblStyle w:val="8"/>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87"/>
              <w:gridCol w:w="1711"/>
              <w:gridCol w:w="1236"/>
              <w:gridCol w:w="1524"/>
              <w:gridCol w:w="1464"/>
            </w:tblGrid>
            <w:tr w14:paraId="390C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86" w:type="dxa"/>
                  <w:vAlign w:val="center"/>
                </w:tcPr>
                <w:p w14:paraId="6A5DC8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产品类别</w:t>
                  </w:r>
                </w:p>
              </w:tc>
              <w:tc>
                <w:tcPr>
                  <w:tcW w:w="4134" w:type="dxa"/>
                  <w:gridSpan w:val="3"/>
                  <w:vAlign w:val="center"/>
                </w:tcPr>
                <w:p w14:paraId="76FAC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主要产品类型</w:t>
                  </w:r>
                </w:p>
              </w:tc>
              <w:tc>
                <w:tcPr>
                  <w:tcW w:w="1524" w:type="dxa"/>
                  <w:vAlign w:val="center"/>
                </w:tcPr>
                <w:p w14:paraId="7DC271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限量值（g/L）</w:t>
                  </w:r>
                </w:p>
              </w:tc>
              <w:tc>
                <w:tcPr>
                  <w:tcW w:w="1464" w:type="dxa"/>
                  <w:vAlign w:val="center"/>
                </w:tcPr>
                <w:p w14:paraId="1FBD72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本项目（g/L）</w:t>
                  </w:r>
                </w:p>
              </w:tc>
            </w:tr>
            <w:tr w14:paraId="5564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7ACE1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工业防护涂料</w:t>
                  </w:r>
                </w:p>
              </w:tc>
              <w:tc>
                <w:tcPr>
                  <w:tcW w:w="1187" w:type="dxa"/>
                  <w:vMerge w:val="restart"/>
                  <w:vAlign w:val="center"/>
                </w:tcPr>
                <w:p w14:paraId="16312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机械设备涂料</w:t>
                  </w:r>
                </w:p>
              </w:tc>
              <w:tc>
                <w:tcPr>
                  <w:tcW w:w="1711" w:type="dxa"/>
                  <w:vMerge w:val="restart"/>
                  <w:vAlign w:val="center"/>
                </w:tcPr>
                <w:p w14:paraId="29789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港口机械和化工机械涂料（含零部件涂料）</w:t>
                  </w:r>
                </w:p>
              </w:tc>
              <w:tc>
                <w:tcPr>
                  <w:tcW w:w="1236" w:type="dxa"/>
                  <w:shd w:val="clear" w:color="auto" w:fill="auto"/>
                  <w:vAlign w:val="center"/>
                </w:tcPr>
                <w:p w14:paraId="543CEB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底漆</w:t>
                  </w:r>
                </w:p>
              </w:tc>
              <w:tc>
                <w:tcPr>
                  <w:tcW w:w="1524" w:type="dxa"/>
                  <w:vAlign w:val="center"/>
                </w:tcPr>
                <w:p w14:paraId="32B78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≤250</w:t>
                  </w:r>
                </w:p>
              </w:tc>
              <w:tc>
                <w:tcPr>
                  <w:tcW w:w="1464" w:type="dxa"/>
                  <w:vAlign w:val="center"/>
                </w:tcPr>
                <w:p w14:paraId="4FE4FE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7218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17F5BD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87" w:type="dxa"/>
                  <w:vMerge w:val="continue"/>
                  <w:vAlign w:val="center"/>
                </w:tcPr>
                <w:p w14:paraId="3EEDBA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11" w:type="dxa"/>
                  <w:vMerge w:val="continue"/>
                  <w:vAlign w:val="center"/>
                </w:tcPr>
                <w:p w14:paraId="65DE61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236" w:type="dxa"/>
                  <w:shd w:val="clear" w:color="auto" w:fill="auto"/>
                  <w:vAlign w:val="center"/>
                </w:tcPr>
                <w:p w14:paraId="6FC2E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中涂</w:t>
                  </w:r>
                </w:p>
              </w:tc>
              <w:tc>
                <w:tcPr>
                  <w:tcW w:w="1524" w:type="dxa"/>
                  <w:vAlign w:val="center"/>
                </w:tcPr>
                <w:p w14:paraId="35C40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≤200</w:t>
                  </w:r>
                </w:p>
              </w:tc>
              <w:tc>
                <w:tcPr>
                  <w:tcW w:w="1464" w:type="dxa"/>
                  <w:vAlign w:val="center"/>
                </w:tcPr>
                <w:p w14:paraId="211B2A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2C87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1E83B8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87" w:type="dxa"/>
                  <w:vMerge w:val="continue"/>
                  <w:vAlign w:val="center"/>
                </w:tcPr>
                <w:p w14:paraId="52984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11" w:type="dxa"/>
                  <w:vMerge w:val="continue"/>
                  <w:vAlign w:val="center"/>
                </w:tcPr>
                <w:p w14:paraId="5A9624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236" w:type="dxa"/>
                  <w:vAlign w:val="center"/>
                </w:tcPr>
                <w:p w14:paraId="2907D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面漆</w:t>
                  </w:r>
                </w:p>
              </w:tc>
              <w:tc>
                <w:tcPr>
                  <w:tcW w:w="1524" w:type="dxa"/>
                  <w:vAlign w:val="center"/>
                </w:tcPr>
                <w:p w14:paraId="33C96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≤250</w:t>
                  </w:r>
                </w:p>
              </w:tc>
              <w:tc>
                <w:tcPr>
                  <w:tcW w:w="1464" w:type="dxa"/>
                  <w:vAlign w:val="center"/>
                </w:tcPr>
                <w:p w14:paraId="4D1F8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≤220</w:t>
                  </w:r>
                </w:p>
              </w:tc>
            </w:tr>
            <w:tr w14:paraId="3837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7E10CE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87" w:type="dxa"/>
                  <w:vMerge w:val="continue"/>
                  <w:vAlign w:val="center"/>
                </w:tcPr>
                <w:p w14:paraId="2DA724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11" w:type="dxa"/>
                  <w:vMerge w:val="continue"/>
                  <w:vAlign w:val="center"/>
                </w:tcPr>
                <w:p w14:paraId="5FC1C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236" w:type="dxa"/>
                  <w:vAlign w:val="center"/>
                </w:tcPr>
                <w:p w14:paraId="0C044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清漆</w:t>
                  </w:r>
                </w:p>
              </w:tc>
              <w:tc>
                <w:tcPr>
                  <w:tcW w:w="1524" w:type="dxa"/>
                  <w:vAlign w:val="center"/>
                </w:tcPr>
                <w:p w14:paraId="2EC24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≤250</w:t>
                  </w:r>
                </w:p>
              </w:tc>
              <w:tc>
                <w:tcPr>
                  <w:tcW w:w="1464" w:type="dxa"/>
                  <w:vAlign w:val="center"/>
                </w:tcPr>
                <w:p w14:paraId="19B18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bl>
          <w:p w14:paraId="40608F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表2-9 溶剂型涂料中VOC含量要求（节选）</w:t>
            </w:r>
          </w:p>
          <w:tbl>
            <w:tblPr>
              <w:tblStyle w:val="8"/>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87"/>
              <w:gridCol w:w="1159"/>
              <w:gridCol w:w="1788"/>
              <w:gridCol w:w="1536"/>
              <w:gridCol w:w="1452"/>
            </w:tblGrid>
            <w:tr w14:paraId="5612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86" w:type="dxa"/>
                  <w:vAlign w:val="center"/>
                </w:tcPr>
                <w:p w14:paraId="022EB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产品类别</w:t>
                  </w:r>
                </w:p>
              </w:tc>
              <w:tc>
                <w:tcPr>
                  <w:tcW w:w="4134" w:type="dxa"/>
                  <w:gridSpan w:val="3"/>
                  <w:vAlign w:val="center"/>
                </w:tcPr>
                <w:p w14:paraId="32B3CB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主要产品类型</w:t>
                  </w:r>
                </w:p>
              </w:tc>
              <w:tc>
                <w:tcPr>
                  <w:tcW w:w="1536" w:type="dxa"/>
                  <w:vAlign w:val="center"/>
                </w:tcPr>
                <w:p w14:paraId="308181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限量值（g/L）</w:t>
                  </w:r>
                </w:p>
              </w:tc>
              <w:tc>
                <w:tcPr>
                  <w:tcW w:w="1452" w:type="dxa"/>
                  <w:vAlign w:val="center"/>
                </w:tcPr>
                <w:p w14:paraId="669CE8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本项目（g/L）</w:t>
                  </w:r>
                </w:p>
              </w:tc>
            </w:tr>
            <w:tr w14:paraId="5D38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58C020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工业防护涂料</w:t>
                  </w:r>
                </w:p>
              </w:tc>
              <w:tc>
                <w:tcPr>
                  <w:tcW w:w="1187" w:type="dxa"/>
                  <w:vMerge w:val="restart"/>
                  <w:vAlign w:val="center"/>
                </w:tcPr>
                <w:p w14:paraId="4B8C58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机械设备涂料</w:t>
                  </w:r>
                </w:p>
              </w:tc>
              <w:tc>
                <w:tcPr>
                  <w:tcW w:w="1159" w:type="dxa"/>
                  <w:vMerge w:val="restart"/>
                  <w:vAlign w:val="center"/>
                </w:tcPr>
                <w:p w14:paraId="401F3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港口机械和化工机械涂料（含零部件涂料）</w:t>
                  </w:r>
                </w:p>
              </w:tc>
              <w:tc>
                <w:tcPr>
                  <w:tcW w:w="1788" w:type="dxa"/>
                  <w:shd w:val="clear" w:color="auto" w:fill="auto"/>
                  <w:vAlign w:val="center"/>
                </w:tcPr>
                <w:p w14:paraId="40142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车间底漆（无机）</w:t>
                  </w:r>
                </w:p>
              </w:tc>
              <w:tc>
                <w:tcPr>
                  <w:tcW w:w="1536" w:type="dxa"/>
                  <w:vAlign w:val="center"/>
                </w:tcPr>
                <w:p w14:paraId="782BB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≤580</w:t>
                  </w:r>
                </w:p>
              </w:tc>
              <w:tc>
                <w:tcPr>
                  <w:tcW w:w="1452" w:type="dxa"/>
                  <w:vAlign w:val="center"/>
                </w:tcPr>
                <w:p w14:paraId="765D5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7D5C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40BF03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87" w:type="dxa"/>
                  <w:vMerge w:val="continue"/>
                  <w:vAlign w:val="center"/>
                </w:tcPr>
                <w:p w14:paraId="7DEE78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59" w:type="dxa"/>
                  <w:vMerge w:val="continue"/>
                  <w:vAlign w:val="center"/>
                </w:tcPr>
                <w:p w14:paraId="0B5D35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88" w:type="dxa"/>
                  <w:shd w:val="clear" w:color="auto" w:fill="auto"/>
                  <w:vAlign w:val="center"/>
                </w:tcPr>
                <w:p w14:paraId="027B5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底漆</w:t>
                  </w:r>
                </w:p>
              </w:tc>
              <w:tc>
                <w:tcPr>
                  <w:tcW w:w="1536" w:type="dxa"/>
                  <w:vAlign w:val="center"/>
                </w:tcPr>
                <w:p w14:paraId="058AC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≤420</w:t>
                  </w:r>
                </w:p>
              </w:tc>
              <w:tc>
                <w:tcPr>
                  <w:tcW w:w="1452" w:type="dxa"/>
                  <w:vAlign w:val="center"/>
                </w:tcPr>
                <w:p w14:paraId="2845CE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2CDA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48EEA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87" w:type="dxa"/>
                  <w:vMerge w:val="continue"/>
                  <w:vAlign w:val="center"/>
                </w:tcPr>
                <w:p w14:paraId="6FA7F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59" w:type="dxa"/>
                  <w:vMerge w:val="continue"/>
                  <w:vAlign w:val="center"/>
                </w:tcPr>
                <w:p w14:paraId="63AFFB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88" w:type="dxa"/>
                  <w:shd w:val="clear" w:color="auto" w:fill="auto"/>
                  <w:vAlign w:val="center"/>
                </w:tcPr>
                <w:p w14:paraId="5CDA8C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中涂</w:t>
                  </w:r>
                </w:p>
              </w:tc>
              <w:tc>
                <w:tcPr>
                  <w:tcW w:w="1536" w:type="dxa"/>
                  <w:vAlign w:val="center"/>
                </w:tcPr>
                <w:p w14:paraId="09ADB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≤420</w:t>
                  </w:r>
                </w:p>
              </w:tc>
              <w:tc>
                <w:tcPr>
                  <w:tcW w:w="1452" w:type="dxa"/>
                  <w:vAlign w:val="center"/>
                </w:tcPr>
                <w:p w14:paraId="75E44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470B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501C57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87" w:type="dxa"/>
                  <w:vMerge w:val="continue"/>
                  <w:vAlign w:val="center"/>
                </w:tcPr>
                <w:p w14:paraId="59DA3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59" w:type="dxa"/>
                  <w:vMerge w:val="continue"/>
                  <w:vAlign w:val="center"/>
                </w:tcPr>
                <w:p w14:paraId="13F3D3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88" w:type="dxa"/>
                  <w:vAlign w:val="center"/>
                </w:tcPr>
                <w:p w14:paraId="6716A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面漆</w:t>
                  </w:r>
                </w:p>
              </w:tc>
              <w:tc>
                <w:tcPr>
                  <w:tcW w:w="1536" w:type="dxa"/>
                  <w:vAlign w:val="center"/>
                </w:tcPr>
                <w:p w14:paraId="2A8679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≤450</w:t>
                  </w:r>
                </w:p>
              </w:tc>
              <w:tc>
                <w:tcPr>
                  <w:tcW w:w="1452" w:type="dxa"/>
                  <w:vAlign w:val="center"/>
                </w:tcPr>
                <w:p w14:paraId="102BF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≤199.8</w:t>
                  </w:r>
                </w:p>
              </w:tc>
            </w:tr>
            <w:tr w14:paraId="50AD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060F0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87" w:type="dxa"/>
                  <w:vMerge w:val="continue"/>
                  <w:vAlign w:val="center"/>
                </w:tcPr>
                <w:p w14:paraId="073840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59" w:type="dxa"/>
                  <w:vMerge w:val="continue"/>
                  <w:vAlign w:val="center"/>
                </w:tcPr>
                <w:p w14:paraId="5AD79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88" w:type="dxa"/>
                  <w:vAlign w:val="center"/>
                </w:tcPr>
                <w:p w14:paraId="2B7C56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清漆</w:t>
                  </w:r>
                </w:p>
              </w:tc>
              <w:tc>
                <w:tcPr>
                  <w:tcW w:w="1536" w:type="dxa"/>
                  <w:vAlign w:val="center"/>
                </w:tcPr>
                <w:p w14:paraId="55EB7E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≤480</w:t>
                  </w:r>
                </w:p>
              </w:tc>
              <w:tc>
                <w:tcPr>
                  <w:tcW w:w="1452" w:type="dxa"/>
                  <w:shd w:val="clear" w:color="auto" w:fill="auto"/>
                  <w:vAlign w:val="center"/>
                </w:tcPr>
                <w:p w14:paraId="7D5C64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bl>
          <w:p w14:paraId="636E928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根据建设单位提供的资料（</w:t>
            </w:r>
            <w:r>
              <w:rPr>
                <w:color w:val="000000" w:themeColor="text1"/>
                <w14:textFill>
                  <w14:solidFill>
                    <w14:schemeClr w14:val="tx1"/>
                  </w14:solidFill>
                </w14:textFill>
              </w:rPr>
              <w:t>油漆厂家提供的</w:t>
            </w:r>
            <w:r>
              <w:rPr>
                <w:rFonts w:hint="eastAsia"/>
                <w:color w:val="000000" w:themeColor="text1"/>
                <w:lang w:val="en-US" w:eastAsia="zh-CN"/>
                <w14:textFill>
                  <w14:solidFill>
                    <w14:schemeClr w14:val="tx1"/>
                  </w14:solidFill>
                </w14:textFill>
              </w:rPr>
              <w:t>油漆MSDS）（详见附近），</w:t>
            </w:r>
            <w:r>
              <w:rPr>
                <w:color w:val="000000" w:themeColor="text1"/>
                <w14:textFill>
                  <w14:solidFill>
                    <w14:schemeClr w14:val="tx1"/>
                  </w14:solidFill>
                </w14:textFill>
              </w:rPr>
              <w:t>本项目所用油性漆</w:t>
            </w:r>
            <w:r>
              <w:rPr>
                <w:rFonts w:hint="eastAsia"/>
                <w:color w:val="000000" w:themeColor="text1"/>
                <w:lang w:val="en-US" w:eastAsia="zh-CN"/>
                <w14:textFill>
                  <w14:solidFill>
                    <w14:schemeClr w14:val="tx1"/>
                  </w14:solidFill>
                </w14:textFill>
              </w:rPr>
              <w:t>及水性漆的</w:t>
            </w:r>
            <w:r>
              <w:rPr>
                <w:color w:val="000000" w:themeColor="text1"/>
                <w14:textFill>
                  <w14:solidFill>
                    <w14:schemeClr w14:val="tx1"/>
                  </w14:solidFill>
                </w14:textFill>
              </w:rPr>
              <w:t>VOCs含量满足《低挥发性有机化合物含量涂料产品技术要求》（GB/T38597-2020）中</w:t>
            </w:r>
            <w:r>
              <w:rPr>
                <w:rFonts w:hint="eastAsia"/>
                <w:color w:val="000000" w:themeColor="text1"/>
                <w:lang w:val="en-US" w:eastAsia="zh-CN"/>
                <w14:textFill>
                  <w14:solidFill>
                    <w14:schemeClr w14:val="tx1"/>
                  </w14:solidFill>
                </w14:textFill>
              </w:rPr>
              <w:t>的相关</w:t>
            </w:r>
            <w:r>
              <w:rPr>
                <w:color w:val="000000" w:themeColor="text1"/>
                <w14:textFill>
                  <w14:solidFill>
                    <w14:schemeClr w14:val="tx1"/>
                  </w14:solidFill>
                </w14:textFill>
              </w:rPr>
              <w:t>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证明本项目所使用的油性漆为低挥发性有机化合物含量物料。既满足了客户需求，又能符合相关环保政策要求。</w:t>
            </w:r>
          </w:p>
          <w:p w14:paraId="7523E889">
            <w:pPr>
              <w:keepNext w:val="0"/>
              <w:keepLines w:val="0"/>
              <w:pageBreakBefore w:val="0"/>
              <w:widowControl w:val="0"/>
              <w:tabs>
                <w:tab w:val="left" w:pos="3043"/>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4.1.</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涂料</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产能匹配分析</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ab/>
            </w:r>
          </w:p>
          <w:p w14:paraId="22DCD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因生产需要（产品出口要求），本项目需对</w:t>
            </w:r>
            <w:r>
              <w:rPr>
                <w:rFonts w:hint="eastAsia" w:cs="Times New Roman"/>
                <w:b w:val="0"/>
                <w:bCs w:val="0"/>
                <w:color w:val="000000" w:themeColor="text1"/>
                <w:sz w:val="24"/>
                <w:szCs w:val="24"/>
                <w:u w:val="single"/>
                <w:lang w:val="en-US" w:eastAsia="zh-CN"/>
                <w14:textFill>
                  <w14:solidFill>
                    <w14:schemeClr w14:val="tx1"/>
                  </w14:solidFill>
                </w14:textFill>
              </w:rPr>
              <w:t>钢板、型材、钢管</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等金属</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原</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材料进行表面</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上漆</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。在进行涂料产能</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分析</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时，</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选取</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钢板</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作为</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核心计算</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基准参数进行测算，主要</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原因为：钢板需要的上漆</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产能最高，</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且</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通过结合板材密度、厚度等物理特性参数进行面积换算</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后</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得出的上漆面积最大。</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以钢管为基准</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计算</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得出的总</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上漆</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面积及</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对应使用的</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油漆需求量，</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完全</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能够覆盖所有</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金属</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原材料的</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上漆</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需求，</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还因为钢板的面积优势，具备一定的余量。</w:t>
            </w:r>
          </w:p>
          <w:p w14:paraId="4749A6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cs="Times New Roman"/>
                <w:color w:val="000000" w:themeColor="text1"/>
                <w:sz w:val="24"/>
                <w:szCs w:val="24"/>
                <w:u w:val="single"/>
                <w:vertAlign w:val="baseline"/>
                <w:lang w:val="en-US" w:eastAsia="zh-CN"/>
                <w14:textFill>
                  <w14:solidFill>
                    <w14:schemeClr w14:val="tx1"/>
                  </w14:solidFill>
                </w14:textFill>
              </w:rPr>
              <w:t>本项目对</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钢板进行两面</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，50%产品</w:t>
            </w:r>
            <w:r>
              <w:rPr>
                <w:rFonts w:hint="eastAsia" w:cs="Times New Roman"/>
                <w:color w:val="000000" w:themeColor="text1"/>
                <w:sz w:val="24"/>
                <w:szCs w:val="24"/>
                <w:u w:val="single"/>
                <w:vertAlign w:val="baseline"/>
                <w:lang w:val="en-US" w:eastAsia="zh-CN"/>
                <w14:textFill>
                  <w14:solidFill>
                    <w14:schemeClr w14:val="tx1"/>
                  </w14:solidFill>
                </w14:textFill>
              </w:rPr>
              <w:t>上漆采用</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水性漆，另外50%产品</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采用油性漆</w:t>
            </w:r>
            <w:r>
              <w:rPr>
                <w:rFonts w:hint="eastAsia" w:cs="Times New Roman"/>
                <w:color w:val="000000" w:themeColor="text1"/>
                <w:sz w:val="24"/>
                <w:szCs w:val="24"/>
                <w:u w:val="single"/>
                <w:vertAlign w:val="baseline"/>
                <w:lang w:val="en-US" w:eastAsia="zh-CN"/>
                <w14:textFill>
                  <w14:solidFill>
                    <w14:schemeClr w14:val="tx1"/>
                  </w14:solidFill>
                </w14:textFill>
              </w:rPr>
              <w:t>。项目仅用辊筒在金属原材料表面涂一层漆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，水性漆</w:t>
            </w:r>
            <w:r>
              <w:rPr>
                <w:rFonts w:hint="eastAsia" w:cs="Times New Roman"/>
                <w:color w:val="000000" w:themeColor="text1"/>
                <w:sz w:val="24"/>
                <w:szCs w:val="24"/>
                <w:u w:val="single"/>
                <w:vertAlign w:val="baseline"/>
                <w:lang w:val="en-US" w:eastAsia="zh-CN"/>
                <w14:textFill>
                  <w14:solidFill>
                    <w14:schemeClr w14:val="tx1"/>
                  </w14:solidFill>
                </w14:textFill>
              </w:rPr>
              <w:t>涂层</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厚度为60μm，油性漆</w:t>
            </w:r>
            <w:r>
              <w:rPr>
                <w:rFonts w:hint="eastAsia" w:cs="Times New Roman"/>
                <w:color w:val="000000" w:themeColor="text1"/>
                <w:sz w:val="24"/>
                <w:szCs w:val="24"/>
                <w:u w:val="single"/>
                <w:vertAlign w:val="baseline"/>
                <w:lang w:val="en-US" w:eastAsia="zh-CN"/>
                <w14:textFill>
                  <w14:solidFill>
                    <w14:schemeClr w14:val="tx1"/>
                  </w14:solidFill>
                </w14:textFill>
              </w:rPr>
              <w:t>涂层</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厚度为80μm。</w:t>
            </w:r>
          </w:p>
          <w:p w14:paraId="491A15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664384" behindDoc="0" locked="0" layoutInCell="1" allowOverlap="1">
                      <wp:simplePos x="0" y="0"/>
                      <wp:positionH relativeFrom="column">
                        <wp:posOffset>126365</wp:posOffset>
                      </wp:positionH>
                      <wp:positionV relativeFrom="paragraph">
                        <wp:posOffset>90805</wp:posOffset>
                      </wp:positionV>
                      <wp:extent cx="4976495" cy="2273935"/>
                      <wp:effectExtent l="6350" t="6350" r="8255" b="24765"/>
                      <wp:wrapNone/>
                      <wp:docPr id="53" name="矩形 53"/>
                      <wp:cNvGraphicFramePr/>
                      <a:graphic xmlns:a="http://schemas.openxmlformats.org/drawingml/2006/main">
                        <a:graphicData uri="http://schemas.microsoft.com/office/word/2010/wordprocessingShape">
                          <wps:wsp>
                            <wps:cNvSpPr/>
                            <wps:spPr>
                              <a:xfrm>
                                <a:off x="1487805" y="6089015"/>
                                <a:ext cx="4976495" cy="2273935"/>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5pt;margin-top:7.15pt;height:179.05pt;width:391.85pt;z-index:251664384;v-text-anchor:middle;mso-width-relative:page;mso-height-relative:page;" fillcolor="#000000 [3213]" filled="t" stroked="t" coordsize="21600,21600" o:gfxdata="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JVF2tgA&#10;AAAJAQAADwAAAAAAAAABACAAAAAiAAAAZHJzL2Rvd25yZXYueG1sUEsBAhQAFAAAAAgAh07iQCr0&#10;0VCRAgAAJQUAAA4AAAAAAAAAAQAgAAAAJwEAAGRycy9lMm9Eb2MueG1sUEsFBgAAAAAGAAYAWQEA&#10;ACoGAAAAAA==&#10;">
                      <v:fill on="t" focussize="0,0"/>
                      <v:stroke weight="1pt" color="#2E54A1 [2404]" miterlimit="8" joinstyle="miter"/>
                      <v:imagedata o:title=""/>
                      <o:lock v:ext="edit" aspectratio="f"/>
                    </v:rect>
                  </w:pict>
                </mc:Fallback>
              </mc:AlternateContent>
            </w: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表2-10 本项目上漆方案一览表</w:t>
            </w:r>
          </w:p>
          <w:tbl>
            <w:tblPr>
              <w:tblStyle w:val="8"/>
              <w:tblW w:w="8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782"/>
              <w:gridCol w:w="1080"/>
              <w:gridCol w:w="1044"/>
              <w:gridCol w:w="1020"/>
              <w:gridCol w:w="1044"/>
              <w:gridCol w:w="1063"/>
              <w:gridCol w:w="1087"/>
            </w:tblGrid>
            <w:tr w14:paraId="549E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Align w:val="center"/>
                </w:tcPr>
                <w:p w14:paraId="190A2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产品名称</w:t>
                  </w:r>
                </w:p>
              </w:tc>
              <w:tc>
                <w:tcPr>
                  <w:tcW w:w="782" w:type="dxa"/>
                  <w:shd w:val="clear" w:color="auto" w:fill="auto"/>
                  <w:vAlign w:val="center"/>
                </w:tcPr>
                <w:p w14:paraId="4B3704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0"/>
                      <w:szCs w:val="20"/>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产能</w:t>
                  </w:r>
                </w:p>
              </w:tc>
              <w:tc>
                <w:tcPr>
                  <w:tcW w:w="1080" w:type="dxa"/>
                  <w:shd w:val="clear" w:color="auto" w:fill="auto"/>
                  <w:vAlign w:val="center"/>
                </w:tcPr>
                <w:p w14:paraId="485A91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0"/>
                      <w:szCs w:val="20"/>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板材密度</w:t>
                  </w:r>
                </w:p>
              </w:tc>
              <w:tc>
                <w:tcPr>
                  <w:tcW w:w="1044" w:type="dxa"/>
                  <w:shd w:val="clear" w:color="auto" w:fill="auto"/>
                  <w:vAlign w:val="center"/>
                </w:tcPr>
                <w:p w14:paraId="690651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0"/>
                      <w:szCs w:val="20"/>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板材厚度</w:t>
                  </w:r>
                </w:p>
              </w:tc>
              <w:tc>
                <w:tcPr>
                  <w:tcW w:w="1020" w:type="dxa"/>
                  <w:shd w:val="clear" w:color="auto" w:fill="auto"/>
                  <w:vAlign w:val="center"/>
                </w:tcPr>
                <w:p w14:paraId="48BAC4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0"/>
                      <w:szCs w:val="20"/>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油漆种类</w:t>
                  </w:r>
                </w:p>
              </w:tc>
              <w:tc>
                <w:tcPr>
                  <w:tcW w:w="1044" w:type="dxa"/>
                  <w:shd w:val="clear" w:color="auto" w:fill="auto"/>
                  <w:vAlign w:val="center"/>
                </w:tcPr>
                <w:p w14:paraId="7E4131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0"/>
                      <w:szCs w:val="20"/>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板材面积m</w:t>
                  </w:r>
                  <w:r>
                    <w:rPr>
                      <w:rFonts w:hint="default" w:ascii="Times New Roman" w:hAnsi="Times New Roman" w:eastAsia="黑体" w:cs="Times New Roman"/>
                      <w:color w:val="000000" w:themeColor="text1"/>
                      <w:sz w:val="20"/>
                      <w:szCs w:val="20"/>
                      <w:vertAlign w:val="superscript"/>
                      <w:lang w:val="en-US" w:eastAsia="zh-CN"/>
                      <w14:textFill>
                        <w14:solidFill>
                          <w14:schemeClr w14:val="tx1"/>
                        </w14:solidFill>
                      </w14:textFill>
                    </w:rPr>
                    <w:t>2</w:t>
                  </w:r>
                </w:p>
              </w:tc>
              <w:tc>
                <w:tcPr>
                  <w:tcW w:w="1063" w:type="dxa"/>
                  <w:vAlign w:val="center"/>
                </w:tcPr>
                <w:p w14:paraId="3D4E2F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漆膜厚度μm</w:t>
                  </w:r>
                </w:p>
              </w:tc>
              <w:tc>
                <w:tcPr>
                  <w:tcW w:w="1087" w:type="dxa"/>
                  <w:vAlign w:val="center"/>
                </w:tcPr>
                <w:p w14:paraId="6CD93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总涂装面积m</w:t>
                  </w:r>
                  <w:r>
                    <w:rPr>
                      <w:rFonts w:hint="default" w:ascii="Times New Roman" w:hAnsi="Times New Roman" w:eastAsia="黑体" w:cs="Times New Roman"/>
                      <w:color w:val="000000" w:themeColor="text1"/>
                      <w:sz w:val="20"/>
                      <w:szCs w:val="20"/>
                      <w:vertAlign w:val="superscript"/>
                      <w:lang w:val="en-US" w:eastAsia="zh-CN"/>
                      <w14:textFill>
                        <w14:solidFill>
                          <w14:schemeClr w14:val="tx1"/>
                        </w14:solidFill>
                      </w14:textFill>
                    </w:rPr>
                    <w:t>2</w:t>
                  </w:r>
                </w:p>
              </w:tc>
            </w:tr>
            <w:tr w14:paraId="0994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restart"/>
                  <w:vAlign w:val="center"/>
                </w:tcPr>
                <w:p w14:paraId="394B7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Q235钢板</w:t>
                  </w:r>
                </w:p>
              </w:tc>
              <w:tc>
                <w:tcPr>
                  <w:tcW w:w="782" w:type="dxa"/>
                  <w:vMerge w:val="restart"/>
                  <w:vAlign w:val="center"/>
                </w:tcPr>
                <w:p w14:paraId="211CA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100t/a</w:t>
                  </w:r>
                </w:p>
              </w:tc>
              <w:tc>
                <w:tcPr>
                  <w:tcW w:w="1080" w:type="dxa"/>
                  <w:vMerge w:val="restart"/>
                  <w:vAlign w:val="center"/>
                </w:tcPr>
                <w:p w14:paraId="0429F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7.85g/cm³</w:t>
                  </w:r>
                </w:p>
              </w:tc>
              <w:tc>
                <w:tcPr>
                  <w:tcW w:w="1044" w:type="dxa"/>
                  <w:vMerge w:val="restart"/>
                  <w:vAlign w:val="center"/>
                </w:tcPr>
                <w:p w14:paraId="17B96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25mm</w:t>
                  </w:r>
                </w:p>
              </w:tc>
              <w:tc>
                <w:tcPr>
                  <w:tcW w:w="1020" w:type="dxa"/>
                  <w:vAlign w:val="center"/>
                </w:tcPr>
                <w:p w14:paraId="49434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油性漆</w:t>
                  </w:r>
                </w:p>
              </w:tc>
              <w:tc>
                <w:tcPr>
                  <w:tcW w:w="1044" w:type="dxa"/>
                  <w:vAlign w:val="center"/>
                </w:tcPr>
                <w:p w14:paraId="49CF1E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510</w:t>
                  </w:r>
                </w:p>
              </w:tc>
              <w:tc>
                <w:tcPr>
                  <w:tcW w:w="1063" w:type="dxa"/>
                  <w:vAlign w:val="center"/>
                </w:tcPr>
                <w:p w14:paraId="0C10AE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80</w:t>
                  </w:r>
                </w:p>
              </w:tc>
              <w:tc>
                <w:tcPr>
                  <w:tcW w:w="1087" w:type="dxa"/>
                  <w:vAlign w:val="center"/>
                </w:tcPr>
                <w:p w14:paraId="252D3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510</w:t>
                  </w:r>
                </w:p>
              </w:tc>
            </w:tr>
            <w:tr w14:paraId="570D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vAlign w:val="center"/>
                </w:tcPr>
                <w:p w14:paraId="674F4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782" w:type="dxa"/>
                  <w:vMerge w:val="continue"/>
                  <w:vAlign w:val="center"/>
                </w:tcPr>
                <w:p w14:paraId="3C48A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80" w:type="dxa"/>
                  <w:vMerge w:val="continue"/>
                  <w:vAlign w:val="center"/>
                </w:tcPr>
                <w:p w14:paraId="3FEE78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44" w:type="dxa"/>
                  <w:vMerge w:val="continue"/>
                  <w:vAlign w:val="center"/>
                </w:tcPr>
                <w:p w14:paraId="7F669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20" w:type="dxa"/>
                  <w:vAlign w:val="center"/>
                </w:tcPr>
                <w:p w14:paraId="7C173F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水性漆</w:t>
                  </w:r>
                </w:p>
              </w:tc>
              <w:tc>
                <w:tcPr>
                  <w:tcW w:w="1044" w:type="dxa"/>
                  <w:vAlign w:val="center"/>
                </w:tcPr>
                <w:p w14:paraId="56421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510</w:t>
                  </w:r>
                </w:p>
              </w:tc>
              <w:tc>
                <w:tcPr>
                  <w:tcW w:w="1063" w:type="dxa"/>
                  <w:vAlign w:val="center"/>
                </w:tcPr>
                <w:p w14:paraId="1B1E7F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60</w:t>
                  </w:r>
                </w:p>
              </w:tc>
              <w:tc>
                <w:tcPr>
                  <w:tcW w:w="1087" w:type="dxa"/>
                  <w:vAlign w:val="center"/>
                </w:tcPr>
                <w:p w14:paraId="4FC31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510</w:t>
                  </w:r>
                </w:p>
              </w:tc>
            </w:tr>
            <w:tr w14:paraId="642D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vAlign w:val="center"/>
                </w:tcPr>
                <w:p w14:paraId="4CF94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782" w:type="dxa"/>
                  <w:vMerge w:val="restart"/>
                  <w:vAlign w:val="center"/>
                </w:tcPr>
                <w:p w14:paraId="2BCB8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200t/a</w:t>
                  </w:r>
                </w:p>
              </w:tc>
              <w:tc>
                <w:tcPr>
                  <w:tcW w:w="1080" w:type="dxa"/>
                  <w:vMerge w:val="restart"/>
                  <w:vAlign w:val="center"/>
                </w:tcPr>
                <w:p w14:paraId="32A61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7.85g/cm³</w:t>
                  </w:r>
                </w:p>
              </w:tc>
              <w:tc>
                <w:tcPr>
                  <w:tcW w:w="1044" w:type="dxa"/>
                  <w:vMerge w:val="restart"/>
                  <w:vAlign w:val="center"/>
                </w:tcPr>
                <w:p w14:paraId="74B88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16mm</w:t>
                  </w:r>
                </w:p>
              </w:tc>
              <w:tc>
                <w:tcPr>
                  <w:tcW w:w="1020" w:type="dxa"/>
                  <w:vAlign w:val="center"/>
                </w:tcPr>
                <w:p w14:paraId="1A151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油性漆</w:t>
                  </w:r>
                </w:p>
              </w:tc>
              <w:tc>
                <w:tcPr>
                  <w:tcW w:w="1044" w:type="dxa"/>
                  <w:vAlign w:val="center"/>
                </w:tcPr>
                <w:p w14:paraId="31222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1592</w:t>
                  </w:r>
                </w:p>
              </w:tc>
              <w:tc>
                <w:tcPr>
                  <w:tcW w:w="1063" w:type="dxa"/>
                  <w:vAlign w:val="center"/>
                </w:tcPr>
                <w:p w14:paraId="260CC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80</w:t>
                  </w:r>
                </w:p>
              </w:tc>
              <w:tc>
                <w:tcPr>
                  <w:tcW w:w="1087" w:type="dxa"/>
                  <w:vAlign w:val="center"/>
                </w:tcPr>
                <w:p w14:paraId="02226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3184</w:t>
                  </w:r>
                </w:p>
              </w:tc>
            </w:tr>
            <w:tr w14:paraId="7A19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vAlign w:val="center"/>
                </w:tcPr>
                <w:p w14:paraId="2D1922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782" w:type="dxa"/>
                  <w:vMerge w:val="continue"/>
                  <w:vAlign w:val="center"/>
                </w:tcPr>
                <w:p w14:paraId="3A7B2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80" w:type="dxa"/>
                  <w:vMerge w:val="continue"/>
                  <w:vAlign w:val="center"/>
                </w:tcPr>
                <w:p w14:paraId="5B7F9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44" w:type="dxa"/>
                  <w:vMerge w:val="continue"/>
                  <w:shd w:val="clear" w:color="auto" w:fill="auto"/>
                  <w:vAlign w:val="center"/>
                </w:tcPr>
                <w:p w14:paraId="76232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vertAlign w:val="baseline"/>
                      <w:lang w:val="en-US" w:eastAsia="zh-CN" w:bidi="ar-SA"/>
                      <w14:textFill>
                        <w14:solidFill>
                          <w14:schemeClr w14:val="tx1"/>
                        </w14:solidFill>
                      </w14:textFill>
                    </w:rPr>
                  </w:pPr>
                </w:p>
              </w:tc>
              <w:tc>
                <w:tcPr>
                  <w:tcW w:w="1020" w:type="dxa"/>
                  <w:vAlign w:val="center"/>
                </w:tcPr>
                <w:p w14:paraId="39D229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水性漆</w:t>
                  </w:r>
                </w:p>
              </w:tc>
              <w:tc>
                <w:tcPr>
                  <w:tcW w:w="1044" w:type="dxa"/>
                  <w:vAlign w:val="center"/>
                </w:tcPr>
                <w:p w14:paraId="64542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1592</w:t>
                  </w:r>
                </w:p>
              </w:tc>
              <w:tc>
                <w:tcPr>
                  <w:tcW w:w="1063" w:type="dxa"/>
                  <w:vAlign w:val="center"/>
                </w:tcPr>
                <w:p w14:paraId="7B4CF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60</w:t>
                  </w:r>
                </w:p>
              </w:tc>
              <w:tc>
                <w:tcPr>
                  <w:tcW w:w="1087" w:type="dxa"/>
                  <w:vAlign w:val="center"/>
                </w:tcPr>
                <w:p w14:paraId="7CF9B7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3184</w:t>
                  </w:r>
                </w:p>
              </w:tc>
            </w:tr>
            <w:tr w14:paraId="3759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7" w:type="dxa"/>
                  <w:vMerge w:val="continue"/>
                  <w:vAlign w:val="center"/>
                </w:tcPr>
                <w:p w14:paraId="76DCDA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782" w:type="dxa"/>
                  <w:vMerge w:val="restart"/>
                  <w:vAlign w:val="center"/>
                </w:tcPr>
                <w:p w14:paraId="4B32D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200t/a</w:t>
                  </w:r>
                </w:p>
              </w:tc>
              <w:tc>
                <w:tcPr>
                  <w:tcW w:w="1080" w:type="dxa"/>
                  <w:vMerge w:val="restart"/>
                  <w:vAlign w:val="center"/>
                </w:tcPr>
                <w:p w14:paraId="1DF98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7.85g/cm³</w:t>
                  </w:r>
                </w:p>
              </w:tc>
              <w:tc>
                <w:tcPr>
                  <w:tcW w:w="1044" w:type="dxa"/>
                  <w:vMerge w:val="restart"/>
                  <w:shd w:val="clear" w:color="auto" w:fill="auto"/>
                  <w:vAlign w:val="center"/>
                </w:tcPr>
                <w:p w14:paraId="761CB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10mm</w:t>
                  </w:r>
                </w:p>
              </w:tc>
              <w:tc>
                <w:tcPr>
                  <w:tcW w:w="1020" w:type="dxa"/>
                  <w:vAlign w:val="center"/>
                </w:tcPr>
                <w:p w14:paraId="23DEA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油性漆</w:t>
                  </w:r>
                </w:p>
              </w:tc>
              <w:tc>
                <w:tcPr>
                  <w:tcW w:w="1044" w:type="dxa"/>
                  <w:vAlign w:val="center"/>
                </w:tcPr>
                <w:p w14:paraId="78FCE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2547</w:t>
                  </w:r>
                </w:p>
              </w:tc>
              <w:tc>
                <w:tcPr>
                  <w:tcW w:w="1063" w:type="dxa"/>
                  <w:vAlign w:val="center"/>
                </w:tcPr>
                <w:p w14:paraId="08AA9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80</w:t>
                  </w:r>
                </w:p>
              </w:tc>
              <w:tc>
                <w:tcPr>
                  <w:tcW w:w="1087" w:type="dxa"/>
                  <w:vAlign w:val="center"/>
                </w:tcPr>
                <w:p w14:paraId="1AB14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5094</w:t>
                  </w:r>
                </w:p>
              </w:tc>
            </w:tr>
            <w:tr w14:paraId="7169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vAlign w:val="center"/>
                </w:tcPr>
                <w:p w14:paraId="0A7143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782" w:type="dxa"/>
                  <w:vMerge w:val="continue"/>
                  <w:vAlign w:val="center"/>
                </w:tcPr>
                <w:p w14:paraId="096F35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80" w:type="dxa"/>
                  <w:vMerge w:val="continue"/>
                  <w:vAlign w:val="center"/>
                </w:tcPr>
                <w:p w14:paraId="585B9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44" w:type="dxa"/>
                  <w:vMerge w:val="continue"/>
                  <w:shd w:val="clear" w:color="auto" w:fill="auto"/>
                  <w:vAlign w:val="center"/>
                </w:tcPr>
                <w:p w14:paraId="56E103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20" w:type="dxa"/>
                  <w:vAlign w:val="center"/>
                </w:tcPr>
                <w:p w14:paraId="7638A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水性漆</w:t>
                  </w:r>
                </w:p>
              </w:tc>
              <w:tc>
                <w:tcPr>
                  <w:tcW w:w="1044" w:type="dxa"/>
                  <w:vAlign w:val="center"/>
                </w:tcPr>
                <w:p w14:paraId="465F2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2547</w:t>
                  </w:r>
                </w:p>
              </w:tc>
              <w:tc>
                <w:tcPr>
                  <w:tcW w:w="1063" w:type="dxa"/>
                  <w:vAlign w:val="center"/>
                </w:tcPr>
                <w:p w14:paraId="7E0FC2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60</w:t>
                  </w:r>
                </w:p>
              </w:tc>
              <w:tc>
                <w:tcPr>
                  <w:tcW w:w="1087" w:type="dxa"/>
                  <w:vAlign w:val="center"/>
                </w:tcPr>
                <w:p w14:paraId="7740A8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5094</w:t>
                  </w:r>
                </w:p>
              </w:tc>
            </w:tr>
            <w:tr w14:paraId="3AFA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3" w:type="dxa"/>
                  <w:gridSpan w:val="4"/>
                  <w:vMerge w:val="restart"/>
                  <w:vAlign w:val="center"/>
                </w:tcPr>
                <w:p w14:paraId="5AA4D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合计</w:t>
                  </w:r>
                </w:p>
              </w:tc>
              <w:tc>
                <w:tcPr>
                  <w:tcW w:w="1020" w:type="dxa"/>
                  <w:vAlign w:val="center"/>
                </w:tcPr>
                <w:p w14:paraId="3B47F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油性漆</w:t>
                  </w:r>
                </w:p>
              </w:tc>
              <w:tc>
                <w:tcPr>
                  <w:tcW w:w="1044" w:type="dxa"/>
                  <w:vAlign w:val="center"/>
                </w:tcPr>
                <w:p w14:paraId="2C6B4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4649</w:t>
                  </w:r>
                </w:p>
              </w:tc>
              <w:tc>
                <w:tcPr>
                  <w:tcW w:w="1063" w:type="dxa"/>
                  <w:vAlign w:val="center"/>
                </w:tcPr>
                <w:p w14:paraId="2D5539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1087" w:type="dxa"/>
                  <w:vAlign w:val="center"/>
                </w:tcPr>
                <w:p w14:paraId="323330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8788</w:t>
                  </w:r>
                </w:p>
              </w:tc>
            </w:tr>
            <w:tr w14:paraId="78F9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3" w:type="dxa"/>
                  <w:gridSpan w:val="4"/>
                  <w:vMerge w:val="continue"/>
                  <w:vAlign w:val="center"/>
                </w:tcPr>
                <w:p w14:paraId="68897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p>
              </w:tc>
              <w:tc>
                <w:tcPr>
                  <w:tcW w:w="1020" w:type="dxa"/>
                  <w:vAlign w:val="center"/>
                </w:tcPr>
                <w:p w14:paraId="5F49F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水性漆</w:t>
                  </w:r>
                </w:p>
              </w:tc>
              <w:tc>
                <w:tcPr>
                  <w:tcW w:w="1044" w:type="dxa"/>
                  <w:vAlign w:val="center"/>
                </w:tcPr>
                <w:p w14:paraId="0B7E3C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4649</w:t>
                  </w:r>
                </w:p>
              </w:tc>
              <w:tc>
                <w:tcPr>
                  <w:tcW w:w="1063" w:type="dxa"/>
                  <w:vAlign w:val="center"/>
                </w:tcPr>
                <w:p w14:paraId="67A07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1087" w:type="dxa"/>
                  <w:vAlign w:val="center"/>
                </w:tcPr>
                <w:p w14:paraId="2F4D49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8788</w:t>
                  </w:r>
                </w:p>
              </w:tc>
            </w:tr>
            <w:tr w14:paraId="56B4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7" w:type="dxa"/>
                  <w:gridSpan w:val="8"/>
                  <w:vAlign w:val="center"/>
                </w:tcPr>
                <w:p w14:paraId="1DFFF4A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注：本环评对总涂装面积采用以下公式核算：</w:t>
                  </w:r>
                </w:p>
                <w:p w14:paraId="155C4C9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板材面积（m</w:t>
                  </w:r>
                  <w:r>
                    <w:rPr>
                      <w:rFonts w:hint="default" w:ascii="Times New Roman" w:hAnsi="Times New Roman" w:eastAsia="黑体" w:cs="Times New Roman"/>
                      <w:color w:val="000000" w:themeColor="text1"/>
                      <w:sz w:val="20"/>
                      <w:szCs w:val="20"/>
                      <w:vertAlign w:val="superscript"/>
                      <w:lang w:val="en-US" w:eastAsia="zh-CN"/>
                      <w14:textFill>
                        <w14:solidFill>
                          <w14:schemeClr w14:val="tx1"/>
                        </w14:solidFill>
                      </w14:textFill>
                    </w:rPr>
                    <w:t>2</w:t>
                  </w: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）=质量/（密度×厚度）</w:t>
                  </w:r>
                </w:p>
                <w:p w14:paraId="63382A6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总涂装面积（m</w:t>
                  </w:r>
                  <w:r>
                    <w:rPr>
                      <w:rFonts w:hint="default" w:ascii="Times New Roman" w:hAnsi="Times New Roman" w:eastAsia="黑体" w:cs="Times New Roman"/>
                      <w:color w:val="000000" w:themeColor="text1"/>
                      <w:sz w:val="20"/>
                      <w:szCs w:val="20"/>
                      <w:vertAlign w:val="superscript"/>
                      <w:lang w:val="en-US" w:eastAsia="zh-CN"/>
                      <w14:textFill>
                        <w14:solidFill>
                          <w14:schemeClr w14:val="tx1"/>
                        </w14:solidFill>
                      </w14:textFill>
                    </w:rPr>
                    <w:t>2</w:t>
                  </w: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）=板材面积*喷涂面积</w:t>
                  </w:r>
                </w:p>
              </w:tc>
            </w:tr>
          </w:tbl>
          <w:p w14:paraId="0ED29B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表2-11 本项目油漆消耗量与产能匹配性分析一览表</w:t>
            </w:r>
          </w:p>
          <w:tbl>
            <w:tblPr>
              <w:tblStyle w:val="8"/>
              <w:tblW w:w="8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152"/>
              <w:gridCol w:w="1037"/>
              <w:gridCol w:w="1038"/>
              <w:gridCol w:w="1039"/>
              <w:gridCol w:w="1158"/>
              <w:gridCol w:w="920"/>
              <w:gridCol w:w="1039"/>
            </w:tblGrid>
            <w:tr w14:paraId="27E3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vAlign w:val="center"/>
                </w:tcPr>
                <w:p w14:paraId="772750C4">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物料</w:t>
                  </w:r>
                </w:p>
                <w:p w14:paraId="71D5858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名称</w:t>
                  </w:r>
                </w:p>
              </w:tc>
              <w:tc>
                <w:tcPr>
                  <w:tcW w:w="1152" w:type="dxa"/>
                  <w:vAlign w:val="center"/>
                </w:tcPr>
                <w:p w14:paraId="51110A6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干膜厚度</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μm</w:t>
                  </w:r>
                </w:p>
              </w:tc>
              <w:tc>
                <w:tcPr>
                  <w:tcW w:w="1037" w:type="dxa"/>
                  <w:vAlign w:val="center"/>
                </w:tcPr>
                <w:p w14:paraId="7D0CAA7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涂料总固含量</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038" w:type="dxa"/>
                  <w:vAlign w:val="center"/>
                </w:tcPr>
                <w:p w14:paraId="6465DE1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上漆率</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w:t>
                  </w:r>
                </w:p>
              </w:tc>
              <w:tc>
                <w:tcPr>
                  <w:tcW w:w="1039" w:type="dxa"/>
                  <w:vAlign w:val="center"/>
                </w:tcPr>
                <w:p w14:paraId="54F4602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上漆面积</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m</w:t>
                  </w:r>
                  <w:r>
                    <w:rPr>
                      <w:rFonts w:hint="default" w:ascii="Times New Roman" w:hAnsi="Times New Roman" w:eastAsia="黑体" w:cs="Times New Roman"/>
                      <w:color w:val="000000" w:themeColor="text1"/>
                      <w:sz w:val="21"/>
                      <w:szCs w:val="21"/>
                      <w:vertAlign w:val="superscript"/>
                      <w:lang w:val="en-US" w:eastAsia="zh-CN" w:bidi="ar"/>
                      <w14:textFill>
                        <w14:solidFill>
                          <w14:schemeClr w14:val="tx1"/>
                        </w14:solidFill>
                      </w14:textFill>
                    </w:rPr>
                    <w:t>2</w:t>
                  </w:r>
                </w:p>
              </w:tc>
              <w:tc>
                <w:tcPr>
                  <w:tcW w:w="1158" w:type="dxa"/>
                  <w:vAlign w:val="center"/>
                </w:tcPr>
                <w:p w14:paraId="698A7C2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涂料密度</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g/m</w:t>
                  </w:r>
                  <w:r>
                    <w:rPr>
                      <w:rFonts w:hint="default" w:ascii="Times New Roman" w:hAnsi="Times New Roman" w:eastAsia="黑体" w:cs="Times New Roman"/>
                      <w:i w:val="0"/>
                      <w:iCs w:val="0"/>
                      <w:color w:val="000000" w:themeColor="text1"/>
                      <w:kern w:val="0"/>
                      <w:sz w:val="21"/>
                      <w:szCs w:val="21"/>
                      <w:u w:val="none"/>
                      <w:vertAlign w:val="superscript"/>
                      <w:lang w:val="en-US" w:eastAsia="zh-CN" w:bidi="ar"/>
                      <w14:textFill>
                        <w14:solidFill>
                          <w14:schemeClr w14:val="tx1"/>
                        </w14:solidFill>
                      </w14:textFill>
                    </w:rPr>
                    <w:t>3</w:t>
                  </w:r>
                </w:p>
              </w:tc>
              <w:tc>
                <w:tcPr>
                  <w:tcW w:w="920" w:type="dxa"/>
                  <w:vAlign w:val="center"/>
                </w:tcPr>
                <w:p w14:paraId="0FF33D0B">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理论消耗量</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t</w:t>
                  </w:r>
                </w:p>
              </w:tc>
              <w:tc>
                <w:tcPr>
                  <w:tcW w:w="1039" w:type="dxa"/>
                  <w:vAlign w:val="center"/>
                </w:tcPr>
                <w:p w14:paraId="5E808B4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实际消耗量</w:t>
                  </w:r>
                  <w:r>
                    <w:rPr>
                      <w:rFonts w:hint="default" w:ascii="Times New Roman" w:hAnsi="Times New Roman" w:eastAsia="黑体" w:cs="Times New Roman"/>
                      <w:i w:val="0"/>
                      <w:iCs w:val="0"/>
                      <w:color w:val="000000" w:themeColor="text1"/>
                      <w:kern w:val="0"/>
                      <w:sz w:val="21"/>
                      <w:szCs w:val="21"/>
                      <w:u w:val="none"/>
                      <w:lang w:val="en-US" w:eastAsia="zh-CN" w:bidi="ar"/>
                      <w14:textFill>
                        <w14:solidFill>
                          <w14:schemeClr w14:val="tx1"/>
                        </w14:solidFill>
                      </w14:textFill>
                    </w:rPr>
                    <w:t>t</w:t>
                  </w:r>
                </w:p>
              </w:tc>
            </w:tr>
            <w:tr w14:paraId="2365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Align w:val="center"/>
                </w:tcPr>
                <w:p w14:paraId="2FCC62D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bidi="ar"/>
                      <w14:textFill>
                        <w14:solidFill>
                          <w14:schemeClr w14:val="tx1"/>
                        </w14:solidFill>
                      </w14:textFill>
                    </w:rPr>
                    <w:t>油性漆</w:t>
                  </w:r>
                </w:p>
              </w:tc>
              <w:tc>
                <w:tcPr>
                  <w:tcW w:w="1152" w:type="dxa"/>
                  <w:vAlign w:val="center"/>
                </w:tcPr>
                <w:p w14:paraId="4C5D5A88">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80</w:t>
                  </w:r>
                </w:p>
              </w:tc>
              <w:tc>
                <w:tcPr>
                  <w:tcW w:w="1037" w:type="dxa"/>
                  <w:vAlign w:val="center"/>
                </w:tcPr>
                <w:p w14:paraId="3EAA6E09">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82.7</w:t>
                  </w:r>
                </w:p>
              </w:tc>
              <w:tc>
                <w:tcPr>
                  <w:tcW w:w="1038" w:type="dxa"/>
                  <w:vAlign w:val="center"/>
                </w:tcPr>
                <w:p w14:paraId="56BFAAF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80</w:t>
                  </w:r>
                </w:p>
              </w:tc>
              <w:tc>
                <w:tcPr>
                  <w:tcW w:w="1039" w:type="dxa"/>
                  <w:vAlign w:val="center"/>
                </w:tcPr>
                <w:p w14:paraId="4CAF6D06">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8788</w:t>
                  </w:r>
                </w:p>
              </w:tc>
              <w:tc>
                <w:tcPr>
                  <w:tcW w:w="1158" w:type="dxa"/>
                  <w:vAlign w:val="center"/>
                </w:tcPr>
                <w:p w14:paraId="32E507C9">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1.35</w:t>
                  </w:r>
                </w:p>
              </w:tc>
              <w:tc>
                <w:tcPr>
                  <w:tcW w:w="920" w:type="dxa"/>
                  <w:vAlign w:val="center"/>
                </w:tcPr>
                <w:p w14:paraId="4437927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1.1</w:t>
                  </w:r>
                </w:p>
              </w:tc>
              <w:tc>
                <w:tcPr>
                  <w:tcW w:w="1039" w:type="dxa"/>
                  <w:vAlign w:val="center"/>
                </w:tcPr>
                <w:p w14:paraId="16DC3DF6">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1.4</w:t>
                  </w:r>
                </w:p>
              </w:tc>
            </w:tr>
            <w:tr w14:paraId="622E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vAlign w:val="center"/>
                </w:tcPr>
                <w:p w14:paraId="5A53599C">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水性漆</w:t>
                  </w:r>
                </w:p>
              </w:tc>
              <w:tc>
                <w:tcPr>
                  <w:tcW w:w="1152" w:type="dxa"/>
                  <w:vAlign w:val="center"/>
                </w:tcPr>
                <w:p w14:paraId="73B6923D">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60</w:t>
                  </w:r>
                </w:p>
              </w:tc>
              <w:tc>
                <w:tcPr>
                  <w:tcW w:w="1037" w:type="dxa"/>
                  <w:vAlign w:val="center"/>
                </w:tcPr>
                <w:p w14:paraId="46F03410">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76.36</w:t>
                  </w:r>
                </w:p>
              </w:tc>
              <w:tc>
                <w:tcPr>
                  <w:tcW w:w="1038" w:type="dxa"/>
                  <w:vAlign w:val="center"/>
                </w:tcPr>
                <w:p w14:paraId="201C1267">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80</w:t>
                  </w:r>
                </w:p>
              </w:tc>
              <w:tc>
                <w:tcPr>
                  <w:tcW w:w="1039" w:type="dxa"/>
                  <w:vAlign w:val="center"/>
                </w:tcPr>
                <w:p w14:paraId="17EFCBFF">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8788</w:t>
                  </w:r>
                </w:p>
              </w:tc>
              <w:tc>
                <w:tcPr>
                  <w:tcW w:w="1158" w:type="dxa"/>
                  <w:vAlign w:val="center"/>
                </w:tcPr>
                <w:p w14:paraId="64100BB2">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1.1</w:t>
                  </w:r>
                </w:p>
              </w:tc>
              <w:tc>
                <w:tcPr>
                  <w:tcW w:w="920" w:type="dxa"/>
                  <w:vAlign w:val="center"/>
                </w:tcPr>
                <w:p w14:paraId="1D91A8A7">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0.8</w:t>
                  </w:r>
                </w:p>
              </w:tc>
              <w:tc>
                <w:tcPr>
                  <w:tcW w:w="1039" w:type="dxa"/>
                  <w:vAlign w:val="center"/>
                </w:tcPr>
                <w:p w14:paraId="33406F43">
                  <w:pPr>
                    <w:keepNext w:val="0"/>
                    <w:keepLines w:val="0"/>
                    <w:widowControl/>
                    <w:suppressLineNumbers w:val="0"/>
                    <w:spacing w:line="240" w:lineRule="auto"/>
                    <w:ind w:firstLine="0" w:firstLineChars="0"/>
                    <w:jc w:val="center"/>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w:t>
                  </w:r>
                </w:p>
              </w:tc>
            </w:tr>
            <w:tr w14:paraId="7325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8" w:type="dxa"/>
                  <w:gridSpan w:val="8"/>
                  <w:vAlign w:val="center"/>
                </w:tcPr>
                <w:p w14:paraId="18801892">
                  <w:pPr>
                    <w:keepNext w:val="0"/>
                    <w:keepLines w:val="0"/>
                    <w:widowControl/>
                    <w:suppressLineNumbers w:val="0"/>
                    <w:spacing w:line="240" w:lineRule="auto"/>
                    <w:ind w:firstLine="0" w:firstLineChars="0"/>
                    <w:jc w:val="both"/>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注：本环评对油漆消耗量采用以下公式核算：</w:t>
                  </w:r>
                </w:p>
                <w:p w14:paraId="35C50469">
                  <w:pPr>
                    <w:keepNext w:val="0"/>
                    <w:keepLines w:val="0"/>
                    <w:widowControl/>
                    <w:suppressLineNumbers w:val="0"/>
                    <w:spacing w:line="240" w:lineRule="auto"/>
                    <w:ind w:firstLine="0" w:firstLineChars="0"/>
                    <w:jc w:val="both"/>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理论消耗量（吨）=干膜厚度（微米）×油漆密度（g/cm³）×上漆面积（m</w:t>
                  </w:r>
                  <w:r>
                    <w:rPr>
                      <w:rFonts w:hint="default" w:ascii="Times New Roman" w:hAnsi="Times New Roman" w:eastAsia="黑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）×10</w:t>
                  </w:r>
                  <w:r>
                    <w:rPr>
                      <w:rFonts w:hint="default" w:ascii="Times New Roman" w:hAnsi="Times New Roman" w:eastAsia="黑体" w:cs="Times New Roman"/>
                      <w:color w:val="000000" w:themeColor="text1"/>
                      <w:sz w:val="21"/>
                      <w:szCs w:val="21"/>
                      <w:vertAlign w:val="superscript"/>
                      <w:lang w:val="en-US" w:eastAsia="zh-CN"/>
                      <w14:textFill>
                        <w14:solidFill>
                          <w14:schemeClr w14:val="tx1"/>
                        </w14:solidFill>
                      </w14:textFill>
                    </w:rPr>
                    <w:t>-6</w:t>
                  </w: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/涂料总固体含量（%）</w:t>
                  </w:r>
                </w:p>
                <w:p w14:paraId="49015E1A">
                  <w:pPr>
                    <w:keepNext w:val="0"/>
                    <w:keepLines w:val="0"/>
                    <w:widowControl/>
                    <w:suppressLineNumbers w:val="0"/>
                    <w:spacing w:line="240" w:lineRule="auto"/>
                    <w:ind w:firstLine="0" w:firstLineChars="0"/>
                    <w:jc w:val="both"/>
                    <w:textAlignment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实际消耗量（吨）=理论消耗量（吨）/上漆率（%）</w:t>
                  </w:r>
                </w:p>
              </w:tc>
            </w:tr>
          </w:tbl>
          <w:p w14:paraId="12EBBC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根据上表核算结果，漆料总用量为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t/a，其中油性漆用量为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t/a，水性漆用量为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t/a，与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理论</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消耗量基本吻合，漆料消耗量与涂装产能匹配。</w:t>
            </w:r>
          </w:p>
          <w:p w14:paraId="5850EC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4.2</w:t>
            </w:r>
            <w:r>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涂料主要成分表</w:t>
            </w:r>
          </w:p>
          <w:p w14:paraId="236CF7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本项目50%产品涂水性漆，另外50%产品</w:t>
            </w:r>
            <w:r>
              <w:rPr>
                <w:rFonts w:hint="eastAsia" w:cs="Times New Roman"/>
                <w:color w:val="000000" w:themeColor="text1"/>
                <w:sz w:val="24"/>
                <w:szCs w:val="24"/>
                <w:u w:val="single"/>
                <w:vertAlign w:val="baseline"/>
                <w:lang w:val="en-US" w:eastAsia="zh-CN"/>
                <w14:textFill>
                  <w14:solidFill>
                    <w14:schemeClr w14:val="tx1"/>
                  </w14:solidFill>
                </w14:textFill>
              </w:rPr>
              <w:t>涂</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油性漆喷涂</w:t>
            </w:r>
            <w:r>
              <w:rPr>
                <w:rFonts w:hint="eastAsia" w:cs="Times New Roman"/>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油性漆</w:t>
            </w:r>
            <w:r>
              <w:rPr>
                <w:rFonts w:hint="eastAsia" w:cs="Times New Roman"/>
                <w:color w:val="000000" w:themeColor="text1"/>
                <w:sz w:val="24"/>
                <w:szCs w:val="24"/>
                <w:u w:val="single"/>
                <w:vertAlign w:val="baseline"/>
                <w:lang w:val="en-US" w:eastAsia="zh-CN"/>
                <w14:textFill>
                  <w14:solidFill>
                    <w14:schemeClr w14:val="tx1"/>
                  </w14:solidFill>
                </w14:textFill>
              </w:rPr>
              <w:t>在</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使用过程中需要与一定比例的稀释剂和固化剂混合使用，水性漆</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使用过程中需要与一定比例的固化剂混合使用。</w:t>
            </w:r>
          </w:p>
          <w:p w14:paraId="4CFE5A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cs="Times New Roman"/>
                <w:color w:val="000000" w:themeColor="text1"/>
                <w:sz w:val="24"/>
                <w:szCs w:val="24"/>
                <w:u w:val="single"/>
                <w:vertAlign w:val="baseline"/>
                <w:lang w:val="en-US" w:eastAsia="zh-CN"/>
                <w14:textFill>
                  <w14:solidFill>
                    <w14:schemeClr w14:val="tx1"/>
                  </w14:solidFill>
                </w14:textFill>
              </w:rPr>
              <w:t>根据建设单位提供的资料（</w:t>
            </w:r>
            <w:r>
              <w:rPr>
                <w:color w:val="000000" w:themeColor="text1"/>
                <w:u w:val="single"/>
                <w14:textFill>
                  <w14:solidFill>
                    <w14:schemeClr w14:val="tx1"/>
                  </w14:solidFill>
                </w14:textFill>
              </w:rPr>
              <w:t>油漆厂家提供的</w:t>
            </w:r>
            <w:r>
              <w:rPr>
                <w:rFonts w:hint="eastAsia"/>
                <w:color w:val="000000" w:themeColor="text1"/>
                <w:u w:val="single"/>
                <w:lang w:val="en-US" w:eastAsia="zh-CN"/>
                <w14:textFill>
                  <w14:solidFill>
                    <w14:schemeClr w14:val="tx1"/>
                  </w14:solidFill>
                </w14:textFill>
              </w:rPr>
              <w:t>油漆MSDS</w:t>
            </w:r>
            <w:r>
              <w:rPr>
                <w:rFonts w:hint="eastAsia" w:cs="Times New Roman"/>
                <w:color w:val="000000" w:themeColor="text1"/>
                <w:sz w:val="24"/>
                <w:szCs w:val="24"/>
                <w:u w:val="single"/>
                <w:vertAlign w:val="baseline"/>
                <w:lang w:val="en-US" w:eastAsia="zh-CN"/>
                <w14:textFill>
                  <w14:solidFill>
                    <w14:schemeClr w14:val="tx1"/>
                  </w14:solidFill>
                </w14:textFill>
              </w:rPr>
              <w:t>）（附件11），本项目油漆的组份情况如下所示。</w:t>
            </w:r>
          </w:p>
          <w:p w14:paraId="21CC5B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（1）油性漆组份</w:t>
            </w:r>
          </w:p>
          <w:p w14:paraId="5F52FD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油性漆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主要成分</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详</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见下表</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w:t>
            </w:r>
            <w:r>
              <w:rPr>
                <w:rFonts w:hint="eastAsia" w:cs="Times New Roman"/>
                <w:color w:val="000000" w:themeColor="text1"/>
                <w:sz w:val="24"/>
                <w:szCs w:val="24"/>
                <w:u w:val="single"/>
                <w:vertAlign w:val="baseline"/>
                <w:lang w:val="en-US" w:eastAsia="zh-CN"/>
                <w14:textFill>
                  <w14:solidFill>
                    <w14:schemeClr w14:val="tx1"/>
                  </w14:solidFill>
                </w14:textFill>
              </w:rPr>
              <w:t>12，MSDS详见附件11。</w:t>
            </w:r>
          </w:p>
          <w:p w14:paraId="78A298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表2-12本项目油性漆主要成分一览表</w:t>
            </w:r>
          </w:p>
          <w:tbl>
            <w:tblPr>
              <w:tblStyle w:val="8"/>
              <w:tblW w:w="8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61"/>
              <w:gridCol w:w="1662"/>
              <w:gridCol w:w="1662"/>
              <w:gridCol w:w="1662"/>
            </w:tblGrid>
            <w:tr w14:paraId="2EA5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661" w:type="dxa"/>
                  <w:vAlign w:val="center"/>
                </w:tcPr>
                <w:p w14:paraId="500583D1">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名称</w:t>
                  </w:r>
                </w:p>
              </w:tc>
              <w:tc>
                <w:tcPr>
                  <w:tcW w:w="3323" w:type="dxa"/>
                  <w:gridSpan w:val="2"/>
                  <w:vAlign w:val="center"/>
                </w:tcPr>
                <w:p w14:paraId="448E5D37">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主要成分</w:t>
                  </w:r>
                </w:p>
              </w:tc>
              <w:tc>
                <w:tcPr>
                  <w:tcW w:w="1662" w:type="dxa"/>
                  <w:vAlign w:val="center"/>
                </w:tcPr>
                <w:p w14:paraId="0D793122">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含量（%）</w:t>
                  </w:r>
                </w:p>
              </w:tc>
              <w:tc>
                <w:tcPr>
                  <w:tcW w:w="1662" w:type="dxa"/>
                  <w:vAlign w:val="center"/>
                </w:tcPr>
                <w:p w14:paraId="6CD54833">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本项目取值（%）</w:t>
                  </w:r>
                </w:p>
              </w:tc>
            </w:tr>
            <w:tr w14:paraId="171C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661" w:type="dxa"/>
                  <w:vMerge w:val="restart"/>
                  <w:vAlign w:val="center"/>
                </w:tcPr>
                <w:p w14:paraId="795D2427">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环氧富锌底漆</w:t>
                  </w:r>
                </w:p>
              </w:tc>
              <w:tc>
                <w:tcPr>
                  <w:tcW w:w="1661" w:type="dxa"/>
                  <w:vAlign w:val="center"/>
                </w:tcPr>
                <w:p w14:paraId="2214B223">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环氧树脂</w:t>
                  </w:r>
                </w:p>
              </w:tc>
              <w:tc>
                <w:tcPr>
                  <w:tcW w:w="1662" w:type="dxa"/>
                  <w:vMerge w:val="restart"/>
                  <w:vAlign w:val="center"/>
                </w:tcPr>
                <w:p w14:paraId="23C44E5E">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固体份</w:t>
                  </w:r>
                </w:p>
              </w:tc>
              <w:tc>
                <w:tcPr>
                  <w:tcW w:w="1662" w:type="dxa"/>
                  <w:vAlign w:val="center"/>
                </w:tcPr>
                <w:p w14:paraId="3FC4A35D">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30%</w:t>
                  </w:r>
                </w:p>
              </w:tc>
              <w:tc>
                <w:tcPr>
                  <w:tcW w:w="1662" w:type="dxa"/>
                  <w:vAlign w:val="center"/>
                </w:tcPr>
                <w:p w14:paraId="1CC20DB0">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30%</w:t>
                  </w:r>
                </w:p>
              </w:tc>
            </w:tr>
            <w:tr w14:paraId="3921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continue"/>
                  <w:vAlign w:val="center"/>
                </w:tcPr>
                <w:p w14:paraId="041C42C2">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1" w:type="dxa"/>
                  <w:vAlign w:val="center"/>
                </w:tcPr>
                <w:p w14:paraId="56226635">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填料</w:t>
                  </w:r>
                </w:p>
              </w:tc>
              <w:tc>
                <w:tcPr>
                  <w:tcW w:w="1662" w:type="dxa"/>
                  <w:vMerge w:val="continue"/>
                  <w:vAlign w:val="center"/>
                </w:tcPr>
                <w:p w14:paraId="275569C2">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2" w:type="dxa"/>
                  <w:vAlign w:val="center"/>
                </w:tcPr>
                <w:p w14:paraId="796506F1">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c>
                <w:tcPr>
                  <w:tcW w:w="1662" w:type="dxa"/>
                  <w:vAlign w:val="center"/>
                </w:tcPr>
                <w:p w14:paraId="76DADA04">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r>
            <w:tr w14:paraId="2302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continue"/>
                  <w:vAlign w:val="center"/>
                </w:tcPr>
                <w:p w14:paraId="056E6FDC">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1" w:type="dxa"/>
                  <w:vAlign w:val="center"/>
                </w:tcPr>
                <w:p w14:paraId="2779E781">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助剂</w:t>
                  </w:r>
                </w:p>
              </w:tc>
              <w:tc>
                <w:tcPr>
                  <w:tcW w:w="1662" w:type="dxa"/>
                  <w:vMerge w:val="continue"/>
                  <w:vAlign w:val="center"/>
                </w:tcPr>
                <w:p w14:paraId="6176E43B">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2" w:type="dxa"/>
                  <w:vAlign w:val="center"/>
                </w:tcPr>
                <w:p w14:paraId="09A1CB51">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c>
                <w:tcPr>
                  <w:tcW w:w="1662" w:type="dxa"/>
                  <w:vAlign w:val="center"/>
                </w:tcPr>
                <w:p w14:paraId="7069D857">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r>
            <w:tr w14:paraId="20D4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continue"/>
                  <w:vAlign w:val="center"/>
                </w:tcPr>
                <w:p w14:paraId="7C86E910">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1" w:type="dxa"/>
                  <w:vAlign w:val="center"/>
                </w:tcPr>
                <w:p w14:paraId="6B12270C">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二甲苯</w:t>
                  </w:r>
                </w:p>
              </w:tc>
              <w:tc>
                <w:tcPr>
                  <w:tcW w:w="1662" w:type="dxa"/>
                  <w:vAlign w:val="center"/>
                </w:tcPr>
                <w:p w14:paraId="4F6AEF06">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挥发分</w:t>
                  </w:r>
                </w:p>
              </w:tc>
              <w:tc>
                <w:tcPr>
                  <w:tcW w:w="1662" w:type="dxa"/>
                  <w:vAlign w:val="center"/>
                </w:tcPr>
                <w:p w14:paraId="45366BDE">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c>
                <w:tcPr>
                  <w:tcW w:w="1662" w:type="dxa"/>
                  <w:vAlign w:val="center"/>
                </w:tcPr>
                <w:p w14:paraId="22D397CF">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r>
            <w:tr w14:paraId="501F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restart"/>
                  <w:vAlign w:val="center"/>
                </w:tcPr>
                <w:p w14:paraId="5E4A3F5A">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环氧固化剂</w:t>
                  </w:r>
                </w:p>
              </w:tc>
              <w:tc>
                <w:tcPr>
                  <w:tcW w:w="1661" w:type="dxa"/>
                  <w:vAlign w:val="center"/>
                </w:tcPr>
                <w:p w14:paraId="4D671B73">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固化剂</w:t>
                  </w:r>
                </w:p>
              </w:tc>
              <w:tc>
                <w:tcPr>
                  <w:tcW w:w="1662" w:type="dxa"/>
                  <w:vMerge w:val="restart"/>
                  <w:vAlign w:val="center"/>
                </w:tcPr>
                <w:p w14:paraId="652CF701">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固体份</w:t>
                  </w:r>
                </w:p>
              </w:tc>
              <w:tc>
                <w:tcPr>
                  <w:tcW w:w="1662" w:type="dxa"/>
                  <w:vAlign w:val="center"/>
                </w:tcPr>
                <w:p w14:paraId="29FDB3F3">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30%</w:t>
                  </w:r>
                </w:p>
              </w:tc>
              <w:tc>
                <w:tcPr>
                  <w:tcW w:w="1662" w:type="dxa"/>
                  <w:vAlign w:val="center"/>
                </w:tcPr>
                <w:p w14:paraId="3AB5E90C">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30%</w:t>
                  </w:r>
                </w:p>
              </w:tc>
            </w:tr>
            <w:tr w14:paraId="6C28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continue"/>
                  <w:vAlign w:val="center"/>
                </w:tcPr>
                <w:p w14:paraId="428A6679">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1" w:type="dxa"/>
                  <w:vAlign w:val="center"/>
                </w:tcPr>
                <w:p w14:paraId="79F920D6">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有机助剂</w:t>
                  </w:r>
                </w:p>
              </w:tc>
              <w:tc>
                <w:tcPr>
                  <w:tcW w:w="1662" w:type="dxa"/>
                  <w:vMerge w:val="continue"/>
                  <w:vAlign w:val="center"/>
                </w:tcPr>
                <w:p w14:paraId="02EDEF25">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2" w:type="dxa"/>
                  <w:vAlign w:val="center"/>
                </w:tcPr>
                <w:p w14:paraId="13A3D84D">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c>
                <w:tcPr>
                  <w:tcW w:w="1662" w:type="dxa"/>
                  <w:vAlign w:val="center"/>
                </w:tcPr>
                <w:p w14:paraId="59494597">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r>
            <w:tr w14:paraId="17C9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continue"/>
                  <w:vAlign w:val="center"/>
                </w:tcPr>
                <w:p w14:paraId="51D09969">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1" w:type="dxa"/>
                  <w:vAlign w:val="center"/>
                </w:tcPr>
                <w:p w14:paraId="32676964">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助剂</w:t>
                  </w:r>
                </w:p>
              </w:tc>
              <w:tc>
                <w:tcPr>
                  <w:tcW w:w="1662" w:type="dxa"/>
                  <w:vMerge w:val="continue"/>
                  <w:vAlign w:val="center"/>
                </w:tcPr>
                <w:p w14:paraId="3647EDA3">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2" w:type="dxa"/>
                  <w:vAlign w:val="center"/>
                </w:tcPr>
                <w:p w14:paraId="11D79098">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c>
                <w:tcPr>
                  <w:tcW w:w="1662" w:type="dxa"/>
                  <w:vAlign w:val="center"/>
                </w:tcPr>
                <w:p w14:paraId="2FD6D24E">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r>
            <w:tr w14:paraId="46FF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continue"/>
                  <w:vAlign w:val="center"/>
                </w:tcPr>
                <w:p w14:paraId="6C363FD8">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1" w:type="dxa"/>
                  <w:vAlign w:val="center"/>
                </w:tcPr>
                <w:p w14:paraId="71C1C34C">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二甲苯</w:t>
                  </w:r>
                </w:p>
              </w:tc>
              <w:tc>
                <w:tcPr>
                  <w:tcW w:w="1662" w:type="dxa"/>
                  <w:vAlign w:val="center"/>
                </w:tcPr>
                <w:p w14:paraId="5CF6776E">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挥发分</w:t>
                  </w:r>
                </w:p>
              </w:tc>
              <w:tc>
                <w:tcPr>
                  <w:tcW w:w="1662" w:type="dxa"/>
                  <w:vAlign w:val="center"/>
                </w:tcPr>
                <w:p w14:paraId="6274F3B6">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c>
                <w:tcPr>
                  <w:tcW w:w="1662" w:type="dxa"/>
                  <w:vAlign w:val="center"/>
                </w:tcPr>
                <w:p w14:paraId="615EC009">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r>
            <w:tr w14:paraId="4A78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restart"/>
                  <w:vAlign w:val="center"/>
                </w:tcPr>
                <w:p w14:paraId="372DB3C6">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环氧稀释剂</w:t>
                  </w:r>
                </w:p>
              </w:tc>
              <w:tc>
                <w:tcPr>
                  <w:tcW w:w="1661" w:type="dxa"/>
                  <w:vAlign w:val="center"/>
                </w:tcPr>
                <w:p w14:paraId="59A11BC8">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有机助剂</w:t>
                  </w:r>
                </w:p>
              </w:tc>
              <w:tc>
                <w:tcPr>
                  <w:tcW w:w="1662" w:type="dxa"/>
                  <w:vMerge w:val="restart"/>
                  <w:vAlign w:val="center"/>
                </w:tcPr>
                <w:p w14:paraId="2B2E7C81">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固体份</w:t>
                  </w:r>
                </w:p>
              </w:tc>
              <w:tc>
                <w:tcPr>
                  <w:tcW w:w="1662" w:type="dxa"/>
                  <w:vAlign w:val="center"/>
                </w:tcPr>
                <w:p w14:paraId="02E871C9">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c>
                <w:tcPr>
                  <w:tcW w:w="1662" w:type="dxa"/>
                  <w:vAlign w:val="center"/>
                </w:tcPr>
                <w:p w14:paraId="48CB7706">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r>
            <w:tr w14:paraId="1378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continue"/>
                  <w:vAlign w:val="center"/>
                </w:tcPr>
                <w:p w14:paraId="69AE5FAA">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1" w:type="dxa"/>
                  <w:vAlign w:val="center"/>
                </w:tcPr>
                <w:p w14:paraId="57FD97B4">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助剂</w:t>
                  </w:r>
                </w:p>
              </w:tc>
              <w:tc>
                <w:tcPr>
                  <w:tcW w:w="1662" w:type="dxa"/>
                  <w:vMerge w:val="continue"/>
                  <w:vAlign w:val="center"/>
                </w:tcPr>
                <w:p w14:paraId="4C0901A3">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2" w:type="dxa"/>
                  <w:vAlign w:val="center"/>
                </w:tcPr>
                <w:p w14:paraId="05E7A5DE">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c>
                <w:tcPr>
                  <w:tcW w:w="1662" w:type="dxa"/>
                  <w:vAlign w:val="center"/>
                </w:tcPr>
                <w:p w14:paraId="0A6E7FDD">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r>
            <w:tr w14:paraId="6B92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Merge w:val="continue"/>
                  <w:tcBorders>
                    <w:bottom w:val="single" w:color="000000" w:sz="4" w:space="0"/>
                  </w:tcBorders>
                  <w:vAlign w:val="center"/>
                </w:tcPr>
                <w:p w14:paraId="6977414D">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661" w:type="dxa"/>
                  <w:tcBorders>
                    <w:bottom w:val="single" w:color="000000" w:sz="4" w:space="0"/>
                  </w:tcBorders>
                  <w:vAlign w:val="center"/>
                </w:tcPr>
                <w:p w14:paraId="16EA34E5">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二甲苯</w:t>
                  </w:r>
                </w:p>
              </w:tc>
              <w:tc>
                <w:tcPr>
                  <w:tcW w:w="1662" w:type="dxa"/>
                  <w:vAlign w:val="center"/>
                </w:tcPr>
                <w:p w14:paraId="63856EAB">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挥发分</w:t>
                  </w:r>
                </w:p>
              </w:tc>
              <w:tc>
                <w:tcPr>
                  <w:tcW w:w="1662" w:type="dxa"/>
                  <w:vAlign w:val="center"/>
                </w:tcPr>
                <w:p w14:paraId="14420C9B">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c>
                <w:tcPr>
                  <w:tcW w:w="1662" w:type="dxa"/>
                  <w:vAlign w:val="center"/>
                </w:tcPr>
                <w:p w14:paraId="1815534B">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r>
          </w:tbl>
          <w:p w14:paraId="645480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本项目油性漆使用过程需要调配，用于</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调漆、</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晾干工序。环氧富锌底漆的挥发份含量为14.8%，环氧固化剂的挥发份含量为14.8%，环氧稀释剂的挥发份含量为44.8%。环氧富锌底漆与环氧稀释剂、环氧固化剂混合使用，混合比例为环氧富锌底漆：环氧稀释剂：环氧固化剂=9:1:2，调配后的油性漆总挥发分为17.3%，总固体份含量为82.7%。</w:t>
            </w:r>
          </w:p>
          <w:p w14:paraId="23FA35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2</w:t>
            </w:r>
            <w:r>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w:t>
            </w:r>
            <w:r>
              <w:rPr>
                <w:rFonts w:hint="eastAsia" w:ascii="黑体" w:hAnsi="黑体" w:eastAsia="黑体" w:cs="黑体"/>
                <w:color w:val="000000" w:themeColor="text1"/>
                <w:sz w:val="24"/>
                <w:szCs w:val="24"/>
                <w:u w:val="single"/>
                <w:vertAlign w:val="baseline"/>
                <w:lang w:val="en-US" w:eastAsia="zh-CN"/>
                <w14:textFill>
                  <w14:solidFill>
                    <w14:schemeClr w14:val="tx1"/>
                  </w14:solidFill>
                </w14:textFill>
              </w:rPr>
              <w:t>水性漆组份</w:t>
            </w:r>
          </w:p>
          <w:p w14:paraId="20360F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水性漆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主要成分</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详</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见下表</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2-1</w:t>
            </w:r>
            <w:r>
              <w:rPr>
                <w:rFonts w:hint="eastAsia" w:cs="Times New Roman"/>
                <w:color w:val="000000" w:themeColor="text1"/>
                <w:sz w:val="24"/>
                <w:szCs w:val="24"/>
                <w:u w:val="single"/>
                <w:vertAlign w:val="baseline"/>
                <w:lang w:val="en-US" w:eastAsia="zh-CN"/>
                <w14:textFill>
                  <w14:solidFill>
                    <w14:schemeClr w14:val="tx1"/>
                  </w14:solidFill>
                </w14:textFill>
              </w:rPr>
              <w:t>3，MSDS详见附件11。</w:t>
            </w:r>
          </w:p>
          <w:p w14:paraId="65E7D9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表2-13 本项目水性漆主要成分一览表</w:t>
            </w:r>
          </w:p>
          <w:tbl>
            <w:tblPr>
              <w:tblStyle w:val="8"/>
              <w:tblW w:w="8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2400"/>
              <w:gridCol w:w="1488"/>
              <w:gridCol w:w="1430"/>
              <w:gridCol w:w="1662"/>
            </w:tblGrid>
            <w:tr w14:paraId="1416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06397266">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名称</w:t>
                  </w:r>
                </w:p>
              </w:tc>
              <w:tc>
                <w:tcPr>
                  <w:tcW w:w="3888" w:type="dxa"/>
                  <w:gridSpan w:val="2"/>
                  <w:vAlign w:val="center"/>
                </w:tcPr>
                <w:p w14:paraId="1675517D">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主要成分</w:t>
                  </w:r>
                </w:p>
              </w:tc>
              <w:tc>
                <w:tcPr>
                  <w:tcW w:w="1430" w:type="dxa"/>
                  <w:vAlign w:val="center"/>
                </w:tcPr>
                <w:p w14:paraId="3516DA54">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含量（%）</w:t>
                  </w:r>
                </w:p>
              </w:tc>
              <w:tc>
                <w:tcPr>
                  <w:tcW w:w="1662" w:type="dxa"/>
                  <w:vAlign w:val="center"/>
                </w:tcPr>
                <w:p w14:paraId="5AB18C73">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本项目取值（%）</w:t>
                  </w:r>
                </w:p>
              </w:tc>
            </w:tr>
            <w:tr w14:paraId="2269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restart"/>
                  <w:vAlign w:val="center"/>
                </w:tcPr>
                <w:p w14:paraId="7E44DF3B">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丽源水性环氧底漆</w:t>
                  </w:r>
                </w:p>
              </w:tc>
              <w:tc>
                <w:tcPr>
                  <w:tcW w:w="2400" w:type="dxa"/>
                  <w:tcBorders>
                    <w:right w:val="single" w:color="000000" w:sz="4" w:space="0"/>
                  </w:tcBorders>
                  <w:vAlign w:val="center"/>
                </w:tcPr>
                <w:p w14:paraId="5727BA7C">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 xml:space="preserve"> 水性环氧树脂</w:t>
                  </w:r>
                </w:p>
              </w:tc>
              <w:tc>
                <w:tcPr>
                  <w:tcW w:w="1488" w:type="dxa"/>
                  <w:vMerge w:val="restart"/>
                  <w:tcBorders>
                    <w:left w:val="single" w:color="000000" w:sz="4" w:space="0"/>
                  </w:tcBorders>
                  <w:vAlign w:val="center"/>
                </w:tcPr>
                <w:p w14:paraId="6FE82E02">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固体份</w:t>
                  </w:r>
                </w:p>
              </w:tc>
              <w:tc>
                <w:tcPr>
                  <w:tcW w:w="1430" w:type="dxa"/>
                  <w:vAlign w:val="center"/>
                </w:tcPr>
                <w:p w14:paraId="064352BC">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20~50%</w:t>
                  </w:r>
                </w:p>
              </w:tc>
              <w:tc>
                <w:tcPr>
                  <w:tcW w:w="1662" w:type="dxa"/>
                  <w:vAlign w:val="center"/>
                </w:tcPr>
                <w:p w14:paraId="52C1DC2A">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35%</w:t>
                  </w:r>
                </w:p>
              </w:tc>
            </w:tr>
            <w:tr w14:paraId="3679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vAlign w:val="center"/>
                </w:tcPr>
                <w:p w14:paraId="49B44B83">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p>
              </w:tc>
              <w:tc>
                <w:tcPr>
                  <w:tcW w:w="2400" w:type="dxa"/>
                  <w:tcBorders>
                    <w:right w:val="single" w:color="000000" w:sz="4" w:space="0"/>
                  </w:tcBorders>
                  <w:vAlign w:val="center"/>
                </w:tcPr>
                <w:p w14:paraId="17F45879">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粉料</w:t>
                  </w:r>
                </w:p>
              </w:tc>
              <w:tc>
                <w:tcPr>
                  <w:tcW w:w="1488" w:type="dxa"/>
                  <w:vMerge w:val="continue"/>
                  <w:tcBorders>
                    <w:left w:val="single" w:color="000000" w:sz="4" w:space="0"/>
                  </w:tcBorders>
                  <w:vAlign w:val="center"/>
                </w:tcPr>
                <w:p w14:paraId="0263C42F">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p>
              </w:tc>
              <w:tc>
                <w:tcPr>
                  <w:tcW w:w="1430" w:type="dxa"/>
                  <w:vAlign w:val="center"/>
                </w:tcPr>
                <w:p w14:paraId="29E3FA80">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10~20%</w:t>
                  </w:r>
                </w:p>
              </w:tc>
              <w:tc>
                <w:tcPr>
                  <w:tcW w:w="1662" w:type="dxa"/>
                  <w:vAlign w:val="center"/>
                </w:tcPr>
                <w:p w14:paraId="4B685EAA">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15%</w:t>
                  </w:r>
                </w:p>
              </w:tc>
            </w:tr>
            <w:tr w14:paraId="38B0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vAlign w:val="center"/>
                </w:tcPr>
                <w:p w14:paraId="7935872F">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p>
              </w:tc>
              <w:tc>
                <w:tcPr>
                  <w:tcW w:w="2400" w:type="dxa"/>
                  <w:tcBorders>
                    <w:right w:val="single" w:color="000000" w:sz="4" w:space="0"/>
                  </w:tcBorders>
                  <w:vAlign w:val="center"/>
                </w:tcPr>
                <w:p w14:paraId="7B260E57">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乙二醇丁醚（不含苯类）</w:t>
                  </w:r>
                </w:p>
              </w:tc>
              <w:tc>
                <w:tcPr>
                  <w:tcW w:w="1488" w:type="dxa"/>
                  <w:tcBorders>
                    <w:left w:val="single" w:color="000000" w:sz="4" w:space="0"/>
                  </w:tcBorders>
                  <w:vAlign w:val="center"/>
                </w:tcPr>
                <w:p w14:paraId="31CB1F24">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挥发份</w:t>
                  </w:r>
                </w:p>
              </w:tc>
              <w:tc>
                <w:tcPr>
                  <w:tcW w:w="1430" w:type="dxa"/>
                  <w:vAlign w:val="center"/>
                </w:tcPr>
                <w:p w14:paraId="4B712F9C">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10~30%</w:t>
                  </w:r>
                </w:p>
              </w:tc>
              <w:tc>
                <w:tcPr>
                  <w:tcW w:w="1662" w:type="dxa"/>
                  <w:vAlign w:val="center"/>
                </w:tcPr>
                <w:p w14:paraId="6E718A7B">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20%</w:t>
                  </w:r>
                </w:p>
              </w:tc>
            </w:tr>
            <w:tr w14:paraId="0E13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vAlign w:val="center"/>
                </w:tcPr>
                <w:p w14:paraId="25FAF119">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p>
              </w:tc>
              <w:tc>
                <w:tcPr>
                  <w:tcW w:w="2400" w:type="dxa"/>
                  <w:tcBorders>
                    <w:right w:val="single" w:color="000000" w:sz="4" w:space="0"/>
                  </w:tcBorders>
                  <w:vAlign w:val="center"/>
                </w:tcPr>
                <w:p w14:paraId="64C51B0D">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去离子水</w:t>
                  </w:r>
                </w:p>
              </w:tc>
              <w:tc>
                <w:tcPr>
                  <w:tcW w:w="1488" w:type="dxa"/>
                  <w:tcBorders>
                    <w:left w:val="single" w:color="000000" w:sz="4" w:space="0"/>
                  </w:tcBorders>
                  <w:vAlign w:val="center"/>
                </w:tcPr>
                <w:p w14:paraId="6B8F9524">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水</w:t>
                  </w:r>
                </w:p>
              </w:tc>
              <w:tc>
                <w:tcPr>
                  <w:tcW w:w="1430" w:type="dxa"/>
                  <w:vAlign w:val="center"/>
                </w:tcPr>
                <w:p w14:paraId="7BCDC14E">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20~40%</w:t>
                  </w:r>
                </w:p>
              </w:tc>
              <w:tc>
                <w:tcPr>
                  <w:tcW w:w="1662" w:type="dxa"/>
                  <w:vAlign w:val="center"/>
                </w:tcPr>
                <w:p w14:paraId="21C2163E">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30%</w:t>
                  </w:r>
                </w:p>
              </w:tc>
            </w:tr>
            <w:tr w14:paraId="7836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restart"/>
                  <w:vAlign w:val="center"/>
                </w:tcPr>
                <w:p w14:paraId="7BDF8965">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丽源水性环氧固化剂</w:t>
                  </w:r>
                </w:p>
              </w:tc>
              <w:tc>
                <w:tcPr>
                  <w:tcW w:w="2400" w:type="dxa"/>
                  <w:tcBorders>
                    <w:right w:val="single" w:color="000000" w:sz="4" w:space="0"/>
                  </w:tcBorders>
                  <w:vAlign w:val="center"/>
                </w:tcPr>
                <w:p w14:paraId="0A679CCF">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水性环氧固化剂</w:t>
                  </w:r>
                </w:p>
              </w:tc>
              <w:tc>
                <w:tcPr>
                  <w:tcW w:w="1488" w:type="dxa"/>
                  <w:tcBorders>
                    <w:left w:val="single" w:color="000000" w:sz="4" w:space="0"/>
                  </w:tcBorders>
                  <w:vAlign w:val="center"/>
                </w:tcPr>
                <w:p w14:paraId="7A3FD188">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固体份</w:t>
                  </w:r>
                </w:p>
              </w:tc>
              <w:tc>
                <w:tcPr>
                  <w:tcW w:w="1430" w:type="dxa"/>
                  <w:vAlign w:val="center"/>
                </w:tcPr>
                <w:p w14:paraId="0E051590">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60%</w:t>
                  </w:r>
                </w:p>
              </w:tc>
              <w:tc>
                <w:tcPr>
                  <w:tcW w:w="1662" w:type="dxa"/>
                  <w:vAlign w:val="center"/>
                </w:tcPr>
                <w:p w14:paraId="5F18C77D">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60%</w:t>
                  </w:r>
                </w:p>
              </w:tc>
            </w:tr>
            <w:tr w14:paraId="668C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vAlign w:val="center"/>
                </w:tcPr>
                <w:p w14:paraId="40599729">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p>
              </w:tc>
              <w:tc>
                <w:tcPr>
                  <w:tcW w:w="2400" w:type="dxa"/>
                  <w:tcBorders>
                    <w:right w:val="single" w:color="000000" w:sz="4" w:space="0"/>
                  </w:tcBorders>
                  <w:vAlign w:val="center"/>
                </w:tcPr>
                <w:p w14:paraId="6C02A945">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PMA</w:t>
                  </w:r>
                </w:p>
              </w:tc>
              <w:tc>
                <w:tcPr>
                  <w:tcW w:w="1488" w:type="dxa"/>
                  <w:vMerge w:val="restart"/>
                  <w:tcBorders>
                    <w:left w:val="single" w:color="000000" w:sz="4" w:space="0"/>
                  </w:tcBorders>
                  <w:vAlign w:val="center"/>
                </w:tcPr>
                <w:p w14:paraId="36D29B92">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挥发份</w:t>
                  </w:r>
                </w:p>
              </w:tc>
              <w:tc>
                <w:tcPr>
                  <w:tcW w:w="1430" w:type="dxa"/>
                  <w:vAlign w:val="center"/>
                </w:tcPr>
                <w:p w14:paraId="25449192">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37%</w:t>
                  </w:r>
                </w:p>
              </w:tc>
              <w:tc>
                <w:tcPr>
                  <w:tcW w:w="1662" w:type="dxa"/>
                  <w:vAlign w:val="center"/>
                </w:tcPr>
                <w:p w14:paraId="15A0D94F">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37%</w:t>
                  </w:r>
                </w:p>
              </w:tc>
            </w:tr>
            <w:tr w14:paraId="3869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vAlign w:val="center"/>
                </w:tcPr>
                <w:p w14:paraId="7036C591">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p>
              </w:tc>
              <w:tc>
                <w:tcPr>
                  <w:tcW w:w="2400" w:type="dxa"/>
                  <w:tcBorders>
                    <w:right w:val="single" w:color="000000" w:sz="4" w:space="0"/>
                  </w:tcBorders>
                  <w:vAlign w:val="center"/>
                </w:tcPr>
                <w:p w14:paraId="7AB7E25E">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助剂</w:t>
                  </w:r>
                </w:p>
              </w:tc>
              <w:tc>
                <w:tcPr>
                  <w:tcW w:w="1488" w:type="dxa"/>
                  <w:vMerge w:val="continue"/>
                  <w:tcBorders>
                    <w:left w:val="single" w:color="000000" w:sz="4" w:space="0"/>
                  </w:tcBorders>
                  <w:vAlign w:val="center"/>
                </w:tcPr>
                <w:p w14:paraId="65F88FAC">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p>
              </w:tc>
              <w:tc>
                <w:tcPr>
                  <w:tcW w:w="1430" w:type="dxa"/>
                  <w:vAlign w:val="center"/>
                </w:tcPr>
                <w:p w14:paraId="4F309266">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w:t>
                  </w:r>
                </w:p>
              </w:tc>
              <w:tc>
                <w:tcPr>
                  <w:tcW w:w="1662" w:type="dxa"/>
                  <w:vAlign w:val="center"/>
                </w:tcPr>
                <w:p w14:paraId="7CD04B36">
                  <w:pPr>
                    <w:bidi w:val="0"/>
                    <w:spacing w:line="240" w:lineRule="auto"/>
                    <w:ind w:firstLine="0" w:firstLineChars="0"/>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w:t>
                  </w:r>
                </w:p>
              </w:tc>
            </w:tr>
          </w:tbl>
          <w:p w14:paraId="78F667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性漆使用过程需要调配，用于</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调漆、</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晾干工序。丽源水性环氧底漆的挥发份含量为20%，丽源水性环氧固化剂的挥发份含量为40%。丽源水性环氧底漆与丽源水性环氧固化剂混合使用，混合比例为丽源水性环氧底漆：丽源水性环氧固化剂=9:2，调配后的水性漆总挥发分为23.63%，总固体份含量为76.36%。</w:t>
            </w:r>
          </w:p>
          <w:p w14:paraId="361646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b w:val="0"/>
                <w:bCs w:val="0"/>
                <w:color w:val="000000" w:themeColor="text1"/>
                <w:u w:val="single"/>
                <w14:textFill>
                  <w14:solidFill>
                    <w14:schemeClr w14:val="tx1"/>
                  </w14:solidFill>
                </w14:textFill>
              </w:rPr>
            </w:pPr>
            <w:r>
              <w:rPr>
                <w:rFonts w:hint="eastAsia" w:eastAsia="黑体" w:cs="Times New Roman"/>
                <w:color w:val="000000" w:themeColor="text1"/>
                <w:u w:val="single"/>
                <w:lang w:val="en-US" w:eastAsia="zh-CN"/>
                <w14:textFill>
                  <w14:solidFill>
                    <w14:schemeClr w14:val="tx1"/>
                  </w14:solidFill>
                </w14:textFill>
              </w:rPr>
              <w:t>4.3</w:t>
            </w:r>
            <w:r>
              <w:rPr>
                <w:rFonts w:hint="default" w:ascii="Times New Roman" w:hAnsi="Times New Roman" w:eastAsia="黑体" w:cs="Times New Roman"/>
                <w:color w:val="000000" w:themeColor="text1"/>
                <w:u w:val="single"/>
                <w:lang w:val="en-US" w:eastAsia="zh-CN"/>
                <w14:textFill>
                  <w14:solidFill>
                    <w14:schemeClr w14:val="tx1"/>
                  </w14:solidFill>
                </w14:textFill>
              </w:rPr>
              <w:t>原辅材料</w:t>
            </w:r>
            <w:r>
              <w:rPr>
                <w:rFonts w:hint="default" w:ascii="Times New Roman" w:hAnsi="Times New Roman" w:eastAsia="黑体" w:cs="Times New Roman"/>
                <w:b w:val="0"/>
                <w:bCs w:val="0"/>
                <w:color w:val="000000" w:themeColor="text1"/>
                <w:u w:val="single"/>
                <w:lang w:val="en-US" w:eastAsia="zh-CN"/>
                <w14:textFill>
                  <w14:solidFill>
                    <w14:schemeClr w14:val="tx1"/>
                  </w14:solidFill>
                </w14:textFill>
              </w:rPr>
              <w:t>理化性质</w:t>
            </w:r>
          </w:p>
          <w:p w14:paraId="2BEED6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表2-14 主要原辅材料理化性质一览表</w:t>
            </w:r>
          </w:p>
          <w:tbl>
            <w:tblPr>
              <w:tblStyle w:val="8"/>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008"/>
              <w:gridCol w:w="1524"/>
              <w:gridCol w:w="2352"/>
              <w:gridCol w:w="1164"/>
              <w:gridCol w:w="1471"/>
            </w:tblGrid>
            <w:tr w14:paraId="6394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611B21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序号</w:t>
                  </w:r>
                </w:p>
              </w:tc>
              <w:tc>
                <w:tcPr>
                  <w:tcW w:w="1008" w:type="dxa"/>
                  <w:vAlign w:val="center"/>
                </w:tcPr>
                <w:p w14:paraId="738CCD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名称</w:t>
                  </w:r>
                </w:p>
              </w:tc>
              <w:tc>
                <w:tcPr>
                  <w:tcW w:w="5040" w:type="dxa"/>
                  <w:gridSpan w:val="3"/>
                  <w:vAlign w:val="center"/>
                </w:tcPr>
                <w:p w14:paraId="32E563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理化性质</w:t>
                  </w:r>
                </w:p>
              </w:tc>
              <w:tc>
                <w:tcPr>
                  <w:tcW w:w="1471" w:type="dxa"/>
                  <w:vAlign w:val="center"/>
                </w:tcPr>
                <w:p w14:paraId="0DB59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CAS号</w:t>
                  </w:r>
                </w:p>
              </w:tc>
            </w:tr>
            <w:tr w14:paraId="544A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restart"/>
                  <w:vAlign w:val="center"/>
                </w:tcPr>
                <w:p w14:paraId="04C053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w:t>
                  </w:r>
                </w:p>
              </w:tc>
              <w:tc>
                <w:tcPr>
                  <w:tcW w:w="1008" w:type="dxa"/>
                  <w:vMerge w:val="restart"/>
                  <w:vAlign w:val="center"/>
                </w:tcPr>
                <w:p w14:paraId="115C4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丽源水性环氧底漆</w:t>
                  </w:r>
                </w:p>
              </w:tc>
              <w:tc>
                <w:tcPr>
                  <w:tcW w:w="1524" w:type="dxa"/>
                  <w:vMerge w:val="restart"/>
                  <w:vAlign w:val="center"/>
                </w:tcPr>
                <w:p w14:paraId="297269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主要成分</w:t>
                  </w:r>
                </w:p>
              </w:tc>
              <w:tc>
                <w:tcPr>
                  <w:tcW w:w="2352" w:type="dxa"/>
                  <w:tcBorders>
                    <w:right w:val="single" w:color="000000" w:sz="8" w:space="0"/>
                  </w:tcBorders>
                  <w:vAlign w:val="center"/>
                </w:tcPr>
                <w:p w14:paraId="4DADB5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水性环氧树脂</w:t>
                  </w:r>
                </w:p>
              </w:tc>
              <w:tc>
                <w:tcPr>
                  <w:tcW w:w="1164" w:type="dxa"/>
                  <w:tcBorders>
                    <w:left w:val="single" w:color="000000" w:sz="8" w:space="0"/>
                  </w:tcBorders>
                  <w:vAlign w:val="center"/>
                </w:tcPr>
                <w:p w14:paraId="2FCCDA4F">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20~50%</w:t>
                  </w:r>
                </w:p>
              </w:tc>
              <w:tc>
                <w:tcPr>
                  <w:tcW w:w="1471" w:type="dxa"/>
                  <w:vAlign w:val="center"/>
                </w:tcPr>
                <w:p w14:paraId="116296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3E91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08B40C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6F849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7D28A2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72B70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粉料</w:t>
                  </w:r>
                </w:p>
              </w:tc>
              <w:tc>
                <w:tcPr>
                  <w:tcW w:w="1164" w:type="dxa"/>
                  <w:tcBorders>
                    <w:left w:val="single" w:color="000000" w:sz="8" w:space="0"/>
                  </w:tcBorders>
                  <w:vAlign w:val="center"/>
                </w:tcPr>
                <w:p w14:paraId="24E71714">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10~20%</w:t>
                  </w:r>
                </w:p>
              </w:tc>
              <w:tc>
                <w:tcPr>
                  <w:tcW w:w="1471" w:type="dxa"/>
                  <w:vAlign w:val="center"/>
                </w:tcPr>
                <w:p w14:paraId="59F5C2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1317-80-2</w:t>
                  </w:r>
                </w:p>
              </w:tc>
            </w:tr>
            <w:tr w14:paraId="64E3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4F1BC2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12CE1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1CB4C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74FF2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乙二醇丁醚（不含苯类）</w:t>
                  </w:r>
                </w:p>
              </w:tc>
              <w:tc>
                <w:tcPr>
                  <w:tcW w:w="1164" w:type="dxa"/>
                  <w:tcBorders>
                    <w:left w:val="single" w:color="000000" w:sz="8" w:space="0"/>
                  </w:tcBorders>
                  <w:vAlign w:val="center"/>
                </w:tcPr>
                <w:p w14:paraId="518A3FED">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10~30%</w:t>
                  </w:r>
                </w:p>
              </w:tc>
              <w:tc>
                <w:tcPr>
                  <w:tcW w:w="1471" w:type="dxa"/>
                  <w:vAlign w:val="center"/>
                </w:tcPr>
                <w:p w14:paraId="0E8AB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111-76-3</w:t>
                  </w:r>
                </w:p>
              </w:tc>
            </w:tr>
            <w:tr w14:paraId="3618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30B3E3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7A86E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53790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768BF2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去离子水</w:t>
                  </w:r>
                </w:p>
              </w:tc>
              <w:tc>
                <w:tcPr>
                  <w:tcW w:w="1164" w:type="dxa"/>
                  <w:tcBorders>
                    <w:left w:val="single" w:color="000000" w:sz="8" w:space="0"/>
                  </w:tcBorders>
                  <w:vAlign w:val="center"/>
                </w:tcPr>
                <w:p w14:paraId="56272B8A">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20~40%</w:t>
                  </w:r>
                </w:p>
              </w:tc>
              <w:tc>
                <w:tcPr>
                  <w:tcW w:w="1471" w:type="dxa"/>
                  <w:vAlign w:val="center"/>
                </w:tcPr>
                <w:p w14:paraId="5D9C66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7732-18-5</w:t>
                  </w:r>
                </w:p>
              </w:tc>
            </w:tr>
            <w:tr w14:paraId="7416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548AE4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3CD59E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511" w:type="dxa"/>
                  <w:gridSpan w:val="4"/>
                  <w:vAlign w:val="center"/>
                </w:tcPr>
                <w:p w14:paraId="5685E50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根据MSDS可知：</w:t>
                  </w:r>
                </w:p>
                <w:p w14:paraId="6EE7670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（1）理化性质：外观和性状：液体状，颜色依配方而定；气味：几乎无气味；分子式：未知； 固化条件：220-240℃/15-20min；pH值：弱碱性； 相对密度: 1.1~1.5；熔点（℃）：120℃； 爆炸上限：无资料，爆炸下限：无资料； 溶解性：完全溶于纯净水</w:t>
                  </w:r>
                </w:p>
                <w:p w14:paraId="187971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危害性：危险性类别：非危险品；侵入途径：可通过吸入、食入和皮肤接触吸收入人体；健康危害：接触此化合物对人本无危害；环境危害：对水生物无毒，可能对水域造成长期损害；燃爆危险：不易燃烧，不易爆炸。</w:t>
                  </w:r>
                </w:p>
              </w:tc>
            </w:tr>
            <w:tr w14:paraId="2776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restart"/>
                  <w:vAlign w:val="center"/>
                </w:tcPr>
                <w:p w14:paraId="5B6CF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w:t>
                  </w:r>
                </w:p>
              </w:tc>
              <w:tc>
                <w:tcPr>
                  <w:tcW w:w="1008" w:type="dxa"/>
                  <w:vMerge w:val="restart"/>
                  <w:vAlign w:val="center"/>
                </w:tcPr>
                <w:p w14:paraId="26C47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丽源水性环氧固化剂</w:t>
                  </w:r>
                </w:p>
              </w:tc>
              <w:tc>
                <w:tcPr>
                  <w:tcW w:w="1524" w:type="dxa"/>
                  <w:vMerge w:val="restart"/>
                  <w:vAlign w:val="center"/>
                </w:tcPr>
                <w:p w14:paraId="6FEAF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主要成分</w:t>
                  </w:r>
                </w:p>
              </w:tc>
              <w:tc>
                <w:tcPr>
                  <w:tcW w:w="2352" w:type="dxa"/>
                  <w:tcBorders>
                    <w:right w:val="single" w:color="000000" w:sz="8" w:space="0"/>
                  </w:tcBorders>
                  <w:vAlign w:val="center"/>
                </w:tcPr>
                <w:p w14:paraId="73417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水性环氧固化剂</w:t>
                  </w:r>
                </w:p>
              </w:tc>
              <w:tc>
                <w:tcPr>
                  <w:tcW w:w="1164" w:type="dxa"/>
                  <w:tcBorders>
                    <w:left w:val="single" w:color="000000" w:sz="8" w:space="0"/>
                  </w:tcBorders>
                  <w:vAlign w:val="center"/>
                </w:tcPr>
                <w:p w14:paraId="5D1101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60%</w:t>
                  </w:r>
                </w:p>
              </w:tc>
              <w:tc>
                <w:tcPr>
                  <w:tcW w:w="1471" w:type="dxa"/>
                  <w:vAlign w:val="center"/>
                </w:tcPr>
                <w:p w14:paraId="56A7C1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63428-84-2</w:t>
                  </w:r>
                </w:p>
              </w:tc>
            </w:tr>
            <w:tr w14:paraId="739A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406E4F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23DBF5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2BDE7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4E2BB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PMA</w:t>
                  </w:r>
                </w:p>
              </w:tc>
              <w:tc>
                <w:tcPr>
                  <w:tcW w:w="1164" w:type="dxa"/>
                  <w:tcBorders>
                    <w:left w:val="single" w:color="000000" w:sz="8" w:space="0"/>
                  </w:tcBorders>
                  <w:vAlign w:val="center"/>
                </w:tcPr>
                <w:p w14:paraId="60BBE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37%</w:t>
                  </w:r>
                </w:p>
              </w:tc>
              <w:tc>
                <w:tcPr>
                  <w:tcW w:w="1471" w:type="dxa"/>
                  <w:vAlign w:val="center"/>
                </w:tcPr>
                <w:p w14:paraId="22498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108-65-6</w:t>
                  </w:r>
                </w:p>
              </w:tc>
            </w:tr>
            <w:tr w14:paraId="4DD8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04C12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4D535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66786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41C9FF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助剂</w:t>
                  </w:r>
                </w:p>
              </w:tc>
              <w:tc>
                <w:tcPr>
                  <w:tcW w:w="1164" w:type="dxa"/>
                  <w:tcBorders>
                    <w:left w:val="single" w:color="000000" w:sz="8" w:space="0"/>
                  </w:tcBorders>
                  <w:vAlign w:val="center"/>
                </w:tcPr>
                <w:p w14:paraId="327F66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3%</w:t>
                  </w:r>
                </w:p>
              </w:tc>
              <w:tc>
                <w:tcPr>
                  <w:tcW w:w="1471" w:type="dxa"/>
                  <w:vAlign w:val="center"/>
                </w:tcPr>
                <w:p w14:paraId="47FBC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5AEA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Merge w:val="continue"/>
                  <w:vAlign w:val="center"/>
                </w:tcPr>
                <w:p w14:paraId="708911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7F5802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511" w:type="dxa"/>
                  <w:gridSpan w:val="4"/>
                  <w:vAlign w:val="center"/>
                </w:tcPr>
                <w:p w14:paraId="40B79A5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根据MSDS可知：</w:t>
                  </w:r>
                </w:p>
                <w:p w14:paraId="34B6F33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（1）理化性质：外观和性状：液体状，颜色依配方而定；气味：几乎无气味；分子式：未知；固化条件：220-240℃/15-20min；pH 值：弱碱性；相对密度: 1.1~1.5；熔点（℃）：120℃；爆炸上限：无资料；爆炸下限：无资料；溶解性：完全溶于纯净水。</w:t>
                  </w:r>
                </w:p>
                <w:p w14:paraId="2B49070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危害性：危险性类别：非危险品；侵入途径：可通过吸入、食入和皮肤接触吸收入人体；健康危害：接触此化合物对人本无危害；环境危害：对水生物无毒，可能对水域造成长期损害；燃爆危险：不易燃烧，不易爆炸。</w:t>
                  </w:r>
                </w:p>
              </w:tc>
            </w:tr>
            <w:tr w14:paraId="7124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restart"/>
                  <w:vAlign w:val="center"/>
                </w:tcPr>
                <w:p w14:paraId="5C694D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3</w:t>
                  </w:r>
                </w:p>
              </w:tc>
              <w:tc>
                <w:tcPr>
                  <w:tcW w:w="1008" w:type="dxa"/>
                  <w:vMerge w:val="restart"/>
                  <w:vAlign w:val="center"/>
                </w:tcPr>
                <w:p w14:paraId="43439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环氧富锌底漆</w:t>
                  </w:r>
                </w:p>
              </w:tc>
              <w:tc>
                <w:tcPr>
                  <w:tcW w:w="1524" w:type="dxa"/>
                  <w:vMerge w:val="restart"/>
                  <w:vAlign w:val="center"/>
                </w:tcPr>
                <w:p w14:paraId="6C4E8C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主要成分</w:t>
                  </w:r>
                </w:p>
              </w:tc>
              <w:tc>
                <w:tcPr>
                  <w:tcW w:w="2352" w:type="dxa"/>
                  <w:tcBorders>
                    <w:right w:val="single" w:color="000000" w:sz="8" w:space="0"/>
                  </w:tcBorders>
                  <w:vAlign w:val="center"/>
                </w:tcPr>
                <w:p w14:paraId="491147BD">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环氧树脂</w:t>
                  </w:r>
                </w:p>
              </w:tc>
              <w:tc>
                <w:tcPr>
                  <w:tcW w:w="1164" w:type="dxa"/>
                  <w:tcBorders>
                    <w:left w:val="single" w:color="000000" w:sz="8" w:space="0"/>
                  </w:tcBorders>
                  <w:vAlign w:val="center"/>
                </w:tcPr>
                <w:p w14:paraId="20DE8566">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30%</w:t>
                  </w:r>
                </w:p>
              </w:tc>
              <w:tc>
                <w:tcPr>
                  <w:tcW w:w="1471" w:type="dxa"/>
                  <w:vAlign w:val="center"/>
                </w:tcPr>
                <w:p w14:paraId="19DD4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7FD5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350CC9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7B4BD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4CA917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73C45F68">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填料</w:t>
                  </w:r>
                </w:p>
              </w:tc>
              <w:tc>
                <w:tcPr>
                  <w:tcW w:w="1164" w:type="dxa"/>
                  <w:tcBorders>
                    <w:left w:val="single" w:color="000000" w:sz="8" w:space="0"/>
                  </w:tcBorders>
                  <w:vAlign w:val="center"/>
                </w:tcPr>
                <w:p w14:paraId="5B474903">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c>
                <w:tcPr>
                  <w:tcW w:w="1471" w:type="dxa"/>
                  <w:vAlign w:val="center"/>
                </w:tcPr>
                <w:p w14:paraId="45CBE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37E9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43301C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6B7D2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6FB341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2EF1904C">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助剂</w:t>
                  </w:r>
                </w:p>
              </w:tc>
              <w:tc>
                <w:tcPr>
                  <w:tcW w:w="1164" w:type="dxa"/>
                  <w:tcBorders>
                    <w:left w:val="single" w:color="000000" w:sz="8" w:space="0"/>
                  </w:tcBorders>
                  <w:vAlign w:val="center"/>
                </w:tcPr>
                <w:p w14:paraId="7EFA3F0E">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c>
                <w:tcPr>
                  <w:tcW w:w="1471" w:type="dxa"/>
                  <w:vAlign w:val="center"/>
                </w:tcPr>
                <w:p w14:paraId="5038B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515A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2C38C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6DF1F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3D1030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00271C46">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二甲苯</w:t>
                  </w:r>
                </w:p>
              </w:tc>
              <w:tc>
                <w:tcPr>
                  <w:tcW w:w="1164" w:type="dxa"/>
                  <w:tcBorders>
                    <w:left w:val="single" w:color="000000" w:sz="8" w:space="0"/>
                  </w:tcBorders>
                  <w:vAlign w:val="center"/>
                </w:tcPr>
                <w:p w14:paraId="735C33B1">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c>
                <w:tcPr>
                  <w:tcW w:w="1471" w:type="dxa"/>
                  <w:vAlign w:val="center"/>
                </w:tcPr>
                <w:p w14:paraId="65EC02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6506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7C6168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0C3C38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511" w:type="dxa"/>
                  <w:gridSpan w:val="4"/>
                  <w:vAlign w:val="center"/>
                </w:tcPr>
                <w:p w14:paraId="373594E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根据MSDS可知：</w:t>
                  </w:r>
                </w:p>
                <w:p w14:paraId="045DE90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（1）理化性质：外观：胶状；颜色：黑色；气味：轻微。</w:t>
                  </w:r>
                </w:p>
                <w:p w14:paraId="1A7506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（2）危害性：健康危害：解除会刺激皮肤，吸入会刺激肺部黏膜，刺激眼睛会使之发红，皮肤会痒，发炎；危险特性：不易燃；</w:t>
                  </w:r>
                </w:p>
              </w:tc>
            </w:tr>
            <w:tr w14:paraId="6991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restart"/>
                  <w:vAlign w:val="center"/>
                </w:tcPr>
                <w:p w14:paraId="09F349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4</w:t>
                  </w:r>
                </w:p>
              </w:tc>
              <w:tc>
                <w:tcPr>
                  <w:tcW w:w="1008" w:type="dxa"/>
                  <w:vMerge w:val="restart"/>
                  <w:vAlign w:val="center"/>
                </w:tcPr>
                <w:p w14:paraId="075DD6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环氧固化剂</w:t>
                  </w:r>
                </w:p>
              </w:tc>
              <w:tc>
                <w:tcPr>
                  <w:tcW w:w="1524" w:type="dxa"/>
                  <w:vMerge w:val="restart"/>
                  <w:vAlign w:val="center"/>
                </w:tcPr>
                <w:p w14:paraId="2EEA90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主要成分</w:t>
                  </w:r>
                </w:p>
              </w:tc>
              <w:tc>
                <w:tcPr>
                  <w:tcW w:w="2352" w:type="dxa"/>
                  <w:tcBorders>
                    <w:right w:val="single" w:color="000000" w:sz="8" w:space="0"/>
                  </w:tcBorders>
                  <w:vAlign w:val="center"/>
                </w:tcPr>
                <w:p w14:paraId="3562178F">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固化剂</w:t>
                  </w:r>
                </w:p>
              </w:tc>
              <w:tc>
                <w:tcPr>
                  <w:tcW w:w="1164" w:type="dxa"/>
                  <w:tcBorders>
                    <w:left w:val="single" w:color="000000" w:sz="8" w:space="0"/>
                  </w:tcBorders>
                  <w:vAlign w:val="center"/>
                </w:tcPr>
                <w:p w14:paraId="5B3E61C9">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30%</w:t>
                  </w:r>
                </w:p>
              </w:tc>
              <w:tc>
                <w:tcPr>
                  <w:tcW w:w="1471" w:type="dxa"/>
                  <w:vAlign w:val="center"/>
                </w:tcPr>
                <w:p w14:paraId="24E21E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7716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476C83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7344B5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27ACE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180BA146">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有机助剂</w:t>
                  </w:r>
                </w:p>
              </w:tc>
              <w:tc>
                <w:tcPr>
                  <w:tcW w:w="1164" w:type="dxa"/>
                  <w:tcBorders>
                    <w:left w:val="single" w:color="000000" w:sz="8" w:space="0"/>
                  </w:tcBorders>
                  <w:vAlign w:val="center"/>
                </w:tcPr>
                <w:p w14:paraId="580E0681">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c>
                <w:tcPr>
                  <w:tcW w:w="1471" w:type="dxa"/>
                  <w:vAlign w:val="center"/>
                </w:tcPr>
                <w:p w14:paraId="0C7704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53AD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67CDB8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12911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2C906E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68B929E2">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助剂</w:t>
                  </w:r>
                </w:p>
              </w:tc>
              <w:tc>
                <w:tcPr>
                  <w:tcW w:w="1164" w:type="dxa"/>
                  <w:tcBorders>
                    <w:left w:val="single" w:color="000000" w:sz="8" w:space="0"/>
                  </w:tcBorders>
                  <w:vAlign w:val="center"/>
                </w:tcPr>
                <w:p w14:paraId="68408E22">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c>
                <w:tcPr>
                  <w:tcW w:w="1471" w:type="dxa"/>
                  <w:vAlign w:val="center"/>
                </w:tcPr>
                <w:p w14:paraId="637BB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43CD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47B256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46AAD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3CB85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51CD971C">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二甲苯</w:t>
                  </w:r>
                </w:p>
              </w:tc>
              <w:tc>
                <w:tcPr>
                  <w:tcW w:w="1164" w:type="dxa"/>
                  <w:tcBorders>
                    <w:left w:val="single" w:color="000000" w:sz="8" w:space="0"/>
                  </w:tcBorders>
                  <w:vAlign w:val="center"/>
                </w:tcPr>
                <w:p w14:paraId="04AF7A0A">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c>
                <w:tcPr>
                  <w:tcW w:w="1471" w:type="dxa"/>
                  <w:vAlign w:val="center"/>
                </w:tcPr>
                <w:p w14:paraId="116BA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0CEE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1D452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169FFA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511" w:type="dxa"/>
                  <w:gridSpan w:val="4"/>
                  <w:vAlign w:val="center"/>
                </w:tcPr>
                <w:p w14:paraId="2E18EE9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根据MSDS可知：</w:t>
                  </w:r>
                </w:p>
                <w:p w14:paraId="590A9F6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（1）理化性质：外观：胶状；颜色：黑色；气味：轻微。</w:t>
                  </w:r>
                </w:p>
                <w:p w14:paraId="1B6289D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（2）危害性：健康危害：解除会刺激皮肤，吸入会刺激肺部黏膜，刺激眼睛会使之发红，皮肤会痒，发炎；危险特性：不易燃；</w:t>
                  </w:r>
                </w:p>
              </w:tc>
            </w:tr>
            <w:tr w14:paraId="1EC6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restart"/>
                  <w:vAlign w:val="center"/>
                </w:tcPr>
                <w:p w14:paraId="4F8BC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5</w:t>
                  </w:r>
                </w:p>
              </w:tc>
              <w:tc>
                <w:tcPr>
                  <w:tcW w:w="1008" w:type="dxa"/>
                  <w:vMerge w:val="restart"/>
                  <w:vAlign w:val="center"/>
                </w:tcPr>
                <w:p w14:paraId="37FA91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环氧稀释剂</w:t>
                  </w:r>
                </w:p>
              </w:tc>
              <w:tc>
                <w:tcPr>
                  <w:tcW w:w="1524" w:type="dxa"/>
                  <w:vMerge w:val="restart"/>
                  <w:vAlign w:val="center"/>
                </w:tcPr>
                <w:p w14:paraId="334D6E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主要成分</w:t>
                  </w:r>
                </w:p>
              </w:tc>
              <w:tc>
                <w:tcPr>
                  <w:tcW w:w="2352" w:type="dxa"/>
                  <w:tcBorders>
                    <w:right w:val="single" w:color="000000" w:sz="8" w:space="0"/>
                  </w:tcBorders>
                  <w:vAlign w:val="center"/>
                </w:tcPr>
                <w:p w14:paraId="3ECB260F">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有机助剂</w:t>
                  </w:r>
                </w:p>
              </w:tc>
              <w:tc>
                <w:tcPr>
                  <w:tcW w:w="1164" w:type="dxa"/>
                  <w:tcBorders>
                    <w:left w:val="single" w:color="000000" w:sz="8" w:space="0"/>
                  </w:tcBorders>
                  <w:vAlign w:val="center"/>
                </w:tcPr>
                <w:p w14:paraId="70FA40DB">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38.9%</w:t>
                  </w:r>
                </w:p>
              </w:tc>
              <w:tc>
                <w:tcPr>
                  <w:tcW w:w="1471" w:type="dxa"/>
                  <w:vAlign w:val="center"/>
                </w:tcPr>
                <w:p w14:paraId="793433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0951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5DFF5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57EC97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1641A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0B5A3641">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助剂</w:t>
                  </w:r>
                </w:p>
              </w:tc>
              <w:tc>
                <w:tcPr>
                  <w:tcW w:w="1164" w:type="dxa"/>
                  <w:tcBorders>
                    <w:left w:val="single" w:color="000000" w:sz="8" w:space="0"/>
                  </w:tcBorders>
                  <w:vAlign w:val="center"/>
                </w:tcPr>
                <w:p w14:paraId="1BFD8E9D">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16.3%</w:t>
                  </w:r>
                </w:p>
              </w:tc>
              <w:tc>
                <w:tcPr>
                  <w:tcW w:w="1471" w:type="dxa"/>
                  <w:vAlign w:val="center"/>
                </w:tcPr>
                <w:p w14:paraId="74D8C7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2031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09FA7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712A0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24" w:type="dxa"/>
                  <w:vMerge w:val="continue"/>
                  <w:vAlign w:val="center"/>
                </w:tcPr>
                <w:p w14:paraId="7E84C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52" w:type="dxa"/>
                  <w:tcBorders>
                    <w:right w:val="single" w:color="000000" w:sz="8" w:space="0"/>
                  </w:tcBorders>
                  <w:vAlign w:val="center"/>
                </w:tcPr>
                <w:p w14:paraId="541A0843">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二甲苯</w:t>
                  </w:r>
                </w:p>
              </w:tc>
              <w:tc>
                <w:tcPr>
                  <w:tcW w:w="1164" w:type="dxa"/>
                  <w:tcBorders>
                    <w:left w:val="single" w:color="000000" w:sz="8" w:space="0"/>
                  </w:tcBorders>
                  <w:vAlign w:val="center"/>
                </w:tcPr>
                <w:p w14:paraId="1D4CAEED">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14.8%</w:t>
                  </w:r>
                </w:p>
              </w:tc>
              <w:tc>
                <w:tcPr>
                  <w:tcW w:w="1471" w:type="dxa"/>
                  <w:vAlign w:val="center"/>
                </w:tcPr>
                <w:p w14:paraId="2169C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00A3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Merge w:val="continue"/>
                  <w:vAlign w:val="center"/>
                </w:tcPr>
                <w:p w14:paraId="742E29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08" w:type="dxa"/>
                  <w:vMerge w:val="continue"/>
                  <w:vAlign w:val="center"/>
                </w:tcPr>
                <w:p w14:paraId="2678E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511" w:type="dxa"/>
                  <w:gridSpan w:val="4"/>
                  <w:vAlign w:val="center"/>
                </w:tcPr>
                <w:p w14:paraId="7446F7B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根据MSDS可知：</w:t>
                  </w:r>
                </w:p>
                <w:p w14:paraId="480B46D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（1）理化性质：外观：胶状；颜色：黑色；气味：轻微。</w:t>
                  </w:r>
                </w:p>
                <w:p w14:paraId="6C63F18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（2）危害性：健康危害：解除会刺激皮肤，吸入会刺激肺部黏膜，刺激眼睛会使之发红，皮肤会痒，发炎；危险特性：易燃；</w:t>
                  </w:r>
                </w:p>
              </w:tc>
            </w:tr>
          </w:tbl>
          <w:p w14:paraId="202AFA0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eastAsia" w:ascii="Times New Roman" w:hAnsi="Times New Roman" w:eastAsia="黑体" w:cs="Times New Roman"/>
                <w:color w:val="000000" w:themeColor="text1"/>
                <w:lang w:val="en-US" w:eastAsia="zh-CN"/>
                <w14:textFill>
                  <w14:solidFill>
                    <w14:schemeClr w14:val="tx1"/>
                  </w14:solidFill>
                </w14:textFill>
              </w:rPr>
              <w:t>4.4</w:t>
            </w:r>
            <w:r>
              <w:rPr>
                <w:rFonts w:hint="default" w:ascii="Times New Roman" w:hAnsi="Times New Roman" w:eastAsia="黑体" w:cs="Times New Roman"/>
                <w:color w:val="000000" w:themeColor="text1"/>
                <w:lang w:val="en-US" w:eastAsia="zh-CN"/>
                <w14:textFill>
                  <w14:solidFill>
                    <w14:schemeClr w14:val="tx1"/>
                  </w14:solidFill>
                </w14:textFill>
              </w:rPr>
              <w:t>物料衡算</w:t>
            </w:r>
            <w:r>
              <w:rPr>
                <w:rFonts w:hint="default" w:ascii="Times New Roman" w:hAnsi="Times New Roman" w:eastAsia="黑体" w:cs="Times New Roman"/>
                <w:b w:val="0"/>
                <w:bCs w:val="0"/>
                <w:color w:val="000000" w:themeColor="text1"/>
                <w:lang w:val="en-US" w:eastAsia="zh-CN"/>
                <w14:textFill>
                  <w14:solidFill>
                    <w14:schemeClr w14:val="tx1"/>
                  </w14:solidFill>
                </w14:textFill>
              </w:rPr>
              <w:t>分析</w:t>
            </w:r>
          </w:p>
          <w:p w14:paraId="7E4878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cs="Times New Roman"/>
                <w:b w:val="0"/>
                <w:bCs w:val="0"/>
                <w:color w:val="000000" w:themeColor="text1"/>
                <w:sz w:val="24"/>
                <w:szCs w:val="24"/>
                <w:u w:val="single"/>
                <w:lang w:val="en-US" w:eastAsia="zh-CN"/>
                <w14:textFill>
                  <w14:solidFill>
                    <w14:schemeClr w14:val="tx1"/>
                  </w14:solidFill>
                </w14:textFill>
              </w:rPr>
              <w:t>（1）涂料挥发量分析</w:t>
            </w:r>
          </w:p>
          <w:p w14:paraId="1083D4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本项目涂料挥发</w:t>
            </w:r>
            <w:r>
              <w:rPr>
                <w:rFonts w:hint="eastAsia" w:cs="Times New Roman"/>
                <w:b w:val="0"/>
                <w:bCs w:val="0"/>
                <w:color w:val="000000" w:themeColor="text1"/>
                <w:sz w:val="24"/>
                <w:szCs w:val="24"/>
                <w:u w:val="single"/>
                <w:lang w:val="en-US" w:eastAsia="zh-CN"/>
                <w14:textFill>
                  <w14:solidFill>
                    <w14:schemeClr w14:val="tx1"/>
                  </w14:solidFill>
                </w14:textFill>
              </w:rPr>
              <w:t>情况</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详见下表2-1</w:t>
            </w:r>
            <w:r>
              <w:rPr>
                <w:rFonts w:hint="eastAsia" w:cs="Times New Roman"/>
                <w:b w:val="0"/>
                <w:bCs w:val="0"/>
                <w:color w:val="000000" w:themeColor="text1"/>
                <w:sz w:val="24"/>
                <w:szCs w:val="24"/>
                <w:u w:val="singl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w:t>
            </w:r>
          </w:p>
          <w:p w14:paraId="1E8867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表2-15 项目涂料挥发情况一览表</w:t>
            </w:r>
          </w:p>
          <w:tbl>
            <w:tblPr>
              <w:tblStyle w:val="8"/>
              <w:tblW w:w="8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923"/>
              <w:gridCol w:w="751"/>
              <w:gridCol w:w="732"/>
              <w:gridCol w:w="858"/>
              <w:gridCol w:w="642"/>
              <w:gridCol w:w="1219"/>
              <w:gridCol w:w="1031"/>
              <w:gridCol w:w="1164"/>
            </w:tblGrid>
            <w:tr w14:paraId="2CE4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7" w:type="dxa"/>
                  <w:gridSpan w:val="2"/>
                  <w:vMerge w:val="restart"/>
                  <w:vAlign w:val="center"/>
                </w:tcPr>
                <w:p w14:paraId="047A9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原材料名称</w:t>
                  </w:r>
                </w:p>
              </w:tc>
              <w:tc>
                <w:tcPr>
                  <w:tcW w:w="751" w:type="dxa"/>
                  <w:vMerge w:val="restart"/>
                  <w:vAlign w:val="center"/>
                </w:tcPr>
                <w:p w14:paraId="563FF6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年用量t/a</w:t>
                  </w:r>
                </w:p>
              </w:tc>
              <w:tc>
                <w:tcPr>
                  <w:tcW w:w="732" w:type="dxa"/>
                  <w:vMerge w:val="restart"/>
                  <w:vAlign w:val="center"/>
                </w:tcPr>
                <w:p w14:paraId="61269E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附着率%</w:t>
                  </w:r>
                </w:p>
              </w:tc>
              <w:tc>
                <w:tcPr>
                  <w:tcW w:w="1500" w:type="dxa"/>
                  <w:gridSpan w:val="2"/>
                  <w:tcBorders>
                    <w:bottom w:val="single" w:color="000000" w:sz="4" w:space="0"/>
                  </w:tcBorders>
                  <w:vAlign w:val="center"/>
                </w:tcPr>
                <w:p w14:paraId="57F1A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挥发份%</w:t>
                  </w:r>
                </w:p>
              </w:tc>
              <w:tc>
                <w:tcPr>
                  <w:tcW w:w="1219" w:type="dxa"/>
                  <w:vMerge w:val="restart"/>
                  <w:vAlign w:val="center"/>
                </w:tcPr>
                <w:p w14:paraId="45CC92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固含量%</w:t>
                  </w:r>
                </w:p>
              </w:tc>
              <w:tc>
                <w:tcPr>
                  <w:tcW w:w="2195" w:type="dxa"/>
                  <w:gridSpan w:val="2"/>
                  <w:tcBorders>
                    <w:bottom w:val="single" w:color="000000" w:sz="4" w:space="0"/>
                  </w:tcBorders>
                  <w:vAlign w:val="center"/>
                </w:tcPr>
                <w:p w14:paraId="7499A4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年产量（t/a）</w:t>
                  </w:r>
                </w:p>
              </w:tc>
            </w:tr>
            <w:tr w14:paraId="34ED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827" w:type="dxa"/>
                  <w:gridSpan w:val="2"/>
                  <w:vMerge w:val="continue"/>
                  <w:vAlign w:val="center"/>
                </w:tcPr>
                <w:p w14:paraId="54229B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751" w:type="dxa"/>
                  <w:vMerge w:val="continue"/>
                  <w:vAlign w:val="center"/>
                </w:tcPr>
                <w:p w14:paraId="68BED8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732" w:type="dxa"/>
                  <w:vMerge w:val="continue"/>
                  <w:vAlign w:val="center"/>
                </w:tcPr>
                <w:p w14:paraId="7FFDD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858" w:type="dxa"/>
                  <w:tcBorders>
                    <w:top w:val="single" w:color="000000" w:sz="4" w:space="0"/>
                  </w:tcBorders>
                  <w:shd w:val="clear" w:color="auto" w:fill="auto"/>
                  <w:vAlign w:val="center"/>
                </w:tcPr>
                <w:p w14:paraId="625551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非甲烷总烃</w:t>
                  </w:r>
                </w:p>
              </w:tc>
              <w:tc>
                <w:tcPr>
                  <w:tcW w:w="642" w:type="dxa"/>
                  <w:tcBorders>
                    <w:top w:val="single" w:color="000000" w:sz="4" w:space="0"/>
                  </w:tcBorders>
                  <w:shd w:val="clear" w:color="auto" w:fill="auto"/>
                  <w:vAlign w:val="center"/>
                </w:tcPr>
                <w:p w14:paraId="2B765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二甲苯</w:t>
                  </w:r>
                </w:p>
              </w:tc>
              <w:tc>
                <w:tcPr>
                  <w:tcW w:w="1219" w:type="dxa"/>
                  <w:vMerge w:val="continue"/>
                  <w:vAlign w:val="center"/>
                </w:tcPr>
                <w:p w14:paraId="7A6A3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031" w:type="dxa"/>
                  <w:tcBorders>
                    <w:top w:val="single" w:color="000000" w:sz="4" w:space="0"/>
                  </w:tcBorders>
                  <w:vAlign w:val="center"/>
                </w:tcPr>
                <w:p w14:paraId="65BA65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非甲烷总烃</w:t>
                  </w:r>
                </w:p>
              </w:tc>
              <w:tc>
                <w:tcPr>
                  <w:tcW w:w="1164" w:type="dxa"/>
                  <w:tcBorders>
                    <w:top w:val="single" w:color="000000" w:sz="4" w:space="0"/>
                  </w:tcBorders>
                  <w:vAlign w:val="center"/>
                </w:tcPr>
                <w:p w14:paraId="76EF1B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二甲苯</w:t>
                  </w:r>
                </w:p>
              </w:tc>
            </w:tr>
            <w:tr w14:paraId="15EE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Merge w:val="restart"/>
                  <w:vAlign w:val="center"/>
                </w:tcPr>
                <w:p w14:paraId="5E5E8E8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油性漆</w:t>
                  </w:r>
                </w:p>
              </w:tc>
              <w:tc>
                <w:tcPr>
                  <w:tcW w:w="923" w:type="dxa"/>
                  <w:vAlign w:val="center"/>
                </w:tcPr>
                <w:p w14:paraId="0F925B31">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油性漆</w:t>
                  </w:r>
                </w:p>
              </w:tc>
              <w:tc>
                <w:tcPr>
                  <w:tcW w:w="751" w:type="dxa"/>
                  <w:vAlign w:val="center"/>
                </w:tcPr>
                <w:p w14:paraId="69164D4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1.4</w:t>
                  </w:r>
                </w:p>
              </w:tc>
              <w:tc>
                <w:tcPr>
                  <w:tcW w:w="732" w:type="dxa"/>
                  <w:vMerge w:val="restart"/>
                  <w:vAlign w:val="center"/>
                </w:tcPr>
                <w:p w14:paraId="0457CA9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80</w:t>
                  </w:r>
                </w:p>
              </w:tc>
              <w:tc>
                <w:tcPr>
                  <w:tcW w:w="858" w:type="dxa"/>
                  <w:vMerge w:val="restart"/>
                  <w:vAlign w:val="center"/>
                </w:tcPr>
                <w:p w14:paraId="63F6007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642" w:type="dxa"/>
                  <w:vMerge w:val="restart"/>
                  <w:vAlign w:val="center"/>
                </w:tcPr>
                <w:p w14:paraId="7128439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17.3</w:t>
                  </w:r>
                </w:p>
              </w:tc>
              <w:tc>
                <w:tcPr>
                  <w:tcW w:w="1219" w:type="dxa"/>
                  <w:vMerge w:val="restart"/>
                  <w:vAlign w:val="center"/>
                </w:tcPr>
                <w:p w14:paraId="138D467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82.7</w:t>
                  </w:r>
                </w:p>
              </w:tc>
              <w:tc>
                <w:tcPr>
                  <w:tcW w:w="1031" w:type="dxa"/>
                  <w:vMerge w:val="restart"/>
                  <w:vAlign w:val="center"/>
                </w:tcPr>
                <w:p w14:paraId="0785434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164" w:type="dxa"/>
                  <w:vMerge w:val="restart"/>
                  <w:vAlign w:val="center"/>
                </w:tcPr>
                <w:p w14:paraId="489FBDA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0.329</w:t>
                  </w:r>
                </w:p>
              </w:tc>
            </w:tr>
            <w:tr w14:paraId="417F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Merge w:val="continue"/>
                  <w:vAlign w:val="center"/>
                </w:tcPr>
                <w:p w14:paraId="34A3B6E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923" w:type="dxa"/>
                  <w:vAlign w:val="center"/>
                </w:tcPr>
                <w:p w14:paraId="465DDC2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稀释剂</w:t>
                  </w:r>
                </w:p>
              </w:tc>
              <w:tc>
                <w:tcPr>
                  <w:tcW w:w="751" w:type="dxa"/>
                  <w:vAlign w:val="center"/>
                </w:tcPr>
                <w:p w14:paraId="2598CC3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0.2</w:t>
                  </w:r>
                </w:p>
              </w:tc>
              <w:tc>
                <w:tcPr>
                  <w:tcW w:w="732" w:type="dxa"/>
                  <w:vMerge w:val="continue"/>
                  <w:vAlign w:val="center"/>
                </w:tcPr>
                <w:p w14:paraId="5151A10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858" w:type="dxa"/>
                  <w:vMerge w:val="continue"/>
                  <w:vAlign w:val="center"/>
                </w:tcPr>
                <w:p w14:paraId="2B1AC7B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642" w:type="dxa"/>
                  <w:vMerge w:val="continue"/>
                  <w:vAlign w:val="center"/>
                </w:tcPr>
                <w:p w14:paraId="228F3A0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219" w:type="dxa"/>
                  <w:vMerge w:val="continue"/>
                  <w:vAlign w:val="center"/>
                </w:tcPr>
                <w:p w14:paraId="56D854C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031" w:type="dxa"/>
                  <w:vMerge w:val="continue"/>
                  <w:vAlign w:val="center"/>
                </w:tcPr>
                <w:p w14:paraId="4801706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164" w:type="dxa"/>
                  <w:vMerge w:val="continue"/>
                  <w:vAlign w:val="center"/>
                </w:tcPr>
                <w:p w14:paraId="12C1073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r>
            <w:tr w14:paraId="6B4A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Merge w:val="continue"/>
                  <w:vAlign w:val="center"/>
                </w:tcPr>
                <w:p w14:paraId="2A492AE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923" w:type="dxa"/>
                  <w:vAlign w:val="center"/>
                </w:tcPr>
                <w:p w14:paraId="09BF7A1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固化剂</w:t>
                  </w:r>
                </w:p>
              </w:tc>
              <w:tc>
                <w:tcPr>
                  <w:tcW w:w="751" w:type="dxa"/>
                  <w:vAlign w:val="center"/>
                </w:tcPr>
                <w:p w14:paraId="4C8EB71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0.3</w:t>
                  </w:r>
                </w:p>
              </w:tc>
              <w:tc>
                <w:tcPr>
                  <w:tcW w:w="732" w:type="dxa"/>
                  <w:vMerge w:val="continue"/>
                  <w:vAlign w:val="center"/>
                </w:tcPr>
                <w:p w14:paraId="3D731B3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858" w:type="dxa"/>
                  <w:vMerge w:val="continue"/>
                  <w:vAlign w:val="center"/>
                </w:tcPr>
                <w:p w14:paraId="4734A6A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642" w:type="dxa"/>
                  <w:vMerge w:val="continue"/>
                  <w:vAlign w:val="center"/>
                </w:tcPr>
                <w:p w14:paraId="0A03700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219" w:type="dxa"/>
                  <w:vMerge w:val="continue"/>
                  <w:vAlign w:val="center"/>
                </w:tcPr>
                <w:p w14:paraId="140DD2E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031" w:type="dxa"/>
                  <w:vMerge w:val="continue"/>
                  <w:vAlign w:val="center"/>
                </w:tcPr>
                <w:p w14:paraId="7624F18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164" w:type="dxa"/>
                  <w:vMerge w:val="continue"/>
                  <w:vAlign w:val="center"/>
                </w:tcPr>
                <w:p w14:paraId="70CA614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r>
            <w:tr w14:paraId="0845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Merge w:val="restart"/>
                  <w:vAlign w:val="center"/>
                </w:tcPr>
                <w:p w14:paraId="6759C08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水性漆</w:t>
                  </w:r>
                </w:p>
              </w:tc>
              <w:tc>
                <w:tcPr>
                  <w:tcW w:w="923" w:type="dxa"/>
                  <w:vAlign w:val="center"/>
                </w:tcPr>
                <w:p w14:paraId="2A2833A3">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水性漆</w:t>
                  </w:r>
                </w:p>
              </w:tc>
              <w:tc>
                <w:tcPr>
                  <w:tcW w:w="751" w:type="dxa"/>
                  <w:vAlign w:val="center"/>
                </w:tcPr>
                <w:p w14:paraId="30173CA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w:t>
                  </w:r>
                </w:p>
              </w:tc>
              <w:tc>
                <w:tcPr>
                  <w:tcW w:w="732" w:type="dxa"/>
                  <w:vMerge w:val="restart"/>
                  <w:vAlign w:val="center"/>
                </w:tcPr>
                <w:p w14:paraId="28AB365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60</w:t>
                  </w:r>
                </w:p>
              </w:tc>
              <w:tc>
                <w:tcPr>
                  <w:tcW w:w="858" w:type="dxa"/>
                  <w:vMerge w:val="restart"/>
                  <w:vAlign w:val="center"/>
                </w:tcPr>
                <w:p w14:paraId="29BAD01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23.63</w:t>
                  </w:r>
                </w:p>
              </w:tc>
              <w:tc>
                <w:tcPr>
                  <w:tcW w:w="642" w:type="dxa"/>
                  <w:vMerge w:val="restart"/>
                  <w:vAlign w:val="center"/>
                </w:tcPr>
                <w:p w14:paraId="6092284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219" w:type="dxa"/>
                  <w:vMerge w:val="restart"/>
                  <w:vAlign w:val="center"/>
                </w:tcPr>
                <w:p w14:paraId="5BA9B45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76.36</w:t>
                  </w:r>
                </w:p>
              </w:tc>
              <w:tc>
                <w:tcPr>
                  <w:tcW w:w="1031" w:type="dxa"/>
                  <w:vMerge w:val="restart"/>
                  <w:vAlign w:val="center"/>
                </w:tcPr>
                <w:p w14:paraId="2D1B540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0.260</w:t>
                  </w:r>
                </w:p>
              </w:tc>
              <w:tc>
                <w:tcPr>
                  <w:tcW w:w="1164" w:type="dxa"/>
                  <w:vMerge w:val="restart"/>
                  <w:vAlign w:val="center"/>
                </w:tcPr>
                <w:p w14:paraId="7CFBF29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r>
            <w:tr w14:paraId="73F9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vMerge w:val="continue"/>
                  <w:vAlign w:val="center"/>
                </w:tcPr>
                <w:p w14:paraId="3B85C11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923" w:type="dxa"/>
                  <w:vAlign w:val="center"/>
                </w:tcPr>
                <w:p w14:paraId="5090E76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固化剂</w:t>
                  </w:r>
                </w:p>
              </w:tc>
              <w:tc>
                <w:tcPr>
                  <w:tcW w:w="751" w:type="dxa"/>
                  <w:vAlign w:val="center"/>
                </w:tcPr>
                <w:p w14:paraId="3FFF722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0.1</w:t>
                  </w:r>
                </w:p>
              </w:tc>
              <w:tc>
                <w:tcPr>
                  <w:tcW w:w="732" w:type="dxa"/>
                  <w:vMerge w:val="continue"/>
                  <w:vAlign w:val="center"/>
                </w:tcPr>
                <w:p w14:paraId="52227B6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858" w:type="dxa"/>
                  <w:vMerge w:val="continue"/>
                  <w:vAlign w:val="center"/>
                </w:tcPr>
                <w:p w14:paraId="16A0385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642" w:type="dxa"/>
                  <w:vMerge w:val="continue"/>
                  <w:vAlign w:val="center"/>
                </w:tcPr>
                <w:p w14:paraId="3B78CD3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219" w:type="dxa"/>
                  <w:vMerge w:val="continue"/>
                  <w:vAlign w:val="center"/>
                </w:tcPr>
                <w:p w14:paraId="14018BD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031" w:type="dxa"/>
                  <w:vMerge w:val="continue"/>
                  <w:vAlign w:val="center"/>
                </w:tcPr>
                <w:p w14:paraId="0FC7C7C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164" w:type="dxa"/>
                  <w:vMerge w:val="continue"/>
                  <w:vAlign w:val="center"/>
                </w:tcPr>
                <w:p w14:paraId="292EFD0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r>
            <w:tr w14:paraId="004C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9" w:type="dxa"/>
                  <w:gridSpan w:val="7"/>
                  <w:vAlign w:val="center"/>
                </w:tcPr>
                <w:p w14:paraId="5B1A30A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合计</w:t>
                  </w:r>
                </w:p>
              </w:tc>
              <w:tc>
                <w:tcPr>
                  <w:tcW w:w="1031" w:type="dxa"/>
                  <w:vAlign w:val="center"/>
                </w:tcPr>
                <w:p w14:paraId="7EA8174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0.260</w:t>
                  </w:r>
                </w:p>
              </w:tc>
              <w:tc>
                <w:tcPr>
                  <w:tcW w:w="1164" w:type="dxa"/>
                  <w:vAlign w:val="center"/>
                </w:tcPr>
                <w:p w14:paraId="0B631AF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0.329</w:t>
                  </w:r>
                </w:p>
              </w:tc>
            </w:tr>
          </w:tbl>
          <w:p w14:paraId="767147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000000" w:themeColor="text1"/>
                <w:sz w:val="24"/>
                <w:szCs w:val="24"/>
                <w:u w:val="single"/>
                <w:lang w:val="en-US" w:eastAsia="zh-CN"/>
                <w14:textFill>
                  <w14:solidFill>
                    <w14:schemeClr w14:val="tx1"/>
                  </w14:solidFill>
                </w14:textFill>
              </w:rPr>
            </w:pPr>
            <w:r>
              <w:rPr>
                <w:rFonts w:hint="eastAsia" w:cs="Times New Roman"/>
                <w:b w:val="0"/>
                <w:bCs w:val="0"/>
                <w:color w:val="000000" w:themeColor="text1"/>
                <w:sz w:val="24"/>
                <w:szCs w:val="24"/>
                <w:u w:val="single"/>
                <w:lang w:val="en-US" w:eastAsia="zh-CN"/>
                <w14:textFill>
                  <w14:solidFill>
                    <w14:schemeClr w14:val="tx1"/>
                  </w14:solidFill>
                </w14:textFill>
              </w:rPr>
              <w:t>（2）物料衡算分析</w:t>
            </w:r>
          </w:p>
          <w:p w14:paraId="0A0423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本项目</w:t>
            </w:r>
            <w:r>
              <w:rPr>
                <w:rFonts w:hint="eastAsia" w:cs="Times New Roman"/>
                <w:b w:val="0"/>
                <w:bCs w:val="0"/>
                <w:color w:val="000000" w:themeColor="text1"/>
                <w:sz w:val="24"/>
                <w:szCs w:val="24"/>
                <w:u w:val="single"/>
                <w:lang w:val="en-US" w:eastAsia="zh-CN"/>
                <w14:textFill>
                  <w14:solidFill>
                    <w14:schemeClr w14:val="tx1"/>
                  </w14:solidFill>
                </w14:textFill>
              </w:rPr>
              <w:t>物料平衡情况</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详见下表2-1</w:t>
            </w:r>
            <w:r>
              <w:rPr>
                <w:rFonts w:hint="eastAsia" w:cs="Times New Roman"/>
                <w:b w:val="0"/>
                <w:bCs w:val="0"/>
                <w:color w:val="000000" w:themeColor="text1"/>
                <w:sz w:val="24"/>
                <w:szCs w:val="24"/>
                <w:u w:val="singl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w:t>
            </w:r>
            <w:r>
              <w:rPr>
                <w:rFonts w:hint="eastAsia" w:cs="Times New Roman"/>
                <w:b w:val="0"/>
                <w:bCs w:val="0"/>
                <w:color w:val="000000" w:themeColor="text1"/>
                <w:sz w:val="24"/>
                <w:szCs w:val="24"/>
                <w:u w:val="single"/>
                <w:lang w:val="en-US" w:eastAsia="zh-CN"/>
                <w14:textFill>
                  <w14:solidFill>
                    <w14:schemeClr w14:val="tx1"/>
                  </w14:solidFill>
                </w14:textFill>
              </w:rPr>
              <w:t>物料平衡图详见图2-1。</w:t>
            </w:r>
          </w:p>
          <w:p w14:paraId="6346ED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表2-16 项目物料平衡一览表</w:t>
            </w:r>
          </w:p>
          <w:tbl>
            <w:tblPr>
              <w:tblStyle w:val="8"/>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248"/>
              <w:gridCol w:w="1389"/>
              <w:gridCol w:w="890"/>
              <w:gridCol w:w="1367"/>
              <w:gridCol w:w="1367"/>
            </w:tblGrid>
            <w:tr w14:paraId="0955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gridSpan w:val="4"/>
                  <w:vAlign w:val="center"/>
                </w:tcPr>
                <w:p w14:paraId="2E9C4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665408" behindDoc="0" locked="0" layoutInCell="1" allowOverlap="1">
                            <wp:simplePos x="0" y="0"/>
                            <wp:positionH relativeFrom="column">
                              <wp:posOffset>18415</wp:posOffset>
                            </wp:positionH>
                            <wp:positionV relativeFrom="paragraph">
                              <wp:posOffset>38735</wp:posOffset>
                            </wp:positionV>
                            <wp:extent cx="5084445" cy="7183755"/>
                            <wp:effectExtent l="6350" t="6350" r="14605" b="10795"/>
                            <wp:wrapNone/>
                            <wp:docPr id="54" name="矩形 54"/>
                            <wp:cNvGraphicFramePr/>
                            <a:graphic xmlns:a="http://schemas.openxmlformats.org/drawingml/2006/main">
                              <a:graphicData uri="http://schemas.microsoft.com/office/word/2010/wordprocessingShape">
                                <wps:wsp>
                                  <wps:cNvSpPr/>
                                  <wps:spPr>
                                    <a:xfrm>
                                      <a:off x="1451610" y="2127250"/>
                                      <a:ext cx="5084445" cy="7183755"/>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pt;margin-top:3.05pt;height:565.65pt;width:400.35pt;z-index:251665408;v-text-anchor:middle;mso-width-relative:page;mso-height-relative:page;" fillcolor="#000000 [3213]" filled="t" stroked="t" coordsize="21600,21600" o:gfxdata="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R2c6nXAAAA&#10;CAEAAA8AAAAAAAAAAQAgAAAAIgAAAGRycy9kb3ducmV2LnhtbFBLAQIUABQAAAAIAIdO4kA7qLFd&#10;kAIAACUFAAAOAAAAAAAAAAEAIAAAACYBAABkcnMvZTJvRG9jLnhtbFBLBQYAAAAABgAGAFkBAAAo&#10;BgAAAAA=&#10;">
                            <v:fill on="t" focussize="0,0"/>
                            <v:stroke weight="1pt" color="#2E54A1 [2404]" miterlimit="8" joinstyle="miter"/>
                            <v:imagedata o:title=""/>
                            <o:lock v:ext="edit" aspectratio="f"/>
                          </v:rect>
                        </w:pict>
                      </mc:Fallback>
                    </mc:AlternateConten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投入</w:t>
                  </w:r>
                </w:p>
              </w:tc>
              <w:tc>
                <w:tcPr>
                  <w:tcW w:w="2734" w:type="dxa"/>
                  <w:gridSpan w:val="2"/>
                  <w:vAlign w:val="center"/>
                </w:tcPr>
                <w:p w14:paraId="003A17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产出</w:t>
                  </w:r>
                </w:p>
              </w:tc>
            </w:tr>
            <w:tr w14:paraId="1077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shd w:val="clear" w:color="auto" w:fill="auto"/>
                  <w:vAlign w:val="center"/>
                </w:tcPr>
                <w:p w14:paraId="26AC5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物料</w:t>
                  </w:r>
                </w:p>
              </w:tc>
              <w:tc>
                <w:tcPr>
                  <w:tcW w:w="1248" w:type="dxa"/>
                  <w:shd w:val="clear" w:color="auto" w:fill="auto"/>
                  <w:vAlign w:val="center"/>
                </w:tcPr>
                <w:p w14:paraId="1A3E7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用量（t/a）</w:t>
                  </w:r>
                </w:p>
              </w:tc>
              <w:tc>
                <w:tcPr>
                  <w:tcW w:w="1389" w:type="dxa"/>
                  <w:shd w:val="clear" w:color="auto" w:fill="auto"/>
                  <w:vAlign w:val="center"/>
                </w:tcPr>
                <w:p w14:paraId="507EB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可挥发性物比例</w:t>
                  </w:r>
                </w:p>
              </w:tc>
              <w:tc>
                <w:tcPr>
                  <w:tcW w:w="890" w:type="dxa"/>
                  <w:shd w:val="clear" w:color="auto" w:fill="auto"/>
                  <w:vAlign w:val="center"/>
                </w:tcPr>
                <w:p w14:paraId="028302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产生量（t/a）</w:t>
                  </w:r>
                </w:p>
              </w:tc>
              <w:tc>
                <w:tcPr>
                  <w:tcW w:w="1367" w:type="dxa"/>
                  <w:shd w:val="clear" w:color="auto" w:fill="auto"/>
                  <w:vAlign w:val="center"/>
                </w:tcPr>
                <w:p w14:paraId="61BE65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名称</w:t>
                  </w:r>
                </w:p>
              </w:tc>
              <w:tc>
                <w:tcPr>
                  <w:tcW w:w="1367" w:type="dxa"/>
                  <w:shd w:val="clear" w:color="auto" w:fill="auto"/>
                  <w:vAlign w:val="center"/>
                </w:tcPr>
                <w:p w14:paraId="16566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含量（t/a）</w:t>
                  </w:r>
                </w:p>
              </w:tc>
            </w:tr>
            <w:tr w14:paraId="5348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39" w:type="dxa"/>
                  <w:vMerge w:val="restart"/>
                  <w:vAlign w:val="center"/>
                </w:tcPr>
                <w:p w14:paraId="200F7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水性漆</w:t>
                  </w:r>
                </w:p>
                <w:p w14:paraId="2CC40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（水性漆+固化剂）</w:t>
                  </w:r>
                </w:p>
              </w:tc>
              <w:tc>
                <w:tcPr>
                  <w:tcW w:w="1248" w:type="dxa"/>
                  <w:vMerge w:val="restart"/>
                  <w:vAlign w:val="center"/>
                </w:tcPr>
                <w:p w14:paraId="77E0AD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1.1</w:t>
                  </w:r>
                </w:p>
              </w:tc>
              <w:tc>
                <w:tcPr>
                  <w:tcW w:w="1389" w:type="dxa"/>
                  <w:vMerge w:val="restart"/>
                  <w:vAlign w:val="center"/>
                </w:tcPr>
                <w:p w14:paraId="22E762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23.63%</w:t>
                  </w:r>
                </w:p>
              </w:tc>
              <w:tc>
                <w:tcPr>
                  <w:tcW w:w="890" w:type="dxa"/>
                  <w:vMerge w:val="restart"/>
                  <w:vAlign w:val="center"/>
                </w:tcPr>
                <w:p w14:paraId="7AD823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0.260</w:t>
                  </w:r>
                </w:p>
              </w:tc>
              <w:tc>
                <w:tcPr>
                  <w:tcW w:w="1367" w:type="dxa"/>
                  <w:vAlign w:val="center"/>
                </w:tcPr>
                <w:p w14:paraId="66E2F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废气有组织排放</w:t>
                  </w:r>
                </w:p>
              </w:tc>
              <w:tc>
                <w:tcPr>
                  <w:tcW w:w="1367" w:type="dxa"/>
                  <w:vAlign w:val="center"/>
                </w:tcPr>
                <w:p w14:paraId="5DBD3E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0.023</w:t>
                  </w:r>
                </w:p>
              </w:tc>
            </w:tr>
            <w:tr w14:paraId="15BE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vMerge w:val="continue"/>
                  <w:vAlign w:val="center"/>
                </w:tcPr>
                <w:p w14:paraId="432BC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248" w:type="dxa"/>
                  <w:vMerge w:val="continue"/>
                  <w:vAlign w:val="center"/>
                </w:tcPr>
                <w:p w14:paraId="0CC45D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389" w:type="dxa"/>
                  <w:vMerge w:val="continue"/>
                  <w:vAlign w:val="center"/>
                </w:tcPr>
                <w:p w14:paraId="2DBEE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890" w:type="dxa"/>
                  <w:vMerge w:val="continue"/>
                  <w:vAlign w:val="center"/>
                </w:tcPr>
                <w:p w14:paraId="77A19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367" w:type="dxa"/>
                  <w:vAlign w:val="center"/>
                </w:tcPr>
                <w:p w14:paraId="2AB926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废气无组织排放</w:t>
                  </w:r>
                </w:p>
              </w:tc>
              <w:tc>
                <w:tcPr>
                  <w:tcW w:w="1367" w:type="dxa"/>
                  <w:vAlign w:val="center"/>
                </w:tcPr>
                <w:p w14:paraId="683655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0.026</w:t>
                  </w:r>
                </w:p>
              </w:tc>
            </w:tr>
            <w:tr w14:paraId="4B77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vMerge w:val="continue"/>
                  <w:vAlign w:val="center"/>
                </w:tcPr>
                <w:p w14:paraId="28ACDC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248" w:type="dxa"/>
                  <w:vMerge w:val="continue"/>
                  <w:vAlign w:val="center"/>
                </w:tcPr>
                <w:p w14:paraId="3D572C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389" w:type="dxa"/>
                  <w:vMerge w:val="continue"/>
                  <w:vAlign w:val="center"/>
                </w:tcPr>
                <w:p w14:paraId="66737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890" w:type="dxa"/>
                  <w:vMerge w:val="continue"/>
                  <w:vAlign w:val="center"/>
                </w:tcPr>
                <w:p w14:paraId="16873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367" w:type="dxa"/>
                  <w:vAlign w:val="center"/>
                </w:tcPr>
                <w:p w14:paraId="7BFA4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废气治理设施处理掉</w:t>
                  </w:r>
                </w:p>
              </w:tc>
              <w:tc>
                <w:tcPr>
                  <w:tcW w:w="1367" w:type="dxa"/>
                  <w:vAlign w:val="center"/>
                </w:tcPr>
                <w:p w14:paraId="43142C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0.211</w:t>
                  </w:r>
                </w:p>
              </w:tc>
            </w:tr>
            <w:tr w14:paraId="5092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vMerge w:val="restart"/>
                  <w:vAlign w:val="center"/>
                </w:tcPr>
                <w:p w14:paraId="3C0113F4">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油性漆（油性漆+稀释剂+固化剂）</w:t>
                  </w:r>
                </w:p>
              </w:tc>
              <w:tc>
                <w:tcPr>
                  <w:tcW w:w="1248" w:type="dxa"/>
                  <w:vMerge w:val="restart"/>
                  <w:vAlign w:val="center"/>
                </w:tcPr>
                <w:p w14:paraId="061F6D53">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1.9</w:t>
                  </w:r>
                </w:p>
              </w:tc>
              <w:tc>
                <w:tcPr>
                  <w:tcW w:w="1389" w:type="dxa"/>
                  <w:vMerge w:val="restart"/>
                  <w:vAlign w:val="center"/>
                </w:tcPr>
                <w:p w14:paraId="62E5D884">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17.3%</w:t>
                  </w:r>
                </w:p>
              </w:tc>
              <w:tc>
                <w:tcPr>
                  <w:tcW w:w="890" w:type="dxa"/>
                  <w:vMerge w:val="restart"/>
                  <w:vAlign w:val="center"/>
                </w:tcPr>
                <w:p w14:paraId="7D71944C">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0.329</w:t>
                  </w:r>
                </w:p>
              </w:tc>
              <w:tc>
                <w:tcPr>
                  <w:tcW w:w="1367" w:type="dxa"/>
                  <w:vAlign w:val="center"/>
                </w:tcPr>
                <w:p w14:paraId="3FFC45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废气有组织排放</w:t>
                  </w:r>
                </w:p>
              </w:tc>
              <w:tc>
                <w:tcPr>
                  <w:tcW w:w="1367" w:type="dxa"/>
                  <w:vAlign w:val="center"/>
                </w:tcPr>
                <w:p w14:paraId="08AA20B4">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0.030</w:t>
                  </w:r>
                </w:p>
              </w:tc>
            </w:tr>
            <w:tr w14:paraId="4243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vMerge w:val="continue"/>
                  <w:vAlign w:val="center"/>
                </w:tcPr>
                <w:p w14:paraId="5F60F0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248" w:type="dxa"/>
                  <w:vMerge w:val="continue"/>
                  <w:vAlign w:val="center"/>
                </w:tcPr>
                <w:p w14:paraId="7ABAC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389" w:type="dxa"/>
                  <w:vMerge w:val="continue"/>
                  <w:vAlign w:val="center"/>
                </w:tcPr>
                <w:p w14:paraId="32FA0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890" w:type="dxa"/>
                  <w:vMerge w:val="continue"/>
                  <w:vAlign w:val="center"/>
                </w:tcPr>
                <w:p w14:paraId="03D4F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367" w:type="dxa"/>
                  <w:vAlign w:val="center"/>
                </w:tcPr>
                <w:p w14:paraId="759A5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废气无组织排放</w:t>
                  </w:r>
                </w:p>
              </w:tc>
              <w:tc>
                <w:tcPr>
                  <w:tcW w:w="1367" w:type="dxa"/>
                  <w:vAlign w:val="center"/>
                </w:tcPr>
                <w:p w14:paraId="2149E4AA">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0.033</w:t>
                  </w:r>
                </w:p>
              </w:tc>
            </w:tr>
            <w:tr w14:paraId="3C6F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vMerge w:val="continue"/>
                  <w:vAlign w:val="center"/>
                </w:tcPr>
                <w:p w14:paraId="63F4F1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248" w:type="dxa"/>
                  <w:vMerge w:val="continue"/>
                  <w:vAlign w:val="center"/>
                </w:tcPr>
                <w:p w14:paraId="33A4F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389" w:type="dxa"/>
                  <w:vMerge w:val="continue"/>
                  <w:vAlign w:val="center"/>
                </w:tcPr>
                <w:p w14:paraId="570E7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890" w:type="dxa"/>
                  <w:vMerge w:val="continue"/>
                  <w:vAlign w:val="center"/>
                </w:tcPr>
                <w:p w14:paraId="142D3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367" w:type="dxa"/>
                  <w:vAlign w:val="center"/>
                </w:tcPr>
                <w:p w14:paraId="2A31DA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废气治理设施处理掉</w:t>
                  </w:r>
                </w:p>
              </w:tc>
              <w:tc>
                <w:tcPr>
                  <w:tcW w:w="1367" w:type="dxa"/>
                  <w:vAlign w:val="center"/>
                </w:tcPr>
                <w:p w14:paraId="1F14F036">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0.266</w:t>
                  </w:r>
                </w:p>
              </w:tc>
            </w:tr>
            <w:tr w14:paraId="0937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gridSpan w:val="3"/>
                  <w:vAlign w:val="center"/>
                </w:tcPr>
                <w:p w14:paraId="159C08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合计</w:t>
                  </w:r>
                </w:p>
              </w:tc>
              <w:tc>
                <w:tcPr>
                  <w:tcW w:w="890" w:type="dxa"/>
                  <w:vAlign w:val="center"/>
                </w:tcPr>
                <w:p w14:paraId="4126E2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0.589</w:t>
                  </w:r>
                </w:p>
              </w:tc>
              <w:tc>
                <w:tcPr>
                  <w:tcW w:w="1367" w:type="dxa"/>
                  <w:vAlign w:val="center"/>
                </w:tcPr>
                <w:p w14:paraId="211E40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合计</w:t>
                  </w:r>
                </w:p>
              </w:tc>
              <w:tc>
                <w:tcPr>
                  <w:tcW w:w="1367" w:type="dxa"/>
                  <w:vAlign w:val="center"/>
                </w:tcPr>
                <w:p w14:paraId="4437710F">
                  <w:pPr>
                    <w:bidi w:val="0"/>
                    <w:spacing w:line="240" w:lineRule="auto"/>
                    <w:ind w:firstLine="0" w:firstLineChars="0"/>
                    <w:jc w:val="cente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0.589</w:t>
                  </w:r>
                </w:p>
              </w:tc>
            </w:tr>
          </w:tbl>
          <w:p w14:paraId="0888B83D">
            <w:pPr>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206365" cy="3843020"/>
                  <wp:effectExtent l="0" t="0" r="0"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8"/>
                          <a:srcRect b="3784"/>
                          <a:stretch>
                            <a:fillRect/>
                          </a:stretch>
                        </pic:blipFill>
                        <pic:spPr>
                          <a:xfrm>
                            <a:off x="0" y="0"/>
                            <a:ext cx="5206365" cy="3843020"/>
                          </a:xfrm>
                          <a:prstGeom prst="rect">
                            <a:avLst/>
                          </a:prstGeom>
                        </pic:spPr>
                      </pic:pic>
                    </a:graphicData>
                  </a:graphic>
                </wp:inline>
              </w:drawing>
            </w:r>
          </w:p>
          <w:p w14:paraId="184BD1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图2-1 本项目物料平衡图</w:t>
            </w:r>
          </w:p>
          <w:p w14:paraId="24D1D8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5.劳动定员和工作制度</w:t>
            </w:r>
          </w:p>
          <w:p w14:paraId="6351A5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表2-1</w:t>
            </w:r>
            <w:r>
              <w:rPr>
                <w:rFonts w:hint="eastAsia" w:eastAsia="黑体"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 xml:space="preserve"> 劳动定员与工作制度一览表</w:t>
            </w:r>
          </w:p>
          <w:tbl>
            <w:tblPr>
              <w:tblStyle w:val="8"/>
              <w:tblW w:w="8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117"/>
              <w:gridCol w:w="2496"/>
              <w:gridCol w:w="1404"/>
              <w:gridCol w:w="2446"/>
            </w:tblGrid>
            <w:tr w14:paraId="7056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restart"/>
                  <w:noWrap w:val="0"/>
                  <w:vAlign w:val="center"/>
                </w:tcPr>
                <w:p w14:paraId="0D4643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序号</w:t>
                  </w:r>
                </w:p>
              </w:tc>
              <w:tc>
                <w:tcPr>
                  <w:tcW w:w="1117" w:type="dxa"/>
                  <w:vMerge w:val="restart"/>
                  <w:noWrap w:val="0"/>
                  <w:vAlign w:val="center"/>
                </w:tcPr>
                <w:p w14:paraId="45FB43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类别</w:t>
                  </w:r>
                </w:p>
              </w:tc>
              <w:tc>
                <w:tcPr>
                  <w:tcW w:w="6346" w:type="dxa"/>
                  <w:gridSpan w:val="3"/>
                  <w:noWrap w:val="0"/>
                  <w:vAlign w:val="center"/>
                </w:tcPr>
                <w:p w14:paraId="42F264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内容</w:t>
                  </w:r>
                </w:p>
              </w:tc>
            </w:tr>
            <w:tr w14:paraId="7350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noWrap w:val="0"/>
                  <w:vAlign w:val="center"/>
                </w:tcPr>
                <w:p w14:paraId="4036A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1117" w:type="dxa"/>
                  <w:vMerge w:val="continue"/>
                  <w:noWrap w:val="0"/>
                  <w:vAlign w:val="center"/>
                </w:tcPr>
                <w:p w14:paraId="5BD117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2496" w:type="dxa"/>
                  <w:tcBorders>
                    <w:right w:val="single" w:color="000000" w:sz="4" w:space="0"/>
                  </w:tcBorders>
                  <w:noWrap w:val="0"/>
                  <w:vAlign w:val="center"/>
                </w:tcPr>
                <w:p w14:paraId="16E041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现有项目</w:t>
                  </w:r>
                </w:p>
                <w:p w14:paraId="548EB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（扩建前）</w:t>
                  </w:r>
                </w:p>
              </w:tc>
              <w:tc>
                <w:tcPr>
                  <w:tcW w:w="1404" w:type="dxa"/>
                  <w:tcBorders>
                    <w:left w:val="single" w:color="000000" w:sz="4" w:space="0"/>
                    <w:right w:val="single" w:color="000000" w:sz="4" w:space="0"/>
                  </w:tcBorders>
                  <w:noWrap w:val="0"/>
                  <w:vAlign w:val="center"/>
                </w:tcPr>
                <w:p w14:paraId="70DEB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本项目</w:t>
                  </w:r>
                </w:p>
                <w:p w14:paraId="36EDBE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eastAsia" w:eastAsia="黑体" w:cs="Times New Roman"/>
                      <w:b w:val="0"/>
                      <w:bCs w:val="0"/>
                      <w:color w:val="000000" w:themeColor="text1"/>
                      <w:sz w:val="21"/>
                      <w:szCs w:val="21"/>
                      <w:vertAlign w:val="baseline"/>
                      <w:lang w:val="en-US" w:eastAsia="zh-CN"/>
                      <w14:textFill>
                        <w14:solidFill>
                          <w14:schemeClr w14:val="tx1"/>
                        </w14:solidFill>
                      </w14:textFill>
                    </w:rPr>
                    <w:t>（扩建项目）</w:t>
                  </w:r>
                </w:p>
              </w:tc>
              <w:tc>
                <w:tcPr>
                  <w:tcW w:w="2446" w:type="dxa"/>
                  <w:tcBorders>
                    <w:left w:val="single" w:color="000000" w:sz="4" w:space="0"/>
                  </w:tcBorders>
                  <w:noWrap w:val="0"/>
                  <w:vAlign w:val="center"/>
                </w:tcPr>
                <w:p w14:paraId="32EB9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总体项目</w:t>
                  </w:r>
                </w:p>
                <w:p w14:paraId="25A9C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（扩建后）</w:t>
                  </w:r>
                </w:p>
              </w:tc>
            </w:tr>
            <w:tr w14:paraId="508D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14:paraId="4EBC9B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1117" w:type="dxa"/>
                  <w:noWrap w:val="0"/>
                  <w:vAlign w:val="top"/>
                </w:tcPr>
                <w:p w14:paraId="2BE192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劳动定员</w:t>
                  </w:r>
                </w:p>
              </w:tc>
              <w:tc>
                <w:tcPr>
                  <w:tcW w:w="2496" w:type="dxa"/>
                  <w:tcBorders>
                    <w:right w:val="single" w:color="000000" w:sz="4" w:space="0"/>
                  </w:tcBorders>
                  <w:noWrap w:val="0"/>
                  <w:vAlign w:val="top"/>
                </w:tcPr>
                <w:p w14:paraId="3BEA41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 xml:space="preserve">88 </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人</w:t>
                  </w:r>
                </w:p>
              </w:tc>
              <w:tc>
                <w:tcPr>
                  <w:tcW w:w="1404" w:type="dxa"/>
                  <w:tcBorders>
                    <w:left w:val="single" w:color="000000" w:sz="4" w:space="0"/>
                    <w:right w:val="single" w:color="000000" w:sz="4" w:space="0"/>
                  </w:tcBorders>
                  <w:noWrap w:val="0"/>
                  <w:vAlign w:val="top"/>
                </w:tcPr>
                <w:p w14:paraId="149F82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c>
                <w:tcPr>
                  <w:tcW w:w="2446" w:type="dxa"/>
                  <w:tcBorders>
                    <w:left w:val="single" w:color="000000" w:sz="4" w:space="0"/>
                  </w:tcBorders>
                  <w:noWrap w:val="0"/>
                  <w:vAlign w:val="top"/>
                </w:tcPr>
                <w:p w14:paraId="753CD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 xml:space="preserve">88 </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人</w:t>
                  </w:r>
                </w:p>
              </w:tc>
            </w:tr>
            <w:tr w14:paraId="6B4D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14:paraId="0C3772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1117" w:type="dxa"/>
                  <w:noWrap w:val="0"/>
                  <w:vAlign w:val="top"/>
                </w:tcPr>
                <w:p w14:paraId="2DE36E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食宿情况</w:t>
                  </w:r>
                </w:p>
              </w:tc>
              <w:tc>
                <w:tcPr>
                  <w:tcW w:w="2496" w:type="dxa"/>
                  <w:tcBorders>
                    <w:right w:val="single" w:color="000000" w:sz="4" w:space="0"/>
                  </w:tcBorders>
                  <w:noWrap w:val="0"/>
                  <w:vAlign w:val="top"/>
                </w:tcPr>
                <w:p w14:paraId="2B7FE8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有食堂和休息宿舍</w:t>
                  </w:r>
                </w:p>
              </w:tc>
              <w:tc>
                <w:tcPr>
                  <w:tcW w:w="1404" w:type="dxa"/>
                  <w:tcBorders>
                    <w:left w:val="single" w:color="000000" w:sz="4" w:space="0"/>
                    <w:right w:val="single" w:color="000000" w:sz="4" w:space="0"/>
                  </w:tcBorders>
                  <w:noWrap w:val="0"/>
                  <w:vAlign w:val="top"/>
                </w:tcPr>
                <w:p w14:paraId="6DF12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2446" w:type="dxa"/>
                  <w:tcBorders>
                    <w:left w:val="single" w:color="000000" w:sz="4" w:space="0"/>
                  </w:tcBorders>
                  <w:noWrap w:val="0"/>
                  <w:vAlign w:val="top"/>
                </w:tcPr>
                <w:p w14:paraId="1EF918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有食堂和休息宿舍</w:t>
                  </w:r>
                </w:p>
              </w:tc>
            </w:tr>
            <w:tr w14:paraId="3248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14:paraId="22B9A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1117" w:type="dxa"/>
                  <w:noWrap w:val="0"/>
                  <w:vAlign w:val="top"/>
                </w:tcPr>
                <w:p w14:paraId="114A6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工作时间</w:t>
                  </w:r>
                </w:p>
              </w:tc>
              <w:tc>
                <w:tcPr>
                  <w:tcW w:w="2496" w:type="dxa"/>
                  <w:tcBorders>
                    <w:right w:val="single" w:color="000000" w:sz="4" w:space="0"/>
                  </w:tcBorders>
                  <w:noWrap w:val="0"/>
                  <w:vAlign w:val="top"/>
                </w:tcPr>
                <w:p w14:paraId="1455F7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每年300日，每日8小时</w:t>
                  </w:r>
                </w:p>
              </w:tc>
              <w:tc>
                <w:tcPr>
                  <w:tcW w:w="1404" w:type="dxa"/>
                  <w:tcBorders>
                    <w:left w:val="single" w:color="000000" w:sz="4" w:space="0"/>
                    <w:right w:val="single" w:color="000000" w:sz="4" w:space="0"/>
                  </w:tcBorders>
                  <w:noWrap w:val="0"/>
                  <w:vAlign w:val="top"/>
                </w:tcPr>
                <w:p w14:paraId="4FA7B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2446" w:type="dxa"/>
                  <w:tcBorders>
                    <w:left w:val="single" w:color="000000" w:sz="4" w:space="0"/>
                  </w:tcBorders>
                  <w:noWrap w:val="0"/>
                  <w:vAlign w:val="top"/>
                </w:tcPr>
                <w:p w14:paraId="202782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每年300日，每日8小时</w:t>
                  </w:r>
                </w:p>
              </w:tc>
            </w:tr>
            <w:tr w14:paraId="0972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noWrap w:val="0"/>
                  <w:vAlign w:val="top"/>
                </w:tcPr>
                <w:p w14:paraId="3C4862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1117" w:type="dxa"/>
                  <w:noWrap w:val="0"/>
                  <w:vAlign w:val="top"/>
                </w:tcPr>
                <w:p w14:paraId="345C46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工作制度</w:t>
                  </w:r>
                </w:p>
              </w:tc>
              <w:tc>
                <w:tcPr>
                  <w:tcW w:w="2496" w:type="dxa"/>
                  <w:tcBorders>
                    <w:right w:val="single" w:color="000000" w:sz="4" w:space="0"/>
                  </w:tcBorders>
                  <w:noWrap w:val="0"/>
                  <w:vAlign w:val="top"/>
                </w:tcPr>
                <w:p w14:paraId="7A7B5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一班制</w:t>
                  </w:r>
                </w:p>
              </w:tc>
              <w:tc>
                <w:tcPr>
                  <w:tcW w:w="1404" w:type="dxa"/>
                  <w:tcBorders>
                    <w:left w:val="single" w:color="000000" w:sz="4" w:space="0"/>
                    <w:right w:val="single" w:color="000000" w:sz="4" w:space="0"/>
                  </w:tcBorders>
                  <w:noWrap w:val="0"/>
                  <w:vAlign w:val="top"/>
                </w:tcPr>
                <w:p w14:paraId="61409B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2446" w:type="dxa"/>
                  <w:tcBorders>
                    <w:left w:val="single" w:color="000000" w:sz="4" w:space="0"/>
                  </w:tcBorders>
                  <w:noWrap w:val="0"/>
                  <w:vAlign w:val="top"/>
                </w:tcPr>
                <w:p w14:paraId="1964C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一班制</w:t>
                  </w:r>
                </w:p>
              </w:tc>
            </w:tr>
          </w:tbl>
          <w:p w14:paraId="7A98CC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6.公用工程（给排水）</w:t>
            </w:r>
          </w:p>
          <w:p w14:paraId="6B6D20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本项目不新增员工，不产生员工用水。</w:t>
            </w:r>
          </w:p>
          <w:p w14:paraId="2505FE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项目水性漆</w:t>
            </w:r>
            <w:r>
              <w:rPr>
                <w:rFonts w:hint="eastAsia" w:cs="Times New Roman"/>
                <w:b w:val="0"/>
                <w:bCs w:val="0"/>
                <w:color w:val="000000" w:themeColor="text1"/>
                <w:sz w:val="24"/>
                <w:szCs w:val="24"/>
                <w:lang w:val="en-US" w:eastAsia="zh-CN"/>
                <w14:textFill>
                  <w14:solidFill>
                    <w14:schemeClr w14:val="tx1"/>
                  </w14:solidFill>
                </w14:textFill>
              </w:rPr>
              <w:t>辊筒</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清洗</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需要</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用水清洗，</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根据建设单位提供资料，项目</w:t>
            </w:r>
            <w:r>
              <w:rPr>
                <w:rFonts w:hint="eastAsia" w:cs="Times New Roman"/>
                <w:b w:val="0"/>
                <w:bCs w:val="0"/>
                <w:color w:val="000000" w:themeColor="text1"/>
                <w:sz w:val="24"/>
                <w:szCs w:val="24"/>
                <w:lang w:val="en-US" w:eastAsia="zh-CN"/>
                <w14:textFill>
                  <w14:solidFill>
                    <w14:schemeClr w14:val="tx1"/>
                  </w14:solidFill>
                </w14:textFill>
              </w:rPr>
              <w:t>辊筒</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清洗</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用水量约0.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t/a，清洗</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后的水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进入水性漆中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调配</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tc>
      </w:tr>
      <w:tr w14:paraId="4CFB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583" w:type="dxa"/>
            <w:noWrap w:val="0"/>
            <w:vAlign w:val="center"/>
          </w:tcPr>
          <w:p w14:paraId="680B89C6">
            <w:pPr>
              <w:spacing w:line="240" w:lineRule="auto"/>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工艺流程和产排污环节</w:t>
            </w:r>
          </w:p>
        </w:tc>
        <w:tc>
          <w:tcPr>
            <w:tcW w:w="8416" w:type="dxa"/>
            <w:noWrap w:val="0"/>
            <w:vAlign w:val="top"/>
          </w:tcPr>
          <w:p w14:paraId="75F5D0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vertAlign w:val="baseline"/>
                <w:lang w:val="en-US" w:eastAsia="zh-CN"/>
                <w14:textFill>
                  <w14:solidFill>
                    <w14:schemeClr w14:val="tx1"/>
                  </w14:solidFill>
                </w14:textFill>
              </w:rPr>
            </w:pPr>
            <w:r>
              <w:rPr>
                <w:sz w:val="24"/>
              </w:rPr>
              <mc:AlternateContent>
                <mc:Choice Requires="wps">
                  <w:drawing>
                    <wp:anchor distT="0" distB="0" distL="114300" distR="114300" simplePos="0" relativeHeight="251666432" behindDoc="0" locked="0" layoutInCell="1" allowOverlap="1">
                      <wp:simplePos x="0" y="0"/>
                      <wp:positionH relativeFrom="column">
                        <wp:posOffset>151130</wp:posOffset>
                      </wp:positionH>
                      <wp:positionV relativeFrom="paragraph">
                        <wp:posOffset>-1905</wp:posOffset>
                      </wp:positionV>
                      <wp:extent cx="4905375" cy="3881755"/>
                      <wp:effectExtent l="6350" t="6350" r="22225" b="17145"/>
                      <wp:wrapNone/>
                      <wp:docPr id="58" name="矩形 58"/>
                      <wp:cNvGraphicFramePr/>
                      <a:graphic xmlns:a="http://schemas.openxmlformats.org/drawingml/2006/main">
                        <a:graphicData uri="http://schemas.microsoft.com/office/word/2010/wordprocessingShape">
                          <wps:wsp>
                            <wps:cNvSpPr/>
                            <wps:spPr>
                              <a:xfrm>
                                <a:off x="1512570" y="4139565"/>
                                <a:ext cx="4905375" cy="3881755"/>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pt;margin-top:-0.15pt;height:305.65pt;width:386.25pt;z-index:251666432;v-text-anchor:middle;mso-width-relative:page;mso-height-relative:page;" fillcolor="#000000 [3213]" filled="t" stroked="t" coordsize="21600,21600" o:gfxdata="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XvHZr2AAA&#10;AAgBAAAPAAAAAAAAAAEAIAAAACIAAABkcnMvZG93bnJldi54bWxQSwECFAAUAAAACACHTuJAQ6xa&#10;nJACAAAlBQAADgAAAAAAAAABACAAAAAnAQAAZHJzL2Uyb0RvYy54bWxQSwUGAAAAAAYABgBZAQAA&#10;KQYAAAAA&#10;">
                      <v:fill on="t" focussize="0,0"/>
                      <v:stroke weight="1pt" color="#2E54A1 [2404]" miterlimit="8" joinstyle="miter"/>
                      <v:imagedata o:title=""/>
                      <o:lock v:ext="edit" aspectratio="f"/>
                    </v:rect>
                  </w:pict>
                </mc:Fallback>
              </mc:AlternateContent>
            </w:r>
            <w:r>
              <w:rPr>
                <w:rFonts w:hint="eastAsia" w:ascii="Times New Roman" w:hAnsi="Times New Roman" w:eastAsia="黑体" w:cs="Times New Roman"/>
                <w:color w:val="000000" w:themeColor="text1"/>
                <w:sz w:val="24"/>
                <w:szCs w:val="24"/>
                <w:vertAlign w:val="baseline"/>
                <w:lang w:val="en-US" w:eastAsia="zh-CN"/>
                <w14:textFill>
                  <w14:solidFill>
                    <w14:schemeClr w14:val="tx1"/>
                  </w14:solidFill>
                </w14:textFill>
              </w:rPr>
              <w:t>7.项目生产</w:t>
            </w:r>
            <w:r>
              <w:rPr>
                <w:rFonts w:hint="default" w:ascii="Times New Roman" w:hAnsi="Times New Roman" w:eastAsia="黑体" w:cs="Times New Roman"/>
                <w:color w:val="000000" w:themeColor="text1"/>
                <w:sz w:val="24"/>
                <w:szCs w:val="24"/>
                <w:vertAlign w:val="baseline"/>
                <w:lang w:val="en-US" w:eastAsia="zh-CN"/>
                <w14:textFill>
                  <w14:solidFill>
                    <w14:schemeClr w14:val="tx1"/>
                  </w14:solidFill>
                </w14:textFill>
              </w:rPr>
              <w:t>工艺流程</w:t>
            </w:r>
          </w:p>
          <w:p w14:paraId="094972B8">
            <w:pPr>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205095" cy="2985770"/>
                  <wp:effectExtent l="0" t="0" r="0" b="0"/>
                  <wp:docPr id="7" name="图片 7" descr="未命名表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命名表单"/>
                          <pic:cNvPicPr>
                            <a:picLocks noChangeAspect="1"/>
                          </pic:cNvPicPr>
                        </pic:nvPicPr>
                        <pic:blipFill>
                          <a:blip r:embed="rId9"/>
                          <a:srcRect t="4290" b="4426"/>
                          <a:stretch>
                            <a:fillRect/>
                          </a:stretch>
                        </pic:blipFill>
                        <pic:spPr>
                          <a:xfrm>
                            <a:off x="0" y="0"/>
                            <a:ext cx="5205095" cy="2985770"/>
                          </a:xfrm>
                          <a:prstGeom prst="rect">
                            <a:avLst/>
                          </a:prstGeom>
                        </pic:spPr>
                      </pic:pic>
                    </a:graphicData>
                  </a:graphic>
                </wp:inline>
              </w:drawing>
            </w:r>
          </w:p>
          <w:p w14:paraId="600DF7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图2-</w:t>
            </w:r>
            <w:r>
              <w:rPr>
                <w:rFonts w:hint="eastAsia" w:eastAsia="黑体" w:cs="Times New Roman"/>
                <w:b w:val="0"/>
                <w:bCs w:val="0"/>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 xml:space="preserve"> </w:t>
            </w:r>
            <w:r>
              <w:rPr>
                <w:rFonts w:hint="eastAsia" w:eastAsia="黑体" w:cs="Times New Roman"/>
                <w:b w:val="0"/>
                <w:bCs w:val="0"/>
                <w:color w:val="000000" w:themeColor="text1"/>
                <w:sz w:val="21"/>
                <w:szCs w:val="21"/>
                <w:vertAlign w:val="baseline"/>
                <w:lang w:val="en-US" w:eastAsia="zh-CN"/>
                <w14:textFill>
                  <w14:solidFill>
                    <w14:schemeClr w14:val="tx1"/>
                  </w14:solidFill>
                </w14:textFill>
              </w:rPr>
              <w:t>本</w:t>
            </w: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项目运营期生产工艺流程图（红框内为本项目新增生产工艺流程）</w:t>
            </w:r>
          </w:p>
          <w:p w14:paraId="01A96D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4"/>
                <w:szCs w:val="24"/>
                <w:vertAlign w:val="baseline"/>
                <w:lang w:val="en-US" w:eastAsia="zh-CN"/>
                <w14:textFill>
                  <w14:solidFill>
                    <w14:schemeClr w14:val="tx1"/>
                  </w14:solidFill>
                </w14:textFill>
              </w:rPr>
              <w:t>7.1</w:t>
            </w:r>
            <w:r>
              <w:rPr>
                <w:rFonts w:hint="default" w:ascii="Times New Roman" w:hAnsi="Times New Roman" w:eastAsia="黑体" w:cs="Times New Roman"/>
                <w:color w:val="000000" w:themeColor="text1"/>
                <w:sz w:val="24"/>
                <w:szCs w:val="24"/>
                <w:vertAlign w:val="baseline"/>
                <w:lang w:val="en-US" w:eastAsia="zh-CN"/>
                <w14:textFill>
                  <w14:solidFill>
                    <w14:schemeClr w14:val="tx1"/>
                  </w14:solidFill>
                </w14:textFill>
              </w:rPr>
              <w:t>工艺流程</w:t>
            </w:r>
            <w:r>
              <w:rPr>
                <w:rFonts w:hint="eastAsia" w:ascii="Times New Roman" w:hAnsi="Times New Roman" w:eastAsia="黑体" w:cs="Times New Roman"/>
                <w:color w:val="000000" w:themeColor="text1"/>
                <w:sz w:val="24"/>
                <w:szCs w:val="24"/>
                <w:vertAlign w:val="baseline"/>
                <w:lang w:val="en-US" w:eastAsia="zh-CN"/>
                <w14:textFill>
                  <w14:solidFill>
                    <w14:schemeClr w14:val="tx1"/>
                  </w14:solidFill>
                </w14:textFill>
              </w:rPr>
              <w:t>简述</w:t>
            </w:r>
          </w:p>
          <w:p w14:paraId="2E4E94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（1）机加工（钣金、焊接）</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将购买的钢板、型材及</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管材</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在经过车床、剪板机、卷板机、折板机等设备的机加工、钣金加工后，然后进行在流水线上用电焊进行焊接组装。</w:t>
            </w:r>
          </w:p>
          <w:p w14:paraId="4C1830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、晾干：</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项目钢板需要</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进行</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，其中50%板材涂水性漆，另外50%</w:t>
            </w:r>
            <w:r>
              <w:rPr>
                <w:rFonts w:hint="eastAsia" w:cs="Times New Roman"/>
                <w:color w:val="000000" w:themeColor="text1"/>
                <w:sz w:val="24"/>
                <w:szCs w:val="24"/>
                <w:u w:val="single"/>
                <w:vertAlign w:val="baseline"/>
                <w:lang w:val="en-US" w:eastAsia="zh-CN"/>
                <w14:textFill>
                  <w14:solidFill>
                    <w14:schemeClr w14:val="tx1"/>
                  </w14:solidFill>
                </w14:textFill>
              </w:rPr>
              <w:t>板材涂</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油性漆，</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在封闭</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房（</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m）内进行，</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后在</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房内进行晾干，此过程会产生</w:t>
            </w:r>
            <w:r>
              <w:rPr>
                <w:rFonts w:hint="eastAsia" w:cs="Times New Roman"/>
                <w:color w:val="000000" w:themeColor="text1"/>
                <w:sz w:val="24"/>
                <w:szCs w:val="24"/>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废气、晾干废气。</w:t>
            </w:r>
          </w:p>
          <w:p w14:paraId="6CCEE4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①漆料的调配：油性漆、水性漆在</w:t>
            </w:r>
            <w:r>
              <w:rPr>
                <w:rFonts w:hint="eastAsia" w:cs="Times New Roman"/>
                <w:color w:val="000000" w:themeColor="text1"/>
                <w:sz w:val="24"/>
                <w:szCs w:val="24"/>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房内调配，油性漆的混合比例为环氧富锌底漆：环氧稀释剂：环氧固化剂=9:1:2；水性漆的混合比例为丽源水性环氧固化剂=9:2。</w:t>
            </w:r>
          </w:p>
          <w:p w14:paraId="698290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②</w:t>
            </w:r>
            <w:r>
              <w:rPr>
                <w:rFonts w:hint="eastAsia" w:cs="Times New Roman"/>
                <w:color w:val="000000" w:themeColor="text1"/>
                <w:sz w:val="24"/>
                <w:szCs w:val="24"/>
                <w:vertAlign w:val="baseline"/>
                <w:lang w:val="en-US" w:eastAsia="zh-CN"/>
                <w14:textFill>
                  <w14:solidFill>
                    <w14:schemeClr w14:val="tx1"/>
                  </w14:solidFill>
                </w14:textFill>
              </w:rPr>
              <w:t>调漆</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废气在</w:t>
            </w:r>
            <w:r>
              <w:rPr>
                <w:rFonts w:hint="eastAsia" w:cs="Times New Roman"/>
                <w:color w:val="000000" w:themeColor="text1"/>
                <w:sz w:val="24"/>
                <w:szCs w:val="24"/>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房封闭+负压收集后进入</w:t>
            </w:r>
            <w:r>
              <w:rPr>
                <w:rFonts w:hint="eastAsia" w:cs="Times New Roman"/>
                <w:color w:val="000000" w:themeColor="text1"/>
                <w:sz w:val="24"/>
                <w:szCs w:val="24"/>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废气同一套“</w:t>
            </w:r>
            <w:r>
              <w:rPr>
                <w:rFonts w:hint="eastAsia" w:cs="Times New Roman"/>
                <w:color w:val="000000" w:themeColor="text1"/>
                <w:sz w:val="24"/>
                <w:szCs w:val="24"/>
                <w:vertAlign w:val="baseline"/>
                <w:lang w:val="en-US" w:eastAsia="zh-CN"/>
                <w14:textFill>
                  <w14:solidFill>
                    <w14:schemeClr w14:val="tx1"/>
                  </w14:solidFill>
                </w14:textFill>
              </w:rPr>
              <w:t>二级活性炭吸附</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”处理。</w:t>
            </w:r>
          </w:p>
          <w:p w14:paraId="7AC256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③</w:t>
            </w:r>
            <w:r>
              <w:rPr>
                <w:rFonts w:hint="eastAsia" w:cs="Times New Roman"/>
                <w:color w:val="000000" w:themeColor="text1"/>
                <w:sz w:val="24"/>
                <w:szCs w:val="24"/>
                <w:vertAlign w:val="baseline"/>
                <w:lang w:val="en-US" w:eastAsia="zh-CN"/>
                <w14:textFill>
                  <w14:solidFill>
                    <w14:schemeClr w14:val="tx1"/>
                  </w14:solidFill>
                </w14:textFill>
              </w:rPr>
              <w:t>辊筒</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清洗：油性漆的</w:t>
            </w:r>
            <w:r>
              <w:rPr>
                <w:rFonts w:hint="eastAsia" w:cs="Times New Roman"/>
                <w:color w:val="000000" w:themeColor="text1"/>
                <w:sz w:val="24"/>
                <w:szCs w:val="24"/>
                <w:vertAlign w:val="baseline"/>
                <w:lang w:val="en-US" w:eastAsia="zh-CN"/>
                <w14:textFill>
                  <w14:solidFill>
                    <w14:schemeClr w14:val="tx1"/>
                  </w14:solidFill>
                </w14:textFill>
              </w:rPr>
              <w:t>辊筒</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采用稀释剂清洗，清洗后的稀释剂用于漆料的调配；水性漆的</w:t>
            </w:r>
            <w:r>
              <w:rPr>
                <w:rFonts w:hint="eastAsia" w:cs="Times New Roman"/>
                <w:color w:val="000000" w:themeColor="text1"/>
                <w:sz w:val="24"/>
                <w:szCs w:val="24"/>
                <w:vertAlign w:val="baseline"/>
                <w:lang w:val="en-US" w:eastAsia="zh-CN"/>
                <w14:textFill>
                  <w14:solidFill>
                    <w14:schemeClr w14:val="tx1"/>
                  </w14:solidFill>
                </w14:textFill>
              </w:rPr>
              <w:t>辊筒</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采用水清洗，清洗后的水进入漆料中。</w:t>
            </w:r>
          </w:p>
          <w:p w14:paraId="1735DF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④调漆、</w:t>
            </w:r>
            <w:r>
              <w:rPr>
                <w:rFonts w:hint="eastAsia" w:cs="Times New Roman"/>
                <w:color w:val="000000" w:themeColor="text1"/>
                <w:sz w:val="24"/>
                <w:szCs w:val="24"/>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、晾干、清洗</w:t>
            </w:r>
            <w:r>
              <w:rPr>
                <w:rFonts w:hint="eastAsia" w:cs="Times New Roman"/>
                <w:color w:val="000000" w:themeColor="text1"/>
                <w:sz w:val="24"/>
                <w:szCs w:val="24"/>
                <w:vertAlign w:val="baseline"/>
                <w:lang w:val="en-US" w:eastAsia="zh-CN"/>
                <w14:textFill>
                  <w14:solidFill>
                    <w14:schemeClr w14:val="tx1"/>
                  </w14:solidFill>
                </w14:textFill>
              </w:rPr>
              <w:t>辊筒</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工序均设置在封闭</w:t>
            </w:r>
            <w:r>
              <w:rPr>
                <w:rFonts w:hint="eastAsia" w:cs="Times New Roman"/>
                <w:color w:val="000000" w:themeColor="text1"/>
                <w:sz w:val="24"/>
                <w:szCs w:val="24"/>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间内，废气经</w:t>
            </w:r>
            <w:r>
              <w:rPr>
                <w:rFonts w:hint="eastAsia" w:cs="Times New Roman"/>
                <w:color w:val="000000" w:themeColor="text1"/>
                <w:sz w:val="24"/>
                <w:szCs w:val="24"/>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房封闭+负压收集后经过一套“</w:t>
            </w:r>
            <w:r>
              <w:rPr>
                <w:rFonts w:hint="eastAsia" w:cs="Times New Roman"/>
                <w:color w:val="000000" w:themeColor="text1"/>
                <w:sz w:val="24"/>
                <w:szCs w:val="24"/>
                <w:vertAlign w:val="baseline"/>
                <w:lang w:val="en-US" w:eastAsia="zh-CN"/>
                <w14:textFill>
                  <w14:solidFill>
                    <w14:schemeClr w14:val="tx1"/>
                  </w14:solidFill>
                </w14:textFill>
              </w:rPr>
              <w:t>二级活性炭吸附</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”处理。</w:t>
            </w:r>
          </w:p>
          <w:p w14:paraId="0588F2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（3）组装：将处理后的板材和管材以及外购的零部件（包括风扇、阀门等）按照图纸进行组装。</w:t>
            </w:r>
          </w:p>
          <w:p w14:paraId="08FFA0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（4）检验：组装后进行检验测试，如不合格重新调试，合格后即为成品。</w:t>
            </w:r>
          </w:p>
          <w:p w14:paraId="131D0E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4"/>
                <w:szCs w:val="24"/>
                <w:vertAlign w:val="baseline"/>
                <w:lang w:val="en-US" w:eastAsia="zh-CN"/>
                <w14:textFill>
                  <w14:solidFill>
                    <w14:schemeClr w14:val="tx1"/>
                  </w14:solidFill>
                </w14:textFill>
              </w:rPr>
              <w:t>7.2项目产污环节及主要污染因子</w:t>
            </w:r>
          </w:p>
          <w:p w14:paraId="2630EC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本项目运营期主要产生环节及污染因子详见下表</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2-1</w:t>
            </w:r>
            <w:r>
              <w:rPr>
                <w:rFonts w:hint="eastAsia" w:cs="Times New Roman"/>
                <w:color w:val="000000" w:themeColor="text1"/>
                <w:sz w:val="24"/>
                <w:szCs w:val="24"/>
                <w:vertAlign w:val="baseli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14:paraId="408893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 xml:space="preserve">表2-18 </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运营期主要产生环节及污染因子一览表</w:t>
            </w:r>
          </w:p>
          <w:tbl>
            <w:tblPr>
              <w:tblStyle w:val="8"/>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764"/>
              <w:gridCol w:w="2004"/>
              <w:gridCol w:w="2746"/>
            </w:tblGrid>
            <w:tr w14:paraId="5111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vAlign w:val="center"/>
                </w:tcPr>
                <w:p w14:paraId="3B5900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污染物分类</w:t>
                  </w:r>
                </w:p>
              </w:tc>
              <w:tc>
                <w:tcPr>
                  <w:tcW w:w="1764" w:type="dxa"/>
                  <w:vAlign w:val="center"/>
                </w:tcPr>
                <w:p w14:paraId="195A3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产污环节</w:t>
                  </w:r>
                </w:p>
              </w:tc>
              <w:tc>
                <w:tcPr>
                  <w:tcW w:w="2004" w:type="dxa"/>
                  <w:tcBorders>
                    <w:right w:val="single" w:color="000000" w:sz="6" w:space="0"/>
                  </w:tcBorders>
                  <w:vAlign w:val="center"/>
                </w:tcPr>
                <w:p w14:paraId="52A3EA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污染物名称</w:t>
                  </w:r>
                </w:p>
              </w:tc>
              <w:tc>
                <w:tcPr>
                  <w:tcW w:w="2746" w:type="dxa"/>
                  <w:tcBorders>
                    <w:left w:val="single" w:color="000000" w:sz="6" w:space="0"/>
                  </w:tcBorders>
                  <w:vAlign w:val="center"/>
                </w:tcPr>
                <w:p w14:paraId="200A49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污染因子</w:t>
                  </w:r>
                </w:p>
              </w:tc>
            </w:tr>
            <w:tr w14:paraId="17A7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723" w:type="dxa"/>
                  <w:vMerge w:val="restart"/>
                  <w:vAlign w:val="center"/>
                </w:tcPr>
                <w:p w14:paraId="2F81C4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w:t>
                  </w:r>
                </w:p>
              </w:tc>
              <w:tc>
                <w:tcPr>
                  <w:tcW w:w="1764" w:type="dxa"/>
                  <w:vAlign w:val="center"/>
                </w:tcPr>
                <w:p w14:paraId="5A274A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上漆</w:t>
                  </w:r>
                </w:p>
              </w:tc>
              <w:tc>
                <w:tcPr>
                  <w:tcW w:w="2004" w:type="dxa"/>
                  <w:tcBorders>
                    <w:right w:val="single" w:color="000000" w:sz="6" w:space="0"/>
                  </w:tcBorders>
                  <w:vAlign w:val="center"/>
                </w:tcPr>
                <w:p w14:paraId="09208A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有机废气</w:t>
                  </w:r>
                </w:p>
              </w:tc>
              <w:tc>
                <w:tcPr>
                  <w:tcW w:w="2746" w:type="dxa"/>
                  <w:tcBorders>
                    <w:left w:val="single" w:color="000000" w:sz="6" w:space="0"/>
                  </w:tcBorders>
                  <w:vAlign w:val="center"/>
                </w:tcPr>
                <w:p w14:paraId="6EDE77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非甲烷总烃、二甲苯</w:t>
                  </w:r>
                </w:p>
              </w:tc>
            </w:tr>
            <w:tr w14:paraId="3B39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vMerge w:val="continue"/>
                  <w:vAlign w:val="center"/>
                </w:tcPr>
                <w:p w14:paraId="20DD6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i w:val="0"/>
                      <w:iCs w:val="0"/>
                      <w:color w:val="000000" w:themeColor="text1"/>
                      <w:sz w:val="21"/>
                      <w:szCs w:val="21"/>
                      <w:u w:val="single"/>
                      <w:vertAlign w:val="baseline"/>
                      <w:lang w:val="en-US" w:eastAsia="zh-CN"/>
                      <w14:textFill>
                        <w14:solidFill>
                          <w14:schemeClr w14:val="tx1"/>
                        </w14:solidFill>
                      </w14:textFill>
                    </w:rPr>
                  </w:pPr>
                </w:p>
              </w:tc>
              <w:tc>
                <w:tcPr>
                  <w:tcW w:w="1764" w:type="dxa"/>
                  <w:vAlign w:val="center"/>
                </w:tcPr>
                <w:p w14:paraId="06904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i w:val="0"/>
                      <w:i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single"/>
                      <w:vertAlign w:val="baseline"/>
                      <w:lang w:val="en-US" w:eastAsia="zh-CN"/>
                      <w14:textFill>
                        <w14:solidFill>
                          <w14:schemeClr w14:val="tx1"/>
                        </w14:solidFill>
                      </w14:textFill>
                    </w:rPr>
                    <w:t>晾干</w:t>
                  </w:r>
                </w:p>
              </w:tc>
              <w:tc>
                <w:tcPr>
                  <w:tcW w:w="2004" w:type="dxa"/>
                  <w:tcBorders>
                    <w:right w:val="single" w:color="000000" w:sz="6" w:space="0"/>
                  </w:tcBorders>
                  <w:vAlign w:val="center"/>
                </w:tcPr>
                <w:p w14:paraId="51715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i w:val="0"/>
                      <w:i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i w:val="0"/>
                      <w:iCs w:val="0"/>
                      <w:color w:val="000000" w:themeColor="text1"/>
                      <w:sz w:val="21"/>
                      <w:szCs w:val="21"/>
                      <w:u w:val="single"/>
                      <w:vertAlign w:val="baseline"/>
                      <w:lang w:val="en-US" w:eastAsia="zh-CN"/>
                      <w14:textFill>
                        <w14:solidFill>
                          <w14:schemeClr w14:val="tx1"/>
                        </w14:solidFill>
                      </w14:textFill>
                    </w:rPr>
                    <w:t>有机废气</w:t>
                  </w:r>
                </w:p>
              </w:tc>
              <w:tc>
                <w:tcPr>
                  <w:tcW w:w="2746" w:type="dxa"/>
                  <w:tcBorders>
                    <w:left w:val="single" w:color="000000" w:sz="6" w:space="0"/>
                  </w:tcBorders>
                  <w:vAlign w:val="center"/>
                </w:tcPr>
                <w:p w14:paraId="4A33BC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i w:val="0"/>
                      <w:i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非甲烷总烃、二甲苯</w:t>
                  </w:r>
                </w:p>
              </w:tc>
            </w:tr>
            <w:tr w14:paraId="63A7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Align w:val="center"/>
                </w:tcPr>
                <w:p w14:paraId="41DED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固废</w:t>
                  </w:r>
                </w:p>
              </w:tc>
              <w:tc>
                <w:tcPr>
                  <w:tcW w:w="1764" w:type="dxa"/>
                  <w:shd w:val="clear" w:color="auto" w:fill="auto"/>
                  <w:vAlign w:val="center"/>
                </w:tcPr>
                <w:p w14:paraId="04BCC8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上漆</w:t>
                  </w:r>
                </w:p>
              </w:tc>
              <w:tc>
                <w:tcPr>
                  <w:tcW w:w="2004" w:type="dxa"/>
                  <w:tcBorders>
                    <w:right w:val="single" w:color="000000" w:sz="6" w:space="0"/>
                  </w:tcBorders>
                  <w:shd w:val="clear" w:color="auto" w:fill="auto"/>
                  <w:vAlign w:val="center"/>
                </w:tcPr>
                <w:p w14:paraId="28DED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危险废物</w:t>
                  </w:r>
                </w:p>
              </w:tc>
              <w:tc>
                <w:tcPr>
                  <w:tcW w:w="2746" w:type="dxa"/>
                  <w:tcBorders>
                    <w:left w:val="single" w:color="000000" w:sz="6" w:space="0"/>
                  </w:tcBorders>
                  <w:vAlign w:val="center"/>
                </w:tcPr>
                <w:p w14:paraId="47D573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废溶剂桶、废活性炭等</w:t>
                  </w:r>
                </w:p>
              </w:tc>
            </w:tr>
          </w:tbl>
          <w:p w14:paraId="0B2E6558">
            <w:pPr>
              <w:bidi w:val="0"/>
              <w:rPr>
                <w:rFonts w:hint="eastAsia"/>
                <w:color w:val="000000" w:themeColor="text1"/>
                <w:lang w:val="en-US" w:eastAsia="zh-CN"/>
                <w14:textFill>
                  <w14:solidFill>
                    <w14:schemeClr w14:val="tx1"/>
                  </w14:solidFill>
                </w14:textFill>
              </w:rPr>
            </w:pPr>
          </w:p>
        </w:tc>
      </w:tr>
      <w:tr w14:paraId="0D82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9" w:hRule="atLeast"/>
          <w:jc w:val="center"/>
        </w:trPr>
        <w:tc>
          <w:tcPr>
            <w:tcW w:w="583" w:type="dxa"/>
            <w:noWrap w:val="0"/>
            <w:vAlign w:val="center"/>
          </w:tcPr>
          <w:p w14:paraId="49033E0B">
            <w:pPr>
              <w:spacing w:line="240" w:lineRule="auto"/>
              <w:jc w:val="cente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kern w:val="2"/>
                <w:szCs w:val="24"/>
                <w14:textFill>
                  <w14:solidFill>
                    <w14:schemeClr w14:val="tx1"/>
                  </w14:solidFill>
                </w14:textFill>
              </w:rPr>
              <w:t>与项目有关的原有环境污染问题</w:t>
            </w:r>
          </w:p>
        </w:tc>
        <w:tc>
          <w:tcPr>
            <w:tcW w:w="8416" w:type="dxa"/>
            <w:noWrap w:val="0"/>
            <w:vAlign w:val="top"/>
          </w:tcPr>
          <w:p w14:paraId="238B8C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8.现有项目建设内容回顾性分析</w:t>
            </w:r>
          </w:p>
          <w:p w14:paraId="3B74CD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8.1现有项目环保手续审批情况</w:t>
            </w:r>
          </w:p>
          <w:p w14:paraId="098824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表2-19 现有项目环保手续审批情况一览表</w:t>
            </w:r>
          </w:p>
          <w:tbl>
            <w:tblPr>
              <w:tblStyle w:val="8"/>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1140"/>
              <w:gridCol w:w="1140"/>
              <w:gridCol w:w="1434"/>
              <w:gridCol w:w="2756"/>
            </w:tblGrid>
            <w:tr w14:paraId="714D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762" w:type="dxa"/>
                  <w:vAlign w:val="center"/>
                </w:tcPr>
                <w:p w14:paraId="7BDF9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项目名称</w:t>
                  </w:r>
                </w:p>
              </w:tc>
              <w:tc>
                <w:tcPr>
                  <w:tcW w:w="1140" w:type="dxa"/>
                  <w:vAlign w:val="center"/>
                </w:tcPr>
                <w:p w14:paraId="1BD88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批复部门</w:t>
                  </w:r>
                </w:p>
              </w:tc>
              <w:tc>
                <w:tcPr>
                  <w:tcW w:w="1140" w:type="dxa"/>
                  <w:vAlign w:val="center"/>
                </w:tcPr>
                <w:p w14:paraId="24015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批复时间</w:t>
                  </w:r>
                </w:p>
              </w:tc>
              <w:tc>
                <w:tcPr>
                  <w:tcW w:w="1434" w:type="dxa"/>
                  <w:vAlign w:val="center"/>
                </w:tcPr>
                <w:p w14:paraId="05B674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批复文号</w:t>
                  </w:r>
                </w:p>
              </w:tc>
              <w:tc>
                <w:tcPr>
                  <w:tcW w:w="2756" w:type="dxa"/>
                  <w:vAlign w:val="center"/>
                </w:tcPr>
                <w:p w14:paraId="70D120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验收意见</w:t>
                  </w:r>
                </w:p>
              </w:tc>
            </w:tr>
            <w:tr w14:paraId="4807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762" w:type="dxa"/>
                  <w:vAlign w:val="center"/>
                </w:tcPr>
                <w:p w14:paraId="5AEDBD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湖南省益能环保科技有限公司年产48台（套）污泥干化处理设备生产线建设项目</w:t>
                  </w:r>
                </w:p>
              </w:tc>
              <w:tc>
                <w:tcPr>
                  <w:tcW w:w="1140" w:type="dxa"/>
                  <w:vAlign w:val="center"/>
                </w:tcPr>
                <w:p w14:paraId="0E60FD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bidi="ar"/>
                      <w14:textFill>
                        <w14:solidFill>
                          <w14:schemeClr w14:val="tx1"/>
                        </w14:solidFill>
                      </w14:textFill>
                    </w:rPr>
                    <w:t>怀化市环境保护局</w:t>
                  </w:r>
                </w:p>
              </w:tc>
              <w:tc>
                <w:tcPr>
                  <w:tcW w:w="1140" w:type="dxa"/>
                  <w:vAlign w:val="center"/>
                </w:tcPr>
                <w:p w14:paraId="35DFF0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2014年8月22日</w:t>
                  </w:r>
                </w:p>
              </w:tc>
              <w:tc>
                <w:tcPr>
                  <w:tcW w:w="1434" w:type="dxa"/>
                  <w:vAlign w:val="center"/>
                </w:tcPr>
                <w:p w14:paraId="388B0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怀环审</w:t>
                  </w:r>
                  <w:r>
                    <w:rPr>
                      <w:rFonts w:hint="default" w:ascii="Times New Roman" w:hAnsi="Times New Roman" w:eastAsia="黑体" w:cs="Times New Roman"/>
                      <w:color w:val="000000" w:themeColor="text1"/>
                      <w:sz w:val="21"/>
                      <w:szCs w:val="21"/>
                      <w:u w:val="single"/>
                      <w:lang w:val="en-US" w:eastAsia="zh-CN" w:bidi="ar"/>
                      <w14:textFill>
                        <w14:solidFill>
                          <w14:schemeClr w14:val="tx1"/>
                        </w14:solidFill>
                      </w14:textFill>
                    </w:rPr>
                    <w:t>﹝2014﹞98号</w:t>
                  </w:r>
                </w:p>
              </w:tc>
              <w:tc>
                <w:tcPr>
                  <w:tcW w:w="2756" w:type="dxa"/>
                  <w:vMerge w:val="restart"/>
                  <w:shd w:val="clear" w:color="auto" w:fill="auto"/>
                  <w:vAlign w:val="center"/>
                </w:tcPr>
                <w:p w14:paraId="7793A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i w:val="0"/>
                      <w:iCs w:val="0"/>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2017年3月27日，溆浦县环保局出具了《湖南省益能环保科技有限公司年产48台（套）污泥干化处理设备生产线项目竣工环境保护验收会议纪要》（详见附件6）；</w:t>
                  </w: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br w:type="textWrapping"/>
                  </w: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2017年3月27日，溆浦县环保局出具了验收意见溆环验﹝2017﹞11号（详见附件6）</w:t>
                  </w:r>
                </w:p>
              </w:tc>
            </w:tr>
            <w:tr w14:paraId="07E9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762" w:type="dxa"/>
                  <w:shd w:val="clear" w:color="auto" w:fill="auto"/>
                  <w:vAlign w:val="center"/>
                </w:tcPr>
                <w:p w14:paraId="261A62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i w:val="0"/>
                      <w:iCs w:val="0"/>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湖南省益能环保科技有限公司年产48台（套）污泥干化处理设备生产线扩建项目</w:t>
                  </w:r>
                </w:p>
              </w:tc>
              <w:tc>
                <w:tcPr>
                  <w:tcW w:w="1140" w:type="dxa"/>
                  <w:vAlign w:val="center"/>
                </w:tcPr>
                <w:p w14:paraId="3055A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怀化市环境保护局</w:t>
                  </w:r>
                </w:p>
              </w:tc>
              <w:tc>
                <w:tcPr>
                  <w:tcW w:w="1140" w:type="dxa"/>
                  <w:vAlign w:val="center"/>
                </w:tcPr>
                <w:p w14:paraId="122F2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2016年5月18日</w:t>
                  </w:r>
                </w:p>
              </w:tc>
              <w:tc>
                <w:tcPr>
                  <w:tcW w:w="1434" w:type="dxa"/>
                  <w:vAlign w:val="center"/>
                </w:tcPr>
                <w:p w14:paraId="2A2F32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i w:val="0"/>
                      <w:iCs w:val="0"/>
                      <w:color w:val="000000" w:themeColor="text1"/>
                      <w:kern w:val="0"/>
                      <w:sz w:val="21"/>
                      <w:szCs w:val="21"/>
                      <w:u w:val="single"/>
                      <w:lang w:val="en-US" w:eastAsia="zh-CN" w:bidi="ar"/>
                      <w14:textFill>
                        <w14:solidFill>
                          <w14:schemeClr w14:val="tx1"/>
                        </w14:solidFill>
                      </w14:textFill>
                    </w:rPr>
                    <w:t>怀环审﹝2016﹞68号</w:t>
                  </w:r>
                </w:p>
              </w:tc>
              <w:tc>
                <w:tcPr>
                  <w:tcW w:w="2756" w:type="dxa"/>
                  <w:vMerge w:val="continue"/>
                  <w:vAlign w:val="center"/>
                </w:tcPr>
                <w:p w14:paraId="596554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r>
          </w:tbl>
          <w:p w14:paraId="025EC1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8.2现有项目工程组成情况</w:t>
            </w:r>
          </w:p>
          <w:p w14:paraId="4F8B0B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工程组成内容</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详见下表</w:t>
            </w:r>
            <w:r>
              <w:rPr>
                <w:rFonts w:hint="eastAsia" w:cs="Times New Roman"/>
                <w:color w:val="000000" w:themeColor="text1"/>
                <w:sz w:val="24"/>
                <w:szCs w:val="24"/>
                <w:u w:val="single"/>
                <w:vertAlign w:val="baseline"/>
                <w:lang w:val="en-US" w:eastAsia="zh-CN"/>
                <w14:textFill>
                  <w14:solidFill>
                    <w14:schemeClr w14:val="tx1"/>
                  </w14:solidFill>
                </w14:textFill>
              </w:rPr>
              <w:t>2-20</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p>
          <w:p w14:paraId="4B4EC3DE">
            <w:pPr>
              <w:jc w:val="cente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表</w:t>
            </w: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2-20</w:t>
            </w: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 xml:space="preserve"> </w:t>
            </w:r>
            <w:r>
              <w:rPr>
                <w:rFonts w:hint="default" w:ascii="Times New Roman" w:hAnsi="Times New Roman" w:eastAsia="黑体" w:cs="Times New Roman"/>
                <w:b w:val="0"/>
                <w:bCs w:val="0"/>
                <w:color w:val="000000" w:themeColor="text1"/>
                <w:sz w:val="21"/>
                <w:szCs w:val="21"/>
                <w:highlight w:val="none"/>
                <w:u w:val="single"/>
                <w:lang w:val="en-US" w:eastAsia="zh-CN"/>
                <w14:textFill>
                  <w14:solidFill>
                    <w14:schemeClr w14:val="tx1"/>
                  </w14:solidFill>
                </w14:textFill>
              </w:rPr>
              <w:t>现有</w:t>
            </w:r>
            <w:r>
              <w:rPr>
                <w:rFonts w:hint="default" w:ascii="Times New Roman" w:hAnsi="Times New Roman" w:eastAsia="黑体" w:cs="Times New Roman"/>
                <w:b w:val="0"/>
                <w:bCs w:val="0"/>
                <w:color w:val="000000" w:themeColor="text1"/>
                <w:sz w:val="21"/>
                <w:szCs w:val="21"/>
                <w:highlight w:val="none"/>
                <w:u w:val="single"/>
                <w14:textFill>
                  <w14:solidFill>
                    <w14:schemeClr w14:val="tx1"/>
                  </w14:solidFill>
                </w14:textFill>
              </w:rPr>
              <w:t>项目工程组成内容一览表</w:t>
            </w:r>
          </w:p>
          <w:tbl>
            <w:tblPr>
              <w:tblStyle w:val="8"/>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321"/>
              <w:gridCol w:w="1720"/>
              <w:gridCol w:w="4027"/>
            </w:tblGrid>
            <w:tr w14:paraId="1572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14:paraId="284050F1">
                  <w:pPr>
                    <w:spacing w:line="240" w:lineRule="auto"/>
                    <w:ind w:firstLine="0" w:firstLineChars="0"/>
                    <w:jc w:val="center"/>
                    <w:rPr>
                      <w:rFonts w:hint="default" w:ascii="Times New Roman" w:hAnsi="Times New Roman" w:eastAsia="黑体" w:cs="Times New Roman"/>
                      <w:b/>
                      <w:bCs/>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u w:val="single"/>
                      <w:vertAlign w:val="baseline"/>
                      <w:lang w:val="en-US" w:eastAsia="zh-CN"/>
                      <w14:textFill>
                        <w14:solidFill>
                          <w14:schemeClr w14:val="tx1"/>
                        </w14:solidFill>
                      </w14:textFill>
                    </w:rPr>
                    <w:t>工程类别</w:t>
                  </w:r>
                </w:p>
              </w:tc>
              <w:tc>
                <w:tcPr>
                  <w:tcW w:w="3041" w:type="dxa"/>
                  <w:gridSpan w:val="2"/>
                  <w:vAlign w:val="center"/>
                </w:tcPr>
                <w:p w14:paraId="0296FAD2">
                  <w:pPr>
                    <w:spacing w:line="240" w:lineRule="auto"/>
                    <w:ind w:firstLine="0" w:firstLineChars="0"/>
                    <w:jc w:val="center"/>
                    <w:rPr>
                      <w:rFonts w:hint="default" w:ascii="Times New Roman" w:hAnsi="Times New Roman" w:eastAsia="黑体" w:cs="Times New Roman"/>
                      <w:b/>
                      <w:bCs/>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u w:val="single"/>
                      <w:vertAlign w:val="baseline"/>
                      <w:lang w:val="en-US" w:eastAsia="zh-CN"/>
                      <w14:textFill>
                        <w14:solidFill>
                          <w14:schemeClr w14:val="tx1"/>
                        </w14:solidFill>
                      </w14:textFill>
                    </w:rPr>
                    <w:t>项目名称</w:t>
                  </w:r>
                </w:p>
              </w:tc>
              <w:tc>
                <w:tcPr>
                  <w:tcW w:w="4027" w:type="dxa"/>
                  <w:vAlign w:val="center"/>
                </w:tcPr>
                <w:p w14:paraId="28FD0360">
                  <w:pPr>
                    <w:spacing w:line="240" w:lineRule="auto"/>
                    <w:ind w:firstLine="0" w:firstLineChars="0"/>
                    <w:jc w:val="center"/>
                    <w:rPr>
                      <w:rFonts w:hint="default" w:ascii="Times New Roman" w:hAnsi="Times New Roman" w:eastAsia="黑体" w:cs="Times New Roman"/>
                      <w:b/>
                      <w:bCs/>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u w:val="single"/>
                      <w:vertAlign w:val="baseline"/>
                      <w:lang w:val="en-US" w:eastAsia="zh-CN"/>
                      <w14:textFill>
                        <w14:solidFill>
                          <w14:schemeClr w14:val="tx1"/>
                        </w14:solidFill>
                      </w14:textFill>
                    </w:rPr>
                    <w:t>主要建设内容</w:t>
                  </w:r>
                </w:p>
              </w:tc>
            </w:tr>
            <w:tr w14:paraId="2D49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32" w:type="dxa"/>
                  <w:vMerge w:val="restart"/>
                  <w:vAlign w:val="center"/>
                </w:tcPr>
                <w:p w14:paraId="3448187B">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主体工程</w:t>
                  </w:r>
                </w:p>
              </w:tc>
              <w:tc>
                <w:tcPr>
                  <w:tcW w:w="1321" w:type="dxa"/>
                  <w:vMerge w:val="restart"/>
                  <w:vAlign w:val="center"/>
                </w:tcPr>
                <w:p w14:paraId="726F50E9">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生产厂房</w:t>
                  </w:r>
                </w:p>
              </w:tc>
              <w:tc>
                <w:tcPr>
                  <w:tcW w:w="1720" w:type="dxa"/>
                  <w:vAlign w:val="center"/>
                </w:tcPr>
                <w:p w14:paraId="01AF847C">
                  <w:pPr>
                    <w:spacing w:line="240" w:lineRule="auto"/>
                    <w:ind w:firstLine="0" w:firstLineChars="0"/>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生产车间1#</w:t>
                  </w:r>
                </w:p>
              </w:tc>
              <w:tc>
                <w:tcPr>
                  <w:tcW w:w="4027" w:type="dxa"/>
                  <w:vMerge w:val="restart"/>
                  <w:vAlign w:val="center"/>
                </w:tcPr>
                <w:p w14:paraId="1BF4D48A">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厂房为钢架结构，已进行地面硬化；用于生产</w:t>
                  </w:r>
                </w:p>
              </w:tc>
            </w:tr>
            <w:tr w14:paraId="2FE8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70888774">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321" w:type="dxa"/>
                  <w:vMerge w:val="continue"/>
                  <w:vAlign w:val="center"/>
                </w:tcPr>
                <w:p w14:paraId="4B29C739">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p>
              </w:tc>
              <w:tc>
                <w:tcPr>
                  <w:tcW w:w="1720" w:type="dxa"/>
                  <w:vAlign w:val="center"/>
                </w:tcPr>
                <w:p w14:paraId="2338FF9D">
                  <w:pPr>
                    <w:spacing w:line="240" w:lineRule="auto"/>
                    <w:ind w:firstLine="0" w:firstLineChars="0"/>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生产车间2#</w:t>
                  </w:r>
                </w:p>
              </w:tc>
              <w:tc>
                <w:tcPr>
                  <w:tcW w:w="4027" w:type="dxa"/>
                  <w:vMerge w:val="continue"/>
                  <w:vAlign w:val="center"/>
                </w:tcPr>
                <w:p w14:paraId="1CEBCFF6">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r>
            <w:tr w14:paraId="3D1A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restart"/>
                  <w:vAlign w:val="center"/>
                </w:tcPr>
                <w:p w14:paraId="00F273B0">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辅助工程</w:t>
                  </w:r>
                </w:p>
              </w:tc>
              <w:tc>
                <w:tcPr>
                  <w:tcW w:w="3041" w:type="dxa"/>
                  <w:gridSpan w:val="2"/>
                  <w:vAlign w:val="center"/>
                </w:tcPr>
                <w:p w14:paraId="0BAEC3DF">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办公楼</w:t>
                  </w:r>
                </w:p>
              </w:tc>
              <w:tc>
                <w:tcPr>
                  <w:tcW w:w="4027" w:type="dxa"/>
                  <w:vAlign w:val="center"/>
                </w:tcPr>
                <w:p w14:paraId="200E410A">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办公楼为砖混结构，已进行地面硬化；用于员工办公</w:t>
                  </w:r>
                </w:p>
              </w:tc>
            </w:tr>
            <w:tr w14:paraId="6511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4BF05E6E">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3041" w:type="dxa"/>
                  <w:gridSpan w:val="2"/>
                  <w:vAlign w:val="center"/>
                </w:tcPr>
                <w:p w14:paraId="3A3EF2BF">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综合楼</w:t>
                  </w:r>
                </w:p>
              </w:tc>
              <w:tc>
                <w:tcPr>
                  <w:tcW w:w="4027" w:type="dxa"/>
                  <w:vAlign w:val="center"/>
                </w:tcPr>
                <w:p w14:paraId="02C80619">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办公楼为砖混结构，已进行地面硬化；</w:t>
                  </w:r>
                </w:p>
                <w:p w14:paraId="6E73231E">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1楼为员工食堂，2~3楼为员工值班休息室</w:t>
                  </w:r>
                </w:p>
              </w:tc>
            </w:tr>
            <w:tr w14:paraId="6574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restart"/>
                  <w:vAlign w:val="center"/>
                </w:tcPr>
                <w:p w14:paraId="5300817F">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公用工程</w:t>
                  </w:r>
                </w:p>
              </w:tc>
              <w:tc>
                <w:tcPr>
                  <w:tcW w:w="3041" w:type="dxa"/>
                  <w:gridSpan w:val="2"/>
                  <w:vAlign w:val="center"/>
                </w:tcPr>
                <w:p w14:paraId="006D6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供水</w:t>
                  </w:r>
                </w:p>
              </w:tc>
              <w:tc>
                <w:tcPr>
                  <w:tcW w:w="4027" w:type="dxa"/>
                  <w:vAlign w:val="center"/>
                </w:tcPr>
                <w:p w14:paraId="32A25BD5">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市政供水</w:t>
                  </w:r>
                </w:p>
              </w:tc>
            </w:tr>
            <w:tr w14:paraId="571E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16D30300">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3041" w:type="dxa"/>
                  <w:gridSpan w:val="2"/>
                  <w:vAlign w:val="center"/>
                </w:tcPr>
                <w:p w14:paraId="62A3B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供电</w:t>
                  </w:r>
                </w:p>
              </w:tc>
              <w:tc>
                <w:tcPr>
                  <w:tcW w:w="4027" w:type="dxa"/>
                  <w:vAlign w:val="center"/>
                </w:tcPr>
                <w:p w14:paraId="79F50F72">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市政供电</w:t>
                  </w:r>
                </w:p>
              </w:tc>
            </w:tr>
            <w:tr w14:paraId="71ED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restart"/>
                  <w:vAlign w:val="center"/>
                </w:tcPr>
                <w:p w14:paraId="37C60EA4">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环保工程</w:t>
                  </w:r>
                </w:p>
              </w:tc>
              <w:tc>
                <w:tcPr>
                  <w:tcW w:w="1321" w:type="dxa"/>
                  <w:vMerge w:val="restart"/>
                  <w:vAlign w:val="center"/>
                </w:tcPr>
                <w:p w14:paraId="54151136">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废气</w:t>
                  </w:r>
                </w:p>
              </w:tc>
              <w:tc>
                <w:tcPr>
                  <w:tcW w:w="1720" w:type="dxa"/>
                  <w:vAlign w:val="center"/>
                </w:tcPr>
                <w:p w14:paraId="3B3FD720">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焊接烟尘</w:t>
                  </w:r>
                </w:p>
              </w:tc>
              <w:tc>
                <w:tcPr>
                  <w:tcW w:w="4027" w:type="dxa"/>
                  <w:vAlign w:val="center"/>
                </w:tcPr>
                <w:p w14:paraId="2C945859">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移动式焊烟净化器</w:t>
                  </w:r>
                </w:p>
              </w:tc>
            </w:tr>
            <w:tr w14:paraId="310F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473BAA6A">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321" w:type="dxa"/>
                  <w:vMerge w:val="continue"/>
                  <w:vAlign w:val="center"/>
                </w:tcPr>
                <w:p w14:paraId="582C9958">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720" w:type="dxa"/>
                  <w:vAlign w:val="center"/>
                </w:tcPr>
                <w:p w14:paraId="59C8FC83">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食堂油烟</w:t>
                  </w:r>
                </w:p>
              </w:tc>
              <w:tc>
                <w:tcPr>
                  <w:tcW w:w="4027" w:type="dxa"/>
                  <w:vAlign w:val="center"/>
                </w:tcPr>
                <w:p w14:paraId="3A45F107">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高效油烟净化器</w:t>
                  </w:r>
                </w:p>
              </w:tc>
            </w:tr>
            <w:tr w14:paraId="5F24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3366B782">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321" w:type="dxa"/>
                  <w:vAlign w:val="center"/>
                </w:tcPr>
                <w:p w14:paraId="3483BF75">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废水</w:t>
                  </w:r>
                </w:p>
              </w:tc>
              <w:tc>
                <w:tcPr>
                  <w:tcW w:w="1720" w:type="dxa"/>
                  <w:vAlign w:val="center"/>
                </w:tcPr>
                <w:p w14:paraId="7EFE88F7">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生活污水</w:t>
                  </w:r>
                </w:p>
              </w:tc>
              <w:tc>
                <w:tcPr>
                  <w:tcW w:w="4027" w:type="dxa"/>
                  <w:vAlign w:val="center"/>
                </w:tcPr>
                <w:p w14:paraId="5A3B398D">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生活污水地埋式处理设备</w:t>
                  </w:r>
                </w:p>
              </w:tc>
            </w:tr>
            <w:tr w14:paraId="5D44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36CFDAB7">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321" w:type="dxa"/>
                  <w:vAlign w:val="center"/>
                </w:tcPr>
                <w:p w14:paraId="5942806C">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噪声</w:t>
                  </w:r>
                </w:p>
              </w:tc>
              <w:tc>
                <w:tcPr>
                  <w:tcW w:w="1720" w:type="dxa"/>
                  <w:vAlign w:val="center"/>
                </w:tcPr>
                <w:p w14:paraId="590EDECB">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机械噪声</w:t>
                  </w:r>
                </w:p>
              </w:tc>
              <w:tc>
                <w:tcPr>
                  <w:tcW w:w="4027" w:type="dxa"/>
                  <w:vAlign w:val="center"/>
                </w:tcPr>
                <w:p w14:paraId="48D83BBC">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墙体隔声、厂区绿化等</w:t>
                  </w:r>
                </w:p>
              </w:tc>
            </w:tr>
            <w:tr w14:paraId="3F09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41CED8A2">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321" w:type="dxa"/>
                  <w:vMerge w:val="restart"/>
                  <w:vAlign w:val="center"/>
                </w:tcPr>
                <w:p w14:paraId="0EC09A08">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固废</w:t>
                  </w:r>
                </w:p>
              </w:tc>
              <w:tc>
                <w:tcPr>
                  <w:tcW w:w="1720" w:type="dxa"/>
                  <w:vAlign w:val="center"/>
                </w:tcPr>
                <w:p w14:paraId="6C125DDF">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生活垃圾</w:t>
                  </w:r>
                </w:p>
              </w:tc>
              <w:tc>
                <w:tcPr>
                  <w:tcW w:w="4027" w:type="dxa"/>
                  <w:vAlign w:val="center"/>
                </w:tcPr>
                <w:p w14:paraId="13B68FA7">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生活垃圾堆放处</w:t>
                  </w:r>
                </w:p>
              </w:tc>
            </w:tr>
            <w:tr w14:paraId="053C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32" w:type="dxa"/>
                  <w:vMerge w:val="continue"/>
                  <w:vAlign w:val="center"/>
                </w:tcPr>
                <w:p w14:paraId="6CB355BC">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321" w:type="dxa"/>
                  <w:vMerge w:val="continue"/>
                  <w:vAlign w:val="center"/>
                </w:tcPr>
                <w:p w14:paraId="40527A26">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720" w:type="dxa"/>
                  <w:vAlign w:val="center"/>
                </w:tcPr>
                <w:p w14:paraId="7A47A356">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一般工业固废</w:t>
                  </w:r>
                </w:p>
              </w:tc>
              <w:tc>
                <w:tcPr>
                  <w:tcW w:w="4027" w:type="dxa"/>
                  <w:vAlign w:val="center"/>
                </w:tcPr>
                <w:p w14:paraId="38C728F2">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固废暂存间</w:t>
                  </w:r>
                </w:p>
              </w:tc>
            </w:tr>
            <w:tr w14:paraId="77FC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4305C671">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321" w:type="dxa"/>
                  <w:vMerge w:val="continue"/>
                  <w:vAlign w:val="center"/>
                </w:tcPr>
                <w:p w14:paraId="2876109E">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14:textFill>
                        <w14:solidFill>
                          <w14:schemeClr w14:val="tx1"/>
                        </w14:solidFill>
                      </w14:textFill>
                    </w:rPr>
                  </w:pPr>
                </w:p>
              </w:tc>
              <w:tc>
                <w:tcPr>
                  <w:tcW w:w="1720" w:type="dxa"/>
                  <w:vAlign w:val="center"/>
                </w:tcPr>
                <w:p w14:paraId="00150B54">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危险废物</w:t>
                  </w:r>
                </w:p>
              </w:tc>
              <w:tc>
                <w:tcPr>
                  <w:tcW w:w="4027" w:type="dxa"/>
                  <w:vAlign w:val="center"/>
                </w:tcPr>
                <w:p w14:paraId="056EDF6C">
                  <w:pPr>
                    <w:spacing w:line="240" w:lineRule="auto"/>
                    <w:jc w:val="cente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u w:val="single"/>
                      <w:vertAlign w:val="baseline"/>
                      <w:lang w:val="en-US" w:eastAsia="zh-CN"/>
                      <w14:textFill>
                        <w14:solidFill>
                          <w14:schemeClr w14:val="tx1"/>
                        </w14:solidFill>
                      </w14:textFill>
                    </w:rPr>
                    <w:t>危废暂存间</w:t>
                  </w:r>
                </w:p>
              </w:tc>
            </w:tr>
          </w:tbl>
          <w:p w14:paraId="470390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8.3</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现有项目生产工艺</w:t>
            </w:r>
          </w:p>
          <w:p w14:paraId="695419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drawing>
                <wp:inline distT="0" distB="0" distL="114300" distR="114300">
                  <wp:extent cx="5073015" cy="2259330"/>
                  <wp:effectExtent l="0" t="0" r="1905" b="11430"/>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10"/>
                          <a:stretch>
                            <a:fillRect/>
                          </a:stretch>
                        </pic:blipFill>
                        <pic:spPr>
                          <a:xfrm>
                            <a:off x="0" y="0"/>
                            <a:ext cx="5073015" cy="2259330"/>
                          </a:xfrm>
                          <a:prstGeom prst="rect">
                            <a:avLst/>
                          </a:prstGeom>
                        </pic:spPr>
                      </pic:pic>
                    </a:graphicData>
                  </a:graphic>
                </wp:inline>
              </w:drawing>
            </w:r>
          </w:p>
          <w:p w14:paraId="70F7C8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图2-</w:t>
            </w:r>
            <w:r>
              <w:rPr>
                <w:rFonts w:hint="eastAsia" w:eastAsia="黑体" w:cs="Times New Roman"/>
                <w:b w:val="0"/>
                <w:bCs w:val="0"/>
                <w:color w:val="000000" w:themeColor="text1"/>
                <w:sz w:val="21"/>
                <w:szCs w:val="21"/>
                <w:u w:val="single"/>
                <w:vertAlign w:val="baseline"/>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 xml:space="preserve"> </w:t>
            </w:r>
            <w:r>
              <w:rPr>
                <w:rFonts w:hint="eastAsia" w:eastAsia="黑体" w:cs="Times New Roman"/>
                <w:b w:val="0"/>
                <w:bCs w:val="0"/>
                <w:color w:val="000000" w:themeColor="text1"/>
                <w:sz w:val="21"/>
                <w:szCs w:val="21"/>
                <w:u w:val="single"/>
                <w:vertAlign w:val="baseline"/>
                <w:lang w:val="en-US" w:eastAsia="zh-CN"/>
                <w14:textFill>
                  <w14:solidFill>
                    <w14:schemeClr w14:val="tx1"/>
                  </w14:solidFill>
                </w14:textFill>
              </w:rPr>
              <w:t>现有项目</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生产工艺流程图</w:t>
            </w:r>
          </w:p>
          <w:p w14:paraId="1C4A64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（1）</w:t>
            </w:r>
            <w:r>
              <w:rPr>
                <w:rFonts w:hint="eastAsia"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现有项目</w:t>
            </w:r>
            <w:r>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生产工艺流程：</w:t>
            </w:r>
          </w:p>
          <w:p w14:paraId="6A6F6E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u w:val="single"/>
                <w:vertAlign w:val="baseline"/>
                <w:lang w:val="en-US" w:eastAsia="zh-CN"/>
                <w14:textFill>
                  <w14:solidFill>
                    <w14:schemeClr w14:val="tx1"/>
                  </w14:solidFill>
                </w14:textFill>
              </w:rPr>
            </w:pPr>
            <w:r>
              <w:rPr>
                <w:rFonts w:hint="eastAsia" w:cs="Times New Roman"/>
                <w:color w:val="000000" w:themeColor="text1"/>
                <w:sz w:val="24"/>
                <w:szCs w:val="24"/>
                <w:u w:val="single"/>
                <w:vertAlign w:val="baseline"/>
                <w:lang w:val="en-US" w:eastAsia="zh-CN"/>
                <w14:textFill>
                  <w14:solidFill>
                    <w14:schemeClr w14:val="tx1"/>
                  </w14:solidFill>
                </w14:textFill>
              </w:rPr>
              <w:t>现有项目生产工艺较为简单，首先将购买的钢板、型材、钢管在经过车床、剪板机、卷板机、折板机等设备的机加工、金加工后，然后进行在部装流水线上用焊接机器人工作站和人工结合进行焊接组装，焊接后与各类外购配件一起在总装流水线上装配成型，最后经合格后即为成品入库。本项目不涉及酸洗、磷化、电镀等。金属表面处理加工工艺，也不涉及喷漆工序，油漆工序为外协加工。</w:t>
            </w:r>
          </w:p>
          <w:p w14:paraId="0D78AC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w:t>
            </w:r>
            <w:r>
              <w:rPr>
                <w:rFonts w:hint="eastAsia" w:eastAsia="黑体" w:cs="Times New Roman"/>
                <w:b w:val="0"/>
                <w:bCs w:val="0"/>
                <w:color w:val="000000" w:themeColor="text1"/>
                <w:sz w:val="24"/>
                <w:szCs w:val="24"/>
                <w:u w:val="single"/>
                <w:vertAlign w:val="baseli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w:t>
            </w:r>
            <w:r>
              <w:rPr>
                <w:rFonts w:hint="eastAsia" w:eastAsia="黑体" w:cs="Times New Roman"/>
                <w:b w:val="0"/>
                <w:bCs w:val="0"/>
                <w:color w:val="000000" w:themeColor="text1"/>
                <w:sz w:val="24"/>
                <w:szCs w:val="24"/>
                <w:u w:val="single"/>
                <w:vertAlign w:val="baseline"/>
                <w:lang w:val="en-US" w:eastAsia="zh-CN"/>
                <w14:textFill>
                  <w14:solidFill>
                    <w14:schemeClr w14:val="tx1"/>
                  </w14:solidFill>
                </w14:textFill>
              </w:rPr>
              <w:t>现有</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项目产污环节及主要污染因子</w:t>
            </w:r>
          </w:p>
          <w:p w14:paraId="4C11D8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项目运营期主要产生环节及污染因子详见下表</w:t>
            </w:r>
            <w:r>
              <w:rPr>
                <w:rFonts w:hint="eastAsia" w:cs="Times New Roman"/>
                <w:color w:val="000000" w:themeColor="text1"/>
                <w:sz w:val="24"/>
                <w:szCs w:val="24"/>
                <w:u w:val="single"/>
                <w:vertAlign w:val="baseline"/>
                <w:lang w:val="en-US" w:eastAsia="zh-CN"/>
                <w14:textFill>
                  <w14:solidFill>
                    <w14:schemeClr w14:val="tx1"/>
                  </w14:solidFill>
                </w14:textFill>
              </w:rPr>
              <w:t>2-21</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p>
          <w:p w14:paraId="4137B0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 xml:space="preserve">表2-21 </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运营期主要产生环节及污染因子一览表</w:t>
            </w:r>
          </w:p>
          <w:tbl>
            <w:tblPr>
              <w:tblStyle w:val="8"/>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764"/>
              <w:gridCol w:w="1662"/>
              <w:gridCol w:w="3088"/>
            </w:tblGrid>
            <w:tr w14:paraId="3E67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vAlign w:val="center"/>
                </w:tcPr>
                <w:p w14:paraId="3D579D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污染物分类</w:t>
                  </w:r>
                </w:p>
              </w:tc>
              <w:tc>
                <w:tcPr>
                  <w:tcW w:w="1764" w:type="dxa"/>
                  <w:vAlign w:val="center"/>
                </w:tcPr>
                <w:p w14:paraId="741B60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产污环节</w:t>
                  </w:r>
                </w:p>
              </w:tc>
              <w:tc>
                <w:tcPr>
                  <w:tcW w:w="1662" w:type="dxa"/>
                  <w:tcBorders>
                    <w:right w:val="single" w:color="000000" w:sz="6" w:space="0"/>
                  </w:tcBorders>
                  <w:vAlign w:val="center"/>
                </w:tcPr>
                <w:p w14:paraId="74E03A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污染物名称</w:t>
                  </w:r>
                </w:p>
              </w:tc>
              <w:tc>
                <w:tcPr>
                  <w:tcW w:w="3088" w:type="dxa"/>
                  <w:tcBorders>
                    <w:left w:val="single" w:color="000000" w:sz="6" w:space="0"/>
                  </w:tcBorders>
                  <w:vAlign w:val="center"/>
                </w:tcPr>
                <w:p w14:paraId="22992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污染因子</w:t>
                  </w:r>
                </w:p>
              </w:tc>
            </w:tr>
            <w:tr w14:paraId="0CE8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Align w:val="center"/>
                </w:tcPr>
                <w:p w14:paraId="0F1942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w:t>
                  </w:r>
                </w:p>
              </w:tc>
              <w:tc>
                <w:tcPr>
                  <w:tcW w:w="1764" w:type="dxa"/>
                  <w:shd w:val="clear" w:color="auto" w:fill="auto"/>
                  <w:vAlign w:val="center"/>
                </w:tcPr>
                <w:p w14:paraId="73424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机加工（焊接）</w:t>
                  </w:r>
                </w:p>
              </w:tc>
              <w:tc>
                <w:tcPr>
                  <w:tcW w:w="1662" w:type="dxa"/>
                  <w:tcBorders>
                    <w:right w:val="single" w:color="000000" w:sz="6" w:space="0"/>
                  </w:tcBorders>
                  <w:shd w:val="clear" w:color="auto" w:fill="auto"/>
                  <w:vAlign w:val="center"/>
                </w:tcPr>
                <w:p w14:paraId="1C50C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焊接烟尘</w:t>
                  </w:r>
                </w:p>
              </w:tc>
              <w:tc>
                <w:tcPr>
                  <w:tcW w:w="3088" w:type="dxa"/>
                  <w:tcBorders>
                    <w:left w:val="single" w:color="000000" w:sz="6" w:space="0"/>
                  </w:tcBorders>
                  <w:vAlign w:val="center"/>
                </w:tcPr>
                <w:p w14:paraId="51D38F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颗粒物</w:t>
                  </w:r>
                </w:p>
              </w:tc>
            </w:tr>
            <w:tr w14:paraId="287A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Align w:val="center"/>
                </w:tcPr>
                <w:p w14:paraId="715339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废水</w:t>
                  </w:r>
                </w:p>
              </w:tc>
              <w:tc>
                <w:tcPr>
                  <w:tcW w:w="1764" w:type="dxa"/>
                  <w:shd w:val="clear" w:color="auto" w:fill="auto"/>
                  <w:vAlign w:val="center"/>
                </w:tcPr>
                <w:p w14:paraId="612CC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员工办公生活</w:t>
                  </w:r>
                </w:p>
              </w:tc>
              <w:tc>
                <w:tcPr>
                  <w:tcW w:w="1662" w:type="dxa"/>
                  <w:tcBorders>
                    <w:right w:val="single" w:color="000000" w:sz="6" w:space="0"/>
                  </w:tcBorders>
                  <w:shd w:val="clear" w:color="auto" w:fill="auto"/>
                  <w:vAlign w:val="center"/>
                </w:tcPr>
                <w:p w14:paraId="75160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生活污水</w:t>
                  </w:r>
                </w:p>
              </w:tc>
              <w:tc>
                <w:tcPr>
                  <w:tcW w:w="3088" w:type="dxa"/>
                  <w:tcBorders>
                    <w:left w:val="single" w:color="000000" w:sz="6" w:space="0"/>
                  </w:tcBorders>
                  <w:vAlign w:val="center"/>
                </w:tcPr>
                <w:p w14:paraId="7821F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CODcr、BOD</w:t>
                  </w:r>
                  <w:r>
                    <w:rPr>
                      <w:rFonts w:hint="default" w:ascii="Times New Roman" w:hAnsi="Times New Roman" w:eastAsia="黑体" w:cs="Times New Roman"/>
                      <w:color w:val="000000" w:themeColor="text1"/>
                      <w:sz w:val="21"/>
                      <w:szCs w:val="21"/>
                      <w:u w:val="single"/>
                      <w:vertAlign w:val="subscript"/>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、SS、NH</w:t>
                  </w:r>
                  <w:r>
                    <w:rPr>
                      <w:rFonts w:hint="default" w:ascii="Times New Roman" w:hAnsi="Times New Roman" w:eastAsia="黑体" w:cs="Times New Roman"/>
                      <w:color w:val="000000" w:themeColor="text1"/>
                      <w:sz w:val="21"/>
                      <w:szCs w:val="21"/>
                      <w:u w:val="single"/>
                      <w:vertAlign w:val="subscript"/>
                      <w:lang w:val="en-US" w:eastAsia="zh-CN"/>
                      <w14:textFill>
                        <w14:solidFill>
                          <w14:schemeClr w14:val="tx1"/>
                        </w14:solidFill>
                      </w14:textFill>
                    </w:rPr>
                    <w:t>3</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-N等</w:t>
                  </w:r>
                </w:p>
              </w:tc>
            </w:tr>
            <w:tr w14:paraId="22D3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Merge w:val="restart"/>
                  <w:vAlign w:val="center"/>
                </w:tcPr>
                <w:p w14:paraId="3BF2B8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噪声</w:t>
                  </w:r>
                </w:p>
              </w:tc>
              <w:tc>
                <w:tcPr>
                  <w:tcW w:w="1764" w:type="dxa"/>
                  <w:shd w:val="clear" w:color="auto" w:fill="auto"/>
                  <w:vAlign w:val="center"/>
                </w:tcPr>
                <w:p w14:paraId="29BC2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设备机械</w:t>
                  </w:r>
                </w:p>
              </w:tc>
              <w:tc>
                <w:tcPr>
                  <w:tcW w:w="1662" w:type="dxa"/>
                  <w:tcBorders>
                    <w:right w:val="single" w:color="000000" w:sz="6" w:space="0"/>
                  </w:tcBorders>
                  <w:shd w:val="clear" w:color="auto" w:fill="auto"/>
                  <w:vAlign w:val="center"/>
                </w:tcPr>
                <w:p w14:paraId="35F83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设备噪声</w:t>
                  </w:r>
                </w:p>
              </w:tc>
              <w:tc>
                <w:tcPr>
                  <w:tcW w:w="3088" w:type="dxa"/>
                  <w:vMerge w:val="restart"/>
                  <w:tcBorders>
                    <w:left w:val="single" w:color="000000" w:sz="6" w:space="0"/>
                  </w:tcBorders>
                  <w:vAlign w:val="center"/>
                </w:tcPr>
                <w:p w14:paraId="02BBCA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Leq</w:t>
                  </w:r>
                </w:p>
              </w:tc>
            </w:tr>
            <w:tr w14:paraId="2CF5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Merge w:val="continue"/>
                  <w:vAlign w:val="center"/>
                </w:tcPr>
                <w:p w14:paraId="13087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64" w:type="dxa"/>
                  <w:shd w:val="clear" w:color="auto" w:fill="auto"/>
                  <w:vAlign w:val="center"/>
                </w:tcPr>
                <w:p w14:paraId="17AFC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员工生活</w:t>
                  </w:r>
                </w:p>
              </w:tc>
              <w:tc>
                <w:tcPr>
                  <w:tcW w:w="1662" w:type="dxa"/>
                  <w:tcBorders>
                    <w:right w:val="single" w:color="000000" w:sz="6" w:space="0"/>
                  </w:tcBorders>
                  <w:shd w:val="clear" w:color="auto" w:fill="auto"/>
                  <w:vAlign w:val="center"/>
                </w:tcPr>
                <w:p w14:paraId="4635C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生活噪声</w:t>
                  </w:r>
                </w:p>
              </w:tc>
              <w:tc>
                <w:tcPr>
                  <w:tcW w:w="3088" w:type="dxa"/>
                  <w:vMerge w:val="continue"/>
                  <w:tcBorders>
                    <w:left w:val="single" w:color="000000" w:sz="6" w:space="0"/>
                  </w:tcBorders>
                  <w:vAlign w:val="center"/>
                </w:tcPr>
                <w:p w14:paraId="00B23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r>
            <w:tr w14:paraId="30C1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Merge w:val="restart"/>
                  <w:vAlign w:val="center"/>
                </w:tcPr>
                <w:p w14:paraId="421816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固废</w:t>
                  </w:r>
                </w:p>
              </w:tc>
              <w:tc>
                <w:tcPr>
                  <w:tcW w:w="1764" w:type="dxa"/>
                  <w:shd w:val="clear" w:color="auto" w:fill="auto"/>
                  <w:vAlign w:val="center"/>
                </w:tcPr>
                <w:p w14:paraId="378580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员工生活</w:t>
                  </w:r>
                </w:p>
              </w:tc>
              <w:tc>
                <w:tcPr>
                  <w:tcW w:w="4750" w:type="dxa"/>
                  <w:gridSpan w:val="2"/>
                  <w:shd w:val="clear" w:color="auto" w:fill="auto"/>
                  <w:vAlign w:val="center"/>
                </w:tcPr>
                <w:p w14:paraId="7CA588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生活垃圾</w:t>
                  </w:r>
                </w:p>
              </w:tc>
            </w:tr>
            <w:tr w14:paraId="3558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Merge w:val="continue"/>
                  <w:vAlign w:val="center"/>
                </w:tcPr>
                <w:p w14:paraId="4D874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64" w:type="dxa"/>
                  <w:vMerge w:val="restart"/>
                  <w:shd w:val="clear" w:color="auto" w:fill="auto"/>
                  <w:vAlign w:val="center"/>
                </w:tcPr>
                <w:p w14:paraId="316F7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生产过程</w:t>
                  </w:r>
                </w:p>
              </w:tc>
              <w:tc>
                <w:tcPr>
                  <w:tcW w:w="1662" w:type="dxa"/>
                  <w:vMerge w:val="restart"/>
                  <w:tcBorders>
                    <w:right w:val="single" w:color="000000" w:sz="6" w:space="0"/>
                  </w:tcBorders>
                  <w:shd w:val="clear" w:color="auto" w:fill="auto"/>
                  <w:vAlign w:val="center"/>
                </w:tcPr>
                <w:p w14:paraId="74B429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一般工业固废</w:t>
                  </w:r>
                </w:p>
              </w:tc>
              <w:tc>
                <w:tcPr>
                  <w:tcW w:w="3088" w:type="dxa"/>
                  <w:tcBorders>
                    <w:left w:val="single" w:color="000000" w:sz="6" w:space="0"/>
                  </w:tcBorders>
                  <w:vAlign w:val="center"/>
                </w:tcPr>
                <w:p w14:paraId="25009A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金属边角料</w:t>
                  </w:r>
                </w:p>
              </w:tc>
            </w:tr>
            <w:tr w14:paraId="11B5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Merge w:val="continue"/>
                  <w:vAlign w:val="center"/>
                </w:tcPr>
                <w:p w14:paraId="292769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64" w:type="dxa"/>
                  <w:vMerge w:val="continue"/>
                  <w:shd w:val="clear" w:color="auto" w:fill="auto"/>
                  <w:vAlign w:val="center"/>
                </w:tcPr>
                <w:p w14:paraId="33A3B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p>
              </w:tc>
              <w:tc>
                <w:tcPr>
                  <w:tcW w:w="1662" w:type="dxa"/>
                  <w:vMerge w:val="continue"/>
                  <w:tcBorders>
                    <w:right w:val="single" w:color="000000" w:sz="6" w:space="0"/>
                  </w:tcBorders>
                  <w:shd w:val="clear" w:color="auto" w:fill="auto"/>
                  <w:vAlign w:val="center"/>
                </w:tcPr>
                <w:p w14:paraId="41A44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p>
              </w:tc>
              <w:tc>
                <w:tcPr>
                  <w:tcW w:w="3088" w:type="dxa"/>
                  <w:tcBorders>
                    <w:left w:val="single" w:color="000000" w:sz="6" w:space="0"/>
                  </w:tcBorders>
                  <w:vAlign w:val="center"/>
                </w:tcPr>
                <w:p w14:paraId="3CE93B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焊渣</w:t>
                  </w:r>
                </w:p>
              </w:tc>
            </w:tr>
            <w:tr w14:paraId="35FB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Merge w:val="continue"/>
                  <w:vAlign w:val="center"/>
                </w:tcPr>
                <w:p w14:paraId="7128BD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64" w:type="dxa"/>
                  <w:vMerge w:val="continue"/>
                  <w:shd w:val="clear" w:color="auto" w:fill="auto"/>
                  <w:vAlign w:val="center"/>
                </w:tcPr>
                <w:p w14:paraId="2D03B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p>
              </w:tc>
              <w:tc>
                <w:tcPr>
                  <w:tcW w:w="1662" w:type="dxa"/>
                  <w:vMerge w:val="restart"/>
                  <w:tcBorders>
                    <w:right w:val="single" w:color="000000" w:sz="6" w:space="0"/>
                  </w:tcBorders>
                  <w:shd w:val="clear" w:color="auto" w:fill="auto"/>
                  <w:vAlign w:val="center"/>
                </w:tcPr>
                <w:p w14:paraId="2952C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t>危险废物</w:t>
                  </w:r>
                </w:p>
              </w:tc>
              <w:tc>
                <w:tcPr>
                  <w:tcW w:w="3088" w:type="dxa"/>
                  <w:tcBorders>
                    <w:left w:val="single" w:color="000000" w:sz="6" w:space="0"/>
                  </w:tcBorders>
                  <w:vAlign w:val="center"/>
                </w:tcPr>
                <w:p w14:paraId="2A132E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废机油</w:t>
                  </w:r>
                </w:p>
              </w:tc>
            </w:tr>
            <w:tr w14:paraId="667B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Merge w:val="continue"/>
                  <w:vAlign w:val="center"/>
                </w:tcPr>
                <w:p w14:paraId="1DE0F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64" w:type="dxa"/>
                  <w:vMerge w:val="continue"/>
                  <w:shd w:val="clear" w:color="auto" w:fill="auto"/>
                  <w:vAlign w:val="center"/>
                </w:tcPr>
                <w:p w14:paraId="7D674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p>
              </w:tc>
              <w:tc>
                <w:tcPr>
                  <w:tcW w:w="1662" w:type="dxa"/>
                  <w:vMerge w:val="continue"/>
                  <w:tcBorders>
                    <w:right w:val="single" w:color="000000" w:sz="6" w:space="0"/>
                  </w:tcBorders>
                  <w:shd w:val="clear" w:color="auto" w:fill="auto"/>
                  <w:vAlign w:val="center"/>
                </w:tcPr>
                <w:p w14:paraId="54168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p>
              </w:tc>
              <w:tc>
                <w:tcPr>
                  <w:tcW w:w="3088" w:type="dxa"/>
                  <w:tcBorders>
                    <w:left w:val="single" w:color="000000" w:sz="6" w:space="0"/>
                  </w:tcBorders>
                  <w:vAlign w:val="center"/>
                </w:tcPr>
                <w:p w14:paraId="1C0DC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乳化废液</w:t>
                  </w:r>
                </w:p>
              </w:tc>
            </w:tr>
            <w:tr w14:paraId="6F65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723" w:type="dxa"/>
                  <w:vMerge w:val="continue"/>
                  <w:vAlign w:val="center"/>
                </w:tcPr>
                <w:p w14:paraId="07D7A5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764" w:type="dxa"/>
                  <w:vMerge w:val="continue"/>
                  <w:shd w:val="clear" w:color="auto" w:fill="auto"/>
                  <w:vAlign w:val="center"/>
                </w:tcPr>
                <w:p w14:paraId="39524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p>
              </w:tc>
              <w:tc>
                <w:tcPr>
                  <w:tcW w:w="1662" w:type="dxa"/>
                  <w:vMerge w:val="continue"/>
                  <w:tcBorders>
                    <w:right w:val="single" w:color="000000" w:sz="6" w:space="0"/>
                  </w:tcBorders>
                  <w:shd w:val="clear" w:color="auto" w:fill="auto"/>
                  <w:vAlign w:val="center"/>
                </w:tcPr>
                <w:p w14:paraId="73D0F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p>
              </w:tc>
              <w:tc>
                <w:tcPr>
                  <w:tcW w:w="3088" w:type="dxa"/>
                  <w:tcBorders>
                    <w:left w:val="single" w:color="000000" w:sz="6" w:space="0"/>
                  </w:tcBorders>
                  <w:vAlign w:val="center"/>
                </w:tcPr>
                <w:p w14:paraId="0EDF7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含油废棉纱、废油布</w:t>
                  </w:r>
                </w:p>
              </w:tc>
            </w:tr>
          </w:tbl>
          <w:p w14:paraId="7F8AAC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8.4</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现有项目生产设备</w:t>
            </w:r>
          </w:p>
          <w:p w14:paraId="3BC168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生产设备</w:t>
            </w:r>
            <w:r>
              <w:rPr>
                <w:rFonts w:hint="eastAsia" w:cs="Times New Roman"/>
                <w:color w:val="000000" w:themeColor="text1"/>
                <w:sz w:val="24"/>
                <w:szCs w:val="24"/>
                <w:u w:val="single"/>
                <w:vertAlign w:val="baseline"/>
                <w:lang w:val="en-US" w:eastAsia="zh-CN"/>
                <w14:textFill>
                  <w14:solidFill>
                    <w14:schemeClr w14:val="tx1"/>
                  </w14:solidFill>
                </w14:textFill>
              </w:rPr>
              <w:t>情况详见下表2-22。</w:t>
            </w:r>
          </w:p>
          <w:p w14:paraId="6C6A67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表2-22 现有项目主要生产设备一览表</w:t>
            </w:r>
          </w:p>
          <w:tbl>
            <w:tblPr>
              <w:tblStyle w:val="8"/>
              <w:tblW w:w="8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2292"/>
              <w:gridCol w:w="2100"/>
              <w:gridCol w:w="2476"/>
            </w:tblGrid>
            <w:tr w14:paraId="1BFD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345" w:type="dxa"/>
                  <w:vAlign w:val="center"/>
                </w:tcPr>
                <w:p w14:paraId="05C11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序号</w:t>
                  </w:r>
                </w:p>
              </w:tc>
              <w:tc>
                <w:tcPr>
                  <w:tcW w:w="2292" w:type="dxa"/>
                  <w:vAlign w:val="center"/>
                </w:tcPr>
                <w:p w14:paraId="08573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设备名称</w:t>
                  </w:r>
                </w:p>
              </w:tc>
              <w:tc>
                <w:tcPr>
                  <w:tcW w:w="2100" w:type="dxa"/>
                  <w:vAlign w:val="center"/>
                </w:tcPr>
                <w:p w14:paraId="5F3AF7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规格、技术参数等</w:t>
                  </w:r>
                </w:p>
              </w:tc>
              <w:tc>
                <w:tcPr>
                  <w:tcW w:w="2476" w:type="dxa"/>
                  <w:vAlign w:val="center"/>
                </w:tcPr>
                <w:p w14:paraId="41D26F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数量（台）</w:t>
                  </w:r>
                </w:p>
              </w:tc>
            </w:tr>
            <w:tr w14:paraId="0317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14:paraId="344DAE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w:t>
                  </w:r>
                </w:p>
              </w:tc>
              <w:tc>
                <w:tcPr>
                  <w:tcW w:w="2292" w:type="dxa"/>
                  <w:vAlign w:val="center"/>
                </w:tcPr>
                <w:p w14:paraId="18B85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折板机</w:t>
                  </w:r>
                </w:p>
              </w:tc>
              <w:tc>
                <w:tcPr>
                  <w:tcW w:w="2100" w:type="dxa"/>
                  <w:vAlign w:val="center"/>
                </w:tcPr>
                <w:p w14:paraId="4FDFFC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V-CWT2500</w:t>
                  </w:r>
                </w:p>
              </w:tc>
              <w:tc>
                <w:tcPr>
                  <w:tcW w:w="2476" w:type="dxa"/>
                  <w:vAlign w:val="center"/>
                </w:tcPr>
                <w:p w14:paraId="2431CA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w:t>
                  </w:r>
                </w:p>
              </w:tc>
            </w:tr>
            <w:tr w14:paraId="6F1F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14:paraId="349EA3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w:t>
                  </w:r>
                </w:p>
              </w:tc>
              <w:tc>
                <w:tcPr>
                  <w:tcW w:w="2292" w:type="dxa"/>
                  <w:vAlign w:val="center"/>
                </w:tcPr>
                <w:p w14:paraId="6284C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剪板机</w:t>
                  </w:r>
                </w:p>
              </w:tc>
              <w:tc>
                <w:tcPr>
                  <w:tcW w:w="2100" w:type="dxa"/>
                  <w:vAlign w:val="center"/>
                </w:tcPr>
                <w:p w14:paraId="17341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2476" w:type="dxa"/>
                  <w:vAlign w:val="center"/>
                </w:tcPr>
                <w:p w14:paraId="27257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w:t>
                  </w:r>
                </w:p>
              </w:tc>
            </w:tr>
            <w:tr w14:paraId="786E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14:paraId="6A65CA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3</w:t>
                  </w:r>
                </w:p>
              </w:tc>
              <w:tc>
                <w:tcPr>
                  <w:tcW w:w="2292" w:type="dxa"/>
                  <w:vAlign w:val="center"/>
                </w:tcPr>
                <w:p w14:paraId="4FE83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卷板机</w:t>
                  </w:r>
                </w:p>
              </w:tc>
              <w:tc>
                <w:tcPr>
                  <w:tcW w:w="2100" w:type="dxa"/>
                  <w:vAlign w:val="center"/>
                </w:tcPr>
                <w:p w14:paraId="5C00E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2476" w:type="dxa"/>
                  <w:vAlign w:val="center"/>
                </w:tcPr>
                <w:p w14:paraId="74EA6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4</w:t>
                  </w:r>
                </w:p>
              </w:tc>
            </w:tr>
            <w:tr w14:paraId="2494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14:paraId="564392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4</w:t>
                  </w:r>
                </w:p>
              </w:tc>
              <w:tc>
                <w:tcPr>
                  <w:tcW w:w="2292" w:type="dxa"/>
                  <w:vAlign w:val="center"/>
                </w:tcPr>
                <w:p w14:paraId="0C7FD6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车床</w:t>
                  </w:r>
                </w:p>
              </w:tc>
              <w:tc>
                <w:tcPr>
                  <w:tcW w:w="2100" w:type="dxa"/>
                  <w:vAlign w:val="center"/>
                </w:tcPr>
                <w:p w14:paraId="4960DC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C6132</w:t>
                  </w:r>
                </w:p>
              </w:tc>
              <w:tc>
                <w:tcPr>
                  <w:tcW w:w="2476" w:type="dxa"/>
                  <w:vAlign w:val="center"/>
                </w:tcPr>
                <w:p w14:paraId="2D5754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w:t>
                  </w:r>
                </w:p>
              </w:tc>
            </w:tr>
            <w:tr w14:paraId="6005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14:paraId="6AC27B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w:t>
                  </w:r>
                </w:p>
              </w:tc>
              <w:tc>
                <w:tcPr>
                  <w:tcW w:w="2292" w:type="dxa"/>
                  <w:vAlign w:val="center"/>
                </w:tcPr>
                <w:p w14:paraId="035D1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行车</w:t>
                  </w:r>
                </w:p>
              </w:tc>
              <w:tc>
                <w:tcPr>
                  <w:tcW w:w="2100" w:type="dxa"/>
                  <w:vAlign w:val="center"/>
                </w:tcPr>
                <w:p w14:paraId="660F1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12吨</w:t>
                  </w:r>
                </w:p>
              </w:tc>
              <w:tc>
                <w:tcPr>
                  <w:tcW w:w="2476" w:type="dxa"/>
                  <w:vAlign w:val="center"/>
                </w:tcPr>
                <w:p w14:paraId="2D29B2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w:t>
                  </w:r>
                </w:p>
              </w:tc>
            </w:tr>
            <w:tr w14:paraId="33D8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vAlign w:val="center"/>
                </w:tcPr>
                <w:p w14:paraId="04D06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w:t>
                  </w:r>
                </w:p>
              </w:tc>
              <w:tc>
                <w:tcPr>
                  <w:tcW w:w="2292" w:type="dxa"/>
                  <w:vAlign w:val="center"/>
                </w:tcPr>
                <w:p w14:paraId="442543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焊接机</w:t>
                  </w:r>
                </w:p>
              </w:tc>
              <w:tc>
                <w:tcPr>
                  <w:tcW w:w="2100" w:type="dxa"/>
                  <w:vAlign w:val="center"/>
                </w:tcPr>
                <w:p w14:paraId="073A24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2476" w:type="dxa"/>
                  <w:vAlign w:val="center"/>
                </w:tcPr>
                <w:p w14:paraId="13A7E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w:t>
                  </w:r>
                </w:p>
              </w:tc>
            </w:tr>
          </w:tbl>
          <w:p w14:paraId="2B8250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8.5</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现有项目原辅材料</w:t>
            </w:r>
          </w:p>
          <w:p w14:paraId="7299A4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原辅材料</w:t>
            </w:r>
            <w:r>
              <w:rPr>
                <w:rFonts w:hint="eastAsia" w:cs="Times New Roman"/>
                <w:color w:val="000000" w:themeColor="text1"/>
                <w:sz w:val="24"/>
                <w:szCs w:val="24"/>
                <w:u w:val="single"/>
                <w:vertAlign w:val="baseline"/>
                <w:lang w:val="en-US" w:eastAsia="zh-CN"/>
                <w14:textFill>
                  <w14:solidFill>
                    <w14:schemeClr w14:val="tx1"/>
                  </w14:solidFill>
                </w14:textFill>
              </w:rPr>
              <w:t>具体情况详见下表2-23。</w:t>
            </w:r>
          </w:p>
          <w:p w14:paraId="42A542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表2-23扩建前后项目主要原辅材料消耗情况一览表</w:t>
            </w:r>
          </w:p>
          <w:tbl>
            <w:tblPr>
              <w:tblStyle w:val="8"/>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2700"/>
              <w:gridCol w:w="2124"/>
              <w:gridCol w:w="2071"/>
            </w:tblGrid>
            <w:tr w14:paraId="708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5F847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序号</w:t>
                  </w:r>
                </w:p>
              </w:tc>
              <w:tc>
                <w:tcPr>
                  <w:tcW w:w="2700" w:type="dxa"/>
                  <w:vAlign w:val="center"/>
                </w:tcPr>
                <w:p w14:paraId="5A944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名称</w:t>
                  </w:r>
                </w:p>
              </w:tc>
              <w:tc>
                <w:tcPr>
                  <w:tcW w:w="2124" w:type="dxa"/>
                  <w:vAlign w:val="center"/>
                </w:tcPr>
                <w:p w14:paraId="7D35D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数量</w:t>
                  </w:r>
                </w:p>
              </w:tc>
              <w:tc>
                <w:tcPr>
                  <w:tcW w:w="2071" w:type="dxa"/>
                  <w:vAlign w:val="center"/>
                </w:tcPr>
                <w:p w14:paraId="75EA0E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单位</w:t>
                  </w:r>
                </w:p>
              </w:tc>
            </w:tr>
            <w:tr w14:paraId="70F6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2ED20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w:t>
                  </w:r>
                </w:p>
              </w:tc>
              <w:tc>
                <w:tcPr>
                  <w:tcW w:w="2700" w:type="dxa"/>
                  <w:vAlign w:val="center"/>
                </w:tcPr>
                <w:p w14:paraId="65158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Q235钢板</w:t>
                  </w:r>
                </w:p>
              </w:tc>
              <w:tc>
                <w:tcPr>
                  <w:tcW w:w="2124" w:type="dxa"/>
                  <w:vAlign w:val="center"/>
                </w:tcPr>
                <w:p w14:paraId="42BC86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500</w:t>
                  </w:r>
                </w:p>
              </w:tc>
              <w:tc>
                <w:tcPr>
                  <w:tcW w:w="2071" w:type="dxa"/>
                  <w:vAlign w:val="center"/>
                </w:tcPr>
                <w:p w14:paraId="480D2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1B22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5DAAC1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w:t>
                  </w:r>
                </w:p>
              </w:tc>
              <w:tc>
                <w:tcPr>
                  <w:tcW w:w="2700" w:type="dxa"/>
                  <w:vAlign w:val="center"/>
                </w:tcPr>
                <w:p w14:paraId="07FBD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Q235无缝钢管</w:t>
                  </w:r>
                </w:p>
              </w:tc>
              <w:tc>
                <w:tcPr>
                  <w:tcW w:w="2124" w:type="dxa"/>
                  <w:vAlign w:val="center"/>
                </w:tcPr>
                <w:p w14:paraId="2C20E1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250</w:t>
                  </w:r>
                </w:p>
              </w:tc>
              <w:tc>
                <w:tcPr>
                  <w:tcW w:w="2071" w:type="dxa"/>
                  <w:vAlign w:val="center"/>
                </w:tcPr>
                <w:p w14:paraId="7A23F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73E4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3246A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3</w:t>
                  </w:r>
                </w:p>
              </w:tc>
              <w:tc>
                <w:tcPr>
                  <w:tcW w:w="2700" w:type="dxa"/>
                  <w:vAlign w:val="center"/>
                </w:tcPr>
                <w:p w14:paraId="39858C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角铁</w:t>
                  </w:r>
                </w:p>
              </w:tc>
              <w:tc>
                <w:tcPr>
                  <w:tcW w:w="2124" w:type="dxa"/>
                  <w:vAlign w:val="center"/>
                </w:tcPr>
                <w:p w14:paraId="5A30C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w:t>
                  </w:r>
                </w:p>
              </w:tc>
              <w:tc>
                <w:tcPr>
                  <w:tcW w:w="2071" w:type="dxa"/>
                  <w:vAlign w:val="center"/>
                </w:tcPr>
                <w:p w14:paraId="38586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7107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261CC5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4</w:t>
                  </w:r>
                </w:p>
              </w:tc>
              <w:tc>
                <w:tcPr>
                  <w:tcW w:w="2700" w:type="dxa"/>
                  <w:vAlign w:val="center"/>
                </w:tcPr>
                <w:p w14:paraId="61EAB5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槽钢</w:t>
                  </w:r>
                </w:p>
              </w:tc>
              <w:tc>
                <w:tcPr>
                  <w:tcW w:w="2124" w:type="dxa"/>
                  <w:vAlign w:val="center"/>
                </w:tcPr>
                <w:p w14:paraId="082761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100</w:t>
                  </w:r>
                </w:p>
              </w:tc>
              <w:tc>
                <w:tcPr>
                  <w:tcW w:w="2071" w:type="dxa"/>
                  <w:vAlign w:val="center"/>
                </w:tcPr>
                <w:p w14:paraId="025EF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4790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5" w:type="dxa"/>
                  <w:vAlign w:val="center"/>
                </w:tcPr>
                <w:p w14:paraId="3B14DB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w:t>
                  </w:r>
                </w:p>
              </w:tc>
              <w:tc>
                <w:tcPr>
                  <w:tcW w:w="2700" w:type="dxa"/>
                  <w:vAlign w:val="center"/>
                </w:tcPr>
                <w:p w14:paraId="1E505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方管</w:t>
                  </w:r>
                </w:p>
              </w:tc>
              <w:tc>
                <w:tcPr>
                  <w:tcW w:w="2124" w:type="dxa"/>
                  <w:vAlign w:val="center"/>
                </w:tcPr>
                <w:p w14:paraId="013BB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100</w:t>
                  </w:r>
                </w:p>
              </w:tc>
              <w:tc>
                <w:tcPr>
                  <w:tcW w:w="2071" w:type="dxa"/>
                  <w:vAlign w:val="center"/>
                </w:tcPr>
                <w:p w14:paraId="6372F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0895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35D692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w:t>
                  </w:r>
                </w:p>
              </w:tc>
              <w:tc>
                <w:tcPr>
                  <w:tcW w:w="2700" w:type="dxa"/>
                  <w:vAlign w:val="center"/>
                </w:tcPr>
                <w:p w14:paraId="34667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钢丝</w:t>
                  </w:r>
                </w:p>
              </w:tc>
              <w:tc>
                <w:tcPr>
                  <w:tcW w:w="2124" w:type="dxa"/>
                  <w:vAlign w:val="center"/>
                </w:tcPr>
                <w:p w14:paraId="42B0A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10</w:t>
                  </w:r>
                </w:p>
              </w:tc>
              <w:tc>
                <w:tcPr>
                  <w:tcW w:w="2071" w:type="dxa"/>
                  <w:vAlign w:val="center"/>
                </w:tcPr>
                <w:p w14:paraId="31CC7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3510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246E7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7</w:t>
                  </w:r>
                </w:p>
              </w:tc>
              <w:tc>
                <w:tcPr>
                  <w:tcW w:w="2700" w:type="dxa"/>
                  <w:vAlign w:val="center"/>
                </w:tcPr>
                <w:p w14:paraId="17E367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花纹板</w:t>
                  </w:r>
                </w:p>
              </w:tc>
              <w:tc>
                <w:tcPr>
                  <w:tcW w:w="2124" w:type="dxa"/>
                  <w:vAlign w:val="center"/>
                </w:tcPr>
                <w:p w14:paraId="3D813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50</w:t>
                  </w:r>
                </w:p>
              </w:tc>
              <w:tc>
                <w:tcPr>
                  <w:tcW w:w="2071" w:type="dxa"/>
                  <w:vAlign w:val="center"/>
                </w:tcPr>
                <w:p w14:paraId="2650F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6A3D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2AF7A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8</w:t>
                  </w:r>
                </w:p>
              </w:tc>
              <w:tc>
                <w:tcPr>
                  <w:tcW w:w="2700" w:type="dxa"/>
                  <w:vAlign w:val="center"/>
                </w:tcPr>
                <w:p w14:paraId="4D62BC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滤料及附件</w:t>
                  </w:r>
                </w:p>
              </w:tc>
              <w:tc>
                <w:tcPr>
                  <w:tcW w:w="2124" w:type="dxa"/>
                  <w:vAlign w:val="center"/>
                </w:tcPr>
                <w:p w14:paraId="7FFB74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60</w:t>
                  </w:r>
                </w:p>
              </w:tc>
              <w:tc>
                <w:tcPr>
                  <w:tcW w:w="2071" w:type="dxa"/>
                  <w:vAlign w:val="center"/>
                </w:tcPr>
                <w:p w14:paraId="004D7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2703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75" w:type="dxa"/>
                  <w:vAlign w:val="center"/>
                </w:tcPr>
                <w:p w14:paraId="65C29B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9</w:t>
                  </w:r>
                </w:p>
              </w:tc>
              <w:tc>
                <w:tcPr>
                  <w:tcW w:w="2700" w:type="dxa"/>
                  <w:vAlign w:val="center"/>
                </w:tcPr>
                <w:p w14:paraId="228749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耐油橡胶密封垫</w:t>
                  </w:r>
                </w:p>
              </w:tc>
              <w:tc>
                <w:tcPr>
                  <w:tcW w:w="2124" w:type="dxa"/>
                  <w:vAlign w:val="center"/>
                </w:tcPr>
                <w:p w14:paraId="7112B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2071" w:type="dxa"/>
                  <w:vAlign w:val="center"/>
                </w:tcPr>
                <w:p w14:paraId="491CDB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760D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05C67E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10</w:t>
                  </w:r>
                </w:p>
              </w:tc>
              <w:tc>
                <w:tcPr>
                  <w:tcW w:w="2700" w:type="dxa"/>
                  <w:vAlign w:val="center"/>
                </w:tcPr>
                <w:p w14:paraId="6FECF6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阀门、管道配件</w:t>
                  </w:r>
                </w:p>
              </w:tc>
              <w:tc>
                <w:tcPr>
                  <w:tcW w:w="2124" w:type="dxa"/>
                  <w:vAlign w:val="center"/>
                </w:tcPr>
                <w:p w14:paraId="460CE8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2071" w:type="dxa"/>
                  <w:vAlign w:val="center"/>
                </w:tcPr>
                <w:p w14:paraId="6FA41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7BFF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2B96E9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11</w:t>
                  </w:r>
                </w:p>
              </w:tc>
              <w:tc>
                <w:tcPr>
                  <w:tcW w:w="2700" w:type="dxa"/>
                  <w:vAlign w:val="center"/>
                </w:tcPr>
                <w:p w14:paraId="6DBFC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轴承、标准件</w:t>
                  </w:r>
                </w:p>
              </w:tc>
              <w:tc>
                <w:tcPr>
                  <w:tcW w:w="2124" w:type="dxa"/>
                  <w:vAlign w:val="center"/>
                </w:tcPr>
                <w:p w14:paraId="2C1021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2071" w:type="dxa"/>
                  <w:vAlign w:val="center"/>
                </w:tcPr>
                <w:p w14:paraId="1FC6C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7DB4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23FA4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12</w:t>
                  </w:r>
                </w:p>
              </w:tc>
              <w:tc>
                <w:tcPr>
                  <w:tcW w:w="2700" w:type="dxa"/>
                  <w:vAlign w:val="center"/>
                </w:tcPr>
                <w:p w14:paraId="64F292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PLC控制柜</w:t>
                  </w:r>
                </w:p>
              </w:tc>
              <w:tc>
                <w:tcPr>
                  <w:tcW w:w="2124" w:type="dxa"/>
                  <w:vAlign w:val="center"/>
                </w:tcPr>
                <w:p w14:paraId="3854E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2071" w:type="dxa"/>
                  <w:vAlign w:val="center"/>
                </w:tcPr>
                <w:p w14:paraId="34845E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49FA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28BF00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13</w:t>
                  </w:r>
                </w:p>
              </w:tc>
              <w:tc>
                <w:tcPr>
                  <w:tcW w:w="2700" w:type="dxa"/>
                  <w:vAlign w:val="center"/>
                </w:tcPr>
                <w:p w14:paraId="42F0F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电器配件</w:t>
                  </w:r>
                </w:p>
              </w:tc>
              <w:tc>
                <w:tcPr>
                  <w:tcW w:w="2124" w:type="dxa"/>
                  <w:vAlign w:val="center"/>
                </w:tcPr>
                <w:p w14:paraId="3B19D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2071" w:type="dxa"/>
                  <w:vAlign w:val="center"/>
                </w:tcPr>
                <w:p w14:paraId="28B3BC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7EC8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30EE2B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14</w:t>
                  </w:r>
                </w:p>
              </w:tc>
              <w:tc>
                <w:tcPr>
                  <w:tcW w:w="2700" w:type="dxa"/>
                  <w:vAlign w:val="center"/>
                </w:tcPr>
                <w:p w14:paraId="372DE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电动机</w:t>
                  </w:r>
                </w:p>
              </w:tc>
              <w:tc>
                <w:tcPr>
                  <w:tcW w:w="2124" w:type="dxa"/>
                  <w:vAlign w:val="center"/>
                </w:tcPr>
                <w:p w14:paraId="44FF1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2071" w:type="dxa"/>
                  <w:vAlign w:val="center"/>
                </w:tcPr>
                <w:p w14:paraId="77643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2BF6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0F7A2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15</w:t>
                  </w:r>
                </w:p>
              </w:tc>
              <w:tc>
                <w:tcPr>
                  <w:tcW w:w="2700" w:type="dxa"/>
                  <w:vAlign w:val="center"/>
                </w:tcPr>
                <w:p w14:paraId="40BC3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输泥系统</w:t>
                  </w:r>
                </w:p>
              </w:tc>
              <w:tc>
                <w:tcPr>
                  <w:tcW w:w="2124" w:type="dxa"/>
                  <w:vAlign w:val="center"/>
                </w:tcPr>
                <w:p w14:paraId="31F9E7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48</w:t>
                  </w:r>
                </w:p>
              </w:tc>
              <w:tc>
                <w:tcPr>
                  <w:tcW w:w="2071" w:type="dxa"/>
                  <w:vAlign w:val="center"/>
                </w:tcPr>
                <w:p w14:paraId="37C9B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2716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390070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16</w:t>
                  </w:r>
                </w:p>
              </w:tc>
              <w:tc>
                <w:tcPr>
                  <w:tcW w:w="2700" w:type="dxa"/>
                  <w:vAlign w:val="center"/>
                </w:tcPr>
                <w:p w14:paraId="34331F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3寸脉冲阀</w:t>
                  </w:r>
                </w:p>
              </w:tc>
              <w:tc>
                <w:tcPr>
                  <w:tcW w:w="2124" w:type="dxa"/>
                  <w:vAlign w:val="center"/>
                </w:tcPr>
                <w:p w14:paraId="5A5E3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2071" w:type="dxa"/>
                  <w:vAlign w:val="center"/>
                </w:tcPr>
                <w:p w14:paraId="67BBE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4B77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5F0EF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17</w:t>
                  </w:r>
                </w:p>
              </w:tc>
              <w:tc>
                <w:tcPr>
                  <w:tcW w:w="2700" w:type="dxa"/>
                  <w:vAlign w:val="center"/>
                </w:tcPr>
                <w:p w14:paraId="63B001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气路配件</w:t>
                  </w:r>
                </w:p>
              </w:tc>
              <w:tc>
                <w:tcPr>
                  <w:tcW w:w="2124" w:type="dxa"/>
                  <w:vAlign w:val="center"/>
                </w:tcPr>
                <w:p w14:paraId="447DF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2071" w:type="dxa"/>
                  <w:vAlign w:val="center"/>
                </w:tcPr>
                <w:p w14:paraId="079D99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套</w:t>
                  </w:r>
                </w:p>
              </w:tc>
            </w:tr>
            <w:tr w14:paraId="1C92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491D8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18</w:t>
                  </w:r>
                </w:p>
              </w:tc>
              <w:tc>
                <w:tcPr>
                  <w:tcW w:w="2700" w:type="dxa"/>
                  <w:vAlign w:val="center"/>
                </w:tcPr>
                <w:p w14:paraId="16753D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焊丝</w:t>
                  </w:r>
                </w:p>
              </w:tc>
              <w:tc>
                <w:tcPr>
                  <w:tcW w:w="2124" w:type="dxa"/>
                  <w:vAlign w:val="center"/>
                </w:tcPr>
                <w:p w14:paraId="1622C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100</w:t>
                  </w:r>
                </w:p>
              </w:tc>
              <w:tc>
                <w:tcPr>
                  <w:tcW w:w="2071" w:type="dxa"/>
                  <w:vAlign w:val="center"/>
                </w:tcPr>
                <w:p w14:paraId="2274C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4F03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Align w:val="center"/>
                </w:tcPr>
                <w:p w14:paraId="38525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19</w:t>
                  </w:r>
                </w:p>
              </w:tc>
              <w:tc>
                <w:tcPr>
                  <w:tcW w:w="2700" w:type="dxa"/>
                  <w:vAlign w:val="center"/>
                </w:tcPr>
                <w:p w14:paraId="6B7791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润滑油</w:t>
                  </w:r>
                </w:p>
              </w:tc>
              <w:tc>
                <w:tcPr>
                  <w:tcW w:w="2124" w:type="dxa"/>
                  <w:vAlign w:val="center"/>
                </w:tcPr>
                <w:p w14:paraId="38E04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0.5</w:t>
                  </w:r>
                </w:p>
              </w:tc>
              <w:tc>
                <w:tcPr>
                  <w:tcW w:w="2071" w:type="dxa"/>
                  <w:vAlign w:val="center"/>
                </w:tcPr>
                <w:p w14:paraId="2B2916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r w14:paraId="45B7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5" w:type="dxa"/>
                  <w:vAlign w:val="center"/>
                </w:tcPr>
                <w:p w14:paraId="4BE6F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w:t>
                  </w:r>
                </w:p>
              </w:tc>
              <w:tc>
                <w:tcPr>
                  <w:tcW w:w="2700" w:type="dxa"/>
                  <w:vAlign w:val="center"/>
                </w:tcPr>
                <w:p w14:paraId="2A71A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乳化液</w:t>
                  </w:r>
                </w:p>
              </w:tc>
              <w:tc>
                <w:tcPr>
                  <w:tcW w:w="2124" w:type="dxa"/>
                  <w:vAlign w:val="center"/>
                </w:tcPr>
                <w:p w14:paraId="09BE82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0.1</w:t>
                  </w:r>
                </w:p>
              </w:tc>
              <w:tc>
                <w:tcPr>
                  <w:tcW w:w="2071" w:type="dxa"/>
                  <w:vAlign w:val="center"/>
                </w:tcPr>
                <w:p w14:paraId="1A1F6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t</w:t>
                  </w:r>
                </w:p>
              </w:tc>
            </w:tr>
          </w:tbl>
          <w:p w14:paraId="422F8D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8.6</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现有项目工程产排情况</w:t>
            </w:r>
            <w:r>
              <w:rPr>
                <w:rFonts w:hint="eastAsia" w:eastAsia="黑体" w:cs="Times New Roman"/>
                <w:color w:val="000000" w:themeColor="text1"/>
                <w:sz w:val="24"/>
                <w:szCs w:val="24"/>
                <w:u w:val="single"/>
                <w:vertAlign w:val="baseline"/>
                <w:lang w:val="en-US" w:eastAsia="zh-CN"/>
                <w14:textFill>
                  <w14:solidFill>
                    <w14:schemeClr w14:val="tx1"/>
                  </w14:solidFill>
                </w14:textFill>
              </w:rPr>
              <w:t>（环评审批内容）</w:t>
            </w:r>
          </w:p>
          <w:p w14:paraId="06D99E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8.6.1</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废气</w:t>
            </w:r>
          </w:p>
          <w:p w14:paraId="32BA2B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现有项目在运营期间产生的废气主要为焊接烟尘、食堂油烟。根据</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项目环评报告、环评批复文件</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项目废</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气源强分析、</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产排</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及治理措施</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情况如下。</w:t>
            </w:r>
          </w:p>
          <w:p w14:paraId="7E6110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（1）焊接烟尘</w:t>
            </w:r>
          </w:p>
          <w:p w14:paraId="746C35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使用的焊机为氩弧焊，其施焊时发尘量为100~200mg/min，焊接材料发尘量为2~5g/kg。现有项目年使用焊丝为100t，其气体排放为无组织排放。根据其用量和发尘量计算得出现有项目焊接烟尘发尘量平均为0.35t/a。</w:t>
            </w:r>
          </w:p>
          <w:p w14:paraId="1DA29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2</w:t>
            </w:r>
            <w:r>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食堂油烟</w:t>
            </w:r>
          </w:p>
          <w:p w14:paraId="14A89F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项目食堂基准灶头数为2个，每个灶头排风量以2000m/h计。每日就餐规模为88人次，食用油消耗系数为3.0kg/100人·d</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（二餐）</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，食堂食用油消耗量为2.64kg/d</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油烟产生率按2.85%计，日产生油烟0.075kg。以每天平均烹调作业4小时计，每小时产生油烟18.75g，油烟产生浓度为4.7mg/m²，则油烟年产生量为22.5kg。油烟经油烟净化器净化处理后排放，油烟净化器的净化效率大于60%，油烟的排放浓度约为1.9mg/m。</w:t>
            </w:r>
          </w:p>
          <w:p w14:paraId="4EA87F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8.6.2</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废水</w:t>
            </w:r>
          </w:p>
          <w:p w14:paraId="1AEAC8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项目为机械加工，不产生工艺废水。主要为职工办公和生活污水，主要污染物为COD、BODs、SS、NHs-N、动植物油等。</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项目定员88人，生活用水按每人200L/d计，每年300个工作日，用水量为8100m²/a，排水系数按0.8计算，生活污水排放量为6480m²/a。</w:t>
            </w:r>
          </w:p>
          <w:p w14:paraId="5925AE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8.6.3</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噪声</w:t>
            </w:r>
          </w:p>
          <w:p w14:paraId="500E6C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现有项目运营期噪声污染主要是折板机、剪板机、卷板机、车床、焊接机等机械设备运行时产生的噪声。</w:t>
            </w:r>
          </w:p>
          <w:p w14:paraId="7A6B06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8.6.4</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固废</w:t>
            </w:r>
          </w:p>
          <w:p w14:paraId="31FEE4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运营期固体废弃物主要有生活垃圾</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、一般固体废物和危险废物。</w:t>
            </w:r>
          </w:p>
          <w:p w14:paraId="3D47E1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生活垃圾产生量按每人1.0kg/d，则共约88kg/d（26.4t/a）。</w:t>
            </w:r>
          </w:p>
          <w:p w14:paraId="0890A9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项目年消耗金属材料1030t，金属废料来自下料及加工过程中产生的边角余料及碎屑。金属废料以金属材料总量的0.5%，产生量约5t/a</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项目年消耗焊条100t，焊接残渣以焊条总量的5%，产生焊接残渣5t/a，焊接残渣主要为金属</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废弃包装物包括进厂的各种原材料及零部件的包装厢，如纸箱、木箱包装材料等，产生量约2t/a。</w:t>
            </w:r>
          </w:p>
          <w:p w14:paraId="6905FC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（3）现有项目在</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生产过程中产生的</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危险废物为</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废乳化液、废机油、含油废棉纱、废油布等，其中废机油产生量为0.5t/a；废乳化液产生量为0.1t/a</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含油废棉纱、废油布产生量为0.1t/a。</w:t>
            </w:r>
          </w:p>
          <w:p w14:paraId="6FE27A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现有项目污染物产排情况</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及治理设施</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详见下表2-</w:t>
            </w:r>
            <w:r>
              <w:rPr>
                <w:rFonts w:hint="eastAsia" w:cs="Times New Roman"/>
                <w:b w:val="0"/>
                <w:bCs w:val="0"/>
                <w:color w:val="000000" w:themeColor="text1"/>
                <w:sz w:val="24"/>
                <w:szCs w:val="24"/>
                <w:u w:val="single"/>
                <w:vertAlign w:val="baseline"/>
                <w:lang w:val="en-US" w:eastAsia="zh-CN"/>
                <w14:textFill>
                  <w14:solidFill>
                    <w14:schemeClr w14:val="tx1"/>
                  </w14:solidFill>
                </w14:textFill>
              </w:rPr>
              <w:t>24</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p>
          <w:p w14:paraId="229230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表2-24 现有项目污染物产排情况及治理设施一览表</w:t>
            </w:r>
          </w:p>
          <w:tbl>
            <w:tblPr>
              <w:tblStyle w:val="8"/>
              <w:tblW w:w="8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10"/>
              <w:gridCol w:w="1104"/>
              <w:gridCol w:w="1270"/>
              <w:gridCol w:w="1099"/>
              <w:gridCol w:w="1411"/>
              <w:gridCol w:w="2274"/>
            </w:tblGrid>
            <w:tr w14:paraId="15DD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2" w:hRule="atLeast"/>
                <w:jc w:val="center"/>
              </w:trPr>
              <w:tc>
                <w:tcPr>
                  <w:tcW w:w="1010" w:type="dxa"/>
                  <w:vMerge w:val="restart"/>
                  <w:shd w:val="clear" w:color="auto" w:fill="auto"/>
                  <w:noWrap w:val="0"/>
                  <w:vAlign w:val="center"/>
                </w:tcPr>
                <w:p w14:paraId="5ED53B46">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类型</w:t>
                  </w:r>
                </w:p>
              </w:tc>
              <w:tc>
                <w:tcPr>
                  <w:tcW w:w="1104" w:type="dxa"/>
                  <w:vMerge w:val="restart"/>
                  <w:shd w:val="clear" w:color="auto" w:fill="auto"/>
                  <w:noWrap w:val="0"/>
                  <w:vAlign w:val="center"/>
                </w:tcPr>
                <w:p w14:paraId="258BADAE">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排放源</w:t>
                  </w:r>
                </w:p>
              </w:tc>
              <w:tc>
                <w:tcPr>
                  <w:tcW w:w="1270" w:type="dxa"/>
                  <w:vMerge w:val="restart"/>
                  <w:shd w:val="clear" w:color="auto" w:fill="auto"/>
                  <w:noWrap w:val="0"/>
                  <w:vAlign w:val="center"/>
                </w:tcPr>
                <w:p w14:paraId="3614379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污染物</w:t>
                  </w:r>
                </w:p>
              </w:tc>
              <w:tc>
                <w:tcPr>
                  <w:tcW w:w="2510" w:type="dxa"/>
                  <w:gridSpan w:val="2"/>
                  <w:shd w:val="clear" w:color="auto" w:fill="auto"/>
                  <w:noWrap w:val="0"/>
                  <w:vAlign w:val="center"/>
                </w:tcPr>
                <w:p w14:paraId="44EE8933">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排放浓度及排放量</w:t>
                  </w:r>
                </w:p>
              </w:tc>
              <w:tc>
                <w:tcPr>
                  <w:tcW w:w="2274" w:type="dxa"/>
                  <w:vMerge w:val="restart"/>
                  <w:shd w:val="clear" w:color="auto" w:fill="auto"/>
                  <w:noWrap w:val="0"/>
                  <w:vAlign w:val="center"/>
                </w:tcPr>
                <w:p w14:paraId="0F3F0C7F">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治理措施</w:t>
                  </w:r>
                </w:p>
              </w:tc>
            </w:tr>
            <w:tr w14:paraId="73EC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010" w:type="dxa"/>
                  <w:vMerge w:val="continue"/>
                  <w:shd w:val="clear" w:color="auto" w:fill="auto"/>
                  <w:noWrap w:val="0"/>
                  <w:vAlign w:val="center"/>
                </w:tcPr>
                <w:p w14:paraId="25806D84">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5D41D16F">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vMerge w:val="continue"/>
                  <w:shd w:val="clear" w:color="auto" w:fill="auto"/>
                  <w:noWrap w:val="0"/>
                  <w:vAlign w:val="center"/>
                </w:tcPr>
                <w:p w14:paraId="506BF1E9">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099" w:type="dxa"/>
                  <w:shd w:val="clear" w:color="auto" w:fill="auto"/>
                  <w:noWrap w:val="0"/>
                  <w:vAlign w:val="center"/>
                </w:tcPr>
                <w:p w14:paraId="6D33BE93">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排放浓度</w:t>
                  </w:r>
                </w:p>
              </w:tc>
              <w:tc>
                <w:tcPr>
                  <w:tcW w:w="1411" w:type="dxa"/>
                  <w:shd w:val="clear" w:color="auto" w:fill="auto"/>
                  <w:noWrap w:val="0"/>
                  <w:vAlign w:val="center"/>
                </w:tcPr>
                <w:p w14:paraId="7886C7E3">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排放量（固体废物产生量）</w:t>
                  </w:r>
                </w:p>
              </w:tc>
              <w:tc>
                <w:tcPr>
                  <w:tcW w:w="2274" w:type="dxa"/>
                  <w:vMerge w:val="continue"/>
                  <w:shd w:val="clear" w:color="auto" w:fill="auto"/>
                  <w:noWrap w:val="0"/>
                  <w:vAlign w:val="center"/>
                </w:tcPr>
                <w:p w14:paraId="5C0ED6B0">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39D2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restart"/>
                  <w:shd w:val="clear" w:color="auto" w:fill="auto"/>
                  <w:noWrap w:val="0"/>
                  <w:vAlign w:val="center"/>
                </w:tcPr>
                <w:p w14:paraId="17638092">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大气</w:t>
                  </w:r>
                </w:p>
                <w:p w14:paraId="68771C80">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污染物</w:t>
                  </w:r>
                </w:p>
              </w:tc>
              <w:tc>
                <w:tcPr>
                  <w:tcW w:w="1104" w:type="dxa"/>
                  <w:shd w:val="clear" w:color="auto" w:fill="auto"/>
                  <w:noWrap w:val="0"/>
                  <w:vAlign w:val="center"/>
                </w:tcPr>
                <w:p w14:paraId="658304BD">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焊接烟尘</w:t>
                  </w:r>
                </w:p>
              </w:tc>
              <w:tc>
                <w:tcPr>
                  <w:tcW w:w="1270" w:type="dxa"/>
                  <w:shd w:val="clear" w:color="auto" w:fill="auto"/>
                  <w:noWrap w:val="0"/>
                  <w:vAlign w:val="center"/>
                </w:tcPr>
                <w:p w14:paraId="4A53D271">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烟尘</w:t>
                  </w:r>
                </w:p>
              </w:tc>
              <w:tc>
                <w:tcPr>
                  <w:tcW w:w="2510" w:type="dxa"/>
                  <w:gridSpan w:val="2"/>
                  <w:tcBorders>
                    <w:bottom w:val="single" w:color="000000" w:sz="8" w:space="0"/>
                  </w:tcBorders>
                  <w:shd w:val="clear" w:color="auto" w:fill="auto"/>
                  <w:noWrap w:val="0"/>
                  <w:vAlign w:val="center"/>
                </w:tcPr>
                <w:p w14:paraId="2A87A0CC">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0.35t/a（无组织排放）</w:t>
                  </w:r>
                </w:p>
              </w:tc>
              <w:tc>
                <w:tcPr>
                  <w:tcW w:w="2274" w:type="dxa"/>
                  <w:tcBorders>
                    <w:bottom w:val="single" w:color="000000" w:sz="8" w:space="0"/>
                  </w:tcBorders>
                  <w:shd w:val="clear" w:color="auto" w:fill="auto"/>
                  <w:noWrap w:val="0"/>
                  <w:vAlign w:val="center"/>
                </w:tcPr>
                <w:p w14:paraId="3430D0B7">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移动式焊烟净化器</w:t>
                  </w:r>
                </w:p>
              </w:tc>
            </w:tr>
            <w:tr w14:paraId="1604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7AB0E5CD">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shd w:val="clear" w:color="auto" w:fill="auto"/>
                  <w:noWrap w:val="0"/>
                  <w:vAlign w:val="center"/>
                </w:tcPr>
                <w:p w14:paraId="43572CF6">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食堂油烟</w:t>
                  </w:r>
                </w:p>
              </w:tc>
              <w:tc>
                <w:tcPr>
                  <w:tcW w:w="1270" w:type="dxa"/>
                  <w:shd w:val="clear" w:color="auto" w:fill="auto"/>
                  <w:noWrap w:val="0"/>
                  <w:vAlign w:val="center"/>
                </w:tcPr>
                <w:p w14:paraId="516DAF26">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油烟</w:t>
                  </w:r>
                </w:p>
              </w:tc>
              <w:tc>
                <w:tcPr>
                  <w:tcW w:w="1099" w:type="dxa"/>
                  <w:tcBorders>
                    <w:top w:val="single" w:color="000000" w:sz="8" w:space="0"/>
                  </w:tcBorders>
                  <w:shd w:val="clear" w:color="auto" w:fill="auto"/>
                  <w:noWrap w:val="0"/>
                  <w:vAlign w:val="center"/>
                </w:tcPr>
                <w:p w14:paraId="219B2D0A">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1.9mg/m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p>
              </w:tc>
              <w:tc>
                <w:tcPr>
                  <w:tcW w:w="1411" w:type="dxa"/>
                  <w:tcBorders>
                    <w:top w:val="single" w:color="000000" w:sz="8" w:space="0"/>
                  </w:tcBorders>
                  <w:shd w:val="clear" w:color="auto" w:fill="auto"/>
                  <w:noWrap w:val="0"/>
                  <w:vAlign w:val="center"/>
                </w:tcPr>
                <w:p w14:paraId="334A9BB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9.0kg/a</w:t>
                  </w:r>
                </w:p>
              </w:tc>
              <w:tc>
                <w:tcPr>
                  <w:tcW w:w="2274" w:type="dxa"/>
                  <w:tcBorders>
                    <w:top w:val="single" w:color="000000" w:sz="8" w:space="0"/>
                  </w:tcBorders>
                  <w:shd w:val="clear" w:color="auto" w:fill="auto"/>
                  <w:noWrap w:val="0"/>
                  <w:vAlign w:val="center"/>
                </w:tcPr>
                <w:p w14:paraId="314877AC">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油烟净化器</w:t>
                  </w:r>
                </w:p>
              </w:tc>
            </w:tr>
            <w:tr w14:paraId="04AD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restart"/>
                  <w:shd w:val="clear" w:color="auto" w:fill="auto"/>
                  <w:noWrap w:val="0"/>
                  <w:vAlign w:val="center"/>
                </w:tcPr>
                <w:p w14:paraId="72838B94">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水</w:t>
                  </w:r>
                </w:p>
                <w:p w14:paraId="52133327">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污染物</w:t>
                  </w:r>
                </w:p>
              </w:tc>
              <w:tc>
                <w:tcPr>
                  <w:tcW w:w="1104" w:type="dxa"/>
                  <w:vMerge w:val="restart"/>
                  <w:shd w:val="clear" w:color="auto" w:fill="auto"/>
                  <w:noWrap w:val="0"/>
                  <w:vAlign w:val="center"/>
                </w:tcPr>
                <w:p w14:paraId="398CFAE8">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生活污水</w:t>
                  </w:r>
                </w:p>
              </w:tc>
              <w:tc>
                <w:tcPr>
                  <w:tcW w:w="1270" w:type="dxa"/>
                  <w:shd w:val="clear" w:color="auto" w:fill="auto"/>
                  <w:noWrap w:val="0"/>
                  <w:vAlign w:val="center"/>
                </w:tcPr>
                <w:p w14:paraId="019B1452">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废水量</w:t>
                  </w:r>
                </w:p>
              </w:tc>
              <w:tc>
                <w:tcPr>
                  <w:tcW w:w="2510" w:type="dxa"/>
                  <w:gridSpan w:val="2"/>
                  <w:shd w:val="clear" w:color="auto" w:fill="auto"/>
                  <w:noWrap w:val="0"/>
                  <w:vAlign w:val="center"/>
                </w:tcPr>
                <w:p w14:paraId="0082EFB5">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6480m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/a</w:t>
                  </w:r>
                </w:p>
              </w:tc>
              <w:tc>
                <w:tcPr>
                  <w:tcW w:w="2274" w:type="dxa"/>
                  <w:vMerge w:val="restart"/>
                  <w:shd w:val="clear" w:color="auto" w:fill="auto"/>
                  <w:noWrap w:val="0"/>
                  <w:vAlign w:val="center"/>
                </w:tcPr>
                <w:p w14:paraId="6FAFB768">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生活污水地埋式处理设备</w:t>
                  </w:r>
                </w:p>
              </w:tc>
            </w:tr>
            <w:tr w14:paraId="4709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0341591A">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291417A5">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shd w:val="clear" w:color="auto" w:fill="auto"/>
                  <w:noWrap w:val="0"/>
                  <w:vAlign w:val="center"/>
                </w:tcPr>
                <w:p w14:paraId="6F82E5BE">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SS</w:t>
                  </w:r>
                </w:p>
              </w:tc>
              <w:tc>
                <w:tcPr>
                  <w:tcW w:w="1099" w:type="dxa"/>
                  <w:shd w:val="clear" w:color="auto" w:fill="auto"/>
                  <w:noWrap w:val="0"/>
                  <w:vAlign w:val="center"/>
                </w:tcPr>
                <w:p w14:paraId="29978DDE">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70mg/L</w:t>
                  </w:r>
                </w:p>
              </w:tc>
              <w:tc>
                <w:tcPr>
                  <w:tcW w:w="1411" w:type="dxa"/>
                  <w:shd w:val="clear" w:color="auto" w:fill="auto"/>
                  <w:noWrap w:val="0"/>
                  <w:vAlign w:val="center"/>
                </w:tcPr>
                <w:p w14:paraId="32F3FA5A">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0.45t/a</w:t>
                  </w:r>
                </w:p>
              </w:tc>
              <w:tc>
                <w:tcPr>
                  <w:tcW w:w="2274" w:type="dxa"/>
                  <w:vMerge w:val="continue"/>
                  <w:shd w:val="clear" w:color="auto" w:fill="auto"/>
                  <w:noWrap w:val="0"/>
                  <w:vAlign w:val="center"/>
                </w:tcPr>
                <w:p w14:paraId="5F622BC0">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33B4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68BB4E81">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2D4BF0B7">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shd w:val="clear" w:color="auto" w:fill="auto"/>
                  <w:noWrap w:val="0"/>
                  <w:vAlign w:val="center"/>
                </w:tcPr>
                <w:p w14:paraId="44978024">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CODcr</w:t>
                  </w:r>
                </w:p>
              </w:tc>
              <w:tc>
                <w:tcPr>
                  <w:tcW w:w="1099" w:type="dxa"/>
                  <w:shd w:val="clear" w:color="auto" w:fill="auto"/>
                  <w:noWrap w:val="0"/>
                  <w:vAlign w:val="center"/>
                </w:tcPr>
                <w:p w14:paraId="4814474A">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100mg/L</w:t>
                  </w:r>
                </w:p>
              </w:tc>
              <w:tc>
                <w:tcPr>
                  <w:tcW w:w="1411" w:type="dxa"/>
                  <w:shd w:val="clear" w:color="auto" w:fill="auto"/>
                  <w:noWrap w:val="0"/>
                  <w:vAlign w:val="center"/>
                </w:tcPr>
                <w:p w14:paraId="0018B521">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0.65t/a</w:t>
                  </w:r>
                </w:p>
              </w:tc>
              <w:tc>
                <w:tcPr>
                  <w:tcW w:w="2274" w:type="dxa"/>
                  <w:vMerge w:val="continue"/>
                  <w:shd w:val="clear" w:color="auto" w:fill="auto"/>
                  <w:noWrap w:val="0"/>
                  <w:vAlign w:val="center"/>
                </w:tcPr>
                <w:p w14:paraId="66EDE876">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6E62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10" w:type="dxa"/>
                  <w:vMerge w:val="continue"/>
                  <w:shd w:val="clear" w:color="auto" w:fill="auto"/>
                  <w:noWrap w:val="0"/>
                  <w:vAlign w:val="center"/>
                </w:tcPr>
                <w:p w14:paraId="68D30C02">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3D349B30">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shd w:val="clear" w:color="auto" w:fill="auto"/>
                  <w:noWrap w:val="0"/>
                  <w:vAlign w:val="center"/>
                </w:tcPr>
                <w:p w14:paraId="3FCAEE41">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BOD</w:t>
                  </w:r>
                  <w:r>
                    <w:rPr>
                      <w:rFonts w:hint="default" w:ascii="Times New Roman" w:hAnsi="Times New Roman" w:eastAsia="黑体" w:cs="Times New Roman"/>
                      <w:b w:val="0"/>
                      <w:bCs w:val="0"/>
                      <w:color w:val="000000" w:themeColor="text1"/>
                      <w:sz w:val="21"/>
                      <w:szCs w:val="21"/>
                      <w:u w:val="single"/>
                      <w:vertAlign w:val="subscript"/>
                      <w:lang w:val="en-US" w:eastAsia="zh-CN"/>
                      <w14:textFill>
                        <w14:solidFill>
                          <w14:schemeClr w14:val="tx1"/>
                        </w14:solidFill>
                      </w14:textFill>
                    </w:rPr>
                    <w:t>5</w:t>
                  </w:r>
                </w:p>
              </w:tc>
              <w:tc>
                <w:tcPr>
                  <w:tcW w:w="1099" w:type="dxa"/>
                  <w:shd w:val="clear" w:color="auto" w:fill="auto"/>
                  <w:noWrap w:val="0"/>
                  <w:vAlign w:val="center"/>
                </w:tcPr>
                <w:p w14:paraId="7DBDE143">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20mg/L</w:t>
                  </w:r>
                </w:p>
              </w:tc>
              <w:tc>
                <w:tcPr>
                  <w:tcW w:w="1411" w:type="dxa"/>
                  <w:shd w:val="clear" w:color="auto" w:fill="auto"/>
                  <w:noWrap w:val="0"/>
                  <w:vAlign w:val="center"/>
                </w:tcPr>
                <w:p w14:paraId="78D7FFBA">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0.1t/a</w:t>
                  </w:r>
                </w:p>
              </w:tc>
              <w:tc>
                <w:tcPr>
                  <w:tcW w:w="2274" w:type="dxa"/>
                  <w:vMerge w:val="continue"/>
                  <w:shd w:val="clear" w:color="auto" w:fill="auto"/>
                  <w:noWrap w:val="0"/>
                  <w:vAlign w:val="center"/>
                </w:tcPr>
                <w:p w14:paraId="7EE42C6C">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0538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323C809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5B839C5E">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shd w:val="clear" w:color="auto" w:fill="auto"/>
                  <w:noWrap w:val="0"/>
                  <w:vAlign w:val="center"/>
                </w:tcPr>
                <w:p w14:paraId="14054196">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NH3-N</w:t>
                  </w:r>
                </w:p>
              </w:tc>
              <w:tc>
                <w:tcPr>
                  <w:tcW w:w="1099" w:type="dxa"/>
                  <w:shd w:val="clear" w:color="auto" w:fill="auto"/>
                  <w:noWrap w:val="0"/>
                  <w:vAlign w:val="center"/>
                </w:tcPr>
                <w:p w14:paraId="4ECAE73A">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15mg/L</w:t>
                  </w:r>
                </w:p>
              </w:tc>
              <w:tc>
                <w:tcPr>
                  <w:tcW w:w="1411" w:type="dxa"/>
                  <w:shd w:val="clear" w:color="auto" w:fill="auto"/>
                  <w:noWrap w:val="0"/>
                  <w:vAlign w:val="center"/>
                </w:tcPr>
                <w:p w14:paraId="1AE87C6F">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0.1t/a</w:t>
                  </w:r>
                </w:p>
              </w:tc>
              <w:tc>
                <w:tcPr>
                  <w:tcW w:w="2274" w:type="dxa"/>
                  <w:vMerge w:val="continue"/>
                  <w:shd w:val="clear" w:color="auto" w:fill="auto"/>
                  <w:noWrap w:val="0"/>
                  <w:vAlign w:val="center"/>
                </w:tcPr>
                <w:p w14:paraId="5D52B2E5">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75C5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shd w:val="clear" w:color="auto" w:fill="auto"/>
                  <w:noWrap w:val="0"/>
                  <w:vAlign w:val="center"/>
                </w:tcPr>
                <w:p w14:paraId="50EC8EA7">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噪声</w:t>
                  </w:r>
                </w:p>
              </w:tc>
              <w:tc>
                <w:tcPr>
                  <w:tcW w:w="4884" w:type="dxa"/>
                  <w:gridSpan w:val="4"/>
                  <w:shd w:val="clear" w:color="auto" w:fill="auto"/>
                  <w:noWrap w:val="0"/>
                  <w:vAlign w:val="center"/>
                </w:tcPr>
                <w:p w14:paraId="76296539">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噪声声级范围为75~90dB（A）</w:t>
                  </w:r>
                </w:p>
              </w:tc>
              <w:tc>
                <w:tcPr>
                  <w:tcW w:w="2274" w:type="dxa"/>
                  <w:shd w:val="clear" w:color="auto" w:fill="auto"/>
                  <w:noWrap w:val="0"/>
                  <w:vAlign w:val="center"/>
                </w:tcPr>
                <w:p w14:paraId="08327A0F">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选用低噪设备，设备做隔声、减震处理，平面布置合理</w:t>
                  </w:r>
                </w:p>
              </w:tc>
            </w:tr>
            <w:tr w14:paraId="7BFB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restart"/>
                  <w:shd w:val="clear" w:color="auto" w:fill="auto"/>
                  <w:noWrap w:val="0"/>
                  <w:vAlign w:val="center"/>
                </w:tcPr>
                <w:p w14:paraId="23863E09">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固废</w:t>
                  </w:r>
                </w:p>
              </w:tc>
              <w:tc>
                <w:tcPr>
                  <w:tcW w:w="1104" w:type="dxa"/>
                  <w:shd w:val="clear" w:color="auto" w:fill="auto"/>
                  <w:noWrap w:val="0"/>
                  <w:vAlign w:val="center"/>
                </w:tcPr>
                <w:p w14:paraId="377EA679">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员工生活</w:t>
                  </w:r>
                </w:p>
              </w:tc>
              <w:tc>
                <w:tcPr>
                  <w:tcW w:w="1270" w:type="dxa"/>
                  <w:shd w:val="clear" w:color="auto" w:fill="auto"/>
                  <w:noWrap w:val="0"/>
                  <w:vAlign w:val="center"/>
                </w:tcPr>
                <w:p w14:paraId="5BFE0FD9">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生活垃圾</w:t>
                  </w:r>
                </w:p>
              </w:tc>
              <w:tc>
                <w:tcPr>
                  <w:tcW w:w="1099" w:type="dxa"/>
                  <w:shd w:val="clear" w:color="auto" w:fill="auto"/>
                  <w:noWrap w:val="0"/>
                  <w:vAlign w:val="center"/>
                </w:tcPr>
                <w:p w14:paraId="202D17CD">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w:t>
                  </w:r>
                </w:p>
              </w:tc>
              <w:tc>
                <w:tcPr>
                  <w:tcW w:w="1411" w:type="dxa"/>
                  <w:shd w:val="clear" w:color="auto" w:fill="auto"/>
                  <w:noWrap w:val="0"/>
                  <w:vAlign w:val="center"/>
                </w:tcPr>
                <w:p w14:paraId="6CDACF76">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26.4t/a</w:t>
                  </w:r>
                </w:p>
              </w:tc>
              <w:tc>
                <w:tcPr>
                  <w:tcW w:w="2274" w:type="dxa"/>
                  <w:shd w:val="clear" w:color="auto" w:fill="auto"/>
                  <w:noWrap w:val="0"/>
                  <w:vAlign w:val="center"/>
                </w:tcPr>
                <w:p w14:paraId="0A1DABA9">
                  <w:pPr>
                    <w:bidi w:val="0"/>
                    <w:spacing w:line="240" w:lineRule="auto"/>
                    <w:ind w:firstLine="0" w:firstLineChars="0"/>
                    <w:jc w:val="both"/>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交由环卫部门定期清运处理</w:t>
                  </w:r>
                </w:p>
              </w:tc>
            </w:tr>
            <w:tr w14:paraId="455C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78F527CE">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restart"/>
                  <w:shd w:val="clear" w:color="auto" w:fill="auto"/>
                  <w:noWrap w:val="0"/>
                  <w:vAlign w:val="center"/>
                </w:tcPr>
                <w:p w14:paraId="18F09E49">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一般工业</w:t>
                  </w:r>
                </w:p>
                <w:p w14:paraId="5334C5C2">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固废</w:t>
                  </w:r>
                </w:p>
              </w:tc>
              <w:tc>
                <w:tcPr>
                  <w:tcW w:w="1270" w:type="dxa"/>
                  <w:shd w:val="clear" w:color="auto" w:fill="auto"/>
                  <w:noWrap w:val="0"/>
                  <w:vAlign w:val="center"/>
                </w:tcPr>
                <w:p w14:paraId="7743191F">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金属废料</w:t>
                  </w:r>
                </w:p>
              </w:tc>
              <w:tc>
                <w:tcPr>
                  <w:tcW w:w="1099" w:type="dxa"/>
                  <w:shd w:val="clear" w:color="auto" w:fill="auto"/>
                  <w:noWrap w:val="0"/>
                  <w:vAlign w:val="center"/>
                </w:tcPr>
                <w:p w14:paraId="4E315D8E">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w:t>
                  </w:r>
                </w:p>
              </w:tc>
              <w:tc>
                <w:tcPr>
                  <w:tcW w:w="1411" w:type="dxa"/>
                  <w:shd w:val="clear" w:color="auto" w:fill="auto"/>
                  <w:noWrap w:val="0"/>
                  <w:vAlign w:val="center"/>
                </w:tcPr>
                <w:p w14:paraId="2AF7998F">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5t/a</w:t>
                  </w:r>
                </w:p>
              </w:tc>
              <w:tc>
                <w:tcPr>
                  <w:tcW w:w="2274" w:type="dxa"/>
                  <w:vMerge w:val="restart"/>
                  <w:shd w:val="clear" w:color="auto" w:fill="auto"/>
                  <w:noWrap w:val="0"/>
                  <w:vAlign w:val="center"/>
                </w:tcPr>
                <w:p w14:paraId="0F3201D0">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出售给物资公司回收</w:t>
                  </w:r>
                </w:p>
              </w:tc>
            </w:tr>
            <w:tr w14:paraId="18CB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6A04D6C0">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6D8A084C">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shd w:val="clear" w:color="auto" w:fill="auto"/>
                  <w:noWrap w:val="0"/>
                  <w:vAlign w:val="center"/>
                </w:tcPr>
                <w:p w14:paraId="00EA29D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焊接残渣</w:t>
                  </w:r>
                </w:p>
              </w:tc>
              <w:tc>
                <w:tcPr>
                  <w:tcW w:w="1099" w:type="dxa"/>
                  <w:shd w:val="clear" w:color="auto" w:fill="auto"/>
                  <w:noWrap w:val="0"/>
                  <w:vAlign w:val="center"/>
                </w:tcPr>
                <w:p w14:paraId="65E50131">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w:t>
                  </w:r>
                </w:p>
              </w:tc>
              <w:tc>
                <w:tcPr>
                  <w:tcW w:w="1411" w:type="dxa"/>
                  <w:shd w:val="clear" w:color="auto" w:fill="auto"/>
                  <w:noWrap w:val="0"/>
                  <w:vAlign w:val="center"/>
                </w:tcPr>
                <w:p w14:paraId="2FB487FE">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5t/a</w:t>
                  </w:r>
                </w:p>
              </w:tc>
              <w:tc>
                <w:tcPr>
                  <w:tcW w:w="2274" w:type="dxa"/>
                  <w:vMerge w:val="continue"/>
                  <w:shd w:val="clear" w:color="auto" w:fill="auto"/>
                  <w:noWrap w:val="0"/>
                  <w:vAlign w:val="center"/>
                </w:tcPr>
                <w:p w14:paraId="727E334F">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347A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78448227">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3B0842D7">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shd w:val="clear" w:color="auto" w:fill="auto"/>
                  <w:noWrap w:val="0"/>
                  <w:vAlign w:val="center"/>
                </w:tcPr>
                <w:p w14:paraId="449BEBAA">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废弃包装物</w:t>
                  </w:r>
                </w:p>
              </w:tc>
              <w:tc>
                <w:tcPr>
                  <w:tcW w:w="1099" w:type="dxa"/>
                  <w:shd w:val="clear" w:color="auto" w:fill="auto"/>
                  <w:noWrap w:val="0"/>
                  <w:vAlign w:val="center"/>
                </w:tcPr>
                <w:p w14:paraId="1267FBE6">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w:t>
                  </w:r>
                </w:p>
              </w:tc>
              <w:tc>
                <w:tcPr>
                  <w:tcW w:w="1411" w:type="dxa"/>
                  <w:shd w:val="clear" w:color="auto" w:fill="auto"/>
                  <w:noWrap w:val="0"/>
                  <w:vAlign w:val="center"/>
                </w:tcPr>
                <w:p w14:paraId="080933CF">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2t/a</w:t>
                  </w:r>
                </w:p>
              </w:tc>
              <w:tc>
                <w:tcPr>
                  <w:tcW w:w="2274" w:type="dxa"/>
                  <w:vMerge w:val="continue"/>
                  <w:shd w:val="clear" w:color="auto" w:fill="auto"/>
                  <w:noWrap w:val="0"/>
                  <w:vAlign w:val="center"/>
                </w:tcPr>
                <w:p w14:paraId="435F9B63">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03E5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3D947124">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restart"/>
                  <w:shd w:val="clear" w:color="auto" w:fill="auto"/>
                  <w:noWrap w:val="0"/>
                  <w:vAlign w:val="center"/>
                </w:tcPr>
                <w:p w14:paraId="0321867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危险废物</w:t>
                  </w:r>
                </w:p>
              </w:tc>
              <w:tc>
                <w:tcPr>
                  <w:tcW w:w="1270" w:type="dxa"/>
                  <w:shd w:val="clear" w:color="auto" w:fill="auto"/>
                  <w:noWrap w:val="0"/>
                  <w:vAlign w:val="center"/>
                </w:tcPr>
                <w:p w14:paraId="48AD285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废机油</w:t>
                  </w:r>
                </w:p>
              </w:tc>
              <w:tc>
                <w:tcPr>
                  <w:tcW w:w="1099" w:type="dxa"/>
                  <w:shd w:val="clear" w:color="auto" w:fill="auto"/>
                  <w:noWrap w:val="0"/>
                  <w:vAlign w:val="center"/>
                </w:tcPr>
                <w:p w14:paraId="742DBDFC">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w:t>
                  </w:r>
                </w:p>
              </w:tc>
              <w:tc>
                <w:tcPr>
                  <w:tcW w:w="1411" w:type="dxa"/>
                  <w:shd w:val="clear" w:color="auto" w:fill="auto"/>
                  <w:noWrap w:val="0"/>
                  <w:vAlign w:val="center"/>
                </w:tcPr>
                <w:p w14:paraId="197869E8">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0.5t/a</w:t>
                  </w:r>
                </w:p>
              </w:tc>
              <w:tc>
                <w:tcPr>
                  <w:tcW w:w="2274" w:type="dxa"/>
                  <w:vMerge w:val="restart"/>
                  <w:shd w:val="clear" w:color="auto" w:fill="auto"/>
                  <w:noWrap w:val="0"/>
                  <w:vAlign w:val="center"/>
                </w:tcPr>
                <w:p w14:paraId="7560D4ED">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交由相应类别危险废物处理资质单位处理</w:t>
                  </w:r>
                </w:p>
              </w:tc>
            </w:tr>
            <w:tr w14:paraId="5BE8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0" w:type="dxa"/>
                  <w:vMerge w:val="continue"/>
                  <w:shd w:val="clear" w:color="auto" w:fill="auto"/>
                  <w:noWrap w:val="0"/>
                  <w:vAlign w:val="center"/>
                </w:tcPr>
                <w:p w14:paraId="2F9E4C4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011DAD57">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shd w:val="clear" w:color="auto" w:fill="auto"/>
                  <w:noWrap w:val="0"/>
                  <w:vAlign w:val="center"/>
                </w:tcPr>
                <w:p w14:paraId="3183721D">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废乳化液</w:t>
                  </w:r>
                </w:p>
              </w:tc>
              <w:tc>
                <w:tcPr>
                  <w:tcW w:w="1099" w:type="dxa"/>
                  <w:shd w:val="clear" w:color="auto" w:fill="auto"/>
                  <w:noWrap w:val="0"/>
                  <w:vAlign w:val="center"/>
                </w:tcPr>
                <w:p w14:paraId="2A42D17A">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w:t>
                  </w:r>
                </w:p>
              </w:tc>
              <w:tc>
                <w:tcPr>
                  <w:tcW w:w="1411" w:type="dxa"/>
                  <w:shd w:val="clear" w:color="auto" w:fill="auto"/>
                  <w:noWrap w:val="0"/>
                  <w:vAlign w:val="center"/>
                </w:tcPr>
                <w:p w14:paraId="1FA214A7">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0.1t/a</w:t>
                  </w:r>
                </w:p>
              </w:tc>
              <w:tc>
                <w:tcPr>
                  <w:tcW w:w="2274" w:type="dxa"/>
                  <w:vMerge w:val="continue"/>
                  <w:shd w:val="clear" w:color="auto" w:fill="auto"/>
                  <w:noWrap w:val="0"/>
                  <w:vAlign w:val="center"/>
                </w:tcPr>
                <w:p w14:paraId="1D3405D5">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r w14:paraId="1287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010" w:type="dxa"/>
                  <w:vMerge w:val="continue"/>
                  <w:shd w:val="clear" w:color="auto" w:fill="auto"/>
                  <w:noWrap w:val="0"/>
                  <w:vAlign w:val="center"/>
                </w:tcPr>
                <w:p w14:paraId="3522B4D4">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104" w:type="dxa"/>
                  <w:vMerge w:val="continue"/>
                  <w:shd w:val="clear" w:color="auto" w:fill="auto"/>
                  <w:noWrap w:val="0"/>
                  <w:vAlign w:val="center"/>
                </w:tcPr>
                <w:p w14:paraId="485FAB1D">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c>
                <w:tcPr>
                  <w:tcW w:w="1270" w:type="dxa"/>
                  <w:shd w:val="clear" w:color="auto" w:fill="auto"/>
                  <w:noWrap w:val="0"/>
                  <w:vAlign w:val="center"/>
                </w:tcPr>
                <w:p w14:paraId="5BFA2F3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含油废棉纱、废油布</w:t>
                  </w:r>
                </w:p>
              </w:tc>
              <w:tc>
                <w:tcPr>
                  <w:tcW w:w="1099" w:type="dxa"/>
                  <w:shd w:val="clear" w:color="auto" w:fill="auto"/>
                  <w:noWrap w:val="0"/>
                  <w:vAlign w:val="center"/>
                </w:tcPr>
                <w:p w14:paraId="13E56F6D">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w:t>
                  </w:r>
                </w:p>
              </w:tc>
              <w:tc>
                <w:tcPr>
                  <w:tcW w:w="1411" w:type="dxa"/>
                  <w:shd w:val="clear" w:color="auto" w:fill="auto"/>
                  <w:noWrap w:val="0"/>
                  <w:vAlign w:val="center"/>
                </w:tcPr>
                <w:p w14:paraId="5DB2B5DB">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0.1t/a</w:t>
                  </w:r>
                </w:p>
              </w:tc>
              <w:tc>
                <w:tcPr>
                  <w:tcW w:w="2274" w:type="dxa"/>
                  <w:vMerge w:val="continue"/>
                  <w:shd w:val="clear" w:color="auto" w:fill="auto"/>
                  <w:noWrap w:val="0"/>
                  <w:vAlign w:val="center"/>
                </w:tcPr>
                <w:p w14:paraId="070E0E90">
                  <w:pPr>
                    <w:bidi w:val="0"/>
                    <w:spacing w:line="240" w:lineRule="auto"/>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p>
              </w:tc>
            </w:tr>
          </w:tbl>
          <w:p w14:paraId="1B6B3D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8.7</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现有项目</w:t>
            </w:r>
            <w:r>
              <w:rPr>
                <w:rFonts w:hint="eastAsia" w:eastAsia="黑体" w:cs="Times New Roman"/>
                <w:color w:val="000000" w:themeColor="text1"/>
                <w:sz w:val="24"/>
                <w:szCs w:val="24"/>
                <w:u w:val="single"/>
                <w:vertAlign w:val="baseline"/>
                <w:lang w:val="en-US" w:eastAsia="zh-CN"/>
                <w14:textFill>
                  <w14:solidFill>
                    <w14:schemeClr w14:val="tx1"/>
                  </w14:solidFill>
                </w14:textFill>
              </w:rPr>
              <w:t>环评批复执行情况</w:t>
            </w:r>
          </w:p>
          <w:p w14:paraId="335F9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现有项目环评批复执行情况详见下表2-2</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p>
          <w:p w14:paraId="3A2E99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表2-2</w:t>
            </w:r>
            <w:r>
              <w:rPr>
                <w:rFonts w:hint="eastAsia"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 xml:space="preserve"> 现有项目环评批复执行情况一览表</w:t>
            </w:r>
          </w:p>
          <w:tbl>
            <w:tblPr>
              <w:tblStyle w:val="8"/>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2316"/>
              <w:gridCol w:w="2400"/>
              <w:gridCol w:w="2328"/>
              <w:gridCol w:w="675"/>
            </w:tblGrid>
            <w:tr w14:paraId="0B46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restart"/>
                  <w:vAlign w:val="center"/>
                </w:tcPr>
                <w:p w14:paraId="40543E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序号</w:t>
                  </w:r>
                </w:p>
              </w:tc>
              <w:tc>
                <w:tcPr>
                  <w:tcW w:w="4716" w:type="dxa"/>
                  <w:gridSpan w:val="2"/>
                  <w:tcBorders>
                    <w:right w:val="single" w:color="000000" w:sz="8" w:space="0"/>
                  </w:tcBorders>
                  <w:vAlign w:val="center"/>
                </w:tcPr>
                <w:p w14:paraId="44F0BF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批复要求</w:t>
                  </w:r>
                </w:p>
              </w:tc>
              <w:tc>
                <w:tcPr>
                  <w:tcW w:w="2328" w:type="dxa"/>
                  <w:vMerge w:val="restart"/>
                  <w:tcBorders>
                    <w:left w:val="single" w:color="000000" w:sz="8" w:space="0"/>
                  </w:tcBorders>
                  <w:vAlign w:val="center"/>
                </w:tcPr>
                <w:p w14:paraId="4E333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现有项目</w:t>
                  </w:r>
                </w:p>
              </w:tc>
              <w:tc>
                <w:tcPr>
                  <w:tcW w:w="675" w:type="dxa"/>
                  <w:vMerge w:val="restart"/>
                  <w:vAlign w:val="center"/>
                </w:tcPr>
                <w:p w14:paraId="3D8722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落实情况</w:t>
                  </w:r>
                </w:p>
              </w:tc>
            </w:tr>
            <w:tr w14:paraId="5812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3E1E01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2316" w:type="dxa"/>
                  <w:vAlign w:val="center"/>
                </w:tcPr>
                <w:p w14:paraId="1789B3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怀环审﹝2014﹞98号</w:t>
                  </w:r>
                </w:p>
              </w:tc>
              <w:tc>
                <w:tcPr>
                  <w:tcW w:w="2400" w:type="dxa"/>
                  <w:tcBorders>
                    <w:right w:val="single" w:color="000000" w:sz="8" w:space="0"/>
                  </w:tcBorders>
                  <w:vAlign w:val="center"/>
                </w:tcPr>
                <w:p w14:paraId="608FD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怀环审﹝2016﹞68号</w:t>
                  </w:r>
                </w:p>
              </w:tc>
              <w:tc>
                <w:tcPr>
                  <w:tcW w:w="2328" w:type="dxa"/>
                  <w:vMerge w:val="continue"/>
                  <w:tcBorders>
                    <w:left w:val="single" w:color="000000" w:sz="8" w:space="0"/>
                  </w:tcBorders>
                  <w:vAlign w:val="center"/>
                </w:tcPr>
                <w:p w14:paraId="027DDD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75" w:type="dxa"/>
                  <w:vMerge w:val="continue"/>
                  <w:vAlign w:val="center"/>
                </w:tcPr>
                <w:p w14:paraId="087996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r>
            <w:tr w14:paraId="0971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Align w:val="center"/>
                </w:tcPr>
                <w:p w14:paraId="72B5A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w:t>
                  </w:r>
                </w:p>
              </w:tc>
              <w:tc>
                <w:tcPr>
                  <w:tcW w:w="2316" w:type="dxa"/>
                  <w:vAlign w:val="center"/>
                </w:tcPr>
                <w:p w14:paraId="17B0B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按“雨污分流，清污分流”的原则布设厂区排水管网，本项目主要为生活污水，生活污水经厂内地埋式污水预处理设施处理达到《污水综合排放标准》(GB8978-1996)中一级标准后排入水田垅溪。</w:t>
                  </w:r>
                </w:p>
              </w:tc>
              <w:tc>
                <w:tcPr>
                  <w:tcW w:w="2400" w:type="dxa"/>
                  <w:tcBorders>
                    <w:right w:val="single" w:color="000000" w:sz="8" w:space="0"/>
                  </w:tcBorders>
                  <w:vAlign w:val="center"/>
                </w:tcPr>
                <w:p w14:paraId="1A7C7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按“雨污分流，清污分流”的原则布设厂区排水管网，本项目主要为生活污水，生活污水经厂内地埋式污水预处理设施处理达到《污水综合排放标准》(GB8978-1996)中一级标准后排入水田垅溪。</w:t>
                  </w:r>
                </w:p>
              </w:tc>
              <w:tc>
                <w:tcPr>
                  <w:tcW w:w="2328" w:type="dxa"/>
                  <w:tcBorders>
                    <w:left w:val="single" w:color="000000" w:sz="8" w:space="0"/>
                  </w:tcBorders>
                  <w:vAlign w:val="center"/>
                </w:tcPr>
                <w:p w14:paraId="7B2863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现有项目厂区已实行“雨污分流”，生活污水经污水处理设施处理后，可达标排放</w:t>
                  </w:r>
                </w:p>
              </w:tc>
              <w:tc>
                <w:tcPr>
                  <w:tcW w:w="675" w:type="dxa"/>
                  <w:vAlign w:val="center"/>
                </w:tcPr>
                <w:p w14:paraId="0D8EE1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1E4F33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55261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51E4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Align w:val="center"/>
                </w:tcPr>
                <w:p w14:paraId="5B73E8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w:t>
                  </w:r>
                </w:p>
              </w:tc>
              <w:tc>
                <w:tcPr>
                  <w:tcW w:w="2316" w:type="dxa"/>
                  <w:vAlign w:val="center"/>
                </w:tcPr>
                <w:p w14:paraId="0DB599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实各项固废处置措施，确保垃圾及时清运。加工机械废油、废乳化液等危险废物，应设置临时贮存场所，厂内暂存执行《危险废物贮存污染控制标准》,交由有资质的单位回收处置。金属废料和废气包装物外售，生活垃圾由环卫部门统一清运。</w:t>
                  </w:r>
                </w:p>
              </w:tc>
              <w:tc>
                <w:tcPr>
                  <w:tcW w:w="2400" w:type="dxa"/>
                  <w:tcBorders>
                    <w:right w:val="single" w:color="000000" w:sz="8" w:space="0"/>
                  </w:tcBorders>
                  <w:vAlign w:val="center"/>
                </w:tcPr>
                <w:p w14:paraId="0E87310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实各项固废处置措施，确保垃圾及时清运。加工机械废油、废乳化液等危险废物，应设置临时贮存场所，厂内暂存执行《危险废物贮存污染控制标准》,交由有资质的单位回收处置。金属废料和废弃包装物外售，生活垃圾由环卫部门统一清运。</w:t>
                  </w:r>
                </w:p>
              </w:tc>
              <w:tc>
                <w:tcPr>
                  <w:tcW w:w="2328" w:type="dxa"/>
                  <w:tcBorders>
                    <w:left w:val="single" w:color="000000" w:sz="8" w:space="0"/>
                  </w:tcBorders>
                  <w:vAlign w:val="center"/>
                </w:tcPr>
                <w:p w14:paraId="75406A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现有项目生活垃圾交由环卫部门统一清运；</w:t>
                  </w:r>
                </w:p>
                <w:p w14:paraId="1E118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一般工业固废出售给物资公司回收；</w:t>
                  </w:r>
                </w:p>
                <w:p w14:paraId="07743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危险废物经分类收集暂存于危废暂存间，定期交由有危险废物处理资质的单位处理</w:t>
                  </w:r>
                </w:p>
              </w:tc>
              <w:tc>
                <w:tcPr>
                  <w:tcW w:w="675" w:type="dxa"/>
                  <w:vAlign w:val="center"/>
                </w:tcPr>
                <w:p w14:paraId="7575E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699D8F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64266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6644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Align w:val="center"/>
                </w:tcPr>
                <w:p w14:paraId="1D4D7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3</w:t>
                  </w:r>
                </w:p>
              </w:tc>
              <w:tc>
                <w:tcPr>
                  <w:tcW w:w="2316" w:type="dxa"/>
                  <w:shd w:val="clear" w:color="auto" w:fill="auto"/>
                  <w:vAlign w:val="center"/>
                </w:tcPr>
                <w:p w14:paraId="4F7F4B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加工车间设置风机、高效排风扇等通风设备，减轻生产过程中产生的烟尘和有毒气体对操作工人的危害。焊接烟气通过移动式烟尘净化器处理后达到《大气污染物综合排放标准》(GB16297-1996)中表2之二级标准后经车间内的吸风排风装置高空排放，食堂油烟经油烟净化设施处理达标后由屋顶高空排放。</w:t>
                  </w:r>
                </w:p>
              </w:tc>
              <w:tc>
                <w:tcPr>
                  <w:tcW w:w="2400" w:type="dxa"/>
                  <w:tcBorders>
                    <w:right w:val="single" w:color="000000" w:sz="8" w:space="0"/>
                  </w:tcBorders>
                  <w:shd w:val="clear" w:color="auto" w:fill="auto"/>
                  <w:vAlign w:val="center"/>
                </w:tcPr>
                <w:p w14:paraId="6775DCF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黑体" w:cs="Times New Roman"/>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加工车间设置风机、高效排风扇等通风设备，减轻生产过程中产生的烟尘和有毒气体对操作工人的危害。焊接烟气通过移动式烟尘净化器处理后达到《大气污染物综合排放标准》(GB16297-1996)中表2之二级标准后经车间内的吸风排风装置高空排放，食堂油烟经油烟净化设施处理达标后由屋顶高空排放。</w:t>
                  </w:r>
                </w:p>
              </w:tc>
              <w:tc>
                <w:tcPr>
                  <w:tcW w:w="2328" w:type="dxa"/>
                  <w:tcBorders>
                    <w:left w:val="single" w:color="000000" w:sz="8" w:space="0"/>
                  </w:tcBorders>
                  <w:vAlign w:val="center"/>
                </w:tcPr>
                <w:p w14:paraId="732429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现有项目焊接烟尘经移动式焊烟净化器处理达到《大气污染物综合排放标准》（GB16297-1996）中表2无组织排放监控浓度限值标准后，通过整体车间的吸风排风装置排放；食堂油烟经油烟净化设施处理达标后由屋顶高空排放。</w:t>
                  </w:r>
                </w:p>
              </w:tc>
              <w:tc>
                <w:tcPr>
                  <w:tcW w:w="675" w:type="dxa"/>
                  <w:vAlign w:val="center"/>
                </w:tcPr>
                <w:p w14:paraId="71EE02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0ACA2E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7D0E6E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604D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Align w:val="center"/>
                </w:tcPr>
                <w:p w14:paraId="5A5B4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4</w:t>
                  </w:r>
                </w:p>
              </w:tc>
              <w:tc>
                <w:tcPr>
                  <w:tcW w:w="2316" w:type="dxa"/>
                  <w:vAlign w:val="center"/>
                </w:tcPr>
                <w:p w14:paraId="667FD8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加强厂界绿化，厂区噪声源应合理布局，对高噪设备采取消声、减振、隔音措施，确保噪声达标排放。</w:t>
                  </w:r>
                </w:p>
              </w:tc>
              <w:tc>
                <w:tcPr>
                  <w:tcW w:w="2400" w:type="dxa"/>
                  <w:tcBorders>
                    <w:right w:val="single" w:color="000000" w:sz="8" w:space="0"/>
                  </w:tcBorders>
                  <w:vAlign w:val="center"/>
                </w:tcPr>
                <w:p w14:paraId="4F4521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加强厂界绿化，厂区噪声源应合理布局，对高噪设备采取消声、减振、隔音措施，确保噪声达标排放。</w:t>
                  </w:r>
                </w:p>
              </w:tc>
              <w:tc>
                <w:tcPr>
                  <w:tcW w:w="2328" w:type="dxa"/>
                  <w:tcBorders>
                    <w:left w:val="single" w:color="000000" w:sz="8" w:space="0"/>
                  </w:tcBorders>
                  <w:vAlign w:val="center"/>
                </w:tcPr>
                <w:p w14:paraId="1B3C13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现有项目已加强厂区绿化建设，车间设备噪声源已合理布局，确保厂界噪声达标</w:t>
                  </w:r>
                </w:p>
              </w:tc>
              <w:tc>
                <w:tcPr>
                  <w:tcW w:w="675" w:type="dxa"/>
                  <w:vAlign w:val="center"/>
                </w:tcPr>
                <w:p w14:paraId="4EDE2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3D4DA7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1DD66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58DB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481" w:type="dxa"/>
                  <w:vAlign w:val="center"/>
                </w:tcPr>
                <w:p w14:paraId="6375C5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5</w:t>
                  </w:r>
                </w:p>
              </w:tc>
              <w:tc>
                <w:tcPr>
                  <w:tcW w:w="2316" w:type="dxa"/>
                  <w:vAlign w:val="center"/>
                </w:tcPr>
                <w:p w14:paraId="4682070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严格落实《报告表》提出的风险防范措施。加强环保设施管理和日常维护，严防事故发生。</w:t>
                  </w:r>
                </w:p>
              </w:tc>
              <w:tc>
                <w:tcPr>
                  <w:tcW w:w="2400" w:type="dxa"/>
                  <w:tcBorders>
                    <w:right w:val="single" w:color="000000" w:sz="8" w:space="0"/>
                  </w:tcBorders>
                  <w:vAlign w:val="center"/>
                </w:tcPr>
                <w:p w14:paraId="1BA15F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严格落实《报告表》提出的风险防范措施。加强环保设施管理和日常维护，严防事故发生。</w:t>
                  </w:r>
                </w:p>
              </w:tc>
              <w:tc>
                <w:tcPr>
                  <w:tcW w:w="2328" w:type="dxa"/>
                  <w:tcBorders>
                    <w:left w:val="single" w:color="000000" w:sz="8" w:space="0"/>
                  </w:tcBorders>
                  <w:vAlign w:val="center"/>
                </w:tcPr>
                <w:p w14:paraId="71C0D5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现有项目已严格落实《报告表》及批复提成的风险防范措施，已经制定完善的环保管理制度，防范事故发生</w:t>
                  </w:r>
                </w:p>
              </w:tc>
              <w:tc>
                <w:tcPr>
                  <w:tcW w:w="675" w:type="dxa"/>
                  <w:vAlign w:val="center"/>
                </w:tcPr>
                <w:p w14:paraId="40C3D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550717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73CB6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bl>
          <w:p w14:paraId="28B99D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8.8</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现有项目</w:t>
            </w:r>
            <w:r>
              <w:rPr>
                <w:rFonts w:hint="eastAsia" w:eastAsia="黑体" w:cs="Times New Roman"/>
                <w:color w:val="000000" w:themeColor="text1"/>
                <w:sz w:val="24"/>
                <w:szCs w:val="24"/>
                <w:u w:val="single"/>
                <w:vertAlign w:val="baseline"/>
                <w:lang w:val="en-US" w:eastAsia="zh-CN"/>
                <w14:textFill>
                  <w14:solidFill>
                    <w14:schemeClr w14:val="tx1"/>
                  </w14:solidFill>
                </w14:textFill>
              </w:rPr>
              <w:t>污染防治措施及“三同时”</w:t>
            </w:r>
          </w:p>
          <w:p w14:paraId="3E6825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w:t>
            </w:r>
            <w:r>
              <w:rPr>
                <w:rFonts w:hint="eastAsia" w:cs="Times New Roman"/>
                <w:color w:val="000000" w:themeColor="text1"/>
                <w:sz w:val="24"/>
                <w:szCs w:val="24"/>
                <w:u w:val="single"/>
                <w:vertAlign w:val="baseline"/>
                <w:lang w:val="en-US" w:eastAsia="zh-CN"/>
                <w14:textFill>
                  <w14:solidFill>
                    <w14:schemeClr w14:val="tx1"/>
                  </w14:solidFill>
                </w14:textFill>
              </w:rPr>
              <w:t>污染治理措施及“三同时”落实情况</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详见下表2-2</w:t>
            </w:r>
            <w:r>
              <w:rPr>
                <w:rFonts w:hint="eastAsia" w:cs="Times New Roman"/>
                <w:color w:val="000000" w:themeColor="text1"/>
                <w:sz w:val="24"/>
                <w:szCs w:val="24"/>
                <w:u w:val="single"/>
                <w:vertAlign w:val="baseli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p>
          <w:p w14:paraId="26F405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表2-26 现有项目污染治理措施及“三同时”落实情况一览表</w:t>
            </w:r>
          </w:p>
          <w:tbl>
            <w:tblPr>
              <w:tblStyle w:val="8"/>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636"/>
              <w:gridCol w:w="1056"/>
              <w:gridCol w:w="1944"/>
              <w:gridCol w:w="1308"/>
              <w:gridCol w:w="2172"/>
              <w:gridCol w:w="687"/>
            </w:tblGrid>
            <w:tr w14:paraId="6AB4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restart"/>
                  <w:vAlign w:val="center"/>
                </w:tcPr>
                <w:p w14:paraId="6B37B2F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序号</w:t>
                  </w:r>
                </w:p>
              </w:tc>
              <w:tc>
                <w:tcPr>
                  <w:tcW w:w="7116" w:type="dxa"/>
                  <w:gridSpan w:val="5"/>
                  <w:vAlign w:val="center"/>
                </w:tcPr>
                <w:p w14:paraId="1A3A0F3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验收内容</w:t>
                  </w:r>
                </w:p>
              </w:tc>
              <w:tc>
                <w:tcPr>
                  <w:tcW w:w="687" w:type="dxa"/>
                  <w:vMerge w:val="restart"/>
                  <w:vAlign w:val="center"/>
                </w:tcPr>
                <w:p w14:paraId="127BDC4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落实情况</w:t>
                  </w:r>
                </w:p>
              </w:tc>
            </w:tr>
            <w:tr w14:paraId="2341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14:paraId="650BC61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36" w:type="dxa"/>
                  <w:vAlign w:val="center"/>
                </w:tcPr>
                <w:p w14:paraId="2B45193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类别</w:t>
                  </w:r>
                </w:p>
              </w:tc>
              <w:tc>
                <w:tcPr>
                  <w:tcW w:w="3000" w:type="dxa"/>
                  <w:gridSpan w:val="2"/>
                  <w:tcBorders>
                    <w:right w:val="single" w:color="000000" w:sz="8" w:space="0"/>
                  </w:tcBorders>
                  <w:vAlign w:val="center"/>
                </w:tcPr>
                <w:p w14:paraId="7B8F2AD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处理措施</w:t>
                  </w:r>
                </w:p>
              </w:tc>
              <w:tc>
                <w:tcPr>
                  <w:tcW w:w="1308" w:type="dxa"/>
                  <w:tcBorders>
                    <w:left w:val="single" w:color="000000" w:sz="8" w:space="0"/>
                  </w:tcBorders>
                  <w:vAlign w:val="center"/>
                </w:tcPr>
                <w:p w14:paraId="78ABE46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监测因子</w:t>
                  </w:r>
                </w:p>
              </w:tc>
              <w:tc>
                <w:tcPr>
                  <w:tcW w:w="2172" w:type="dxa"/>
                  <w:vAlign w:val="center"/>
                </w:tcPr>
                <w:p w14:paraId="285B610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验收标准</w:t>
                  </w:r>
                </w:p>
              </w:tc>
              <w:tc>
                <w:tcPr>
                  <w:tcW w:w="687" w:type="dxa"/>
                  <w:vMerge w:val="continue"/>
                  <w:vAlign w:val="center"/>
                </w:tcPr>
                <w:p w14:paraId="5ADEA8F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r>
            <w:tr w14:paraId="2C35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11241FE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1</w:t>
                  </w:r>
                </w:p>
              </w:tc>
              <w:tc>
                <w:tcPr>
                  <w:tcW w:w="636" w:type="dxa"/>
                  <w:vAlign w:val="center"/>
                </w:tcPr>
                <w:p w14:paraId="51B5AB2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废水</w:t>
                  </w:r>
                </w:p>
              </w:tc>
              <w:tc>
                <w:tcPr>
                  <w:tcW w:w="3000" w:type="dxa"/>
                  <w:gridSpan w:val="2"/>
                  <w:tcBorders>
                    <w:right w:val="single" w:color="000000" w:sz="8" w:space="0"/>
                  </w:tcBorders>
                  <w:vAlign w:val="center"/>
                </w:tcPr>
                <w:p w14:paraId="1D8B11C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生活污水地埋式污水处理设施</w:t>
                  </w:r>
                </w:p>
              </w:tc>
              <w:tc>
                <w:tcPr>
                  <w:tcW w:w="1308" w:type="dxa"/>
                  <w:tcBorders>
                    <w:left w:val="single" w:color="000000" w:sz="8" w:space="0"/>
                  </w:tcBorders>
                  <w:vAlign w:val="center"/>
                </w:tcPr>
                <w:p w14:paraId="53683B1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BOD</w:t>
                  </w:r>
                  <w:r>
                    <w:rPr>
                      <w:rFonts w:hint="default" w:ascii="Times New Roman" w:hAnsi="Times New Roman" w:eastAsia="黑体" w:cs="Times New Roman"/>
                      <w:color w:val="000000" w:themeColor="text1"/>
                      <w:sz w:val="21"/>
                      <w:szCs w:val="21"/>
                      <w:u w:val="single"/>
                      <w:vertAlign w:val="subscript"/>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、CODcr、SS、NH</w:t>
                  </w:r>
                  <w:r>
                    <w:rPr>
                      <w:rFonts w:hint="default" w:ascii="Times New Roman" w:hAnsi="Times New Roman" w:eastAsia="黑体" w:cs="Times New Roman"/>
                      <w:color w:val="000000" w:themeColor="text1"/>
                      <w:sz w:val="21"/>
                      <w:szCs w:val="21"/>
                      <w:u w:val="single"/>
                      <w:vertAlign w:val="subscript"/>
                      <w:lang w:val="en-US" w:eastAsia="zh-CN"/>
                      <w14:textFill>
                        <w14:solidFill>
                          <w14:schemeClr w14:val="tx1"/>
                        </w14:solidFill>
                      </w14:textFill>
                    </w:rPr>
                    <w:t>3</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-N等</w:t>
                  </w:r>
                </w:p>
              </w:tc>
              <w:tc>
                <w:tcPr>
                  <w:tcW w:w="2172" w:type="dxa"/>
                  <w:vAlign w:val="center"/>
                </w:tcPr>
                <w:p w14:paraId="6DEC490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《污水综合排放标准》（GB8978-1996）中一级标准</w:t>
                  </w:r>
                </w:p>
              </w:tc>
              <w:tc>
                <w:tcPr>
                  <w:tcW w:w="687" w:type="dxa"/>
                  <w:vAlign w:val="center"/>
                </w:tcPr>
                <w:p w14:paraId="22C4649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65D2F0C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62075B7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016E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restart"/>
                  <w:vAlign w:val="center"/>
                </w:tcPr>
                <w:p w14:paraId="4B13376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w:t>
                  </w:r>
                </w:p>
              </w:tc>
              <w:tc>
                <w:tcPr>
                  <w:tcW w:w="636" w:type="dxa"/>
                  <w:vMerge w:val="restart"/>
                  <w:vAlign w:val="center"/>
                </w:tcPr>
                <w:p w14:paraId="0DE2242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w:t>
                  </w:r>
                </w:p>
              </w:tc>
              <w:tc>
                <w:tcPr>
                  <w:tcW w:w="1056" w:type="dxa"/>
                  <w:vAlign w:val="center"/>
                </w:tcPr>
                <w:p w14:paraId="41D7B83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焊接烟尘</w:t>
                  </w:r>
                </w:p>
              </w:tc>
              <w:tc>
                <w:tcPr>
                  <w:tcW w:w="1944" w:type="dxa"/>
                  <w:tcBorders>
                    <w:right w:val="single" w:color="000000" w:sz="8" w:space="0"/>
                  </w:tcBorders>
                  <w:vAlign w:val="center"/>
                </w:tcPr>
                <w:p w14:paraId="25517A0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移动式焊烟净化器</w:t>
                  </w:r>
                </w:p>
              </w:tc>
              <w:tc>
                <w:tcPr>
                  <w:tcW w:w="1308" w:type="dxa"/>
                  <w:tcBorders>
                    <w:left w:val="single" w:color="000000" w:sz="8" w:space="0"/>
                  </w:tcBorders>
                  <w:vAlign w:val="center"/>
                </w:tcPr>
                <w:p w14:paraId="7F18787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烟尘</w:t>
                  </w:r>
                </w:p>
              </w:tc>
              <w:tc>
                <w:tcPr>
                  <w:tcW w:w="2172" w:type="dxa"/>
                  <w:vAlign w:val="center"/>
                </w:tcPr>
                <w:p w14:paraId="2CC05B5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《大气污染物综合排放标准》（GB16297-1996）中表2无组织排放监控浓度限值标准</w:t>
                  </w:r>
                </w:p>
              </w:tc>
              <w:tc>
                <w:tcPr>
                  <w:tcW w:w="687" w:type="dxa"/>
                  <w:vAlign w:val="center"/>
                </w:tcPr>
                <w:p w14:paraId="2432397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0B0BD6D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28B20AC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248D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14:paraId="38E450C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36" w:type="dxa"/>
                  <w:vMerge w:val="continue"/>
                  <w:vAlign w:val="center"/>
                </w:tcPr>
                <w:p w14:paraId="66B60DC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56" w:type="dxa"/>
                  <w:vAlign w:val="center"/>
                </w:tcPr>
                <w:p w14:paraId="47F4A30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食堂油烟</w:t>
                  </w:r>
                </w:p>
              </w:tc>
              <w:tc>
                <w:tcPr>
                  <w:tcW w:w="1944" w:type="dxa"/>
                  <w:tcBorders>
                    <w:right w:val="single" w:color="000000" w:sz="8" w:space="0"/>
                  </w:tcBorders>
                  <w:vAlign w:val="center"/>
                </w:tcPr>
                <w:p w14:paraId="3EF50A4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油烟净化设施</w:t>
                  </w:r>
                </w:p>
              </w:tc>
              <w:tc>
                <w:tcPr>
                  <w:tcW w:w="1308" w:type="dxa"/>
                  <w:tcBorders>
                    <w:left w:val="single" w:color="000000" w:sz="8" w:space="0"/>
                  </w:tcBorders>
                  <w:vAlign w:val="center"/>
                </w:tcPr>
                <w:p w14:paraId="1E749DD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油烟</w:t>
                  </w:r>
                </w:p>
              </w:tc>
              <w:tc>
                <w:tcPr>
                  <w:tcW w:w="2172" w:type="dxa"/>
                  <w:vAlign w:val="center"/>
                </w:tcPr>
                <w:p w14:paraId="0F20F26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《饮食业油烟排放标准》（GB18483-2001）中表2标准</w:t>
                  </w:r>
                </w:p>
              </w:tc>
              <w:tc>
                <w:tcPr>
                  <w:tcW w:w="687" w:type="dxa"/>
                  <w:vAlign w:val="center"/>
                </w:tcPr>
                <w:p w14:paraId="3BDB3AE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5B1C3E0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7EBBA21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0043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55EA195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3</w:t>
                  </w:r>
                </w:p>
              </w:tc>
              <w:tc>
                <w:tcPr>
                  <w:tcW w:w="636" w:type="dxa"/>
                  <w:vAlign w:val="center"/>
                </w:tcPr>
                <w:p w14:paraId="056EF39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噪声</w:t>
                  </w:r>
                </w:p>
              </w:tc>
              <w:tc>
                <w:tcPr>
                  <w:tcW w:w="1056" w:type="dxa"/>
                  <w:vAlign w:val="center"/>
                </w:tcPr>
                <w:p w14:paraId="0574E52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机械噪声</w:t>
                  </w:r>
                </w:p>
              </w:tc>
              <w:tc>
                <w:tcPr>
                  <w:tcW w:w="1944" w:type="dxa"/>
                  <w:tcBorders>
                    <w:right w:val="single" w:color="000000" w:sz="8" w:space="0"/>
                  </w:tcBorders>
                  <w:vAlign w:val="center"/>
                </w:tcPr>
                <w:p w14:paraId="04E92E8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车间合理布局、隔声、消声、减震等措施</w:t>
                  </w:r>
                </w:p>
              </w:tc>
              <w:tc>
                <w:tcPr>
                  <w:tcW w:w="1308" w:type="dxa"/>
                  <w:tcBorders>
                    <w:left w:val="single" w:color="000000" w:sz="8" w:space="0"/>
                  </w:tcBorders>
                  <w:vAlign w:val="center"/>
                </w:tcPr>
                <w:p w14:paraId="28E2553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厂界噪声</w:t>
                  </w:r>
                </w:p>
              </w:tc>
              <w:tc>
                <w:tcPr>
                  <w:tcW w:w="2172" w:type="dxa"/>
                  <w:vAlign w:val="center"/>
                </w:tcPr>
                <w:p w14:paraId="7B73662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《工业企业厂界环境噪声排放标准》（GB12348-2008）中2类、4a类标准要求</w:t>
                  </w:r>
                </w:p>
              </w:tc>
              <w:tc>
                <w:tcPr>
                  <w:tcW w:w="687" w:type="dxa"/>
                  <w:vAlign w:val="center"/>
                </w:tcPr>
                <w:p w14:paraId="74F15D0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42A64D5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5CF3709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7202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97" w:type="dxa"/>
                  <w:vMerge w:val="restart"/>
                  <w:vAlign w:val="center"/>
                </w:tcPr>
                <w:p w14:paraId="54D6DE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4</w:t>
                  </w:r>
                </w:p>
              </w:tc>
              <w:tc>
                <w:tcPr>
                  <w:tcW w:w="636" w:type="dxa"/>
                  <w:vMerge w:val="restart"/>
                  <w:vAlign w:val="center"/>
                </w:tcPr>
                <w:p w14:paraId="4881C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固废</w:t>
                  </w:r>
                </w:p>
              </w:tc>
              <w:tc>
                <w:tcPr>
                  <w:tcW w:w="1056" w:type="dxa"/>
                  <w:vAlign w:val="center"/>
                </w:tcPr>
                <w:p w14:paraId="797DDE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生活垃圾</w:t>
                  </w:r>
                </w:p>
              </w:tc>
              <w:tc>
                <w:tcPr>
                  <w:tcW w:w="3252" w:type="dxa"/>
                  <w:gridSpan w:val="2"/>
                  <w:vAlign w:val="center"/>
                </w:tcPr>
                <w:p w14:paraId="144CA3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环卫部门统一清运</w:t>
                  </w:r>
                </w:p>
              </w:tc>
              <w:tc>
                <w:tcPr>
                  <w:tcW w:w="2172" w:type="dxa"/>
                  <w:vMerge w:val="restart"/>
                  <w:vAlign w:val="center"/>
                </w:tcPr>
                <w:p w14:paraId="3B438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不自行处置，不外排</w:t>
                  </w:r>
                </w:p>
              </w:tc>
              <w:tc>
                <w:tcPr>
                  <w:tcW w:w="687" w:type="dxa"/>
                  <w:vMerge w:val="restart"/>
                  <w:vAlign w:val="center"/>
                </w:tcPr>
                <w:p w14:paraId="77C6FE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已</w:t>
                  </w:r>
                </w:p>
                <w:p w14:paraId="4D1090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w:t>
                  </w:r>
                </w:p>
                <w:p w14:paraId="6EC6F5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实</w:t>
                  </w:r>
                </w:p>
              </w:tc>
            </w:tr>
            <w:tr w14:paraId="1B4B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14:paraId="777951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36" w:type="dxa"/>
                  <w:vMerge w:val="continue"/>
                  <w:vAlign w:val="center"/>
                </w:tcPr>
                <w:p w14:paraId="5D1E6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56" w:type="dxa"/>
                  <w:vAlign w:val="center"/>
                </w:tcPr>
                <w:p w14:paraId="08116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一般工业</w:t>
                  </w:r>
                </w:p>
                <w:p w14:paraId="1302D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固废</w:t>
                  </w:r>
                </w:p>
              </w:tc>
              <w:tc>
                <w:tcPr>
                  <w:tcW w:w="3252" w:type="dxa"/>
                  <w:gridSpan w:val="2"/>
                  <w:vAlign w:val="center"/>
                </w:tcPr>
                <w:p w14:paraId="5E6EC7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出售给物资公司回收</w:t>
                  </w:r>
                </w:p>
              </w:tc>
              <w:tc>
                <w:tcPr>
                  <w:tcW w:w="2172" w:type="dxa"/>
                  <w:vMerge w:val="continue"/>
                  <w:vAlign w:val="center"/>
                </w:tcPr>
                <w:p w14:paraId="6A137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87" w:type="dxa"/>
                  <w:vMerge w:val="continue"/>
                  <w:vAlign w:val="center"/>
                </w:tcPr>
                <w:p w14:paraId="42A25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r>
            <w:tr w14:paraId="6DE2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14:paraId="3A86FE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36" w:type="dxa"/>
                  <w:vMerge w:val="continue"/>
                  <w:vAlign w:val="center"/>
                </w:tcPr>
                <w:p w14:paraId="61AB23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056" w:type="dxa"/>
                  <w:vAlign w:val="center"/>
                </w:tcPr>
                <w:p w14:paraId="52D7FF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危险废物</w:t>
                  </w:r>
                </w:p>
              </w:tc>
              <w:tc>
                <w:tcPr>
                  <w:tcW w:w="3252" w:type="dxa"/>
                  <w:gridSpan w:val="2"/>
                  <w:vAlign w:val="center"/>
                </w:tcPr>
                <w:p w14:paraId="6A7E1D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暂存于危废暂存间，定期交由有危险废物处理资质的单位处理</w:t>
                  </w:r>
                </w:p>
              </w:tc>
              <w:tc>
                <w:tcPr>
                  <w:tcW w:w="2172" w:type="dxa"/>
                  <w:vMerge w:val="continue"/>
                  <w:vAlign w:val="center"/>
                </w:tcPr>
                <w:p w14:paraId="096C6B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687" w:type="dxa"/>
                  <w:vMerge w:val="continue"/>
                  <w:vAlign w:val="center"/>
                </w:tcPr>
                <w:p w14:paraId="0337DC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r>
          </w:tbl>
          <w:p w14:paraId="1B0439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2017年3月27日，溆浦县环保局出具了《湖南省益能环保科技有限公司年产48台（套）污泥干化处理设备生产线项目竣工环境保护验收会议纪要》（详见附件6），亦出具了验收意见溆环验﹝2017﹞11号（详见附件6），同意“湖南省益能环保科技有限公司年产48台（套）污泥干化处理设备生产线”项目通过建设项目环境保护竣工验收。</w:t>
            </w:r>
          </w:p>
          <w:p w14:paraId="65380A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根据溆浦县环境保护监测站于2017年3月8日出具的《湖南省益能环保科技有限公司年产48台（套）污泥干化处理设备生产线建设项目验收监测报告》（报告编号：2017WRY06）（详见附件7）废气、废水和噪声的监测结果如下表2-</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28</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所示。</w:t>
            </w:r>
          </w:p>
          <w:p w14:paraId="7D6F08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表2-27 现有项目污染物排放监测结果一览表</w:t>
            </w:r>
          </w:p>
          <w:tbl>
            <w:tblPr>
              <w:tblStyle w:val="8"/>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900"/>
              <w:gridCol w:w="1284"/>
              <w:gridCol w:w="2904"/>
              <w:gridCol w:w="1152"/>
              <w:gridCol w:w="701"/>
            </w:tblGrid>
            <w:tr w14:paraId="0E72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Merge w:val="restart"/>
                  <w:vAlign w:val="center"/>
                </w:tcPr>
                <w:p w14:paraId="387D2F11">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监测</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点位</w:t>
                  </w:r>
                </w:p>
              </w:tc>
              <w:tc>
                <w:tcPr>
                  <w:tcW w:w="900" w:type="dxa"/>
                  <w:vMerge w:val="restart"/>
                  <w:vAlign w:val="center"/>
                </w:tcPr>
                <w:p w14:paraId="3E74201C">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监测</w:t>
                  </w:r>
                </w:p>
                <w:p w14:paraId="763D990F">
                  <w:pPr>
                    <w:bidi w:val="0"/>
                    <w:spacing w:line="240" w:lineRule="auto"/>
                    <w:ind w:firstLine="0" w:firstLineChars="0"/>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项目</w:t>
                  </w:r>
                </w:p>
              </w:tc>
              <w:tc>
                <w:tcPr>
                  <w:tcW w:w="1284" w:type="dxa"/>
                  <w:vMerge w:val="restart"/>
                  <w:vAlign w:val="center"/>
                </w:tcPr>
                <w:p w14:paraId="14494A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监测结果</w:t>
                  </w:r>
                </w:p>
              </w:tc>
              <w:tc>
                <w:tcPr>
                  <w:tcW w:w="4056" w:type="dxa"/>
                  <w:gridSpan w:val="2"/>
                  <w:vAlign w:val="center"/>
                </w:tcPr>
                <w:p w14:paraId="683B9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标准</w:t>
                  </w:r>
                </w:p>
              </w:tc>
              <w:tc>
                <w:tcPr>
                  <w:tcW w:w="701" w:type="dxa"/>
                  <w:vMerge w:val="restart"/>
                  <w:vAlign w:val="center"/>
                </w:tcPr>
                <w:p w14:paraId="1A8CF3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评价</w:t>
                  </w:r>
                </w:p>
              </w:tc>
            </w:tr>
            <w:tr w14:paraId="6BD2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Merge w:val="continue"/>
                  <w:vAlign w:val="center"/>
                </w:tcPr>
                <w:p w14:paraId="55658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900" w:type="dxa"/>
                  <w:vMerge w:val="continue"/>
                  <w:vAlign w:val="center"/>
                </w:tcPr>
                <w:p w14:paraId="17FD1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284" w:type="dxa"/>
                  <w:vMerge w:val="continue"/>
                  <w:vAlign w:val="center"/>
                </w:tcPr>
                <w:p w14:paraId="400B23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2904" w:type="dxa"/>
                  <w:vAlign w:val="center"/>
                </w:tcPr>
                <w:p w14:paraId="2D118A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名称</w:t>
                  </w:r>
                </w:p>
              </w:tc>
              <w:tc>
                <w:tcPr>
                  <w:tcW w:w="1152" w:type="dxa"/>
                  <w:vAlign w:val="center"/>
                </w:tcPr>
                <w:p w14:paraId="15DC67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限值</w:t>
                  </w:r>
                </w:p>
              </w:tc>
              <w:tc>
                <w:tcPr>
                  <w:tcW w:w="701" w:type="dxa"/>
                  <w:vMerge w:val="continue"/>
                  <w:vAlign w:val="center"/>
                </w:tcPr>
                <w:p w14:paraId="3636ED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r>
            <w:tr w14:paraId="2283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298" w:type="dxa"/>
                  <w:vAlign w:val="center"/>
                </w:tcPr>
                <w:p w14:paraId="64FAF1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公司上风向</w:t>
                  </w:r>
                </w:p>
              </w:tc>
              <w:tc>
                <w:tcPr>
                  <w:tcW w:w="900" w:type="dxa"/>
                  <w:vAlign w:val="center"/>
                </w:tcPr>
                <w:p w14:paraId="6D571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颗粒物</w:t>
                  </w:r>
                </w:p>
              </w:tc>
              <w:tc>
                <w:tcPr>
                  <w:tcW w:w="1284" w:type="dxa"/>
                  <w:vAlign w:val="center"/>
                </w:tcPr>
                <w:p w14:paraId="4CE1D9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0.174mg/m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p>
              </w:tc>
              <w:tc>
                <w:tcPr>
                  <w:tcW w:w="2904" w:type="dxa"/>
                  <w:vMerge w:val="restart"/>
                  <w:vAlign w:val="center"/>
                </w:tcPr>
                <w:p w14:paraId="67410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《大气污染物综合排放标准》（GB16297-1996）中表2无组织排放监控浓度限值标准</w:t>
                  </w:r>
                </w:p>
              </w:tc>
              <w:tc>
                <w:tcPr>
                  <w:tcW w:w="1152" w:type="dxa"/>
                  <w:vAlign w:val="center"/>
                </w:tcPr>
                <w:p w14:paraId="4D9EC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1.0mg/m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p>
              </w:tc>
              <w:tc>
                <w:tcPr>
                  <w:tcW w:w="701" w:type="dxa"/>
                  <w:vAlign w:val="center"/>
                </w:tcPr>
                <w:p w14:paraId="1DE82E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478C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98" w:type="dxa"/>
                  <w:vAlign w:val="center"/>
                </w:tcPr>
                <w:p w14:paraId="7504E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公司下风向</w:t>
                  </w:r>
                </w:p>
              </w:tc>
              <w:tc>
                <w:tcPr>
                  <w:tcW w:w="900" w:type="dxa"/>
                  <w:vAlign w:val="center"/>
                </w:tcPr>
                <w:p w14:paraId="6898AD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颗粒物</w:t>
                  </w:r>
                </w:p>
              </w:tc>
              <w:tc>
                <w:tcPr>
                  <w:tcW w:w="1284" w:type="dxa"/>
                  <w:vAlign w:val="center"/>
                </w:tcPr>
                <w:p w14:paraId="5A920F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0.296mg/m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p>
              </w:tc>
              <w:tc>
                <w:tcPr>
                  <w:tcW w:w="2904" w:type="dxa"/>
                  <w:vMerge w:val="continue"/>
                  <w:vAlign w:val="center"/>
                </w:tcPr>
                <w:p w14:paraId="76AC1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152" w:type="dxa"/>
                  <w:vAlign w:val="center"/>
                </w:tcPr>
                <w:p w14:paraId="24AAB5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1.0mg/m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p>
              </w:tc>
              <w:tc>
                <w:tcPr>
                  <w:tcW w:w="701" w:type="dxa"/>
                  <w:vAlign w:val="center"/>
                </w:tcPr>
                <w:p w14:paraId="4160D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105A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Merge w:val="restart"/>
                  <w:vAlign w:val="center"/>
                </w:tcPr>
                <w:p w14:paraId="4D43A5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废水排放口</w:t>
                  </w:r>
                </w:p>
              </w:tc>
              <w:tc>
                <w:tcPr>
                  <w:tcW w:w="900" w:type="dxa"/>
                  <w:vAlign w:val="center"/>
                </w:tcPr>
                <w:p w14:paraId="55A940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pH</w:t>
                  </w:r>
                </w:p>
              </w:tc>
              <w:tc>
                <w:tcPr>
                  <w:tcW w:w="1284" w:type="dxa"/>
                  <w:vAlign w:val="center"/>
                </w:tcPr>
                <w:p w14:paraId="629EE6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7.33mg/L</w:t>
                  </w:r>
                </w:p>
              </w:tc>
              <w:tc>
                <w:tcPr>
                  <w:tcW w:w="2904" w:type="dxa"/>
                  <w:vMerge w:val="restart"/>
                  <w:shd w:val="clear" w:color="auto" w:fill="auto"/>
                  <w:vAlign w:val="center"/>
                </w:tcPr>
                <w:p w14:paraId="292FA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t>《污水综合排放标准》（GB8978-1996）中</w:t>
                  </w:r>
                </w:p>
                <w:p w14:paraId="581348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t>表4一级标准</w:t>
                  </w:r>
                </w:p>
              </w:tc>
              <w:tc>
                <w:tcPr>
                  <w:tcW w:w="1152" w:type="dxa"/>
                  <w:vAlign w:val="center"/>
                </w:tcPr>
                <w:p w14:paraId="7F4DD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6-9mg/L</w:t>
                  </w:r>
                </w:p>
              </w:tc>
              <w:tc>
                <w:tcPr>
                  <w:tcW w:w="701" w:type="dxa"/>
                  <w:vAlign w:val="center"/>
                </w:tcPr>
                <w:p w14:paraId="1AD3B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6F4D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Merge w:val="continue"/>
                  <w:vAlign w:val="center"/>
                </w:tcPr>
                <w:p w14:paraId="457A7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900" w:type="dxa"/>
                  <w:vAlign w:val="center"/>
                </w:tcPr>
                <w:p w14:paraId="035CF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CODcr</w:t>
                  </w:r>
                </w:p>
              </w:tc>
              <w:tc>
                <w:tcPr>
                  <w:tcW w:w="1284" w:type="dxa"/>
                  <w:vAlign w:val="center"/>
                </w:tcPr>
                <w:p w14:paraId="002D5A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37.6mg/L</w:t>
                  </w:r>
                </w:p>
              </w:tc>
              <w:tc>
                <w:tcPr>
                  <w:tcW w:w="2904" w:type="dxa"/>
                  <w:vMerge w:val="continue"/>
                  <w:shd w:val="clear" w:color="auto" w:fill="auto"/>
                  <w:vAlign w:val="center"/>
                </w:tcPr>
                <w:p w14:paraId="3CBDAD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p>
              </w:tc>
              <w:tc>
                <w:tcPr>
                  <w:tcW w:w="1152" w:type="dxa"/>
                  <w:vAlign w:val="center"/>
                </w:tcPr>
                <w:p w14:paraId="7CBF1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≤100mg/L</w:t>
                  </w:r>
                </w:p>
              </w:tc>
              <w:tc>
                <w:tcPr>
                  <w:tcW w:w="701" w:type="dxa"/>
                  <w:vAlign w:val="center"/>
                </w:tcPr>
                <w:p w14:paraId="47804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1C54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Merge w:val="continue"/>
                  <w:vAlign w:val="center"/>
                </w:tcPr>
                <w:p w14:paraId="4A7A9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900" w:type="dxa"/>
                  <w:vAlign w:val="center"/>
                </w:tcPr>
                <w:p w14:paraId="635F78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氨氮</w:t>
                  </w:r>
                </w:p>
              </w:tc>
              <w:tc>
                <w:tcPr>
                  <w:tcW w:w="1284" w:type="dxa"/>
                  <w:vAlign w:val="center"/>
                </w:tcPr>
                <w:p w14:paraId="145A2E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0.786mg/L</w:t>
                  </w:r>
                </w:p>
              </w:tc>
              <w:tc>
                <w:tcPr>
                  <w:tcW w:w="2904" w:type="dxa"/>
                  <w:vMerge w:val="continue"/>
                  <w:shd w:val="clear" w:color="auto" w:fill="auto"/>
                  <w:vAlign w:val="center"/>
                </w:tcPr>
                <w:p w14:paraId="107BA2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p>
              </w:tc>
              <w:tc>
                <w:tcPr>
                  <w:tcW w:w="1152" w:type="dxa"/>
                  <w:vAlign w:val="center"/>
                </w:tcPr>
                <w:p w14:paraId="529BD2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≤15mg/L</w:t>
                  </w:r>
                </w:p>
              </w:tc>
              <w:tc>
                <w:tcPr>
                  <w:tcW w:w="701" w:type="dxa"/>
                  <w:vAlign w:val="center"/>
                </w:tcPr>
                <w:p w14:paraId="57716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7153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Merge w:val="continue"/>
                  <w:vAlign w:val="center"/>
                </w:tcPr>
                <w:p w14:paraId="7EB3E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900" w:type="dxa"/>
                  <w:vAlign w:val="center"/>
                </w:tcPr>
                <w:p w14:paraId="2A5C62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石油类</w:t>
                  </w:r>
                </w:p>
              </w:tc>
              <w:tc>
                <w:tcPr>
                  <w:tcW w:w="1284" w:type="dxa"/>
                  <w:vAlign w:val="center"/>
                </w:tcPr>
                <w:p w14:paraId="46F11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0.01Lmg/L</w:t>
                  </w:r>
                </w:p>
              </w:tc>
              <w:tc>
                <w:tcPr>
                  <w:tcW w:w="2904" w:type="dxa"/>
                  <w:vMerge w:val="continue"/>
                  <w:shd w:val="clear" w:color="auto" w:fill="auto"/>
                  <w:vAlign w:val="center"/>
                </w:tcPr>
                <w:p w14:paraId="48D66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p>
              </w:tc>
              <w:tc>
                <w:tcPr>
                  <w:tcW w:w="1152" w:type="dxa"/>
                  <w:vAlign w:val="center"/>
                </w:tcPr>
                <w:p w14:paraId="319E7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≤5mg/L</w:t>
                  </w:r>
                </w:p>
              </w:tc>
              <w:tc>
                <w:tcPr>
                  <w:tcW w:w="701" w:type="dxa"/>
                  <w:vAlign w:val="center"/>
                </w:tcPr>
                <w:p w14:paraId="711CCA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4A6B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Align w:val="center"/>
                </w:tcPr>
                <w:p w14:paraId="0C4858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东侧厂界1米处</w:t>
                  </w:r>
                </w:p>
              </w:tc>
              <w:tc>
                <w:tcPr>
                  <w:tcW w:w="900" w:type="dxa"/>
                  <w:vAlign w:val="center"/>
                </w:tcPr>
                <w:p w14:paraId="4F755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厂界</w:t>
                  </w:r>
                </w:p>
                <w:p w14:paraId="4F068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噪声</w:t>
                  </w:r>
                </w:p>
              </w:tc>
              <w:tc>
                <w:tcPr>
                  <w:tcW w:w="1284" w:type="dxa"/>
                  <w:vAlign w:val="center"/>
                </w:tcPr>
                <w:p w14:paraId="21D0C9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57dB(A)</w:t>
                  </w:r>
                </w:p>
              </w:tc>
              <w:tc>
                <w:tcPr>
                  <w:tcW w:w="2904" w:type="dxa"/>
                  <w:vMerge w:val="restart"/>
                  <w:vAlign w:val="center"/>
                </w:tcPr>
                <w:p w14:paraId="66B335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《工业企业厂界环境噪声排放标准》（GB12348-2008）中2类标准要求</w:t>
                  </w:r>
                </w:p>
              </w:tc>
              <w:tc>
                <w:tcPr>
                  <w:tcW w:w="1152" w:type="dxa"/>
                  <w:shd w:val="clear" w:color="auto" w:fill="auto"/>
                  <w:vAlign w:val="center"/>
                </w:tcPr>
                <w:p w14:paraId="1AC9E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60dB(A)</w:t>
                  </w:r>
                </w:p>
              </w:tc>
              <w:tc>
                <w:tcPr>
                  <w:tcW w:w="701" w:type="dxa"/>
                  <w:vAlign w:val="center"/>
                </w:tcPr>
                <w:p w14:paraId="23AF2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2AF0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Align w:val="center"/>
                </w:tcPr>
                <w:p w14:paraId="5B753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南侧厂界1米处</w:t>
                  </w:r>
                </w:p>
              </w:tc>
              <w:tc>
                <w:tcPr>
                  <w:tcW w:w="900" w:type="dxa"/>
                  <w:vAlign w:val="center"/>
                </w:tcPr>
                <w:p w14:paraId="255FD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厂界</w:t>
                  </w:r>
                </w:p>
                <w:p w14:paraId="778A8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噪声</w:t>
                  </w:r>
                </w:p>
              </w:tc>
              <w:tc>
                <w:tcPr>
                  <w:tcW w:w="1284" w:type="dxa"/>
                  <w:vAlign w:val="center"/>
                </w:tcPr>
                <w:p w14:paraId="70842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57.5dB(A)</w:t>
                  </w:r>
                </w:p>
              </w:tc>
              <w:tc>
                <w:tcPr>
                  <w:tcW w:w="2904" w:type="dxa"/>
                  <w:vMerge w:val="continue"/>
                  <w:vAlign w:val="center"/>
                </w:tcPr>
                <w:p w14:paraId="2CE45F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152" w:type="dxa"/>
                  <w:shd w:val="clear" w:color="auto" w:fill="auto"/>
                  <w:vAlign w:val="center"/>
                </w:tcPr>
                <w:p w14:paraId="7F9ED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60dB(A)</w:t>
                  </w:r>
                </w:p>
              </w:tc>
              <w:tc>
                <w:tcPr>
                  <w:tcW w:w="701" w:type="dxa"/>
                  <w:vAlign w:val="center"/>
                </w:tcPr>
                <w:p w14:paraId="0D2C0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4001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8" w:type="dxa"/>
                  <w:vAlign w:val="center"/>
                </w:tcPr>
                <w:p w14:paraId="76408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西侧厂界1米处</w:t>
                  </w:r>
                </w:p>
              </w:tc>
              <w:tc>
                <w:tcPr>
                  <w:tcW w:w="900" w:type="dxa"/>
                  <w:vAlign w:val="center"/>
                </w:tcPr>
                <w:p w14:paraId="19ACBE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厂界</w:t>
                  </w:r>
                </w:p>
                <w:p w14:paraId="1E4A7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噪声</w:t>
                  </w:r>
                </w:p>
              </w:tc>
              <w:tc>
                <w:tcPr>
                  <w:tcW w:w="1284" w:type="dxa"/>
                  <w:vAlign w:val="center"/>
                </w:tcPr>
                <w:p w14:paraId="2C896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64.4dB(A)</w:t>
                  </w:r>
                </w:p>
              </w:tc>
              <w:tc>
                <w:tcPr>
                  <w:tcW w:w="2904" w:type="dxa"/>
                  <w:vAlign w:val="center"/>
                </w:tcPr>
                <w:p w14:paraId="3C0AF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《工业企业厂界环境噪声排放标准》（GB12348-2008）中4a类标准要求</w:t>
                  </w:r>
                </w:p>
              </w:tc>
              <w:tc>
                <w:tcPr>
                  <w:tcW w:w="1152" w:type="dxa"/>
                  <w:shd w:val="clear" w:color="auto" w:fill="auto"/>
                  <w:vAlign w:val="center"/>
                </w:tcPr>
                <w:p w14:paraId="5F57F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kern w:val="2"/>
                      <w:sz w:val="21"/>
                      <w:szCs w:val="21"/>
                      <w:u w:val="single"/>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70dB(A)</w:t>
                  </w:r>
                </w:p>
              </w:tc>
              <w:tc>
                <w:tcPr>
                  <w:tcW w:w="701" w:type="dxa"/>
                  <w:vAlign w:val="center"/>
                </w:tcPr>
                <w:p w14:paraId="25DC9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4C37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298" w:type="dxa"/>
                  <w:vAlign w:val="center"/>
                </w:tcPr>
                <w:p w14:paraId="2FB29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北侧厂界1米处</w:t>
                  </w:r>
                </w:p>
              </w:tc>
              <w:tc>
                <w:tcPr>
                  <w:tcW w:w="900" w:type="dxa"/>
                  <w:vAlign w:val="center"/>
                </w:tcPr>
                <w:p w14:paraId="3C2033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厂界</w:t>
                  </w:r>
                </w:p>
                <w:p w14:paraId="6FB0F8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噪声</w:t>
                  </w:r>
                </w:p>
              </w:tc>
              <w:tc>
                <w:tcPr>
                  <w:tcW w:w="1284" w:type="dxa"/>
                  <w:vAlign w:val="center"/>
                </w:tcPr>
                <w:p w14:paraId="03F75F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52.8dB(A)</w:t>
                  </w:r>
                </w:p>
              </w:tc>
              <w:tc>
                <w:tcPr>
                  <w:tcW w:w="2904" w:type="dxa"/>
                  <w:vAlign w:val="center"/>
                </w:tcPr>
                <w:p w14:paraId="49D3D6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《工业企业厂界环境噪声排放标准》（GB12348-2008）中2类标准要求</w:t>
                  </w:r>
                </w:p>
              </w:tc>
              <w:tc>
                <w:tcPr>
                  <w:tcW w:w="1152" w:type="dxa"/>
                  <w:vAlign w:val="center"/>
                </w:tcPr>
                <w:p w14:paraId="0440F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60dB(A)</w:t>
                  </w:r>
                </w:p>
              </w:tc>
              <w:tc>
                <w:tcPr>
                  <w:tcW w:w="701" w:type="dxa"/>
                  <w:vAlign w:val="center"/>
                </w:tcPr>
                <w:p w14:paraId="3675E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bl>
          <w:p w14:paraId="6B1188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cs="Times New Roman"/>
                <w:color w:val="000000" w:themeColor="text1"/>
                <w:sz w:val="24"/>
                <w:szCs w:val="24"/>
                <w:u w:val="single"/>
                <w:vertAlign w:val="baseline"/>
                <w:lang w:val="en-US" w:eastAsia="zh-CN"/>
                <w14:textFill>
                  <w14:solidFill>
                    <w14:schemeClr w14:val="tx1"/>
                  </w14:solidFill>
                </w14:textFill>
              </w:rPr>
              <w:t>由上可知：现有项目污染治理措施已落实，污染物物排放监测结果均可满足各类污染物排放标准限值。</w:t>
            </w:r>
          </w:p>
          <w:p w14:paraId="55869C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8.9</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现有项目</w:t>
            </w:r>
            <w:r>
              <w:rPr>
                <w:rFonts w:hint="eastAsia" w:eastAsia="黑体" w:cs="Times New Roman"/>
                <w:color w:val="000000" w:themeColor="text1"/>
                <w:sz w:val="24"/>
                <w:szCs w:val="24"/>
                <w:u w:val="single"/>
                <w:vertAlign w:val="baseline"/>
                <w:lang w:val="en-US" w:eastAsia="zh-CN"/>
                <w14:textFill>
                  <w14:solidFill>
                    <w14:schemeClr w14:val="tx1"/>
                  </w14:solidFill>
                </w14:textFill>
              </w:rPr>
              <w:t>环境管理制度及环境监测计划落实情况</w:t>
            </w:r>
          </w:p>
          <w:p w14:paraId="48F709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（1）环境管理制度</w:t>
            </w:r>
          </w:p>
          <w:p w14:paraId="62AFC2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现有项目运行期间，建设单位</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已</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制定了建立项目内部的环境管理制度和制定了详细的环境管理计划，加强日常环境管理工作，从废水、废气、噪声的防治以及固体废物的安全处置进行全程的环境管理。</w:t>
            </w:r>
          </w:p>
          <w:p w14:paraId="497061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（1）定期安排工人对其</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处理设施进行</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检查</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，发现问题及时检修</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p>
          <w:p w14:paraId="3EBD22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（2）化学品仓库有</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专人</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管理，</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并</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做好记录，定期检查。</w:t>
            </w:r>
          </w:p>
          <w:p w14:paraId="7A3FAB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（3）危险废物暂存间按设计规范建设，加强防渗漏措施、危险废物分区放置</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p>
          <w:p w14:paraId="1F9D5F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（4）项目厂区已进行了硬化；车间、综合楼及办公楼放置了手提式干粉灭火器，厂区内设置了消防栓，且厂区内部道路通畅可满足消防需要；厂区内也储存了应急装备和物资。</w:t>
            </w:r>
          </w:p>
          <w:p w14:paraId="22CAA3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（2）环境监测计划</w:t>
            </w:r>
          </w:p>
          <w:p w14:paraId="0A2025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现有项目已按照《报告表》中监测计划要求，对废气、废水、噪声进行每年一次的监测。监测结果均已达标。监测数据详见附件10。</w:t>
            </w:r>
          </w:p>
          <w:p w14:paraId="6C1943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8.10</w:t>
            </w:r>
            <w:r>
              <w:rPr>
                <w:rFonts w:hint="eastAsia" w:ascii="Times New Roman" w:hAnsi="Times New Roman" w:eastAsia="黑体" w:cs="Times New Roman"/>
                <w:color w:val="000000" w:themeColor="text1"/>
                <w:sz w:val="24"/>
                <w:szCs w:val="24"/>
                <w:u w:val="single"/>
                <w:vertAlign w:val="baseline"/>
                <w:lang w:val="en-US" w:eastAsia="zh-CN"/>
                <w14:textFill>
                  <w14:solidFill>
                    <w14:schemeClr w14:val="tx1"/>
                  </w14:solidFill>
                </w14:textFill>
              </w:rPr>
              <w:t>现有项目</w:t>
            </w:r>
            <w:r>
              <w:rPr>
                <w:rFonts w:hint="eastAsia" w:eastAsia="黑体" w:cs="Times New Roman"/>
                <w:color w:val="000000" w:themeColor="text1"/>
                <w:sz w:val="24"/>
                <w:szCs w:val="24"/>
                <w:u w:val="single"/>
                <w:vertAlign w:val="baseline"/>
                <w:lang w:val="en-US" w:eastAsia="zh-CN"/>
                <w14:textFill>
                  <w14:solidFill>
                    <w14:schemeClr w14:val="tx1"/>
                  </w14:solidFill>
                </w14:textFill>
              </w:rPr>
              <w:t>环保投诉问题、存在环境问题及整改情况</w:t>
            </w:r>
          </w:p>
          <w:p w14:paraId="76A2AB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（1）环保投诉问题</w:t>
            </w:r>
          </w:p>
          <w:p w14:paraId="3E5FDF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现有项目</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运营至今，未收到周边群众以及企事业单位的投诉意见</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，未对周边环境造成影响。</w:t>
            </w:r>
          </w:p>
          <w:p w14:paraId="65DCF9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黑体" w:cs="Times New Roman"/>
                <w:color w:val="000000" w:themeColor="text1"/>
                <w:sz w:val="24"/>
                <w:szCs w:val="24"/>
                <w:u w:val="single"/>
                <w:vertAlign w:val="baseline"/>
                <w:lang w:val="en-US" w:eastAsia="zh-CN"/>
                <w14:textFill>
                  <w14:solidFill>
                    <w14:schemeClr w14:val="tx1"/>
                  </w14:solidFill>
                </w14:textFill>
              </w:rPr>
            </w:pPr>
            <w:r>
              <w:rPr>
                <w:rFonts w:hint="eastAsia" w:eastAsia="黑体" w:cs="Times New Roman"/>
                <w:color w:val="000000" w:themeColor="text1"/>
                <w:sz w:val="24"/>
                <w:szCs w:val="24"/>
                <w:u w:val="single"/>
                <w:vertAlign w:val="baseline"/>
                <w:lang w:val="en-US" w:eastAsia="zh-CN"/>
                <w14:textFill>
                  <w14:solidFill>
                    <w14:schemeClr w14:val="tx1"/>
                  </w14:solidFill>
                </w14:textFill>
              </w:rPr>
              <w:t>（2）存在环境问题及整改情况</w:t>
            </w:r>
          </w:p>
          <w:p w14:paraId="787584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项目主要环境问题及相应的整改措施详见下表</w:t>
            </w:r>
            <w:r>
              <w:rPr>
                <w:rFonts w:hint="eastAsia"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2-28</w:t>
            </w:r>
            <w:r>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t>。</w:t>
            </w:r>
          </w:p>
          <w:p w14:paraId="1F6363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表2-28 现有项目主要环境问题及相应整改措施</w:t>
            </w:r>
          </w:p>
          <w:tbl>
            <w:tblPr>
              <w:tblStyle w:val="8"/>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36"/>
              <w:gridCol w:w="1812"/>
              <w:gridCol w:w="1764"/>
              <w:gridCol w:w="1128"/>
              <w:gridCol w:w="924"/>
              <w:gridCol w:w="975"/>
            </w:tblGrid>
            <w:tr w14:paraId="6930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761" w:type="dxa"/>
                  <w:vMerge w:val="restart"/>
                  <w:vAlign w:val="center"/>
                </w:tcPr>
                <w:p w14:paraId="157B36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类型</w:t>
                  </w:r>
                </w:p>
              </w:tc>
              <w:tc>
                <w:tcPr>
                  <w:tcW w:w="836" w:type="dxa"/>
                  <w:vMerge w:val="restart"/>
                  <w:vAlign w:val="center"/>
                </w:tcPr>
                <w:p w14:paraId="67FCF2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项目</w:t>
                  </w:r>
                </w:p>
              </w:tc>
              <w:tc>
                <w:tcPr>
                  <w:tcW w:w="4704" w:type="dxa"/>
                  <w:gridSpan w:val="3"/>
                  <w:vAlign w:val="center"/>
                </w:tcPr>
                <w:p w14:paraId="07E72A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整改前</w:t>
                  </w:r>
                </w:p>
              </w:tc>
              <w:tc>
                <w:tcPr>
                  <w:tcW w:w="1899" w:type="dxa"/>
                  <w:gridSpan w:val="2"/>
                  <w:vAlign w:val="center"/>
                </w:tcPr>
                <w:p w14:paraId="39AD9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整改后</w:t>
                  </w:r>
                </w:p>
              </w:tc>
            </w:tr>
            <w:tr w14:paraId="4182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61" w:type="dxa"/>
                  <w:vMerge w:val="continue"/>
                  <w:vAlign w:val="center"/>
                </w:tcPr>
                <w:p w14:paraId="5F4BC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836" w:type="dxa"/>
                  <w:vMerge w:val="continue"/>
                  <w:vAlign w:val="center"/>
                </w:tcPr>
                <w:p w14:paraId="7EAAE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812" w:type="dxa"/>
                  <w:vAlign w:val="center"/>
                </w:tcPr>
                <w:p w14:paraId="2910F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环评及批复措施</w:t>
                  </w:r>
                </w:p>
              </w:tc>
              <w:tc>
                <w:tcPr>
                  <w:tcW w:w="1764" w:type="dxa"/>
                  <w:vAlign w:val="center"/>
                </w:tcPr>
                <w:p w14:paraId="78D2C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验收执行情况及现有措施</w:t>
                  </w:r>
                </w:p>
              </w:tc>
              <w:tc>
                <w:tcPr>
                  <w:tcW w:w="1128" w:type="dxa"/>
                  <w:vAlign w:val="center"/>
                </w:tcPr>
                <w:p w14:paraId="0C890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存在问题</w:t>
                  </w:r>
                </w:p>
              </w:tc>
              <w:tc>
                <w:tcPr>
                  <w:tcW w:w="924" w:type="dxa"/>
                  <w:vAlign w:val="center"/>
                </w:tcPr>
                <w:p w14:paraId="49B1F2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是否需要整改</w:t>
                  </w:r>
                </w:p>
              </w:tc>
              <w:tc>
                <w:tcPr>
                  <w:tcW w:w="975" w:type="dxa"/>
                  <w:vAlign w:val="center"/>
                </w:tcPr>
                <w:p w14:paraId="2F137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整改</w:t>
                  </w:r>
                </w:p>
                <w:p w14:paraId="7653A5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效果</w:t>
                  </w:r>
                </w:p>
              </w:tc>
            </w:tr>
            <w:tr w14:paraId="11E7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61" w:type="dxa"/>
                  <w:vAlign w:val="center"/>
                </w:tcPr>
                <w:p w14:paraId="735EF6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废水</w:t>
                  </w:r>
                </w:p>
              </w:tc>
              <w:tc>
                <w:tcPr>
                  <w:tcW w:w="836" w:type="dxa"/>
                  <w:vAlign w:val="center"/>
                </w:tcPr>
                <w:p w14:paraId="3FF0A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生活污水</w:t>
                  </w:r>
                </w:p>
              </w:tc>
              <w:tc>
                <w:tcPr>
                  <w:tcW w:w="1812" w:type="dxa"/>
                  <w:vAlign w:val="center"/>
                </w:tcPr>
                <w:p w14:paraId="748166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经地埋式污水处理设施处理达标后排入水田垅溪。</w:t>
                  </w:r>
                </w:p>
              </w:tc>
              <w:tc>
                <w:tcPr>
                  <w:tcW w:w="1764" w:type="dxa"/>
                  <w:vAlign w:val="center"/>
                </w:tcPr>
                <w:p w14:paraId="2CBE44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经地埋式污水处理设施处理达标后排入水田垅溪</w:t>
                  </w:r>
                </w:p>
              </w:tc>
              <w:tc>
                <w:tcPr>
                  <w:tcW w:w="1128" w:type="dxa"/>
                  <w:vAlign w:val="center"/>
                </w:tcPr>
                <w:p w14:paraId="3B079E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3D31BE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23BC2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3D95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761" w:type="dxa"/>
                  <w:vMerge w:val="restart"/>
                  <w:vAlign w:val="center"/>
                </w:tcPr>
                <w:p w14:paraId="2112B7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废气</w:t>
                  </w:r>
                </w:p>
              </w:tc>
              <w:tc>
                <w:tcPr>
                  <w:tcW w:w="836" w:type="dxa"/>
                  <w:vAlign w:val="center"/>
                </w:tcPr>
                <w:p w14:paraId="26075D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焊接烟尘</w:t>
                  </w:r>
                </w:p>
              </w:tc>
              <w:tc>
                <w:tcPr>
                  <w:tcW w:w="1812" w:type="dxa"/>
                  <w:vAlign w:val="center"/>
                </w:tcPr>
                <w:p w14:paraId="3D5BA1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通过移动式烟尘净化器处理后经车间内的吸风排风装置高空排放</w:t>
                  </w:r>
                </w:p>
              </w:tc>
              <w:tc>
                <w:tcPr>
                  <w:tcW w:w="1764" w:type="dxa"/>
                  <w:vAlign w:val="center"/>
                </w:tcPr>
                <w:p w14:paraId="26CC0C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焊接烟尘经移动式焊烟净化器收集处理后，在车间无组织排放</w:t>
                  </w:r>
                </w:p>
              </w:tc>
              <w:tc>
                <w:tcPr>
                  <w:tcW w:w="1128" w:type="dxa"/>
                  <w:vAlign w:val="center"/>
                </w:tcPr>
                <w:p w14:paraId="783CB2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2C459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5CBBB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66AF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61" w:type="dxa"/>
                  <w:vMerge w:val="continue"/>
                  <w:vAlign w:val="center"/>
                </w:tcPr>
                <w:p w14:paraId="7BB6D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836" w:type="dxa"/>
                  <w:vAlign w:val="center"/>
                </w:tcPr>
                <w:p w14:paraId="4D5D5C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食堂油烟</w:t>
                  </w:r>
                </w:p>
              </w:tc>
              <w:tc>
                <w:tcPr>
                  <w:tcW w:w="1812" w:type="dxa"/>
                  <w:vAlign w:val="center"/>
                </w:tcPr>
                <w:p w14:paraId="08E956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经油烟净化设施处理达标后由屋顶高空排放</w:t>
                  </w:r>
                </w:p>
              </w:tc>
              <w:tc>
                <w:tcPr>
                  <w:tcW w:w="1764" w:type="dxa"/>
                  <w:vAlign w:val="center"/>
                </w:tcPr>
                <w:p w14:paraId="74886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经油烟净化设施处理达标后由屋顶高空排放</w:t>
                  </w:r>
                </w:p>
              </w:tc>
              <w:tc>
                <w:tcPr>
                  <w:tcW w:w="1128" w:type="dxa"/>
                  <w:vAlign w:val="center"/>
                </w:tcPr>
                <w:p w14:paraId="018DB8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300FC1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411B1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562E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Align w:val="center"/>
                </w:tcPr>
                <w:p w14:paraId="31758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噪声</w:t>
                  </w:r>
                </w:p>
              </w:tc>
              <w:tc>
                <w:tcPr>
                  <w:tcW w:w="836" w:type="dxa"/>
                  <w:vAlign w:val="center"/>
                </w:tcPr>
                <w:p w14:paraId="594A6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机械噪声</w:t>
                  </w:r>
                </w:p>
              </w:tc>
              <w:tc>
                <w:tcPr>
                  <w:tcW w:w="1812" w:type="dxa"/>
                  <w:vAlign w:val="center"/>
                </w:tcPr>
                <w:p w14:paraId="4A5CD5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厂区噪声源应合理布局，对高噪设备采取消声、减振、隔音措施</w:t>
                  </w:r>
                </w:p>
              </w:tc>
              <w:tc>
                <w:tcPr>
                  <w:tcW w:w="1764" w:type="dxa"/>
                  <w:vAlign w:val="center"/>
                </w:tcPr>
                <w:p w14:paraId="4E2D9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厂区噪声源已合理布局，对高噪设备采取消声、减振、隔音措施</w:t>
                  </w:r>
                </w:p>
              </w:tc>
              <w:tc>
                <w:tcPr>
                  <w:tcW w:w="1128" w:type="dxa"/>
                  <w:vAlign w:val="center"/>
                </w:tcPr>
                <w:p w14:paraId="28C08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73EB1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7A46C2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3482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Merge w:val="restart"/>
                  <w:vAlign w:val="center"/>
                </w:tcPr>
                <w:p w14:paraId="16896A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固废</w:t>
                  </w:r>
                </w:p>
              </w:tc>
              <w:tc>
                <w:tcPr>
                  <w:tcW w:w="836" w:type="dxa"/>
                  <w:vAlign w:val="center"/>
                </w:tcPr>
                <w:p w14:paraId="1B492E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生活垃圾</w:t>
                  </w:r>
                </w:p>
              </w:tc>
              <w:tc>
                <w:tcPr>
                  <w:tcW w:w="1812" w:type="dxa"/>
                  <w:vAlign w:val="center"/>
                </w:tcPr>
                <w:p w14:paraId="39304F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交由环卫部门统一清运</w:t>
                  </w:r>
                </w:p>
              </w:tc>
              <w:tc>
                <w:tcPr>
                  <w:tcW w:w="1764" w:type="dxa"/>
                  <w:vAlign w:val="center"/>
                </w:tcPr>
                <w:p w14:paraId="12E53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交由环卫部门统一清运</w:t>
                  </w:r>
                </w:p>
              </w:tc>
              <w:tc>
                <w:tcPr>
                  <w:tcW w:w="1128" w:type="dxa"/>
                  <w:vAlign w:val="center"/>
                </w:tcPr>
                <w:p w14:paraId="63C36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77A9CC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0B086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47D5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14:paraId="11C99D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836" w:type="dxa"/>
                  <w:vAlign w:val="center"/>
                </w:tcPr>
                <w:p w14:paraId="1B5ED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一般工业固废</w:t>
                  </w:r>
                </w:p>
              </w:tc>
              <w:tc>
                <w:tcPr>
                  <w:tcW w:w="1812" w:type="dxa"/>
                  <w:vAlign w:val="center"/>
                </w:tcPr>
                <w:p w14:paraId="2E691A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出售给物资公司回收</w:t>
                  </w:r>
                </w:p>
              </w:tc>
              <w:tc>
                <w:tcPr>
                  <w:tcW w:w="1764" w:type="dxa"/>
                  <w:vAlign w:val="center"/>
                </w:tcPr>
                <w:p w14:paraId="60BC1E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出售给物资公司回收</w:t>
                  </w:r>
                </w:p>
              </w:tc>
              <w:tc>
                <w:tcPr>
                  <w:tcW w:w="1128" w:type="dxa"/>
                  <w:vAlign w:val="center"/>
                </w:tcPr>
                <w:p w14:paraId="2EFF4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1AB17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6F80A0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5373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14:paraId="1FBA4D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836" w:type="dxa"/>
                  <w:vAlign w:val="center"/>
                </w:tcPr>
                <w:p w14:paraId="04C0A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危险废物</w:t>
                  </w:r>
                </w:p>
              </w:tc>
              <w:tc>
                <w:tcPr>
                  <w:tcW w:w="1812" w:type="dxa"/>
                  <w:vAlign w:val="center"/>
                </w:tcPr>
                <w:p w14:paraId="5EB4E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经分类收集暂存于危废暂存间，定期交由有危险废物处理资质的单位处理</w:t>
                  </w:r>
                </w:p>
              </w:tc>
              <w:tc>
                <w:tcPr>
                  <w:tcW w:w="1764" w:type="dxa"/>
                  <w:vAlign w:val="center"/>
                </w:tcPr>
                <w:p w14:paraId="2947B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经分类收集暂存于危废暂存间，定期交由有危险废物处理资质的单位处理</w:t>
                  </w:r>
                </w:p>
              </w:tc>
              <w:tc>
                <w:tcPr>
                  <w:tcW w:w="1128" w:type="dxa"/>
                  <w:vAlign w:val="center"/>
                </w:tcPr>
                <w:p w14:paraId="27FD7F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04C63A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188F4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3828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Align w:val="center"/>
                </w:tcPr>
                <w:p w14:paraId="2E64C6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绿化</w:t>
                  </w:r>
                </w:p>
              </w:tc>
              <w:tc>
                <w:tcPr>
                  <w:tcW w:w="836" w:type="dxa"/>
                  <w:vAlign w:val="center"/>
                </w:tcPr>
                <w:p w14:paraId="192BD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绿化</w:t>
                  </w:r>
                </w:p>
              </w:tc>
              <w:tc>
                <w:tcPr>
                  <w:tcW w:w="1812" w:type="dxa"/>
                  <w:vAlign w:val="center"/>
                </w:tcPr>
                <w:p w14:paraId="4F7DC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加强厂区绿化</w:t>
                  </w:r>
                </w:p>
              </w:tc>
              <w:tc>
                <w:tcPr>
                  <w:tcW w:w="1764" w:type="dxa"/>
                  <w:vAlign w:val="center"/>
                </w:tcPr>
                <w:p w14:paraId="0B21F2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落实了植树种草绿化措施</w:t>
                  </w:r>
                </w:p>
              </w:tc>
              <w:tc>
                <w:tcPr>
                  <w:tcW w:w="1128" w:type="dxa"/>
                  <w:vAlign w:val="center"/>
                </w:tcPr>
                <w:p w14:paraId="67716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4EFDB5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62A53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r w14:paraId="480A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Align w:val="center"/>
                </w:tcPr>
                <w:p w14:paraId="2351B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环境风险</w:t>
                  </w:r>
                </w:p>
              </w:tc>
              <w:tc>
                <w:tcPr>
                  <w:tcW w:w="836" w:type="dxa"/>
                  <w:vAlign w:val="center"/>
                </w:tcPr>
                <w:p w14:paraId="79EB3B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环境风险</w:t>
                  </w:r>
                </w:p>
              </w:tc>
              <w:tc>
                <w:tcPr>
                  <w:tcW w:w="1812" w:type="dxa"/>
                  <w:vAlign w:val="center"/>
                </w:tcPr>
                <w:p w14:paraId="6642A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严格落实提出的风险防范措施。加强环保设施管理和日常维护，严防事故发生</w:t>
                  </w:r>
                </w:p>
              </w:tc>
              <w:tc>
                <w:tcPr>
                  <w:tcW w:w="1764" w:type="dxa"/>
                  <w:vAlign w:val="center"/>
                </w:tcPr>
                <w:p w14:paraId="2F6A5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厂区已进行全部硬化处理，不存在地下水、土壤污染途径；已建立环保管理制度，安排专人进行设施管理和日常检查维护</w:t>
                  </w:r>
                </w:p>
              </w:tc>
              <w:tc>
                <w:tcPr>
                  <w:tcW w:w="1128" w:type="dxa"/>
                  <w:vAlign w:val="center"/>
                </w:tcPr>
                <w:p w14:paraId="308CD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无</w:t>
                  </w:r>
                </w:p>
              </w:tc>
              <w:tc>
                <w:tcPr>
                  <w:tcW w:w="924" w:type="dxa"/>
                  <w:vAlign w:val="center"/>
                </w:tcPr>
                <w:p w14:paraId="78AD07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否</w:t>
                  </w:r>
                </w:p>
              </w:tc>
              <w:tc>
                <w:tcPr>
                  <w:tcW w:w="975" w:type="dxa"/>
                  <w:vAlign w:val="center"/>
                </w:tcPr>
                <w:p w14:paraId="43E14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r>
          </w:tbl>
          <w:p w14:paraId="66319139">
            <w:pPr>
              <w:bidi w:val="0"/>
              <w:spacing w:line="240" w:lineRule="auto"/>
              <w:rPr>
                <w:rFonts w:hint="eastAsia"/>
                <w:color w:val="000000" w:themeColor="text1"/>
                <w:u w:val="single"/>
                <w:lang w:val="en-US" w:eastAsia="zh-CN"/>
                <w14:textFill>
                  <w14:solidFill>
                    <w14:schemeClr w14:val="tx1"/>
                  </w14:solidFill>
                </w14:textFill>
              </w:rPr>
            </w:pPr>
          </w:p>
          <w:p w14:paraId="0E346A64">
            <w:pPr>
              <w:bidi w:val="0"/>
              <w:spacing w:line="240" w:lineRule="auto"/>
              <w:rPr>
                <w:rFonts w:hint="eastAsia"/>
                <w:color w:val="000000" w:themeColor="text1"/>
                <w:u w:val="single"/>
                <w:lang w:val="en-US" w:eastAsia="zh-CN"/>
                <w14:textFill>
                  <w14:solidFill>
                    <w14:schemeClr w14:val="tx1"/>
                  </w14:solidFill>
                </w14:textFill>
              </w:rPr>
            </w:pPr>
          </w:p>
          <w:p w14:paraId="620CD8AC">
            <w:pPr>
              <w:bidi w:val="0"/>
              <w:spacing w:line="240" w:lineRule="auto"/>
              <w:rPr>
                <w:rFonts w:hint="eastAsia"/>
                <w:color w:val="000000" w:themeColor="text1"/>
                <w:lang w:val="en-US" w:eastAsia="zh-CN"/>
                <w14:textFill>
                  <w14:solidFill>
                    <w14:schemeClr w14:val="tx1"/>
                  </w14:solidFill>
                </w14:textFill>
              </w:rPr>
            </w:pPr>
          </w:p>
          <w:p w14:paraId="5544CAA5">
            <w:pPr>
              <w:bidi w:val="0"/>
              <w:spacing w:line="240" w:lineRule="auto"/>
              <w:rPr>
                <w:rFonts w:hint="eastAsia"/>
                <w:color w:val="000000" w:themeColor="text1"/>
                <w:lang w:val="en-US" w:eastAsia="zh-CN"/>
                <w14:textFill>
                  <w14:solidFill>
                    <w14:schemeClr w14:val="tx1"/>
                  </w14:solidFill>
                </w14:textFill>
              </w:rPr>
            </w:pPr>
          </w:p>
          <w:p w14:paraId="084BCACA">
            <w:pPr>
              <w:bidi w:val="0"/>
              <w:spacing w:line="240" w:lineRule="auto"/>
              <w:rPr>
                <w:rFonts w:hint="eastAsia"/>
                <w:color w:val="000000" w:themeColor="text1"/>
                <w:lang w:val="en-US" w:eastAsia="zh-CN"/>
                <w14:textFill>
                  <w14:solidFill>
                    <w14:schemeClr w14:val="tx1"/>
                  </w14:solidFill>
                </w14:textFill>
              </w:rPr>
            </w:pPr>
          </w:p>
          <w:p w14:paraId="1A50E735">
            <w:pPr>
              <w:bidi w:val="0"/>
              <w:spacing w:line="240" w:lineRule="auto"/>
              <w:rPr>
                <w:rFonts w:hint="eastAsia"/>
                <w:color w:val="000000" w:themeColor="text1"/>
                <w:lang w:val="en-US" w:eastAsia="zh-CN"/>
                <w14:textFill>
                  <w14:solidFill>
                    <w14:schemeClr w14:val="tx1"/>
                  </w14:solidFill>
                </w14:textFill>
              </w:rPr>
            </w:pPr>
          </w:p>
          <w:p w14:paraId="2C7EE496">
            <w:pPr>
              <w:bidi w:val="0"/>
              <w:spacing w:line="240" w:lineRule="auto"/>
              <w:rPr>
                <w:rFonts w:hint="eastAsia"/>
                <w:color w:val="000000" w:themeColor="text1"/>
                <w:lang w:val="en-US" w:eastAsia="zh-CN"/>
                <w14:textFill>
                  <w14:solidFill>
                    <w14:schemeClr w14:val="tx1"/>
                  </w14:solidFill>
                </w14:textFill>
              </w:rPr>
            </w:pPr>
          </w:p>
          <w:p w14:paraId="22569DF7">
            <w:pPr>
              <w:bidi w:val="0"/>
              <w:spacing w:line="240" w:lineRule="auto"/>
              <w:rPr>
                <w:rFonts w:hint="eastAsia"/>
                <w:color w:val="000000" w:themeColor="text1"/>
                <w:lang w:val="en-US" w:eastAsia="zh-CN"/>
                <w14:textFill>
                  <w14:solidFill>
                    <w14:schemeClr w14:val="tx1"/>
                  </w14:solidFill>
                </w14:textFill>
              </w:rPr>
            </w:pPr>
          </w:p>
          <w:p w14:paraId="4BFEBF37">
            <w:pPr>
              <w:bidi w:val="0"/>
              <w:spacing w:line="240" w:lineRule="auto"/>
              <w:rPr>
                <w:rFonts w:hint="eastAsia"/>
                <w:color w:val="000000" w:themeColor="text1"/>
                <w:lang w:val="en-US" w:eastAsia="zh-CN"/>
                <w14:textFill>
                  <w14:solidFill>
                    <w14:schemeClr w14:val="tx1"/>
                  </w14:solidFill>
                </w14:textFill>
              </w:rPr>
            </w:pPr>
          </w:p>
          <w:p w14:paraId="49AA4544">
            <w:pPr>
              <w:bidi w:val="0"/>
              <w:spacing w:line="240" w:lineRule="auto"/>
              <w:rPr>
                <w:rFonts w:hint="eastAsia"/>
                <w:color w:val="000000" w:themeColor="text1"/>
                <w:lang w:val="en-US" w:eastAsia="zh-CN"/>
                <w14:textFill>
                  <w14:solidFill>
                    <w14:schemeClr w14:val="tx1"/>
                  </w14:solidFill>
                </w14:textFill>
              </w:rPr>
            </w:pPr>
          </w:p>
          <w:p w14:paraId="4AECF60A">
            <w:pPr>
              <w:bidi w:val="0"/>
              <w:spacing w:line="240" w:lineRule="auto"/>
              <w:rPr>
                <w:rFonts w:hint="eastAsia"/>
                <w:color w:val="000000" w:themeColor="text1"/>
                <w:lang w:val="en-US" w:eastAsia="zh-CN"/>
                <w14:textFill>
                  <w14:solidFill>
                    <w14:schemeClr w14:val="tx1"/>
                  </w14:solidFill>
                </w14:textFill>
              </w:rPr>
            </w:pPr>
          </w:p>
          <w:p w14:paraId="3BAE180E">
            <w:pPr>
              <w:bidi w:val="0"/>
              <w:spacing w:line="240" w:lineRule="auto"/>
              <w:rPr>
                <w:rFonts w:hint="eastAsia"/>
                <w:color w:val="000000" w:themeColor="text1"/>
                <w:lang w:val="en-US" w:eastAsia="zh-CN"/>
                <w14:textFill>
                  <w14:solidFill>
                    <w14:schemeClr w14:val="tx1"/>
                  </w14:solidFill>
                </w14:textFill>
              </w:rPr>
            </w:pPr>
          </w:p>
          <w:p w14:paraId="1C6AC8B7">
            <w:pPr>
              <w:bidi w:val="0"/>
              <w:spacing w:line="240" w:lineRule="auto"/>
              <w:rPr>
                <w:rFonts w:hint="eastAsia"/>
                <w:color w:val="000000" w:themeColor="text1"/>
                <w:lang w:val="en-US" w:eastAsia="zh-CN"/>
                <w14:textFill>
                  <w14:solidFill>
                    <w14:schemeClr w14:val="tx1"/>
                  </w14:solidFill>
                </w14:textFill>
              </w:rPr>
            </w:pPr>
          </w:p>
          <w:p w14:paraId="3C105BC3">
            <w:pPr>
              <w:bidi w:val="0"/>
              <w:spacing w:line="240" w:lineRule="auto"/>
              <w:rPr>
                <w:rFonts w:hint="eastAsia"/>
                <w:color w:val="000000" w:themeColor="text1"/>
                <w:lang w:val="en-US" w:eastAsia="zh-CN"/>
                <w14:textFill>
                  <w14:solidFill>
                    <w14:schemeClr w14:val="tx1"/>
                  </w14:solidFill>
                </w14:textFill>
              </w:rPr>
            </w:pPr>
          </w:p>
          <w:p w14:paraId="7AE1C471">
            <w:pPr>
              <w:bidi w:val="0"/>
              <w:spacing w:line="240" w:lineRule="auto"/>
              <w:rPr>
                <w:rFonts w:hint="eastAsia"/>
                <w:color w:val="000000" w:themeColor="text1"/>
                <w:lang w:val="en-US" w:eastAsia="zh-CN"/>
                <w14:textFill>
                  <w14:solidFill>
                    <w14:schemeClr w14:val="tx1"/>
                  </w14:solidFill>
                </w14:textFill>
              </w:rPr>
            </w:pPr>
          </w:p>
          <w:p w14:paraId="04F33D45">
            <w:pPr>
              <w:bidi w:val="0"/>
              <w:spacing w:line="240" w:lineRule="auto"/>
              <w:rPr>
                <w:rFonts w:hint="eastAsia"/>
                <w:color w:val="000000" w:themeColor="text1"/>
                <w:lang w:val="en-US" w:eastAsia="zh-CN"/>
                <w14:textFill>
                  <w14:solidFill>
                    <w14:schemeClr w14:val="tx1"/>
                  </w14:solidFill>
                </w14:textFill>
              </w:rPr>
            </w:pPr>
          </w:p>
          <w:p w14:paraId="0697CFFB">
            <w:pPr>
              <w:bidi w:val="0"/>
              <w:spacing w:line="240" w:lineRule="auto"/>
              <w:rPr>
                <w:rFonts w:hint="eastAsia"/>
                <w:color w:val="000000" w:themeColor="text1"/>
                <w:lang w:val="en-US" w:eastAsia="zh-CN"/>
                <w14:textFill>
                  <w14:solidFill>
                    <w14:schemeClr w14:val="tx1"/>
                  </w14:solidFill>
                </w14:textFill>
              </w:rPr>
            </w:pPr>
          </w:p>
          <w:p w14:paraId="75D31CC8">
            <w:pPr>
              <w:bidi w:val="0"/>
              <w:spacing w:line="240" w:lineRule="auto"/>
              <w:rPr>
                <w:rFonts w:hint="eastAsia"/>
                <w:color w:val="000000" w:themeColor="text1"/>
                <w:lang w:val="en-US" w:eastAsia="zh-CN"/>
                <w14:textFill>
                  <w14:solidFill>
                    <w14:schemeClr w14:val="tx1"/>
                  </w14:solidFill>
                </w14:textFill>
              </w:rPr>
            </w:pPr>
          </w:p>
          <w:p w14:paraId="3EBB715F">
            <w:pPr>
              <w:bidi w:val="0"/>
              <w:spacing w:line="240" w:lineRule="auto"/>
              <w:rPr>
                <w:rFonts w:hint="eastAsia"/>
                <w:color w:val="000000" w:themeColor="text1"/>
                <w:lang w:val="en-US" w:eastAsia="zh-CN"/>
                <w14:textFill>
                  <w14:solidFill>
                    <w14:schemeClr w14:val="tx1"/>
                  </w14:solidFill>
                </w14:textFill>
              </w:rPr>
            </w:pPr>
          </w:p>
          <w:p w14:paraId="2C22C4FB">
            <w:pPr>
              <w:bidi w:val="0"/>
              <w:spacing w:line="240" w:lineRule="auto"/>
              <w:rPr>
                <w:rFonts w:hint="eastAsia"/>
                <w:color w:val="000000" w:themeColor="text1"/>
                <w:lang w:val="en-US" w:eastAsia="zh-CN"/>
                <w14:textFill>
                  <w14:solidFill>
                    <w14:schemeClr w14:val="tx1"/>
                  </w14:solidFill>
                </w14:textFill>
              </w:rPr>
            </w:pPr>
          </w:p>
          <w:p w14:paraId="7110ADBC">
            <w:pPr>
              <w:bidi w:val="0"/>
              <w:spacing w:line="240" w:lineRule="auto"/>
              <w:rPr>
                <w:rFonts w:hint="eastAsia"/>
                <w:color w:val="000000" w:themeColor="text1"/>
                <w:lang w:val="en-US" w:eastAsia="zh-CN"/>
                <w14:textFill>
                  <w14:solidFill>
                    <w14:schemeClr w14:val="tx1"/>
                  </w14:solidFill>
                </w14:textFill>
              </w:rPr>
            </w:pPr>
          </w:p>
          <w:p w14:paraId="37E854AE">
            <w:pPr>
              <w:bidi w:val="0"/>
              <w:spacing w:line="240" w:lineRule="auto"/>
              <w:rPr>
                <w:rFonts w:hint="eastAsia"/>
                <w:color w:val="000000" w:themeColor="text1"/>
                <w:lang w:val="en-US" w:eastAsia="zh-CN"/>
                <w14:textFill>
                  <w14:solidFill>
                    <w14:schemeClr w14:val="tx1"/>
                  </w14:solidFill>
                </w14:textFill>
              </w:rPr>
            </w:pPr>
          </w:p>
          <w:p w14:paraId="4B2FE7C3">
            <w:pPr>
              <w:bidi w:val="0"/>
              <w:spacing w:line="240" w:lineRule="auto"/>
              <w:rPr>
                <w:rFonts w:hint="eastAsia"/>
                <w:color w:val="000000" w:themeColor="text1"/>
                <w:lang w:val="en-US" w:eastAsia="zh-CN"/>
                <w14:textFill>
                  <w14:solidFill>
                    <w14:schemeClr w14:val="tx1"/>
                  </w14:solidFill>
                </w14:textFill>
              </w:rPr>
            </w:pPr>
          </w:p>
          <w:p w14:paraId="41FB3FCE">
            <w:pPr>
              <w:bidi w:val="0"/>
              <w:spacing w:line="240" w:lineRule="auto"/>
              <w:rPr>
                <w:rFonts w:hint="eastAsia"/>
                <w:color w:val="000000" w:themeColor="text1"/>
                <w:lang w:val="en-US" w:eastAsia="zh-CN"/>
                <w14:textFill>
                  <w14:solidFill>
                    <w14:schemeClr w14:val="tx1"/>
                  </w14:solidFill>
                </w14:textFill>
              </w:rPr>
            </w:pPr>
          </w:p>
        </w:tc>
      </w:tr>
    </w:tbl>
    <w:p w14:paraId="3DE914F3">
      <w:pPr>
        <w:jc w:val="both"/>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78566433">
      <w:pPr>
        <w:pStyle w:val="2"/>
        <w:tabs>
          <w:tab w:val="left" w:pos="309"/>
        </w:tabs>
        <w:spacing w:before="0" w:after="0" w:line="360" w:lineRule="auto"/>
        <w:jc w:val="center"/>
        <w:rPr>
          <w:color w:val="000000" w:themeColor="text1"/>
          <w14:textFill>
            <w14:solidFill>
              <w14:schemeClr w14:val="tx1"/>
            </w14:solidFill>
          </w14:textFill>
        </w:rPr>
      </w:pPr>
      <w:bookmarkStart w:id="11" w:name="_Toc9560"/>
      <w:bookmarkStart w:id="12" w:name="_Toc11572"/>
      <w:bookmarkStart w:id="13" w:name="_Toc5953"/>
      <w:bookmarkStart w:id="14" w:name="_Toc23338"/>
      <w:bookmarkStart w:id="15" w:name="_Toc20052"/>
      <w:bookmarkStart w:id="16" w:name="_Toc8746"/>
      <w:bookmarkStart w:id="17" w:name="_Toc20339"/>
      <w:bookmarkStart w:id="18" w:name="_Toc2929"/>
      <w:bookmarkStart w:id="19" w:name="_Toc2780"/>
      <w:bookmarkStart w:id="20" w:name="_Toc15901"/>
      <w:r>
        <w:rPr>
          <w:rFonts w:hint="eastAsia" w:eastAsia="黑体"/>
          <w:color w:val="000000" w:themeColor="text1"/>
          <w:sz w:val="28"/>
          <w:szCs w:val="28"/>
          <w14:textFill>
            <w14:solidFill>
              <w14:schemeClr w14:val="tx1"/>
            </w14:solidFill>
          </w14:textFill>
        </w:rPr>
        <w:t>三</w:t>
      </w:r>
      <w:r>
        <w:rPr>
          <w:rFonts w:eastAsia="黑体"/>
          <w:color w:val="000000" w:themeColor="text1"/>
          <w:sz w:val="28"/>
          <w:szCs w:val="28"/>
          <w14:textFill>
            <w14:solidFill>
              <w14:schemeClr w14:val="tx1"/>
            </w14:solidFill>
          </w14:textFill>
        </w:rPr>
        <w:t>、区域环境质量现状、环境保护目标及评价标准</w:t>
      </w:r>
      <w:bookmarkEnd w:id="11"/>
      <w:bookmarkEnd w:id="12"/>
      <w:bookmarkEnd w:id="13"/>
      <w:bookmarkEnd w:id="14"/>
      <w:bookmarkEnd w:id="15"/>
      <w:bookmarkEnd w:id="16"/>
      <w:bookmarkEnd w:id="17"/>
      <w:bookmarkEnd w:id="18"/>
      <w:bookmarkEnd w:id="19"/>
      <w:bookmarkEnd w:id="20"/>
    </w:p>
    <w:tbl>
      <w:tblPr>
        <w:tblStyle w:val="8"/>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490"/>
      </w:tblGrid>
      <w:tr w14:paraId="08D7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jc w:val="center"/>
        </w:trPr>
        <w:tc>
          <w:tcPr>
            <w:tcW w:w="525" w:type="dxa"/>
            <w:noWrap w:val="0"/>
            <w:vAlign w:val="center"/>
          </w:tcPr>
          <w:p w14:paraId="0A0A3B0B">
            <w:pPr>
              <w:spacing w:line="240" w:lineRule="auto"/>
              <w:jc w:val="center"/>
              <w:rPr>
                <w:color w:val="000000" w:themeColor="text1"/>
                <w14:textFill>
                  <w14:solidFill>
                    <w14:schemeClr w14:val="tx1"/>
                  </w14:solidFill>
                </w14:textFill>
              </w:rPr>
            </w:pPr>
            <w:r>
              <w:rPr>
                <w:rFonts w:eastAsia="黑体"/>
                <w:b/>
                <w:bCs/>
                <w:color w:val="000000" w:themeColor="text1"/>
                <w:sz w:val="24"/>
                <w:szCs w:val="24"/>
                <w14:textFill>
                  <w14:solidFill>
                    <w14:schemeClr w14:val="tx1"/>
                  </w14:solidFill>
                </w14:textFill>
              </w:rPr>
              <w:t>区域环境质量现状</w:t>
            </w:r>
          </w:p>
        </w:tc>
        <w:tc>
          <w:tcPr>
            <w:tcW w:w="8490" w:type="dxa"/>
            <w:noWrap w:val="0"/>
            <w:vAlign w:val="center"/>
          </w:tcPr>
          <w:p w14:paraId="535247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4"/>
                <w:szCs w:val="24"/>
                <w14:textFill>
                  <w14:solidFill>
                    <w14:schemeClr w14:val="tx1"/>
                  </w14:solidFill>
                </w14:textFill>
              </w:rPr>
              <w:t>大气环境现状</w:t>
            </w:r>
          </w:p>
          <w:p w14:paraId="1128A5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依据《环境空气质量功能区划》，项目所在区域应执行《环境空气质量标准》（GB3095-2012）及其修改单中二级标准要求。</w:t>
            </w:r>
          </w:p>
          <w:p w14:paraId="269262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lang w:val="en-US" w:eastAsia="zh-CN"/>
                <w14:textFill>
                  <w14:solidFill>
                    <w14:schemeClr w14:val="tx1"/>
                  </w14:solidFill>
                </w14:textFill>
              </w:rPr>
              <w:t>1.1常规污染物及达标区判定</w:t>
            </w:r>
          </w:p>
          <w:p w14:paraId="21E712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根据《环境影响评价技术导则大气环境》</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HJ2.2-2018</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 中“5.5评价基准年筛选依据评价所需环境空气质量现状、气象资料等数据的可获得性、数据质量、代表性等因素，选择近3年中数据相对完整的1个日历年作为评价基准年”</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“6.2  数据，采用评价范围内国家或地方环境空气质量监测网中评价基准年连续1年的监测数据，或采用生态环境主管部门公开发布的环境空气质量现状数据”。</w:t>
            </w:r>
          </w:p>
          <w:p w14:paraId="79D774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为了解项目所在区域的空气环境质量现状，本次评价采用怀化市生态环境主管部门公布的《2024年12月环境空气质量月报及空气质量年报》</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网址：http://www.huaihua.gov.cn/sthjj/c115423/202502/2263581bf336450fa067d049c688dac0.shtml</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详见附件8</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val="en-US" w:eastAsia="zh-CN"/>
                <w14:textFill>
                  <w14:solidFill>
                    <w14:schemeClr w14:val="tx1"/>
                  </w14:solidFill>
                </w14:textFill>
              </w:rPr>
              <w:t>溆浦县</w:t>
            </w:r>
            <w:r>
              <w:rPr>
                <w:rFonts w:hint="default" w:ascii="Times New Roman" w:hAnsi="Times New Roman" w:eastAsia="宋体" w:cs="Times New Roman"/>
                <w:color w:val="000000" w:themeColor="text1"/>
                <w:sz w:val="24"/>
                <w:szCs w:val="24"/>
                <w14:textFill>
                  <w14:solidFill>
                    <w14:schemeClr w14:val="tx1"/>
                  </w14:solidFill>
                </w14:textFill>
              </w:rPr>
              <w:t>的环境空气监测数据来说明环境空气质量情况，监测结果详见下表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14:textFill>
                  <w14:solidFill>
                    <w14:schemeClr w14:val="tx1"/>
                  </w14:solidFill>
                </w14:textFill>
              </w:rPr>
              <w:t>。</w:t>
            </w:r>
          </w:p>
          <w:p w14:paraId="5E61DC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表3-1 </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 xml:space="preserve"> 2024</w:t>
            </w:r>
            <w:r>
              <w:rPr>
                <w:rFonts w:hint="default" w:ascii="Times New Roman" w:hAnsi="Times New Roman" w:eastAsia="黑体" w:cs="Times New Roman"/>
                <w:b w:val="0"/>
                <w:bCs w:val="0"/>
                <w:color w:val="000000" w:themeColor="text1"/>
                <w:sz w:val="21"/>
                <w:szCs w:val="21"/>
                <w14:textFill>
                  <w14:solidFill>
                    <w14:schemeClr w14:val="tx1"/>
                  </w14:solidFill>
                </w14:textFill>
              </w:rPr>
              <w:t>年</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溆浦县</w:t>
            </w:r>
            <w:r>
              <w:rPr>
                <w:rFonts w:hint="default" w:ascii="Times New Roman" w:hAnsi="Times New Roman" w:eastAsia="黑体" w:cs="Times New Roman"/>
                <w:b w:val="0"/>
                <w:bCs w:val="0"/>
                <w:color w:val="000000" w:themeColor="text1"/>
                <w:sz w:val="21"/>
                <w:szCs w:val="21"/>
                <w14:textFill>
                  <w14:solidFill>
                    <w14:schemeClr w14:val="tx1"/>
                  </w14:solidFill>
                </w14:textFill>
              </w:rPr>
              <w:t>环境空气质量评价结果  单位： μg/m</w:t>
            </w:r>
            <w:r>
              <w:rPr>
                <w:rFonts w:hint="default" w:ascii="Times New Roman" w:hAnsi="Times New Roman" w:eastAsia="黑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黑体" w:cs="Times New Roman"/>
                <w:b w:val="0"/>
                <w:bCs w:val="0"/>
                <w:color w:val="000000" w:themeColor="text1"/>
                <w:sz w:val="21"/>
                <w:szCs w:val="21"/>
                <w14:textFill>
                  <w14:solidFill>
                    <w14:schemeClr w14:val="tx1"/>
                  </w14:solidFill>
                </w14:textFill>
              </w:rPr>
              <w:t>（CO：mg/m</w:t>
            </w:r>
            <w:r>
              <w:rPr>
                <w:rFonts w:hint="default" w:ascii="Times New Roman" w:hAnsi="Times New Roman" w:eastAsia="黑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p>
          <w:tbl>
            <w:tblPr>
              <w:tblStyle w:val="8"/>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610"/>
              <w:gridCol w:w="1200"/>
              <w:gridCol w:w="1140"/>
              <w:gridCol w:w="1380"/>
              <w:gridCol w:w="1071"/>
            </w:tblGrid>
            <w:tr w14:paraId="52EB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shd w:val="clear" w:color="auto" w:fill="auto"/>
                  <w:vAlign w:val="center"/>
                </w:tcPr>
                <w:p w14:paraId="2016E957">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污染物</w:t>
                  </w:r>
                </w:p>
              </w:tc>
              <w:tc>
                <w:tcPr>
                  <w:tcW w:w="2610" w:type="dxa"/>
                  <w:shd w:val="clear" w:color="auto" w:fill="auto"/>
                  <w:vAlign w:val="center"/>
                </w:tcPr>
                <w:p w14:paraId="611D6CBC">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年评价指标</w:t>
                  </w:r>
                </w:p>
              </w:tc>
              <w:tc>
                <w:tcPr>
                  <w:tcW w:w="1200" w:type="dxa"/>
                  <w:shd w:val="clear" w:color="auto" w:fill="auto"/>
                  <w:vAlign w:val="center"/>
                </w:tcPr>
                <w:p w14:paraId="08EA0EDA">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现状浓度（μg/m</w:t>
                  </w:r>
                  <w:r>
                    <w:rPr>
                      <w:rFonts w:hint="default" w:ascii="Times New Roman" w:hAnsi="Times New Roman" w:eastAsia="黑体" w:cs="Times New Roman"/>
                      <w:color w:val="000000" w:themeColor="text1"/>
                      <w:sz w:val="21"/>
                      <w:szCs w:val="21"/>
                      <w:vertAlign w:val="superscript"/>
                      <w14:textFill>
                        <w14:solidFill>
                          <w14:schemeClr w14:val="tx1"/>
                        </w14:solidFill>
                      </w14:textFill>
                    </w:rPr>
                    <w:t>3</w:t>
                  </w:r>
                  <w:r>
                    <w:rPr>
                      <w:rFonts w:hint="default" w:ascii="Times New Roman" w:hAnsi="Times New Roman" w:eastAsia="黑体" w:cs="Times New Roman"/>
                      <w:color w:val="000000" w:themeColor="text1"/>
                      <w:sz w:val="21"/>
                      <w:szCs w:val="21"/>
                      <w14:textFill>
                        <w14:solidFill>
                          <w14:schemeClr w14:val="tx1"/>
                        </w14:solidFill>
                      </w14:textFill>
                    </w:rPr>
                    <w:t>）</w:t>
                  </w:r>
                </w:p>
              </w:tc>
              <w:tc>
                <w:tcPr>
                  <w:tcW w:w="1140" w:type="dxa"/>
                  <w:shd w:val="clear" w:color="auto" w:fill="auto"/>
                  <w:vAlign w:val="center"/>
                </w:tcPr>
                <w:p w14:paraId="5A11D104">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标准值</w:t>
                  </w:r>
                  <w:r>
                    <w:rPr>
                      <w:rFonts w:hint="default" w:ascii="Times New Roman" w:hAnsi="Times New Roman" w:eastAsia="黑体" w:cs="Times New Roman"/>
                      <w:color w:val="000000" w:themeColor="text1"/>
                      <w:sz w:val="21"/>
                      <w:szCs w:val="21"/>
                      <w:vertAlign w:val="superscript"/>
                      <w14:textFill>
                        <w14:solidFill>
                          <w14:schemeClr w14:val="tx1"/>
                        </w14:solidFill>
                      </w14:textFill>
                    </w:rPr>
                    <w:t>①</w:t>
                  </w:r>
                  <w:r>
                    <w:rPr>
                      <w:rFonts w:hint="default" w:ascii="Times New Roman" w:hAnsi="Times New Roman" w:eastAsia="黑体" w:cs="Times New Roman"/>
                      <w:color w:val="000000" w:themeColor="text1"/>
                      <w:sz w:val="21"/>
                      <w:szCs w:val="21"/>
                      <w14:textFill>
                        <w14:solidFill>
                          <w14:schemeClr w14:val="tx1"/>
                        </w14:solidFill>
                      </w14:textFill>
                    </w:rPr>
                    <w:t>（μg/m</w:t>
                  </w:r>
                  <w:r>
                    <w:rPr>
                      <w:rFonts w:hint="default" w:ascii="Times New Roman" w:hAnsi="Times New Roman" w:eastAsia="黑体" w:cs="Times New Roman"/>
                      <w:color w:val="000000" w:themeColor="text1"/>
                      <w:sz w:val="21"/>
                      <w:szCs w:val="21"/>
                      <w:vertAlign w:val="superscript"/>
                      <w14:textFill>
                        <w14:solidFill>
                          <w14:schemeClr w14:val="tx1"/>
                        </w14:solidFill>
                      </w14:textFill>
                    </w:rPr>
                    <w:t>3</w:t>
                  </w:r>
                  <w:r>
                    <w:rPr>
                      <w:rFonts w:hint="default" w:ascii="Times New Roman" w:hAnsi="Times New Roman" w:eastAsia="黑体" w:cs="Times New Roman"/>
                      <w:color w:val="000000" w:themeColor="text1"/>
                      <w:sz w:val="21"/>
                      <w:szCs w:val="21"/>
                      <w14:textFill>
                        <w14:solidFill>
                          <w14:schemeClr w14:val="tx1"/>
                        </w14:solidFill>
                      </w14:textFill>
                    </w:rPr>
                    <w:t>）</w:t>
                  </w:r>
                </w:p>
              </w:tc>
              <w:tc>
                <w:tcPr>
                  <w:tcW w:w="1380" w:type="dxa"/>
                  <w:shd w:val="clear" w:color="auto" w:fill="auto"/>
                  <w:vAlign w:val="center"/>
                </w:tcPr>
                <w:p w14:paraId="02A7486A">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占标率（%）</w:t>
                  </w:r>
                </w:p>
              </w:tc>
              <w:tc>
                <w:tcPr>
                  <w:tcW w:w="1071" w:type="dxa"/>
                  <w:shd w:val="clear" w:color="auto" w:fill="auto"/>
                  <w:vAlign w:val="center"/>
                </w:tcPr>
                <w:p w14:paraId="56BFDEBC">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达标情况</w:t>
                  </w:r>
                </w:p>
              </w:tc>
            </w:tr>
            <w:tr w14:paraId="6C9A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shd w:val="clear" w:color="auto" w:fill="auto"/>
                  <w:vAlign w:val="center"/>
                </w:tcPr>
                <w:p w14:paraId="2E53D42E">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SO</w:t>
                  </w:r>
                  <w:r>
                    <w:rPr>
                      <w:rFonts w:hint="default" w:ascii="Times New Roman" w:hAnsi="Times New Roman" w:eastAsia="黑体" w:cs="Times New Roman"/>
                      <w:color w:val="000000" w:themeColor="text1"/>
                      <w:sz w:val="21"/>
                      <w:szCs w:val="21"/>
                      <w:vertAlign w:val="subscript"/>
                      <w14:textFill>
                        <w14:solidFill>
                          <w14:schemeClr w14:val="tx1"/>
                        </w14:solidFill>
                      </w14:textFill>
                    </w:rPr>
                    <w:t>2</w:t>
                  </w:r>
                </w:p>
              </w:tc>
              <w:tc>
                <w:tcPr>
                  <w:tcW w:w="2610" w:type="dxa"/>
                  <w:shd w:val="clear" w:color="auto" w:fill="auto"/>
                  <w:vAlign w:val="center"/>
                </w:tcPr>
                <w:p w14:paraId="0CC69240">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年平均质量浓度</w:t>
                  </w:r>
                </w:p>
              </w:tc>
              <w:tc>
                <w:tcPr>
                  <w:tcW w:w="1200" w:type="dxa"/>
                  <w:shd w:val="clear" w:color="auto" w:fill="auto"/>
                  <w:vAlign w:val="center"/>
                </w:tcPr>
                <w:p w14:paraId="2281F5E0">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12</w:t>
                  </w:r>
                </w:p>
              </w:tc>
              <w:tc>
                <w:tcPr>
                  <w:tcW w:w="1140" w:type="dxa"/>
                  <w:shd w:val="clear" w:color="auto" w:fill="auto"/>
                  <w:vAlign w:val="center"/>
                </w:tcPr>
                <w:p w14:paraId="196A60D3">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60</w:t>
                  </w:r>
                </w:p>
              </w:tc>
              <w:tc>
                <w:tcPr>
                  <w:tcW w:w="1380" w:type="dxa"/>
                  <w:shd w:val="clear" w:color="auto" w:fill="auto"/>
                  <w:vAlign w:val="center"/>
                </w:tcPr>
                <w:p w14:paraId="64A0A11A">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20</w:t>
                  </w:r>
                </w:p>
              </w:tc>
              <w:tc>
                <w:tcPr>
                  <w:tcW w:w="1071" w:type="dxa"/>
                  <w:shd w:val="clear" w:color="auto" w:fill="auto"/>
                  <w:vAlign w:val="center"/>
                </w:tcPr>
                <w:p w14:paraId="284B85FD">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达标</w:t>
                  </w:r>
                </w:p>
              </w:tc>
            </w:tr>
            <w:tr w14:paraId="7DC1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shd w:val="clear" w:color="auto" w:fill="auto"/>
                  <w:vAlign w:val="center"/>
                </w:tcPr>
                <w:p w14:paraId="7B06C787">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NO</w:t>
                  </w:r>
                  <w:r>
                    <w:rPr>
                      <w:rFonts w:hint="default" w:ascii="Times New Roman" w:hAnsi="Times New Roman" w:eastAsia="黑体" w:cs="Times New Roman"/>
                      <w:color w:val="000000" w:themeColor="text1"/>
                      <w:sz w:val="21"/>
                      <w:szCs w:val="21"/>
                      <w:vertAlign w:val="subscript"/>
                      <w14:textFill>
                        <w14:solidFill>
                          <w14:schemeClr w14:val="tx1"/>
                        </w14:solidFill>
                      </w14:textFill>
                    </w:rPr>
                    <w:t>2</w:t>
                  </w:r>
                </w:p>
              </w:tc>
              <w:tc>
                <w:tcPr>
                  <w:tcW w:w="2610" w:type="dxa"/>
                  <w:shd w:val="clear" w:color="auto" w:fill="auto"/>
                  <w:vAlign w:val="center"/>
                </w:tcPr>
                <w:p w14:paraId="405F84F4">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年平均质量浓度</w:t>
                  </w:r>
                </w:p>
              </w:tc>
              <w:tc>
                <w:tcPr>
                  <w:tcW w:w="1200" w:type="dxa"/>
                  <w:shd w:val="clear" w:color="auto" w:fill="auto"/>
                  <w:vAlign w:val="center"/>
                </w:tcPr>
                <w:p w14:paraId="11730622">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7</w:t>
                  </w:r>
                </w:p>
              </w:tc>
              <w:tc>
                <w:tcPr>
                  <w:tcW w:w="1140" w:type="dxa"/>
                  <w:shd w:val="clear" w:color="auto" w:fill="auto"/>
                  <w:vAlign w:val="center"/>
                </w:tcPr>
                <w:p w14:paraId="0116D1EF">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40</w:t>
                  </w:r>
                </w:p>
              </w:tc>
              <w:tc>
                <w:tcPr>
                  <w:tcW w:w="1380" w:type="dxa"/>
                  <w:shd w:val="clear" w:color="auto" w:fill="auto"/>
                  <w:vAlign w:val="center"/>
                </w:tcPr>
                <w:p w14:paraId="4803DFAB">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17.5</w:t>
                  </w:r>
                </w:p>
              </w:tc>
              <w:tc>
                <w:tcPr>
                  <w:tcW w:w="1071" w:type="dxa"/>
                  <w:shd w:val="clear" w:color="auto" w:fill="auto"/>
                  <w:vAlign w:val="center"/>
                </w:tcPr>
                <w:p w14:paraId="3B2AAD70">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达标</w:t>
                  </w:r>
                </w:p>
              </w:tc>
            </w:tr>
            <w:tr w14:paraId="0D3B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shd w:val="clear" w:color="auto" w:fill="auto"/>
                  <w:vAlign w:val="center"/>
                </w:tcPr>
                <w:p w14:paraId="449EBE5B">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PM</w:t>
                  </w:r>
                  <w:r>
                    <w:rPr>
                      <w:rFonts w:hint="default" w:ascii="Times New Roman" w:hAnsi="Times New Roman" w:eastAsia="黑体" w:cs="Times New Roman"/>
                      <w:color w:val="000000" w:themeColor="text1"/>
                      <w:sz w:val="21"/>
                      <w:szCs w:val="21"/>
                      <w:vertAlign w:val="subscript"/>
                      <w14:textFill>
                        <w14:solidFill>
                          <w14:schemeClr w14:val="tx1"/>
                        </w14:solidFill>
                      </w14:textFill>
                    </w:rPr>
                    <w:t>10</w:t>
                  </w:r>
                </w:p>
              </w:tc>
              <w:tc>
                <w:tcPr>
                  <w:tcW w:w="2610" w:type="dxa"/>
                  <w:shd w:val="clear" w:color="auto" w:fill="auto"/>
                  <w:vAlign w:val="center"/>
                </w:tcPr>
                <w:p w14:paraId="0B0C3B05">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年平均质量浓度</w:t>
                  </w:r>
                </w:p>
              </w:tc>
              <w:tc>
                <w:tcPr>
                  <w:tcW w:w="1200" w:type="dxa"/>
                  <w:shd w:val="clear" w:color="auto" w:fill="auto"/>
                  <w:vAlign w:val="center"/>
                </w:tcPr>
                <w:p w14:paraId="5F02C6FF">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29</w:t>
                  </w:r>
                </w:p>
              </w:tc>
              <w:tc>
                <w:tcPr>
                  <w:tcW w:w="1140" w:type="dxa"/>
                  <w:shd w:val="clear" w:color="auto" w:fill="auto"/>
                  <w:vAlign w:val="center"/>
                </w:tcPr>
                <w:p w14:paraId="27981090">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70</w:t>
                  </w:r>
                </w:p>
              </w:tc>
              <w:tc>
                <w:tcPr>
                  <w:tcW w:w="1380" w:type="dxa"/>
                  <w:shd w:val="clear" w:color="auto" w:fill="auto"/>
                  <w:vAlign w:val="center"/>
                </w:tcPr>
                <w:p w14:paraId="11C0B743">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41.4</w:t>
                  </w:r>
                </w:p>
              </w:tc>
              <w:tc>
                <w:tcPr>
                  <w:tcW w:w="1071" w:type="dxa"/>
                  <w:shd w:val="clear" w:color="auto" w:fill="auto"/>
                  <w:vAlign w:val="center"/>
                </w:tcPr>
                <w:p w14:paraId="5D2D8A8B">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达标</w:t>
                  </w:r>
                </w:p>
              </w:tc>
            </w:tr>
            <w:tr w14:paraId="2EA0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shd w:val="clear" w:color="auto" w:fill="auto"/>
                  <w:vAlign w:val="center"/>
                </w:tcPr>
                <w:p w14:paraId="12B20EB8">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PM</w:t>
                  </w:r>
                  <w:r>
                    <w:rPr>
                      <w:rFonts w:hint="default" w:ascii="Times New Roman" w:hAnsi="Times New Roman" w:eastAsia="黑体" w:cs="Times New Roman"/>
                      <w:color w:val="000000" w:themeColor="text1"/>
                      <w:sz w:val="21"/>
                      <w:szCs w:val="21"/>
                      <w:vertAlign w:val="subscript"/>
                      <w14:textFill>
                        <w14:solidFill>
                          <w14:schemeClr w14:val="tx1"/>
                        </w14:solidFill>
                      </w14:textFill>
                    </w:rPr>
                    <w:t>2.5</w:t>
                  </w:r>
                </w:p>
              </w:tc>
              <w:tc>
                <w:tcPr>
                  <w:tcW w:w="2610" w:type="dxa"/>
                  <w:shd w:val="clear" w:color="auto" w:fill="auto"/>
                  <w:vAlign w:val="center"/>
                </w:tcPr>
                <w:p w14:paraId="3CEE5219">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年平均质量浓度</w:t>
                  </w:r>
                </w:p>
              </w:tc>
              <w:tc>
                <w:tcPr>
                  <w:tcW w:w="1200" w:type="dxa"/>
                  <w:shd w:val="clear" w:color="auto" w:fill="auto"/>
                  <w:vAlign w:val="center"/>
                </w:tcPr>
                <w:p w14:paraId="02E02026">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23</w:t>
                  </w:r>
                </w:p>
              </w:tc>
              <w:tc>
                <w:tcPr>
                  <w:tcW w:w="1140" w:type="dxa"/>
                  <w:shd w:val="clear" w:color="auto" w:fill="auto"/>
                  <w:vAlign w:val="center"/>
                </w:tcPr>
                <w:p w14:paraId="7FAEECBE">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35</w:t>
                  </w:r>
                </w:p>
              </w:tc>
              <w:tc>
                <w:tcPr>
                  <w:tcW w:w="1380" w:type="dxa"/>
                  <w:shd w:val="clear" w:color="auto" w:fill="auto"/>
                  <w:vAlign w:val="center"/>
                </w:tcPr>
                <w:p w14:paraId="1A2C1B7D">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65.7</w:t>
                  </w:r>
                </w:p>
              </w:tc>
              <w:tc>
                <w:tcPr>
                  <w:tcW w:w="1071" w:type="dxa"/>
                  <w:shd w:val="clear" w:color="auto" w:fill="auto"/>
                  <w:vAlign w:val="center"/>
                </w:tcPr>
                <w:p w14:paraId="616767F6">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达标</w:t>
                  </w:r>
                </w:p>
              </w:tc>
            </w:tr>
            <w:tr w14:paraId="5C7A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shd w:val="clear" w:color="auto" w:fill="auto"/>
                  <w:vAlign w:val="center"/>
                </w:tcPr>
                <w:p w14:paraId="63B05081">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O</w:t>
                  </w:r>
                  <w:r>
                    <w:rPr>
                      <w:rFonts w:hint="default" w:ascii="Times New Roman" w:hAnsi="Times New Roman" w:eastAsia="黑体" w:cs="Times New Roman"/>
                      <w:color w:val="000000" w:themeColor="text1"/>
                      <w:sz w:val="21"/>
                      <w:szCs w:val="21"/>
                      <w:vertAlign w:val="subscript"/>
                      <w14:textFill>
                        <w14:solidFill>
                          <w14:schemeClr w14:val="tx1"/>
                        </w14:solidFill>
                      </w14:textFill>
                    </w:rPr>
                    <w:t>3</w:t>
                  </w:r>
                </w:p>
              </w:tc>
              <w:tc>
                <w:tcPr>
                  <w:tcW w:w="2610" w:type="dxa"/>
                  <w:shd w:val="clear" w:color="auto" w:fill="auto"/>
                  <w:vAlign w:val="center"/>
                </w:tcPr>
                <w:p w14:paraId="4CA773A7">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90百分位数最大8小时平均质量浓度</w:t>
                  </w:r>
                </w:p>
              </w:tc>
              <w:tc>
                <w:tcPr>
                  <w:tcW w:w="1200" w:type="dxa"/>
                  <w:shd w:val="clear" w:color="auto" w:fill="auto"/>
                  <w:vAlign w:val="center"/>
                </w:tcPr>
                <w:p w14:paraId="36CD347F">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123</w:t>
                  </w:r>
                </w:p>
              </w:tc>
              <w:tc>
                <w:tcPr>
                  <w:tcW w:w="1140" w:type="dxa"/>
                  <w:shd w:val="clear" w:color="auto" w:fill="auto"/>
                  <w:vAlign w:val="center"/>
                </w:tcPr>
                <w:p w14:paraId="0475DB6F">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160</w:t>
                  </w:r>
                </w:p>
              </w:tc>
              <w:tc>
                <w:tcPr>
                  <w:tcW w:w="1380" w:type="dxa"/>
                  <w:shd w:val="clear" w:color="auto" w:fill="auto"/>
                  <w:vAlign w:val="center"/>
                </w:tcPr>
                <w:p w14:paraId="3B2D486D">
                  <w:pPr>
                    <w:bidi w:val="0"/>
                    <w:spacing w:line="240" w:lineRule="auto"/>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76.9</w:t>
                  </w:r>
                </w:p>
              </w:tc>
              <w:tc>
                <w:tcPr>
                  <w:tcW w:w="1071" w:type="dxa"/>
                  <w:shd w:val="clear" w:color="auto" w:fill="auto"/>
                  <w:vAlign w:val="center"/>
                </w:tcPr>
                <w:p w14:paraId="19384C41">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达标</w:t>
                  </w:r>
                </w:p>
              </w:tc>
            </w:tr>
            <w:tr w14:paraId="7532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shd w:val="clear" w:color="auto" w:fill="auto"/>
                  <w:vAlign w:val="center"/>
                </w:tcPr>
                <w:p w14:paraId="4881FDCD">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CO</w:t>
                  </w:r>
                </w:p>
              </w:tc>
              <w:tc>
                <w:tcPr>
                  <w:tcW w:w="2610" w:type="dxa"/>
                  <w:shd w:val="clear" w:color="auto" w:fill="auto"/>
                  <w:vAlign w:val="center"/>
                </w:tcPr>
                <w:p w14:paraId="2B31F125">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95 百分位数日平均质量浓度</w:t>
                  </w:r>
                </w:p>
              </w:tc>
              <w:tc>
                <w:tcPr>
                  <w:tcW w:w="1200" w:type="dxa"/>
                  <w:shd w:val="clear" w:color="auto" w:fill="auto"/>
                  <w:vAlign w:val="center"/>
                </w:tcPr>
                <w:p w14:paraId="2F484FDB">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0.9mg/m</w:t>
                  </w:r>
                  <w:r>
                    <w:rPr>
                      <w:rFonts w:hint="default" w:ascii="Times New Roman" w:hAnsi="Times New Roman" w:eastAsia="黑体" w:cs="Times New Roman"/>
                      <w:color w:val="000000" w:themeColor="text1"/>
                      <w:sz w:val="21"/>
                      <w:szCs w:val="21"/>
                      <w:vertAlign w:val="superscript"/>
                      <w14:textFill>
                        <w14:solidFill>
                          <w14:schemeClr w14:val="tx1"/>
                        </w14:solidFill>
                      </w14:textFill>
                    </w:rPr>
                    <w:t>3</w:t>
                  </w:r>
                </w:p>
              </w:tc>
              <w:tc>
                <w:tcPr>
                  <w:tcW w:w="1140" w:type="dxa"/>
                  <w:shd w:val="clear" w:color="auto" w:fill="auto"/>
                  <w:vAlign w:val="center"/>
                </w:tcPr>
                <w:p w14:paraId="5984553B">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4.0mg/m</w:t>
                  </w:r>
                  <w:r>
                    <w:rPr>
                      <w:rFonts w:hint="default" w:ascii="Times New Roman" w:hAnsi="Times New Roman" w:eastAsia="黑体" w:cs="Times New Roman"/>
                      <w:color w:val="000000" w:themeColor="text1"/>
                      <w:sz w:val="21"/>
                      <w:szCs w:val="21"/>
                      <w:vertAlign w:val="superscript"/>
                      <w14:textFill>
                        <w14:solidFill>
                          <w14:schemeClr w14:val="tx1"/>
                        </w14:solidFill>
                      </w14:textFill>
                    </w:rPr>
                    <w:t>3</w:t>
                  </w:r>
                </w:p>
              </w:tc>
              <w:tc>
                <w:tcPr>
                  <w:tcW w:w="1380" w:type="dxa"/>
                  <w:shd w:val="clear" w:color="auto" w:fill="auto"/>
                  <w:vAlign w:val="center"/>
                </w:tcPr>
                <w:p w14:paraId="7CD29537">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22.5</w:t>
                  </w:r>
                </w:p>
              </w:tc>
              <w:tc>
                <w:tcPr>
                  <w:tcW w:w="1071" w:type="dxa"/>
                  <w:shd w:val="clear" w:color="auto" w:fill="auto"/>
                  <w:vAlign w:val="center"/>
                </w:tcPr>
                <w:p w14:paraId="50CBB0F2">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达标</w:t>
                  </w:r>
                </w:p>
              </w:tc>
            </w:tr>
            <w:tr w14:paraId="3C3C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0" w:type="dxa"/>
                  <w:gridSpan w:val="6"/>
                  <w:shd w:val="clear" w:color="auto" w:fill="auto"/>
                  <w:vAlign w:val="center"/>
                </w:tcPr>
                <w:p w14:paraId="2CAA2828">
                  <w:pPr>
                    <w:bidi w:val="0"/>
                    <w:spacing w:line="240" w:lineRule="auto"/>
                    <w:jc w:val="both"/>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备注：①标准值为《环境空气质量标准》（GB3095-2012）</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中</w:t>
                  </w:r>
                  <w:r>
                    <w:rPr>
                      <w:rFonts w:hint="default" w:ascii="Times New Roman" w:hAnsi="Times New Roman" w:eastAsia="黑体" w:cs="Times New Roman"/>
                      <w:color w:val="000000" w:themeColor="text1"/>
                      <w:sz w:val="21"/>
                      <w:szCs w:val="21"/>
                      <w14:textFill>
                        <w14:solidFill>
                          <w14:schemeClr w14:val="tx1"/>
                        </w14:solidFill>
                      </w14:textFill>
                    </w:rPr>
                    <w:t>二级标准</w:t>
                  </w:r>
                </w:p>
              </w:tc>
            </w:tr>
          </w:tbl>
          <w:p w14:paraId="6D5686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综上所述，本项目所在区域的SO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、PM</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2.5</w:t>
            </w:r>
            <w:r>
              <w:rPr>
                <w:rFonts w:hint="default" w:ascii="Times New Roman" w:hAnsi="Times New Roman" w:eastAsia="宋体" w:cs="Times New Roman"/>
                <w:b w:val="0"/>
                <w:bCs w:val="0"/>
                <w:color w:val="000000" w:themeColor="text1"/>
                <w:sz w:val="24"/>
                <w:szCs w:val="24"/>
                <w14:textFill>
                  <w14:solidFill>
                    <w14:schemeClr w14:val="tx1"/>
                  </w14:solidFill>
                </w14:textFill>
              </w:rPr>
              <w:t>、PM</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b w:val="0"/>
                <w:bCs w:val="0"/>
                <w:color w:val="000000" w:themeColor="text1"/>
                <w:sz w:val="24"/>
                <w:szCs w:val="24"/>
                <w14:textFill>
                  <w14:solidFill>
                    <w14:schemeClr w14:val="tx1"/>
                  </w14:solidFill>
                </w14:textFill>
              </w:rPr>
              <w:t>、NO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年平均质量浓度、CO第95百分位数日平均质量浓度和臭氧百分位数日最大8小时平均质量浓度均达到《环境空气质量标准》（GB3095-2012）及其2018年修改单二级标准。因此，项目区域所在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溆浦县属于</w:t>
            </w:r>
            <w:r>
              <w:rPr>
                <w:rFonts w:hint="default" w:ascii="Times New Roman" w:hAnsi="Times New Roman" w:eastAsia="宋体" w:cs="Times New Roman"/>
                <w:b w:val="0"/>
                <w:bCs w:val="0"/>
                <w:color w:val="000000" w:themeColor="text1"/>
                <w:sz w:val="24"/>
                <w:szCs w:val="24"/>
                <w14:textFill>
                  <w14:solidFill>
                    <w14:schemeClr w14:val="tx1"/>
                  </w14:solidFill>
                </w14:textFill>
              </w:rPr>
              <w:t>环境空气质量达标区。</w:t>
            </w:r>
          </w:p>
          <w:p w14:paraId="6C60ED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p>
          <w:p w14:paraId="2F9FDF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u w:val="single"/>
                <w:lang w:val="en-US" w:eastAsia="zh-CN"/>
                <w14:textFill>
                  <w14:solidFill>
                    <w14:schemeClr w14:val="tx1"/>
                  </w14:solidFill>
                </w14:textFill>
              </w:rPr>
            </w:pPr>
            <w:r>
              <w:rPr>
                <w:sz w:val="24"/>
              </w:rPr>
              <mc:AlternateContent>
                <mc:Choice Requires="wps">
                  <w:drawing>
                    <wp:anchor distT="0" distB="0" distL="114300" distR="114300" simplePos="0" relativeHeight="251667456" behindDoc="0" locked="0" layoutInCell="1" allowOverlap="1">
                      <wp:simplePos x="0" y="0"/>
                      <wp:positionH relativeFrom="column">
                        <wp:posOffset>73660</wp:posOffset>
                      </wp:positionH>
                      <wp:positionV relativeFrom="paragraph">
                        <wp:posOffset>62230</wp:posOffset>
                      </wp:positionV>
                      <wp:extent cx="5203190" cy="6000750"/>
                      <wp:effectExtent l="6350" t="6350" r="10160" b="12700"/>
                      <wp:wrapNone/>
                      <wp:docPr id="75" name="矩形 75"/>
                      <wp:cNvGraphicFramePr/>
                      <a:graphic xmlns:a="http://schemas.openxmlformats.org/drawingml/2006/main">
                        <a:graphicData uri="http://schemas.microsoft.com/office/word/2010/wordprocessingShape">
                          <wps:wsp>
                            <wps:cNvSpPr/>
                            <wps:spPr>
                              <a:xfrm>
                                <a:off x="1393190" y="982980"/>
                                <a:ext cx="5203190" cy="6000750"/>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pt;margin-top:4.9pt;height:472.5pt;width:409.7pt;z-index:251667456;v-text-anchor:middle;mso-width-relative:page;mso-height-relative:page;" fillcolor="#000000 [3213]" filled="t" stroked="t" coordsize="21600,21600" o:gfxdata="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1W7atYAAAAIAQAA&#10;DwAAAAAAAAABACAAAAAiAAAAZHJzL2Rvd25yZXYueG1sUEsBAhQAFAAAAAgAh07iQA1HZ/CNAgAA&#10;JAUAAA4AAAAAAAAAAQAgAAAAJQEAAGRycy9lMm9Eb2MueG1sUEsFBgAAAAAGAAYAWQEAACQGAAAA&#10;AA==&#10;">
                      <v:fill on="t" focussize="0,0"/>
                      <v:stroke weight="1pt" color="#2E54A1 [2404]" miterlimit="8" joinstyle="miter"/>
                      <v:imagedata o:title=""/>
                      <o:lock v:ext="edit" aspectratio="f"/>
                    </v:rect>
                  </w:pict>
                </mc:Fallback>
              </mc:AlternateContent>
            </w:r>
            <w:r>
              <w:rPr>
                <w:rFonts w:hint="default" w:ascii="Times New Roman" w:hAnsi="Times New Roman" w:eastAsia="黑体" w:cs="Times New Roman"/>
                <w:color w:val="000000" w:themeColor="text1"/>
                <w:sz w:val="24"/>
                <w:szCs w:val="24"/>
                <w:u w:val="single"/>
                <w:lang w:val="en-US" w:eastAsia="zh-CN"/>
                <w14:textFill>
                  <w14:solidFill>
                    <w14:schemeClr w14:val="tx1"/>
                  </w14:solidFill>
                </w14:textFill>
              </w:rPr>
              <w:t>1.</w:t>
            </w:r>
            <w:r>
              <w:rPr>
                <w:rFonts w:hint="eastAsia" w:ascii="Times New Roman" w:hAnsi="Times New Roman" w:eastAsia="黑体" w:cs="Times New Roman"/>
                <w:color w:val="000000" w:themeColor="text1"/>
                <w:sz w:val="24"/>
                <w:szCs w:val="24"/>
                <w:u w:val="single"/>
                <w:lang w:val="en-US" w:eastAsia="zh-CN"/>
                <w14:textFill>
                  <w14:solidFill>
                    <w14:schemeClr w14:val="tx1"/>
                  </w14:solidFill>
                </w14:textFill>
              </w:rPr>
              <w:t>2特征</w:t>
            </w:r>
            <w:r>
              <w:rPr>
                <w:rFonts w:hint="default" w:ascii="Times New Roman" w:hAnsi="Times New Roman" w:eastAsia="黑体" w:cs="Times New Roman"/>
                <w:color w:val="000000" w:themeColor="text1"/>
                <w:sz w:val="24"/>
                <w:szCs w:val="24"/>
                <w:u w:val="single"/>
                <w:lang w:val="en-US" w:eastAsia="zh-CN"/>
                <w14:textFill>
                  <w14:solidFill>
                    <w14:schemeClr w14:val="tx1"/>
                  </w14:solidFill>
                </w14:textFill>
              </w:rPr>
              <w:t>污染物</w:t>
            </w:r>
          </w:p>
          <w:p w14:paraId="521F87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u w:val="single"/>
                <w:lang w:val="en-US" w:eastAsia="zh-CN"/>
                <w14:textFill>
                  <w14:solidFill>
                    <w14:schemeClr w14:val="tx1"/>
                  </w14:solidFill>
                </w14:textFill>
              </w:rPr>
            </w:pPr>
            <w:r>
              <w:rPr>
                <w:rFonts w:hint="default"/>
                <w:color w:val="000000" w:themeColor="text1"/>
                <w:u w:val="single"/>
                <w14:textFill>
                  <w14:solidFill>
                    <w14:schemeClr w14:val="tx1"/>
                  </w14:solidFill>
                </w14:textFill>
              </w:rPr>
              <w:t>为了了解项目所在地的污染物环境空气质量现状，本次环评</w:t>
            </w:r>
            <w:r>
              <w:rPr>
                <w:rFonts w:hint="eastAsia"/>
                <w:color w:val="000000" w:themeColor="text1"/>
                <w:u w:val="single"/>
                <w:lang w:eastAsia="zh-CN"/>
                <w14:textFill>
                  <w14:solidFill>
                    <w14:schemeClr w14:val="tx1"/>
                  </w14:solidFill>
                </w14:textFill>
              </w:rPr>
              <w:t>委托湖南中鑫检测有限公司对厂区周边非甲烷总烃进行检测</w:t>
            </w:r>
            <w:r>
              <w:rPr>
                <w:rFonts w:hint="eastAsia"/>
                <w:color w:val="000000" w:themeColor="text1"/>
                <w:u w:val="single"/>
                <w:lang w:val="en-US" w:eastAsia="zh-CN"/>
                <w14:textFill>
                  <w14:solidFill>
                    <w14:schemeClr w14:val="tx1"/>
                  </w14:solidFill>
                </w14:textFill>
              </w:rPr>
              <w:t>（监测报告详见附件10）。</w:t>
            </w:r>
          </w:p>
          <w:p w14:paraId="43F0BB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w:t>
            </w:r>
            <w:r>
              <w:rPr>
                <w:rFonts w:hint="default"/>
                <w:color w:val="000000" w:themeColor="text1"/>
                <w:u w:val="single"/>
                <w14:textFill>
                  <w14:solidFill>
                    <w14:schemeClr w14:val="tx1"/>
                  </w14:solidFill>
                </w14:textFill>
              </w:rPr>
              <w:t>监测因子：</w:t>
            </w:r>
            <w:r>
              <w:rPr>
                <w:rFonts w:hint="eastAsia"/>
                <w:color w:val="000000" w:themeColor="text1"/>
                <w:u w:val="single"/>
                <w:lang w:val="en-US" w:eastAsia="zh-CN"/>
                <w14:textFill>
                  <w14:solidFill>
                    <w14:schemeClr w14:val="tx1"/>
                  </w14:solidFill>
                </w14:textFill>
              </w:rPr>
              <w:t>非甲烷总烃。</w:t>
            </w:r>
          </w:p>
          <w:p w14:paraId="683914B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（3）</w:t>
            </w:r>
            <w:r>
              <w:rPr>
                <w:rFonts w:hint="default"/>
                <w:color w:val="000000" w:themeColor="text1"/>
                <w:u w:val="single"/>
                <w14:textFill>
                  <w14:solidFill>
                    <w14:schemeClr w14:val="tx1"/>
                  </w14:solidFill>
                </w14:textFill>
              </w:rPr>
              <w:t>监测点位：</w:t>
            </w:r>
            <w:r>
              <w:rPr>
                <w:rFonts w:hint="eastAsia"/>
                <w:color w:val="000000" w:themeColor="text1"/>
                <w:u w:val="single"/>
                <w:lang w:val="en-US" w:eastAsia="zh-CN"/>
                <w14:textFill>
                  <w14:solidFill>
                    <w14:schemeClr w14:val="tx1"/>
                  </w14:solidFill>
                </w14:textFill>
              </w:rPr>
              <w:t>厂区正门、</w:t>
            </w:r>
            <w:r>
              <w:rPr>
                <w:rFonts w:hint="eastAsia"/>
                <w:color w:val="000000" w:themeColor="text1"/>
                <w:u w:val="single"/>
                <w:lang w:eastAsia="zh-CN"/>
                <w14:textFill>
                  <w14:solidFill>
                    <w14:schemeClr w14:val="tx1"/>
                  </w14:solidFill>
                </w14:textFill>
              </w:rPr>
              <w:t>太坪村居民点</w:t>
            </w:r>
          </w:p>
          <w:p w14:paraId="237341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（4）</w:t>
            </w:r>
            <w:r>
              <w:rPr>
                <w:rFonts w:hint="default"/>
                <w:color w:val="000000" w:themeColor="text1"/>
                <w:u w:val="single"/>
                <w14:textFill>
                  <w14:solidFill>
                    <w14:schemeClr w14:val="tx1"/>
                  </w14:solidFill>
                </w14:textFill>
              </w:rPr>
              <w:t>监测时间：</w:t>
            </w:r>
            <w:r>
              <w:rPr>
                <w:rFonts w:hint="eastAsia"/>
                <w:color w:val="000000" w:themeColor="text1"/>
                <w:u w:val="single"/>
                <w:lang w:val="en-US" w:eastAsia="zh-CN"/>
                <w14:textFill>
                  <w14:solidFill>
                    <w14:schemeClr w14:val="tx1"/>
                  </w14:solidFill>
                </w14:textFill>
              </w:rPr>
              <w:t>2025</w:t>
            </w:r>
            <w:r>
              <w:rPr>
                <w:rFonts w:hint="default"/>
                <w:color w:val="000000" w:themeColor="text1"/>
                <w:u w:val="single"/>
                <w14:textFill>
                  <w14:solidFill>
                    <w14:schemeClr w14:val="tx1"/>
                  </w14:solidFill>
                </w14:textFill>
              </w:rPr>
              <w:t>年</w:t>
            </w:r>
            <w:r>
              <w:rPr>
                <w:rFonts w:hint="eastAsia"/>
                <w:color w:val="000000" w:themeColor="text1"/>
                <w:u w:val="single"/>
                <w:lang w:val="en-US" w:eastAsia="zh-CN"/>
                <w14:textFill>
                  <w14:solidFill>
                    <w14:schemeClr w14:val="tx1"/>
                  </w14:solidFill>
                </w14:textFill>
              </w:rPr>
              <w:t>5</w:t>
            </w:r>
            <w:r>
              <w:rPr>
                <w:rFonts w:hint="default"/>
                <w:color w:val="000000" w:themeColor="text1"/>
                <w:u w:val="single"/>
                <w14:textFill>
                  <w14:solidFill>
                    <w14:schemeClr w14:val="tx1"/>
                  </w14:solidFill>
                </w14:textFill>
              </w:rPr>
              <w:t>月</w:t>
            </w:r>
            <w:r>
              <w:rPr>
                <w:rFonts w:hint="eastAsia"/>
                <w:color w:val="000000" w:themeColor="text1"/>
                <w:u w:val="single"/>
                <w:lang w:val="en-US" w:eastAsia="zh-CN"/>
                <w14:textFill>
                  <w14:solidFill>
                    <w14:schemeClr w14:val="tx1"/>
                  </w14:solidFill>
                </w14:textFill>
              </w:rPr>
              <w:t>9</w:t>
            </w:r>
            <w:r>
              <w:rPr>
                <w:rFonts w:hint="default"/>
                <w:color w:val="000000" w:themeColor="text1"/>
                <w:u w:val="single"/>
                <w:lang w:val="en-US" w:eastAsia="zh-CN"/>
                <w14:textFill>
                  <w14:solidFill>
                    <w14:schemeClr w14:val="tx1"/>
                  </w14:solidFill>
                </w14:textFill>
              </w:rPr>
              <w:t>日</w:t>
            </w:r>
            <w:r>
              <w:rPr>
                <w:rFonts w:hint="default"/>
                <w:color w:val="000000" w:themeColor="text1"/>
                <w:u w:val="single"/>
                <w14:textFill>
                  <w14:solidFill>
                    <w14:schemeClr w14:val="tx1"/>
                  </w14:solidFill>
                </w14:textFill>
              </w:rPr>
              <w:t>。</w:t>
            </w:r>
          </w:p>
          <w:p w14:paraId="0FAF0C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（5）</w:t>
            </w:r>
            <w:r>
              <w:rPr>
                <w:rFonts w:hint="default"/>
                <w:color w:val="000000" w:themeColor="text1"/>
                <w:u w:val="single"/>
                <w14:textFill>
                  <w14:solidFill>
                    <w14:schemeClr w14:val="tx1"/>
                  </w14:solidFill>
                </w14:textFill>
              </w:rPr>
              <w:t>评价标准：</w:t>
            </w:r>
            <w:r>
              <w:rPr>
                <w:rFonts w:hint="eastAsia"/>
                <w:color w:val="000000" w:themeColor="text1"/>
                <w:u w:val="single"/>
                <w:lang w:val="en-US" w:eastAsia="zh-CN"/>
                <w14:textFill>
                  <w14:solidFill>
                    <w14:schemeClr w14:val="tx1"/>
                  </w14:solidFill>
                </w14:textFill>
              </w:rPr>
              <w:t>执行《大气污染物综合排放标准详解》中相应标准限值</w:t>
            </w:r>
          </w:p>
          <w:p w14:paraId="79BEA8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u w:val="single"/>
                <w14:textFill>
                  <w14:solidFill>
                    <w14:schemeClr w14:val="tx1"/>
                  </w14:solidFill>
                </w14:textFill>
              </w:rPr>
            </w:pPr>
            <w:r>
              <w:rPr>
                <w:rFonts w:hint="default"/>
                <w:color w:val="000000" w:themeColor="text1"/>
                <w:u w:val="single"/>
                <w14:textFill>
                  <w14:solidFill>
                    <w14:schemeClr w14:val="tx1"/>
                  </w14:solidFill>
                </w14:textFill>
              </w:rPr>
              <w:t>具体监测结果见下表3-2。</w:t>
            </w:r>
          </w:p>
          <w:p w14:paraId="154803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表3-</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 xml:space="preserve"> </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 xml:space="preserve"> 特征因子监测数据统计结果及评价表</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 xml:space="preserve">  单位：</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m</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g/m</w:t>
            </w:r>
            <w:r>
              <w:rPr>
                <w:rFonts w:hint="default" w:ascii="Times New Roman" w:hAnsi="Times New Roman" w:eastAsia="黑体" w:cs="Times New Roman"/>
                <w:b w:val="0"/>
                <w:bCs w:val="0"/>
                <w:color w:val="000000" w:themeColor="text1"/>
                <w:sz w:val="21"/>
                <w:szCs w:val="21"/>
                <w:u w:val="single"/>
                <w:vertAlign w:val="superscript"/>
                <w14:textFill>
                  <w14:solidFill>
                    <w14:schemeClr w14:val="tx1"/>
                  </w14:solidFill>
                </w14:textFill>
              </w:rPr>
              <w:t>3</w:t>
            </w:r>
          </w:p>
          <w:tbl>
            <w:tblPr>
              <w:tblStyle w:val="8"/>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548"/>
              <w:gridCol w:w="1160"/>
              <w:gridCol w:w="1464"/>
              <w:gridCol w:w="1428"/>
              <w:gridCol w:w="1533"/>
            </w:tblGrid>
            <w:tr w14:paraId="6FBF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Align w:val="center"/>
                </w:tcPr>
                <w:p w14:paraId="235678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采样点位</w:t>
                  </w:r>
                </w:p>
              </w:tc>
              <w:tc>
                <w:tcPr>
                  <w:tcW w:w="1548" w:type="dxa"/>
                  <w:vAlign w:val="center"/>
                </w:tcPr>
                <w:p w14:paraId="6B538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监测项目</w:t>
                  </w:r>
                </w:p>
              </w:tc>
              <w:tc>
                <w:tcPr>
                  <w:tcW w:w="1160" w:type="dxa"/>
                  <w:vAlign w:val="center"/>
                </w:tcPr>
                <w:p w14:paraId="742CFB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监测日期</w:t>
                  </w:r>
                </w:p>
              </w:tc>
              <w:tc>
                <w:tcPr>
                  <w:tcW w:w="1464" w:type="dxa"/>
                  <w:vAlign w:val="center"/>
                </w:tcPr>
                <w:p w14:paraId="42A01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监测结果</w:t>
                  </w:r>
                </w:p>
                <w:p w14:paraId="5CFF2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（平均值）</w:t>
                  </w:r>
                </w:p>
              </w:tc>
              <w:tc>
                <w:tcPr>
                  <w:tcW w:w="1428" w:type="dxa"/>
                  <w:vAlign w:val="center"/>
                </w:tcPr>
                <w:p w14:paraId="3C907B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参考限值</w:t>
                  </w:r>
                </w:p>
              </w:tc>
              <w:tc>
                <w:tcPr>
                  <w:tcW w:w="1533" w:type="dxa"/>
                  <w:vAlign w:val="center"/>
                </w:tcPr>
                <w:p w14:paraId="4F972D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达标情况</w:t>
                  </w:r>
                </w:p>
              </w:tc>
            </w:tr>
            <w:tr w14:paraId="15E2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16" w:type="dxa"/>
                  <w:vMerge w:val="restart"/>
                  <w:vAlign w:val="center"/>
                </w:tcPr>
                <w:p w14:paraId="0EF0C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202</w:t>
                  </w: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年</w:t>
                  </w: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月</w:t>
                  </w: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6</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日</w:t>
                  </w:r>
                </w:p>
              </w:tc>
              <w:tc>
                <w:tcPr>
                  <w:tcW w:w="1548" w:type="dxa"/>
                  <w:vMerge w:val="restart"/>
                  <w:vAlign w:val="center"/>
                </w:tcPr>
                <w:p w14:paraId="4EBC42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非甲烷总烃</w:t>
                  </w:r>
                </w:p>
              </w:tc>
              <w:tc>
                <w:tcPr>
                  <w:tcW w:w="1160" w:type="dxa"/>
                  <w:vAlign w:val="center"/>
                </w:tcPr>
                <w:p w14:paraId="2156A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A1厂区正门</w:t>
                  </w:r>
                </w:p>
              </w:tc>
              <w:tc>
                <w:tcPr>
                  <w:tcW w:w="1464" w:type="dxa"/>
                  <w:vAlign w:val="center"/>
                </w:tcPr>
                <w:p w14:paraId="6C6D65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0.27</w:t>
                  </w:r>
                </w:p>
                <w:p w14:paraId="7933D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428" w:type="dxa"/>
                  <w:vAlign w:val="center"/>
                </w:tcPr>
                <w:p w14:paraId="04CF0C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w:t>
                  </w:r>
                </w:p>
              </w:tc>
              <w:tc>
                <w:tcPr>
                  <w:tcW w:w="1533" w:type="dxa"/>
                  <w:vAlign w:val="center"/>
                </w:tcPr>
                <w:p w14:paraId="384950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达标</w:t>
                  </w:r>
                </w:p>
              </w:tc>
            </w:tr>
            <w:tr w14:paraId="2FFA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vAlign w:val="center"/>
                </w:tcPr>
                <w:p w14:paraId="5FB38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548" w:type="dxa"/>
                  <w:vMerge w:val="continue"/>
                  <w:vAlign w:val="center"/>
                </w:tcPr>
                <w:p w14:paraId="7AE38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60" w:type="dxa"/>
                  <w:vAlign w:val="center"/>
                </w:tcPr>
                <w:p w14:paraId="2C63F2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A2太坪村居民点</w:t>
                  </w:r>
                </w:p>
              </w:tc>
              <w:tc>
                <w:tcPr>
                  <w:tcW w:w="1464" w:type="dxa"/>
                  <w:vAlign w:val="center"/>
                </w:tcPr>
                <w:p w14:paraId="236B42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0.44</w:t>
                  </w:r>
                </w:p>
              </w:tc>
              <w:tc>
                <w:tcPr>
                  <w:tcW w:w="1428" w:type="dxa"/>
                  <w:vAlign w:val="center"/>
                </w:tcPr>
                <w:p w14:paraId="6E8D4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w:t>
                  </w:r>
                </w:p>
              </w:tc>
              <w:tc>
                <w:tcPr>
                  <w:tcW w:w="1533" w:type="dxa"/>
                  <w:vAlign w:val="center"/>
                </w:tcPr>
                <w:p w14:paraId="10827D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达标</w:t>
                  </w:r>
                </w:p>
              </w:tc>
            </w:tr>
            <w:tr w14:paraId="4485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restart"/>
                  <w:vAlign w:val="center"/>
                </w:tcPr>
                <w:p w14:paraId="1AC8E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202</w:t>
                  </w:r>
                  <w:r>
                    <w:rPr>
                      <w:rFonts w:hint="eastAsia" w:eastAsia="黑体" w:cs="Times New Roman"/>
                      <w:color w:val="000000" w:themeColor="text1"/>
                      <w:sz w:val="21"/>
                      <w:szCs w:val="21"/>
                      <w:u w:val="single"/>
                      <w:vertAlign w:val="baseline"/>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年</w:t>
                  </w:r>
                  <w:r>
                    <w:rPr>
                      <w:rFonts w:hint="eastAsia" w:eastAsia="黑体" w:cs="Times New Roman"/>
                      <w:color w:val="000000" w:themeColor="text1"/>
                      <w:sz w:val="21"/>
                      <w:szCs w:val="21"/>
                      <w:u w:val="single"/>
                      <w:vertAlign w:val="baseline"/>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月</w:t>
                  </w:r>
                  <w:r>
                    <w:rPr>
                      <w:rFonts w:hint="eastAsia" w:eastAsia="黑体" w:cs="Times New Roman"/>
                      <w:color w:val="000000" w:themeColor="text1"/>
                      <w:sz w:val="21"/>
                      <w:szCs w:val="21"/>
                      <w:u w:val="single"/>
                      <w:vertAlign w:val="baseline"/>
                      <w:lang w:val="en-US" w:eastAsia="zh-CN"/>
                      <w14:textFill>
                        <w14:solidFill>
                          <w14:schemeClr w14:val="tx1"/>
                        </w14:solidFill>
                      </w14:textFill>
                    </w:rPr>
                    <w:t>7</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日</w:t>
                  </w:r>
                </w:p>
              </w:tc>
              <w:tc>
                <w:tcPr>
                  <w:tcW w:w="1548" w:type="dxa"/>
                  <w:vMerge w:val="continue"/>
                  <w:vAlign w:val="center"/>
                </w:tcPr>
                <w:p w14:paraId="2CA4C4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60" w:type="dxa"/>
                  <w:vAlign w:val="center"/>
                </w:tcPr>
                <w:p w14:paraId="744E25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A1厂区正门</w:t>
                  </w:r>
                </w:p>
              </w:tc>
              <w:tc>
                <w:tcPr>
                  <w:tcW w:w="1464" w:type="dxa"/>
                  <w:vAlign w:val="center"/>
                </w:tcPr>
                <w:p w14:paraId="68AB76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eastAsia="黑体" w:cs="Times New Roman"/>
                      <w:color w:val="000000" w:themeColor="text1"/>
                      <w:sz w:val="21"/>
                      <w:szCs w:val="21"/>
                      <w:u w:val="single"/>
                      <w:vertAlign w:val="baseline"/>
                      <w:lang w:val="en-US" w:eastAsia="zh-CN"/>
                      <w14:textFill>
                        <w14:solidFill>
                          <w14:schemeClr w14:val="tx1"/>
                        </w14:solidFill>
                      </w14:textFill>
                    </w:rPr>
                    <w:t>0.39</w:t>
                  </w:r>
                </w:p>
              </w:tc>
              <w:tc>
                <w:tcPr>
                  <w:tcW w:w="1428" w:type="dxa"/>
                  <w:vAlign w:val="center"/>
                </w:tcPr>
                <w:p w14:paraId="752A7C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eastAsia="黑体" w:cs="Times New Roman"/>
                      <w:color w:val="000000" w:themeColor="text1"/>
                      <w:sz w:val="21"/>
                      <w:szCs w:val="21"/>
                      <w:u w:val="single"/>
                      <w:vertAlign w:val="baseline"/>
                      <w:lang w:val="en-US" w:eastAsia="zh-CN"/>
                      <w14:textFill>
                        <w14:solidFill>
                          <w14:schemeClr w14:val="tx1"/>
                        </w14:solidFill>
                      </w14:textFill>
                    </w:rPr>
                    <w:t>2</w:t>
                  </w:r>
                </w:p>
              </w:tc>
              <w:tc>
                <w:tcPr>
                  <w:tcW w:w="1533" w:type="dxa"/>
                  <w:vAlign w:val="center"/>
                </w:tcPr>
                <w:p w14:paraId="635CB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达标</w:t>
                  </w:r>
                </w:p>
              </w:tc>
            </w:tr>
            <w:tr w14:paraId="59FC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vAlign w:val="center"/>
                </w:tcPr>
                <w:p w14:paraId="6B81AC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p>
              </w:tc>
              <w:tc>
                <w:tcPr>
                  <w:tcW w:w="1548" w:type="dxa"/>
                  <w:vMerge w:val="continue"/>
                  <w:vAlign w:val="center"/>
                </w:tcPr>
                <w:p w14:paraId="16EEF7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60" w:type="dxa"/>
                  <w:vAlign w:val="center"/>
                </w:tcPr>
                <w:p w14:paraId="01338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A2太坪村居民点</w:t>
                  </w:r>
                </w:p>
              </w:tc>
              <w:tc>
                <w:tcPr>
                  <w:tcW w:w="1464" w:type="dxa"/>
                  <w:vAlign w:val="center"/>
                </w:tcPr>
                <w:p w14:paraId="44FFA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eastAsia="黑体" w:cs="Times New Roman"/>
                      <w:color w:val="000000" w:themeColor="text1"/>
                      <w:sz w:val="21"/>
                      <w:szCs w:val="21"/>
                      <w:u w:val="single"/>
                      <w:vertAlign w:val="baseline"/>
                      <w:lang w:val="en-US" w:eastAsia="zh-CN"/>
                      <w14:textFill>
                        <w14:solidFill>
                          <w14:schemeClr w14:val="tx1"/>
                        </w14:solidFill>
                      </w14:textFill>
                    </w:rPr>
                    <w:t>0.52</w:t>
                  </w:r>
                </w:p>
              </w:tc>
              <w:tc>
                <w:tcPr>
                  <w:tcW w:w="1428" w:type="dxa"/>
                  <w:vAlign w:val="center"/>
                </w:tcPr>
                <w:p w14:paraId="0421AD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eastAsia="黑体" w:cs="Times New Roman"/>
                      <w:color w:val="000000" w:themeColor="text1"/>
                      <w:sz w:val="21"/>
                      <w:szCs w:val="21"/>
                      <w:u w:val="single"/>
                      <w:vertAlign w:val="baseline"/>
                      <w:lang w:val="en-US" w:eastAsia="zh-CN"/>
                      <w14:textFill>
                        <w14:solidFill>
                          <w14:schemeClr w14:val="tx1"/>
                        </w14:solidFill>
                      </w14:textFill>
                    </w:rPr>
                    <w:t>2</w:t>
                  </w:r>
                </w:p>
              </w:tc>
              <w:tc>
                <w:tcPr>
                  <w:tcW w:w="1533" w:type="dxa"/>
                  <w:vAlign w:val="center"/>
                </w:tcPr>
                <w:p w14:paraId="13276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达标</w:t>
                  </w:r>
                </w:p>
              </w:tc>
            </w:tr>
            <w:tr w14:paraId="3A90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restart"/>
                  <w:vAlign w:val="center"/>
                </w:tcPr>
                <w:p w14:paraId="02CB5E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202</w:t>
                  </w:r>
                  <w:r>
                    <w:rPr>
                      <w:rFonts w:hint="eastAsia" w:eastAsia="黑体" w:cs="Times New Roman"/>
                      <w:color w:val="000000" w:themeColor="text1"/>
                      <w:sz w:val="21"/>
                      <w:szCs w:val="21"/>
                      <w:u w:val="single"/>
                      <w:vertAlign w:val="baseline"/>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年</w:t>
                  </w:r>
                  <w:r>
                    <w:rPr>
                      <w:rFonts w:hint="eastAsia" w:eastAsia="黑体" w:cs="Times New Roman"/>
                      <w:color w:val="000000" w:themeColor="text1"/>
                      <w:sz w:val="21"/>
                      <w:szCs w:val="21"/>
                      <w:u w:val="single"/>
                      <w:vertAlign w:val="baseline"/>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月</w:t>
                  </w:r>
                  <w:r>
                    <w:rPr>
                      <w:rFonts w:hint="eastAsia" w:eastAsia="黑体" w:cs="Times New Roman"/>
                      <w:color w:val="000000" w:themeColor="text1"/>
                      <w:sz w:val="21"/>
                      <w:szCs w:val="21"/>
                      <w:u w:val="single"/>
                      <w:vertAlign w:val="baseline"/>
                      <w:lang w:val="en-US" w:eastAsia="zh-CN"/>
                      <w14:textFill>
                        <w14:solidFill>
                          <w14:schemeClr w14:val="tx1"/>
                        </w14:solidFill>
                      </w14:textFill>
                    </w:rPr>
                    <w:t>8</w:t>
                  </w: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日</w:t>
                  </w:r>
                </w:p>
              </w:tc>
              <w:tc>
                <w:tcPr>
                  <w:tcW w:w="1548" w:type="dxa"/>
                  <w:vMerge w:val="continue"/>
                  <w:vAlign w:val="center"/>
                </w:tcPr>
                <w:p w14:paraId="39F70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60" w:type="dxa"/>
                  <w:vAlign w:val="center"/>
                </w:tcPr>
                <w:p w14:paraId="134861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A1厂区正门</w:t>
                  </w:r>
                </w:p>
              </w:tc>
              <w:tc>
                <w:tcPr>
                  <w:tcW w:w="1464" w:type="dxa"/>
                  <w:vAlign w:val="center"/>
                </w:tcPr>
                <w:p w14:paraId="126270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eastAsia="黑体" w:cs="Times New Roman"/>
                      <w:color w:val="000000" w:themeColor="text1"/>
                      <w:sz w:val="21"/>
                      <w:szCs w:val="21"/>
                      <w:u w:val="single"/>
                      <w:vertAlign w:val="baseline"/>
                      <w:lang w:val="en-US" w:eastAsia="zh-CN"/>
                      <w14:textFill>
                        <w14:solidFill>
                          <w14:schemeClr w14:val="tx1"/>
                        </w14:solidFill>
                      </w14:textFill>
                    </w:rPr>
                    <w:t>0.38</w:t>
                  </w:r>
                </w:p>
              </w:tc>
              <w:tc>
                <w:tcPr>
                  <w:tcW w:w="1428" w:type="dxa"/>
                  <w:vAlign w:val="center"/>
                </w:tcPr>
                <w:p w14:paraId="46901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eastAsia="黑体" w:cs="Times New Roman"/>
                      <w:color w:val="000000" w:themeColor="text1"/>
                      <w:sz w:val="21"/>
                      <w:szCs w:val="21"/>
                      <w:u w:val="single"/>
                      <w:vertAlign w:val="baseline"/>
                      <w:lang w:val="en-US" w:eastAsia="zh-CN"/>
                      <w14:textFill>
                        <w14:solidFill>
                          <w14:schemeClr w14:val="tx1"/>
                        </w14:solidFill>
                      </w14:textFill>
                    </w:rPr>
                    <w:t>2</w:t>
                  </w:r>
                </w:p>
              </w:tc>
              <w:tc>
                <w:tcPr>
                  <w:tcW w:w="1533" w:type="dxa"/>
                  <w:vAlign w:val="center"/>
                </w:tcPr>
                <w:p w14:paraId="26533C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达标</w:t>
                  </w:r>
                </w:p>
              </w:tc>
            </w:tr>
            <w:tr w14:paraId="701A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vAlign w:val="center"/>
                </w:tcPr>
                <w:p w14:paraId="581C72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p>
              </w:tc>
              <w:tc>
                <w:tcPr>
                  <w:tcW w:w="1548" w:type="dxa"/>
                  <w:vMerge w:val="continue"/>
                  <w:vAlign w:val="center"/>
                </w:tcPr>
                <w:p w14:paraId="6E4646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p>
              </w:tc>
              <w:tc>
                <w:tcPr>
                  <w:tcW w:w="1160" w:type="dxa"/>
                  <w:vAlign w:val="center"/>
                </w:tcPr>
                <w:p w14:paraId="7086B5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r>
                    <w:rPr>
                      <w:rFonts w:hint="eastAsia"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A2太坪村居民点</w:t>
                  </w:r>
                </w:p>
              </w:tc>
              <w:tc>
                <w:tcPr>
                  <w:tcW w:w="1464" w:type="dxa"/>
                  <w:vAlign w:val="center"/>
                </w:tcPr>
                <w:p w14:paraId="43808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eastAsia="黑体" w:cs="Times New Roman"/>
                      <w:color w:val="000000" w:themeColor="text1"/>
                      <w:sz w:val="21"/>
                      <w:szCs w:val="21"/>
                      <w:u w:val="single"/>
                      <w:vertAlign w:val="baseline"/>
                      <w:lang w:val="en-US" w:eastAsia="zh-CN"/>
                      <w14:textFill>
                        <w14:solidFill>
                          <w14:schemeClr w14:val="tx1"/>
                        </w14:solidFill>
                      </w14:textFill>
                    </w:rPr>
                    <w:t>0.50</w:t>
                  </w:r>
                </w:p>
              </w:tc>
              <w:tc>
                <w:tcPr>
                  <w:tcW w:w="1428" w:type="dxa"/>
                  <w:vAlign w:val="center"/>
                </w:tcPr>
                <w:p w14:paraId="226B82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eastAsia" w:eastAsia="黑体" w:cs="Times New Roman"/>
                      <w:color w:val="000000" w:themeColor="text1"/>
                      <w:sz w:val="21"/>
                      <w:szCs w:val="21"/>
                      <w:u w:val="single"/>
                      <w:vertAlign w:val="baseline"/>
                      <w:lang w:val="en-US" w:eastAsia="zh-CN"/>
                      <w14:textFill>
                        <w14:solidFill>
                          <w14:schemeClr w14:val="tx1"/>
                        </w14:solidFill>
                      </w14:textFill>
                    </w:rPr>
                    <w:t>2</w:t>
                  </w:r>
                </w:p>
              </w:tc>
              <w:tc>
                <w:tcPr>
                  <w:tcW w:w="1533" w:type="dxa"/>
                  <w:vAlign w:val="center"/>
                </w:tcPr>
                <w:p w14:paraId="576A5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达标</w:t>
                  </w:r>
                </w:p>
              </w:tc>
            </w:tr>
          </w:tbl>
          <w:p w14:paraId="4E52D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由上述监测结果可知，本项目评价因子非甲烷总烃符合《大气污染物综合排放标准详解》中标准限值。</w:t>
            </w:r>
          </w:p>
          <w:p w14:paraId="06823640">
            <w:pPr>
              <w:ind w:firstLine="480" w:firstLineChars="200"/>
              <w:rPr>
                <w:rFonts w:eastAsia="黑体"/>
                <w:b w:val="0"/>
                <w:bCs w:val="0"/>
                <w:color w:val="000000" w:themeColor="text1"/>
                <w14:textFill>
                  <w14:solidFill>
                    <w14:schemeClr w14:val="tx1"/>
                  </w14:solidFill>
                </w14:textFill>
              </w:rPr>
            </w:pPr>
            <w:r>
              <w:rPr>
                <w:rFonts w:hint="eastAsia" w:eastAsia="黑体"/>
                <w:b w:val="0"/>
                <w:bCs w:val="0"/>
                <w:color w:val="000000" w:themeColor="text1"/>
                <w14:textFill>
                  <w14:solidFill>
                    <w14:schemeClr w14:val="tx1"/>
                  </w14:solidFill>
                </w14:textFill>
              </w:rPr>
              <w:t>2</w:t>
            </w:r>
            <w:r>
              <w:rPr>
                <w:rFonts w:eastAsia="黑体"/>
                <w:b w:val="0"/>
                <w:bCs w:val="0"/>
                <w:color w:val="000000" w:themeColor="text1"/>
                <w14:textFill>
                  <w14:solidFill>
                    <w14:schemeClr w14:val="tx1"/>
                  </w14:solidFill>
                </w14:textFill>
              </w:rPr>
              <w:t>.</w:t>
            </w:r>
            <w:r>
              <w:rPr>
                <w:rFonts w:hint="eastAsia" w:eastAsia="黑体"/>
                <w:b w:val="0"/>
                <w:bCs w:val="0"/>
                <w:color w:val="000000" w:themeColor="text1"/>
                <w14:textFill>
                  <w14:solidFill>
                    <w14:schemeClr w14:val="tx1"/>
                  </w14:solidFill>
                </w14:textFill>
              </w:rPr>
              <w:t>地表水环境</w:t>
            </w:r>
            <w:r>
              <w:rPr>
                <w:rFonts w:eastAsia="黑体"/>
                <w:b w:val="0"/>
                <w:bCs w:val="0"/>
                <w:color w:val="000000" w:themeColor="text1"/>
                <w14:textFill>
                  <w14:solidFill>
                    <w14:schemeClr w14:val="tx1"/>
                  </w14:solidFill>
                </w14:textFill>
              </w:rPr>
              <w:t>质量现状</w:t>
            </w:r>
          </w:p>
          <w:p w14:paraId="01227F0F">
            <w:pPr>
              <w:ind w:firstLine="480" w:firstLineChars="200"/>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根据《建设项目环境影响报告表编制技术指南（污染影响类）（试行）》，地表水环境质量现状应引用与建设项目距离近的有效数据，包括近3年的规划环境影响评价的监测数据，所在流域控制单元内国家、地方控制断面监测数据，生态环境主管部门发布的水环境质量数据或地表水达标情况的结论。</w:t>
            </w:r>
          </w:p>
          <w:p w14:paraId="39238AFF">
            <w:pPr>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为了解项目所在区域的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14:textFill>
                  <w14:solidFill>
                    <w14:schemeClr w14:val="tx1"/>
                  </w14:solidFill>
                </w14:textFill>
              </w:rPr>
              <w:t>环境质量现状，本次评价采用怀化市生态环境主管部门公布的《2024年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水环境</w:t>
            </w:r>
            <w:r>
              <w:rPr>
                <w:rFonts w:hint="default" w:ascii="Times New Roman" w:hAnsi="Times New Roman" w:eastAsia="宋体" w:cs="Times New Roman"/>
                <w:color w:val="000000" w:themeColor="text1"/>
                <w:sz w:val="24"/>
                <w:szCs w:val="24"/>
                <w14:textFill>
                  <w14:solidFill>
                    <w14:schemeClr w14:val="tx1"/>
                  </w14:solidFill>
                </w14:textFill>
              </w:rPr>
              <w:t>质量年报》</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网址：http://www.huaihua.gov.cn/sthjj/c115424/202502/1ec3db6b2d8840c5aa39cf7fadb8d56f.shtml</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详见附件9</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来分析项目所在地区地表水环境质量状况，具体</w:t>
            </w:r>
            <w:r>
              <w:rPr>
                <w:rFonts w:hint="default" w:ascii="Times New Roman" w:hAnsi="Times New Roman" w:eastAsia="宋体" w:cs="Times New Roman"/>
                <w:color w:val="000000" w:themeColor="text1"/>
                <w:sz w:val="24"/>
                <w:szCs w:val="24"/>
                <w14:textFill>
                  <w14:solidFill>
                    <w14:schemeClr w14:val="tx1"/>
                  </w14:solidFill>
                </w14:textFill>
              </w:rPr>
              <w:t>监测结果详见下表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14:paraId="34804D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表3-3 2024年怀化市溆浦县地表水水质情况一览表</w:t>
            </w:r>
          </w:p>
          <w:tbl>
            <w:tblPr>
              <w:tblStyle w:val="8"/>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04"/>
              <w:gridCol w:w="1284"/>
              <w:gridCol w:w="1524"/>
              <w:gridCol w:w="1080"/>
              <w:gridCol w:w="720"/>
              <w:gridCol w:w="756"/>
              <w:gridCol w:w="1170"/>
            </w:tblGrid>
            <w:tr w14:paraId="335A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vAlign w:val="center"/>
                </w:tcPr>
                <w:p w14:paraId="449C8A45">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序号</w:t>
                  </w:r>
                </w:p>
              </w:tc>
              <w:tc>
                <w:tcPr>
                  <w:tcW w:w="1104" w:type="dxa"/>
                  <w:vMerge w:val="restart"/>
                  <w:vAlign w:val="center"/>
                </w:tcPr>
                <w:p w14:paraId="05E08AFE">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河流名称</w:t>
                  </w:r>
                </w:p>
              </w:tc>
              <w:tc>
                <w:tcPr>
                  <w:tcW w:w="1284" w:type="dxa"/>
                  <w:vMerge w:val="restart"/>
                  <w:vAlign w:val="center"/>
                </w:tcPr>
                <w:p w14:paraId="04D34469">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断面所属地</w:t>
                  </w:r>
                </w:p>
              </w:tc>
              <w:tc>
                <w:tcPr>
                  <w:tcW w:w="1524" w:type="dxa"/>
                  <w:vMerge w:val="restart"/>
                  <w:vAlign w:val="center"/>
                </w:tcPr>
                <w:p w14:paraId="34D43FC5">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断面名称</w:t>
                  </w:r>
                </w:p>
              </w:tc>
              <w:tc>
                <w:tcPr>
                  <w:tcW w:w="1080" w:type="dxa"/>
                  <w:vMerge w:val="restart"/>
                  <w:vAlign w:val="center"/>
                </w:tcPr>
                <w:p w14:paraId="30E63CD2">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断面性质</w:t>
                  </w:r>
                </w:p>
              </w:tc>
              <w:tc>
                <w:tcPr>
                  <w:tcW w:w="2646" w:type="dxa"/>
                  <w:gridSpan w:val="3"/>
                  <w:vAlign w:val="center"/>
                </w:tcPr>
                <w:p w14:paraId="36AB5ADA">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达到水质类别</w:t>
                  </w:r>
                </w:p>
              </w:tc>
            </w:tr>
            <w:tr w14:paraId="7CB8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dxa"/>
                  <w:vMerge w:val="continue"/>
                  <w:vAlign w:val="center"/>
                </w:tcPr>
                <w:p w14:paraId="44B8A421">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104" w:type="dxa"/>
                  <w:vMerge w:val="continue"/>
                  <w:vAlign w:val="center"/>
                </w:tcPr>
                <w:p w14:paraId="41E9644E">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284" w:type="dxa"/>
                  <w:vMerge w:val="continue"/>
                  <w:vAlign w:val="center"/>
                </w:tcPr>
                <w:p w14:paraId="5F9CBA24">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524" w:type="dxa"/>
                  <w:vMerge w:val="continue"/>
                  <w:vAlign w:val="center"/>
                </w:tcPr>
                <w:p w14:paraId="7C776FAC">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080" w:type="dxa"/>
                  <w:vMerge w:val="continue"/>
                  <w:vAlign w:val="center"/>
                </w:tcPr>
                <w:p w14:paraId="4373F23D">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720" w:type="dxa"/>
                  <w:vAlign w:val="center"/>
                </w:tcPr>
                <w:p w14:paraId="71C50726">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本年</w:t>
                  </w:r>
                </w:p>
              </w:tc>
              <w:tc>
                <w:tcPr>
                  <w:tcW w:w="756" w:type="dxa"/>
                  <w:vAlign w:val="center"/>
                </w:tcPr>
                <w:p w14:paraId="14AD51FE">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上年</w:t>
                  </w:r>
                </w:p>
              </w:tc>
              <w:tc>
                <w:tcPr>
                  <w:tcW w:w="1170" w:type="dxa"/>
                  <w:vAlign w:val="center"/>
                </w:tcPr>
                <w:p w14:paraId="7DCD14CA">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同比变化</w:t>
                  </w:r>
                </w:p>
              </w:tc>
            </w:tr>
            <w:tr w14:paraId="343C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C1963C5">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1</w:t>
                  </w:r>
                </w:p>
              </w:tc>
              <w:tc>
                <w:tcPr>
                  <w:tcW w:w="1104" w:type="dxa"/>
                  <w:vMerge w:val="restart"/>
                  <w:vAlign w:val="center"/>
                </w:tcPr>
                <w:p w14:paraId="1BB6D294">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溆水</w:t>
                  </w:r>
                </w:p>
              </w:tc>
              <w:tc>
                <w:tcPr>
                  <w:tcW w:w="1284" w:type="dxa"/>
                  <w:vMerge w:val="restart"/>
                  <w:vAlign w:val="center"/>
                </w:tcPr>
                <w:p w14:paraId="49CD448B">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溆浦县</w:t>
                  </w:r>
                </w:p>
              </w:tc>
              <w:tc>
                <w:tcPr>
                  <w:tcW w:w="1524" w:type="dxa"/>
                  <w:vAlign w:val="center"/>
                </w:tcPr>
                <w:p w14:paraId="5A316770">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龙潭</w:t>
                  </w:r>
                </w:p>
              </w:tc>
              <w:tc>
                <w:tcPr>
                  <w:tcW w:w="1080" w:type="dxa"/>
                  <w:vAlign w:val="center"/>
                </w:tcPr>
                <w:p w14:paraId="78A63968">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省控</w:t>
                  </w:r>
                </w:p>
              </w:tc>
              <w:tc>
                <w:tcPr>
                  <w:tcW w:w="720" w:type="dxa"/>
                  <w:vAlign w:val="center"/>
                </w:tcPr>
                <w:p w14:paraId="3127F89F">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Ⅱ类</w:t>
                  </w:r>
                </w:p>
              </w:tc>
              <w:tc>
                <w:tcPr>
                  <w:tcW w:w="756" w:type="dxa"/>
                  <w:vAlign w:val="center"/>
                </w:tcPr>
                <w:p w14:paraId="1004E6DF">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Ⅱ类</w:t>
                  </w:r>
                </w:p>
              </w:tc>
              <w:tc>
                <w:tcPr>
                  <w:tcW w:w="1170" w:type="dxa"/>
                  <w:vAlign w:val="center"/>
                </w:tcPr>
                <w:p w14:paraId="7D54D488">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无变化</w:t>
                  </w:r>
                </w:p>
              </w:tc>
            </w:tr>
            <w:tr w14:paraId="4EE7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03CE71F4">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2</w:t>
                  </w:r>
                </w:p>
              </w:tc>
              <w:tc>
                <w:tcPr>
                  <w:tcW w:w="1104" w:type="dxa"/>
                  <w:vMerge w:val="continue"/>
                  <w:vAlign w:val="center"/>
                </w:tcPr>
                <w:p w14:paraId="64875FFB">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284" w:type="dxa"/>
                  <w:vMerge w:val="continue"/>
                  <w:vAlign w:val="center"/>
                </w:tcPr>
                <w:p w14:paraId="0CE09B3B">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524" w:type="dxa"/>
                  <w:vAlign w:val="center"/>
                </w:tcPr>
                <w:p w14:paraId="2F8B0930">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溆浦县水厂</w:t>
                  </w:r>
                </w:p>
              </w:tc>
              <w:tc>
                <w:tcPr>
                  <w:tcW w:w="1080" w:type="dxa"/>
                  <w:vAlign w:val="center"/>
                </w:tcPr>
                <w:p w14:paraId="7E06923B">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省控</w:t>
                  </w:r>
                </w:p>
              </w:tc>
              <w:tc>
                <w:tcPr>
                  <w:tcW w:w="720" w:type="dxa"/>
                  <w:vAlign w:val="center"/>
                </w:tcPr>
                <w:p w14:paraId="114579B9">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Ⅱ类</w:t>
                  </w:r>
                </w:p>
              </w:tc>
              <w:tc>
                <w:tcPr>
                  <w:tcW w:w="756" w:type="dxa"/>
                  <w:vAlign w:val="center"/>
                </w:tcPr>
                <w:p w14:paraId="60D5E39E">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Ⅱ类</w:t>
                  </w:r>
                </w:p>
              </w:tc>
              <w:tc>
                <w:tcPr>
                  <w:tcW w:w="1170" w:type="dxa"/>
                  <w:vAlign w:val="center"/>
                </w:tcPr>
                <w:p w14:paraId="73ED936D">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无变化</w:t>
                  </w:r>
                </w:p>
              </w:tc>
            </w:tr>
            <w:tr w14:paraId="3B8B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0E993A4B">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3</w:t>
                  </w:r>
                </w:p>
              </w:tc>
              <w:tc>
                <w:tcPr>
                  <w:tcW w:w="1104" w:type="dxa"/>
                  <w:vMerge w:val="continue"/>
                  <w:vAlign w:val="center"/>
                </w:tcPr>
                <w:p w14:paraId="0BFDCA62">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284" w:type="dxa"/>
                  <w:vMerge w:val="continue"/>
                  <w:vAlign w:val="center"/>
                </w:tcPr>
                <w:p w14:paraId="426D09C4">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524" w:type="dxa"/>
                  <w:vAlign w:val="center"/>
                </w:tcPr>
                <w:p w14:paraId="300050D7">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仲夏村</w:t>
                  </w:r>
                </w:p>
              </w:tc>
              <w:tc>
                <w:tcPr>
                  <w:tcW w:w="1080" w:type="dxa"/>
                  <w:vAlign w:val="center"/>
                </w:tcPr>
                <w:p w14:paraId="6767850D">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省控</w:t>
                  </w:r>
                </w:p>
              </w:tc>
              <w:tc>
                <w:tcPr>
                  <w:tcW w:w="720" w:type="dxa"/>
                  <w:vAlign w:val="center"/>
                </w:tcPr>
                <w:p w14:paraId="548A7D9B">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Ⅱ类</w:t>
                  </w:r>
                </w:p>
              </w:tc>
              <w:tc>
                <w:tcPr>
                  <w:tcW w:w="756" w:type="dxa"/>
                  <w:vAlign w:val="center"/>
                </w:tcPr>
                <w:p w14:paraId="413BC16B">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Ⅱ类</w:t>
                  </w:r>
                </w:p>
              </w:tc>
              <w:tc>
                <w:tcPr>
                  <w:tcW w:w="1170" w:type="dxa"/>
                  <w:vAlign w:val="center"/>
                </w:tcPr>
                <w:p w14:paraId="1BB943F2">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无变化</w:t>
                  </w:r>
                </w:p>
              </w:tc>
            </w:tr>
            <w:tr w14:paraId="415C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4DD1B85D">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4</w:t>
                  </w:r>
                </w:p>
              </w:tc>
              <w:tc>
                <w:tcPr>
                  <w:tcW w:w="1104" w:type="dxa"/>
                  <w:vMerge w:val="continue"/>
                  <w:vAlign w:val="center"/>
                </w:tcPr>
                <w:p w14:paraId="011CE4B8">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284" w:type="dxa"/>
                  <w:vMerge w:val="continue"/>
                  <w:vAlign w:val="center"/>
                </w:tcPr>
                <w:p w14:paraId="2114C4CF">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524" w:type="dxa"/>
                  <w:vAlign w:val="center"/>
                </w:tcPr>
                <w:p w14:paraId="6CA8201E">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溆水入沅江口</w:t>
                  </w:r>
                </w:p>
              </w:tc>
              <w:tc>
                <w:tcPr>
                  <w:tcW w:w="1080" w:type="dxa"/>
                  <w:vAlign w:val="center"/>
                </w:tcPr>
                <w:p w14:paraId="5BFD90C3">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国控</w:t>
                  </w:r>
                </w:p>
              </w:tc>
              <w:tc>
                <w:tcPr>
                  <w:tcW w:w="720" w:type="dxa"/>
                  <w:vAlign w:val="center"/>
                </w:tcPr>
                <w:p w14:paraId="75991AB9">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Ⅱ类</w:t>
                  </w:r>
                </w:p>
              </w:tc>
              <w:tc>
                <w:tcPr>
                  <w:tcW w:w="756" w:type="dxa"/>
                  <w:vAlign w:val="center"/>
                </w:tcPr>
                <w:p w14:paraId="4C8DE11B">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Ⅱ类</w:t>
                  </w:r>
                </w:p>
              </w:tc>
              <w:tc>
                <w:tcPr>
                  <w:tcW w:w="1170" w:type="dxa"/>
                  <w:vAlign w:val="center"/>
                </w:tcPr>
                <w:p w14:paraId="4EB20468">
                  <w:pPr>
                    <w:bidi w:val="0"/>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无变化</w:t>
                  </w:r>
                </w:p>
              </w:tc>
            </w:tr>
          </w:tbl>
          <w:p w14:paraId="2DB90B4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综上所述，项目所在地水质能够达到《地表水环境质量标准》II类水质标准，项目区域水质良好。</w:t>
            </w:r>
          </w:p>
          <w:p w14:paraId="0FA48295">
            <w:pPr>
              <w:ind w:firstLine="480" w:firstLineChars="200"/>
              <w:rPr>
                <w:rFonts w:eastAsia="黑体"/>
                <w:b w:val="0"/>
                <w:bCs w:val="0"/>
                <w:color w:val="000000" w:themeColor="text1"/>
                <w14:textFill>
                  <w14:solidFill>
                    <w14:schemeClr w14:val="tx1"/>
                  </w14:solidFill>
                </w14:textFill>
              </w:rPr>
            </w:pPr>
            <w:r>
              <w:rPr>
                <w:rFonts w:hint="eastAsia" w:eastAsia="黑体"/>
                <w:b w:val="0"/>
                <w:bCs w:val="0"/>
                <w:color w:val="000000" w:themeColor="text1"/>
                <w14:textFill>
                  <w14:solidFill>
                    <w14:schemeClr w14:val="tx1"/>
                  </w14:solidFill>
                </w14:textFill>
              </w:rPr>
              <w:t>3</w:t>
            </w:r>
            <w:r>
              <w:rPr>
                <w:rFonts w:eastAsia="黑体"/>
                <w:b w:val="0"/>
                <w:bCs w:val="0"/>
                <w:color w:val="000000" w:themeColor="text1"/>
                <w14:textFill>
                  <w14:solidFill>
                    <w14:schemeClr w14:val="tx1"/>
                  </w14:solidFill>
                </w14:textFill>
              </w:rPr>
              <w:t>.</w:t>
            </w:r>
            <w:r>
              <w:rPr>
                <w:rFonts w:hint="eastAsia" w:eastAsia="黑体"/>
                <w:b w:val="0"/>
                <w:bCs w:val="0"/>
                <w:color w:val="000000" w:themeColor="text1"/>
                <w14:textFill>
                  <w14:solidFill>
                    <w14:schemeClr w14:val="tx1"/>
                  </w14:solidFill>
                </w14:textFill>
              </w:rPr>
              <w:t>声</w:t>
            </w:r>
            <w:r>
              <w:rPr>
                <w:rFonts w:eastAsia="黑体"/>
                <w:b w:val="0"/>
                <w:bCs w:val="0"/>
                <w:color w:val="000000" w:themeColor="text1"/>
                <w14:textFill>
                  <w14:solidFill>
                    <w14:schemeClr w14:val="tx1"/>
                  </w14:solidFill>
                </w14:textFill>
              </w:rPr>
              <w:t>环境质量现状</w:t>
            </w:r>
          </w:p>
          <w:p w14:paraId="39CB8075">
            <w:pPr>
              <w:ind w:firstLine="480" w:firstLineChars="200"/>
              <w:rPr>
                <w:rFonts w:hint="eastAsia"/>
                <w:color w:val="000000" w:themeColor="text1"/>
                <w:u w:val="none"/>
                <w14:textFill>
                  <w14:solidFill>
                    <w14:schemeClr w14:val="tx1"/>
                  </w14:solidFill>
                </w14:textFill>
              </w:rPr>
            </w:pPr>
            <w:r>
              <w:rPr>
                <w:rFonts w:hint="eastAsia"/>
                <w:color w:val="000000" w:themeColor="text1"/>
                <w:lang w:val="en-US" w:eastAsia="zh-CN"/>
                <w14:textFill>
                  <w14:solidFill>
                    <w14:schemeClr w14:val="tx1"/>
                  </w14:solidFill>
                </w14:textFill>
              </w:rPr>
              <w:t>根据生态环境部办公厅印发的《建设项目环境影响报告表编制技术指南（污染影响类）（试行）》中编制要求“项目</w:t>
            </w:r>
            <w:r>
              <w:rPr>
                <w:rFonts w:hint="eastAsia"/>
                <w:color w:val="000000" w:themeColor="text1"/>
                <w:u w:val="none"/>
                <w14:textFill>
                  <w14:solidFill>
                    <w14:schemeClr w14:val="tx1"/>
                  </w14:solidFill>
                </w14:textFill>
              </w:rPr>
              <w:t>厂界外周边50 米范围内存在声环境保护目标的建设项目，应监测保护目标声环境质量现状并评价达标情况</w:t>
            </w:r>
            <w:r>
              <w:rPr>
                <w:rFonts w:hint="eastAsia"/>
                <w:color w:val="000000" w:themeColor="text1"/>
                <w:lang w:val="en-US" w:eastAsia="zh-CN"/>
                <w14:textFill>
                  <w14:solidFill>
                    <w14:schemeClr w14:val="tx1"/>
                  </w14:solidFill>
                </w14:textFill>
              </w:rPr>
              <w:t>”</w:t>
            </w:r>
            <w:r>
              <w:rPr>
                <w:rFonts w:hint="eastAsia"/>
                <w:color w:val="000000" w:themeColor="text1"/>
                <w:u w:val="none"/>
                <w14:textFill>
                  <w14:solidFill>
                    <w14:schemeClr w14:val="tx1"/>
                  </w14:solidFill>
                </w14:textFill>
              </w:rPr>
              <w:t>。</w:t>
            </w:r>
          </w:p>
          <w:p w14:paraId="10E35E0E">
            <w:pPr>
              <w:ind w:firstLine="480" w:firstLineChars="20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本项目周边50m范围内无声环境敏感点，不另行进行声环境现状监测。</w:t>
            </w:r>
          </w:p>
          <w:p w14:paraId="463B08B7">
            <w:pPr>
              <w:ind w:firstLine="480" w:firstLineChars="200"/>
              <w:rPr>
                <w:rFonts w:eastAsia="黑体"/>
                <w:b w:val="0"/>
                <w:bCs w:val="0"/>
                <w:color w:val="000000" w:themeColor="text1"/>
                <w14:textFill>
                  <w14:solidFill>
                    <w14:schemeClr w14:val="tx1"/>
                  </w14:solidFill>
                </w14:textFill>
              </w:rPr>
            </w:pPr>
            <w:r>
              <w:rPr>
                <w:rFonts w:eastAsia="黑体"/>
                <w:b w:val="0"/>
                <w:bCs w:val="0"/>
                <w:color w:val="000000" w:themeColor="text1"/>
                <w14:textFill>
                  <w14:solidFill>
                    <w14:schemeClr w14:val="tx1"/>
                  </w14:solidFill>
                </w14:textFill>
              </w:rPr>
              <w:t>4.生态环境质量现状评价</w:t>
            </w:r>
          </w:p>
          <w:p w14:paraId="21A0EB6F">
            <w:pPr>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根据生态环境部办公厅印发的《建设项目环境影响报告表编制技术指南（污染影响类）（试行）》中编制要求“产业园区外建设项目新增用地且用地范围内含有生态环境敏感目标时，应进行生态调查。”</w:t>
            </w:r>
          </w:p>
          <w:p w14:paraId="62DDFC9E">
            <w:pPr>
              <w:ind w:firstLine="48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本项目为扩建项目，依托现有项目厂区的1号车间进行建设，不新增建设用地，且项目建设范围内不含有生态环境保护目标，无需开展生态环境现状调查。</w:t>
            </w:r>
          </w:p>
          <w:p w14:paraId="41F54BC0">
            <w:pPr>
              <w:ind w:firstLine="480" w:firstLineChars="200"/>
              <w:rPr>
                <w:rFonts w:eastAsia="黑体"/>
                <w:b w:val="0"/>
                <w:bCs w:val="0"/>
                <w:color w:val="000000" w:themeColor="text1"/>
                <w14:textFill>
                  <w14:solidFill>
                    <w14:schemeClr w14:val="tx1"/>
                  </w14:solidFill>
                </w14:textFill>
              </w:rPr>
            </w:pPr>
            <w:r>
              <w:rPr>
                <w:rFonts w:eastAsia="黑体"/>
                <w:b w:val="0"/>
                <w:bCs w:val="0"/>
                <w:color w:val="000000" w:themeColor="text1"/>
                <w14:textFill>
                  <w14:solidFill>
                    <w14:schemeClr w14:val="tx1"/>
                  </w14:solidFill>
                </w14:textFill>
              </w:rPr>
              <w:t>5.电磁辐射现状评价</w:t>
            </w:r>
          </w:p>
          <w:p w14:paraId="020D9242">
            <w:pPr>
              <w:ind w:firstLine="48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w:t>
            </w:r>
            <w:r>
              <w:rPr>
                <w:color w:val="000000" w:themeColor="text1"/>
                <w14:textFill>
                  <w14:solidFill>
                    <w14:schemeClr w14:val="tx1"/>
                  </w14:solidFill>
                </w14:textFill>
              </w:rPr>
              <w:t>不属于新建或改建、扩建广播电台、差转台、电视塔台、卫星地球上行站、雷达等电磁辐射类项目，不需要对电磁辐射现状开展监测与评价。</w:t>
            </w:r>
          </w:p>
          <w:p w14:paraId="65976201">
            <w:pPr>
              <w:ind w:firstLine="480" w:firstLineChars="200"/>
              <w:rPr>
                <w:rFonts w:eastAsia="黑体"/>
                <w:b w:val="0"/>
                <w:bCs w:val="0"/>
                <w:color w:val="000000" w:themeColor="text1"/>
                <w14:textFill>
                  <w14:solidFill>
                    <w14:schemeClr w14:val="tx1"/>
                  </w14:solidFill>
                </w14:textFill>
              </w:rPr>
            </w:pPr>
            <w:r>
              <w:rPr>
                <w:rFonts w:eastAsia="黑体"/>
                <w:b w:val="0"/>
                <w:bCs w:val="0"/>
                <w:color w:val="000000" w:themeColor="text1"/>
                <w14:textFill>
                  <w14:solidFill>
                    <w14:schemeClr w14:val="tx1"/>
                  </w14:solidFill>
                </w14:textFill>
              </w:rPr>
              <w:t>6.土壤、地下水环境质量现状评价</w:t>
            </w:r>
          </w:p>
          <w:p w14:paraId="572D4BB9">
            <w:pPr>
              <w:ind w:firstLine="480" w:firstLineChars="200"/>
              <w:rPr>
                <w:rFonts w:hint="eastAsia"/>
                <w:color w:val="000000" w:themeColor="text1"/>
                <w:u w:val="none"/>
                <w14:textFill>
                  <w14:solidFill>
                    <w14:schemeClr w14:val="tx1"/>
                  </w14:solidFill>
                </w14:textFill>
              </w:rPr>
            </w:pPr>
            <w:r>
              <w:rPr>
                <w:rFonts w:hint="eastAsia"/>
                <w:color w:val="000000" w:themeColor="text1"/>
                <w:lang w:val="en-US" w:eastAsia="zh-CN"/>
                <w14:textFill>
                  <w14:solidFill>
                    <w14:schemeClr w14:val="tx1"/>
                  </w14:solidFill>
                </w14:textFill>
              </w:rPr>
              <w:t>根据生态环境部办公厅印发的《建设项目环境影响报告表编制技术指南（污染影响类）（试行）》中编制要求“地下水、土壤环境。原则上不开展环境质量现状调查。建设项目存在土壤、地下水环境污染途径的，应结合污染源、保护目标分布情况开展现状调查以留作背景值。”</w:t>
            </w:r>
          </w:p>
          <w:p w14:paraId="24DA92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本项目不产生生活污水，辊筒清洗废水用于调漆，不外排。且项目生产车间</w:t>
            </w:r>
            <w:r>
              <w:rPr>
                <w:rFonts w:hint="eastAsia"/>
                <w:color w:val="000000" w:themeColor="text1"/>
                <w:u w:val="none"/>
                <w14:textFill>
                  <w14:solidFill>
                    <w14:schemeClr w14:val="tx1"/>
                  </w14:solidFill>
                </w14:textFill>
              </w:rPr>
              <w:t>场地</w:t>
            </w:r>
            <w:r>
              <w:rPr>
                <w:rFonts w:hint="eastAsia"/>
                <w:color w:val="000000" w:themeColor="text1"/>
                <w:u w:val="none"/>
                <w:lang w:val="en-US" w:eastAsia="zh-CN"/>
                <w14:textFill>
                  <w14:solidFill>
                    <w14:schemeClr w14:val="tx1"/>
                  </w14:solidFill>
                </w14:textFill>
              </w:rPr>
              <w:t>已经</w:t>
            </w:r>
            <w:r>
              <w:rPr>
                <w:rFonts w:hint="eastAsia"/>
                <w:color w:val="000000" w:themeColor="text1"/>
                <w:u w:val="none"/>
                <w14:textFill>
                  <w14:solidFill>
                    <w14:schemeClr w14:val="tx1"/>
                  </w14:solidFill>
                </w14:textFill>
              </w:rPr>
              <w:t>硬化，阻断了</w:t>
            </w:r>
            <w:r>
              <w:rPr>
                <w:rFonts w:hint="eastAsia"/>
                <w:color w:val="000000" w:themeColor="text1"/>
                <w:u w:val="none"/>
                <w:lang w:val="en-US" w:eastAsia="zh-CN"/>
                <w14:textFill>
                  <w14:solidFill>
                    <w14:schemeClr w14:val="tx1"/>
                  </w14:solidFill>
                </w14:textFill>
              </w:rPr>
              <w:t>废水对</w:t>
            </w:r>
            <w:r>
              <w:rPr>
                <w:rFonts w:hint="eastAsia"/>
                <w:color w:val="000000" w:themeColor="text1"/>
                <w:u w:val="none"/>
                <w14:textFill>
                  <w14:solidFill>
                    <w14:schemeClr w14:val="tx1"/>
                  </w14:solidFill>
                </w14:textFill>
              </w:rPr>
              <w:t>地下水、土壤环境的影响，因此可不开展环境质量现状调查。</w:t>
            </w:r>
          </w:p>
        </w:tc>
      </w:tr>
      <w:tr w14:paraId="647A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9" w:hRule="atLeast"/>
          <w:jc w:val="center"/>
        </w:trPr>
        <w:tc>
          <w:tcPr>
            <w:tcW w:w="525" w:type="dxa"/>
            <w:noWrap w:val="0"/>
            <w:vAlign w:val="center"/>
          </w:tcPr>
          <w:p w14:paraId="442BB558">
            <w:pPr>
              <w:spacing w:line="240" w:lineRule="auto"/>
              <w:jc w:val="center"/>
              <w:rPr>
                <w:rFonts w:eastAsia="黑体"/>
                <w:b/>
                <w:bCs/>
                <w:color w:val="000000" w:themeColor="text1"/>
                <w14:textFill>
                  <w14:solidFill>
                    <w14:schemeClr w14:val="tx1"/>
                  </w14:solidFill>
                </w14:textFill>
              </w:rPr>
            </w:pPr>
            <w:r>
              <w:rPr>
                <w:rFonts w:hint="eastAsia" w:eastAsia="黑体"/>
                <w:b/>
                <w:bCs/>
                <w:color w:val="000000" w:themeColor="text1"/>
                <w:sz w:val="24"/>
                <w:szCs w:val="24"/>
                <w14:textFill>
                  <w14:solidFill>
                    <w14:schemeClr w14:val="tx1"/>
                  </w14:solidFill>
                </w14:textFill>
              </w:rPr>
              <w:t>环境保护目标</w:t>
            </w:r>
          </w:p>
        </w:tc>
        <w:tc>
          <w:tcPr>
            <w:tcW w:w="8490" w:type="dxa"/>
            <w:noWrap w:val="0"/>
            <w:vAlign w:val="center"/>
          </w:tcPr>
          <w:p w14:paraId="6E6536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eastAsia="黑体" w:cs="Times New Roman"/>
                <w:color w:val="000000" w:themeColor="text1"/>
                <w:lang w:val="en-US" w:eastAsia="zh-CN"/>
                <w14:textFill>
                  <w14:solidFill>
                    <w14:schemeClr w14:val="tx1"/>
                  </w14:solidFill>
                </w14:textFill>
              </w:rPr>
              <w:t>7.</w:t>
            </w:r>
            <w:r>
              <w:rPr>
                <w:rFonts w:hint="default" w:ascii="Times New Roman" w:hAnsi="Times New Roman" w:eastAsia="黑体" w:cs="Times New Roman"/>
                <w:color w:val="000000" w:themeColor="text1"/>
                <w:lang w:val="en-US" w:eastAsia="zh-CN"/>
                <w14:textFill>
                  <w14:solidFill>
                    <w14:schemeClr w14:val="tx1"/>
                  </w14:solidFill>
                </w14:textFill>
              </w:rPr>
              <w:t>环境保护目标</w:t>
            </w:r>
          </w:p>
          <w:p w14:paraId="6091CD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根据实地踏勘，建设项目厂界外500米范围内无自然保护区、风景名胜区等环境敏感点，项目厂界外500米范围内的保护目标如下表</w:t>
            </w:r>
            <w:r>
              <w:rPr>
                <w:rFonts w:hint="eastAsia"/>
                <w:color w:val="000000" w:themeColor="text1"/>
                <w:lang w:val="en-US" w:eastAsia="zh-CN"/>
                <w14:textFill>
                  <w14:solidFill>
                    <w14:schemeClr w14:val="tx1"/>
                  </w14:solidFill>
                </w14:textFill>
              </w:rPr>
              <w:t>3-4</w:t>
            </w:r>
            <w:r>
              <w:rPr>
                <w:color w:val="000000" w:themeColor="text1"/>
                <w14:textFill>
                  <w14:solidFill>
                    <w14:schemeClr w14:val="tx1"/>
                  </w14:solidFill>
                </w14:textFill>
              </w:rPr>
              <w:t>所示</w:t>
            </w:r>
            <w:r>
              <w:rPr>
                <w:rFonts w:hint="eastAsia"/>
                <w:color w:val="000000" w:themeColor="text1"/>
                <w:lang w:eastAsia="zh-CN"/>
                <w14:textFill>
                  <w14:solidFill>
                    <w14:schemeClr w14:val="tx1"/>
                  </w14:solidFill>
                </w14:textFill>
              </w:rPr>
              <w:t>。</w:t>
            </w:r>
          </w:p>
          <w:p w14:paraId="2E29F2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表3-4 项目厂界外500米范围内环境保护目标一览表</w:t>
            </w:r>
          </w:p>
          <w:tbl>
            <w:tblPr>
              <w:tblStyle w:val="8"/>
              <w:tblW w:w="82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608"/>
              <w:gridCol w:w="1116"/>
              <w:gridCol w:w="756"/>
              <w:gridCol w:w="806"/>
              <w:gridCol w:w="1116"/>
              <w:gridCol w:w="2213"/>
            </w:tblGrid>
            <w:tr w14:paraId="27BD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6E795C53">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类别</w:t>
                  </w:r>
                </w:p>
              </w:tc>
              <w:tc>
                <w:tcPr>
                  <w:tcW w:w="1608" w:type="dxa"/>
                  <w:vAlign w:val="center"/>
                </w:tcPr>
                <w:p w14:paraId="3FEE0123">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保护目标</w:t>
                  </w:r>
                </w:p>
              </w:tc>
              <w:tc>
                <w:tcPr>
                  <w:tcW w:w="1116" w:type="dxa"/>
                  <w:vAlign w:val="center"/>
                </w:tcPr>
                <w:p w14:paraId="78F34058">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与厂界最近距离</w:t>
                  </w:r>
                </w:p>
              </w:tc>
              <w:tc>
                <w:tcPr>
                  <w:tcW w:w="756" w:type="dxa"/>
                  <w:vAlign w:val="center"/>
                </w:tcPr>
                <w:p w14:paraId="3B45CC03">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规模</w:t>
                  </w:r>
                </w:p>
              </w:tc>
              <w:tc>
                <w:tcPr>
                  <w:tcW w:w="806" w:type="dxa"/>
                  <w:vAlign w:val="center"/>
                </w:tcPr>
                <w:p w14:paraId="616C77D1">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性质</w:t>
                  </w:r>
                </w:p>
              </w:tc>
              <w:tc>
                <w:tcPr>
                  <w:tcW w:w="1116" w:type="dxa"/>
                  <w:vAlign w:val="center"/>
                </w:tcPr>
                <w:p w14:paraId="582CE18C">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阻隔</w:t>
                  </w:r>
                </w:p>
              </w:tc>
              <w:tc>
                <w:tcPr>
                  <w:tcW w:w="2213" w:type="dxa"/>
                  <w:vAlign w:val="center"/>
                </w:tcPr>
                <w:p w14:paraId="3E4F98AB">
                  <w:pPr>
                    <w:spacing w:line="240" w:lineRule="auto"/>
                    <w:ind w:firstLine="0" w:firstLineChars="0"/>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执行标准</w:t>
                  </w:r>
                </w:p>
              </w:tc>
            </w:tr>
            <w:tr w14:paraId="5186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restart"/>
                  <w:vAlign w:val="center"/>
                </w:tcPr>
                <w:p w14:paraId="3C5EE7BE">
                  <w:pPr>
                    <w:keepNext w:val="0"/>
                    <w:keepLines w:val="0"/>
                    <w:pageBreakBefore w:val="0"/>
                    <w:widowControl w:val="0"/>
                    <w:kinsoku/>
                    <w:wordWrap/>
                    <w:overflowPunct/>
                    <w:topLinePunct w:val="0"/>
                    <w:autoSpaceDE/>
                    <w:autoSpaceDN/>
                    <w:bidi w:val="0"/>
                    <w:adjustRightInd/>
                    <w:snapToGrid/>
                    <w:spacing w:line="284"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环境空气</w:t>
                  </w:r>
                </w:p>
              </w:tc>
              <w:tc>
                <w:tcPr>
                  <w:tcW w:w="1608" w:type="dxa"/>
                  <w:vAlign w:val="center"/>
                </w:tcPr>
                <w:p w14:paraId="34BE9828">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太坪村居民点1</w:t>
                  </w:r>
                </w:p>
              </w:tc>
              <w:tc>
                <w:tcPr>
                  <w:tcW w:w="1116" w:type="dxa"/>
                  <w:vAlign w:val="center"/>
                </w:tcPr>
                <w:p w14:paraId="65392807">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338m</w:t>
                  </w:r>
                </w:p>
              </w:tc>
              <w:tc>
                <w:tcPr>
                  <w:tcW w:w="756" w:type="dxa"/>
                  <w:vAlign w:val="center"/>
                </w:tcPr>
                <w:p w14:paraId="7600E466">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33户</w:t>
                  </w:r>
                </w:p>
              </w:tc>
              <w:tc>
                <w:tcPr>
                  <w:tcW w:w="806" w:type="dxa"/>
                  <w:vAlign w:val="center"/>
                </w:tcPr>
                <w:p w14:paraId="4345DC80">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WN</w:t>
                  </w:r>
                </w:p>
              </w:tc>
              <w:tc>
                <w:tcPr>
                  <w:tcW w:w="1116" w:type="dxa"/>
                  <w:vAlign w:val="center"/>
                </w:tcPr>
                <w:p w14:paraId="2DA0D366">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c>
                <w:tcPr>
                  <w:tcW w:w="2213" w:type="dxa"/>
                  <w:vMerge w:val="restart"/>
                  <w:vAlign w:val="center"/>
                </w:tcPr>
                <w:p w14:paraId="39B8E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《环境空气质量标准》（GB3095-2012）中二级标准</w:t>
                  </w:r>
                </w:p>
              </w:tc>
            </w:tr>
            <w:tr w14:paraId="0573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continue"/>
                  <w:vAlign w:val="center"/>
                </w:tcPr>
                <w:p w14:paraId="5E06C781">
                  <w:pPr>
                    <w:keepNext w:val="0"/>
                    <w:keepLines w:val="0"/>
                    <w:pageBreakBefore w:val="0"/>
                    <w:widowControl w:val="0"/>
                    <w:kinsoku/>
                    <w:wordWrap/>
                    <w:overflowPunct/>
                    <w:topLinePunct w:val="0"/>
                    <w:autoSpaceDE/>
                    <w:autoSpaceDN/>
                    <w:bidi w:val="0"/>
                    <w:adjustRightInd/>
                    <w:snapToGrid/>
                    <w:spacing w:line="284"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608" w:type="dxa"/>
                  <w:vAlign w:val="center"/>
                </w:tcPr>
                <w:p w14:paraId="74305D60">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太坪村居民点2</w:t>
                  </w:r>
                </w:p>
              </w:tc>
              <w:tc>
                <w:tcPr>
                  <w:tcW w:w="1116" w:type="dxa"/>
                  <w:shd w:val="clear" w:color="auto" w:fill="auto"/>
                  <w:vAlign w:val="center"/>
                </w:tcPr>
                <w:p w14:paraId="08887736">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105m</w:t>
                  </w:r>
                </w:p>
              </w:tc>
              <w:tc>
                <w:tcPr>
                  <w:tcW w:w="756" w:type="dxa"/>
                  <w:shd w:val="clear" w:color="auto" w:fill="auto"/>
                  <w:vAlign w:val="center"/>
                </w:tcPr>
                <w:p w14:paraId="2B77FCC3">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30户</w:t>
                  </w:r>
                </w:p>
              </w:tc>
              <w:tc>
                <w:tcPr>
                  <w:tcW w:w="806" w:type="dxa"/>
                  <w:vAlign w:val="center"/>
                </w:tcPr>
                <w:p w14:paraId="09909133">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w:t>
                  </w:r>
                </w:p>
              </w:tc>
              <w:tc>
                <w:tcPr>
                  <w:tcW w:w="1116" w:type="dxa"/>
                  <w:vAlign w:val="center"/>
                </w:tcPr>
                <w:p w14:paraId="53594617">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c>
                <w:tcPr>
                  <w:tcW w:w="2213" w:type="dxa"/>
                  <w:vMerge w:val="continue"/>
                  <w:vAlign w:val="center"/>
                </w:tcPr>
                <w:p w14:paraId="4F1882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r>
            <w:tr w14:paraId="509B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continue"/>
                  <w:vAlign w:val="center"/>
                </w:tcPr>
                <w:p w14:paraId="1B38D4BF">
                  <w:pPr>
                    <w:keepNext w:val="0"/>
                    <w:keepLines w:val="0"/>
                    <w:pageBreakBefore w:val="0"/>
                    <w:widowControl w:val="0"/>
                    <w:kinsoku/>
                    <w:wordWrap/>
                    <w:overflowPunct/>
                    <w:topLinePunct w:val="0"/>
                    <w:autoSpaceDE/>
                    <w:autoSpaceDN/>
                    <w:bidi w:val="0"/>
                    <w:adjustRightInd/>
                    <w:snapToGrid/>
                    <w:spacing w:line="284"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608" w:type="dxa"/>
                  <w:vAlign w:val="center"/>
                </w:tcPr>
                <w:p w14:paraId="56CAEFE7">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太坪村居民点3</w:t>
                  </w:r>
                </w:p>
              </w:tc>
              <w:tc>
                <w:tcPr>
                  <w:tcW w:w="1116" w:type="dxa"/>
                  <w:vAlign w:val="center"/>
                </w:tcPr>
                <w:p w14:paraId="0C96984A">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170m</w:t>
                  </w:r>
                </w:p>
              </w:tc>
              <w:tc>
                <w:tcPr>
                  <w:tcW w:w="756" w:type="dxa"/>
                  <w:vAlign w:val="center"/>
                </w:tcPr>
                <w:p w14:paraId="2D8E3ACD">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25户</w:t>
                  </w:r>
                </w:p>
              </w:tc>
              <w:tc>
                <w:tcPr>
                  <w:tcW w:w="806" w:type="dxa"/>
                  <w:vAlign w:val="center"/>
                </w:tcPr>
                <w:p w14:paraId="64B14B93">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S，WS</w:t>
                  </w:r>
                </w:p>
              </w:tc>
              <w:tc>
                <w:tcPr>
                  <w:tcW w:w="1116" w:type="dxa"/>
                  <w:vAlign w:val="center"/>
                </w:tcPr>
                <w:p w14:paraId="2F3BDF9F">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山体阻隔</w:t>
                  </w:r>
                </w:p>
              </w:tc>
              <w:tc>
                <w:tcPr>
                  <w:tcW w:w="2213" w:type="dxa"/>
                  <w:vMerge w:val="continue"/>
                  <w:vAlign w:val="center"/>
                </w:tcPr>
                <w:p w14:paraId="0F2992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r>
            <w:tr w14:paraId="03F6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continue"/>
                  <w:vAlign w:val="center"/>
                </w:tcPr>
                <w:p w14:paraId="0DF3D0C4">
                  <w:pPr>
                    <w:keepNext w:val="0"/>
                    <w:keepLines w:val="0"/>
                    <w:pageBreakBefore w:val="0"/>
                    <w:widowControl w:val="0"/>
                    <w:kinsoku/>
                    <w:wordWrap/>
                    <w:overflowPunct/>
                    <w:topLinePunct w:val="0"/>
                    <w:autoSpaceDE/>
                    <w:autoSpaceDN/>
                    <w:bidi w:val="0"/>
                    <w:adjustRightInd/>
                    <w:snapToGrid/>
                    <w:spacing w:line="284"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608" w:type="dxa"/>
                  <w:vAlign w:val="center"/>
                </w:tcPr>
                <w:p w14:paraId="28DE9877">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太坪村居民点4</w:t>
                  </w:r>
                </w:p>
              </w:tc>
              <w:tc>
                <w:tcPr>
                  <w:tcW w:w="1116" w:type="dxa"/>
                  <w:vAlign w:val="center"/>
                </w:tcPr>
                <w:p w14:paraId="034F0AB2">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173m</w:t>
                  </w:r>
                </w:p>
              </w:tc>
              <w:tc>
                <w:tcPr>
                  <w:tcW w:w="756" w:type="dxa"/>
                  <w:vAlign w:val="center"/>
                </w:tcPr>
                <w:p w14:paraId="1D920E1D">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5户</w:t>
                  </w:r>
                </w:p>
              </w:tc>
              <w:tc>
                <w:tcPr>
                  <w:tcW w:w="806" w:type="dxa"/>
                  <w:vAlign w:val="center"/>
                </w:tcPr>
                <w:p w14:paraId="012219C5">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EN</w:t>
                  </w:r>
                </w:p>
              </w:tc>
              <w:tc>
                <w:tcPr>
                  <w:tcW w:w="1116" w:type="dxa"/>
                  <w:vAlign w:val="center"/>
                </w:tcPr>
                <w:p w14:paraId="3F59A1C1">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山体阻隔</w:t>
                  </w:r>
                </w:p>
              </w:tc>
              <w:tc>
                <w:tcPr>
                  <w:tcW w:w="2213" w:type="dxa"/>
                  <w:vMerge w:val="continue"/>
                  <w:vAlign w:val="center"/>
                </w:tcPr>
                <w:p w14:paraId="620B3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r>
            <w:tr w14:paraId="2D0B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continue"/>
                  <w:vAlign w:val="center"/>
                </w:tcPr>
                <w:p w14:paraId="26EC1847">
                  <w:pPr>
                    <w:keepNext w:val="0"/>
                    <w:keepLines w:val="0"/>
                    <w:pageBreakBefore w:val="0"/>
                    <w:widowControl w:val="0"/>
                    <w:kinsoku/>
                    <w:wordWrap/>
                    <w:overflowPunct/>
                    <w:topLinePunct w:val="0"/>
                    <w:autoSpaceDE/>
                    <w:autoSpaceDN/>
                    <w:bidi w:val="0"/>
                    <w:adjustRightInd/>
                    <w:snapToGrid/>
                    <w:spacing w:line="284"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608" w:type="dxa"/>
                  <w:vAlign w:val="center"/>
                </w:tcPr>
                <w:p w14:paraId="272619A5">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太坪村居民点5</w:t>
                  </w:r>
                </w:p>
              </w:tc>
              <w:tc>
                <w:tcPr>
                  <w:tcW w:w="1116" w:type="dxa"/>
                  <w:vAlign w:val="center"/>
                </w:tcPr>
                <w:p w14:paraId="2133EF47">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86m</w:t>
                  </w:r>
                </w:p>
              </w:tc>
              <w:tc>
                <w:tcPr>
                  <w:tcW w:w="756" w:type="dxa"/>
                  <w:vAlign w:val="center"/>
                </w:tcPr>
                <w:p w14:paraId="7C7B977A">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11户</w:t>
                  </w:r>
                </w:p>
              </w:tc>
              <w:tc>
                <w:tcPr>
                  <w:tcW w:w="806" w:type="dxa"/>
                  <w:vAlign w:val="center"/>
                </w:tcPr>
                <w:p w14:paraId="332C4A81">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WN</w:t>
                  </w:r>
                </w:p>
              </w:tc>
              <w:tc>
                <w:tcPr>
                  <w:tcW w:w="1116" w:type="dxa"/>
                  <w:vAlign w:val="center"/>
                </w:tcPr>
                <w:p w14:paraId="43C53828">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c>
                <w:tcPr>
                  <w:tcW w:w="2213" w:type="dxa"/>
                  <w:vMerge w:val="continue"/>
                  <w:vAlign w:val="center"/>
                </w:tcPr>
                <w:p w14:paraId="527EE7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r>
            <w:tr w14:paraId="756A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continue"/>
                  <w:vAlign w:val="center"/>
                </w:tcPr>
                <w:p w14:paraId="6CEFE51E">
                  <w:pPr>
                    <w:keepNext w:val="0"/>
                    <w:keepLines w:val="0"/>
                    <w:pageBreakBefore w:val="0"/>
                    <w:widowControl w:val="0"/>
                    <w:kinsoku/>
                    <w:wordWrap/>
                    <w:overflowPunct/>
                    <w:topLinePunct w:val="0"/>
                    <w:autoSpaceDE/>
                    <w:autoSpaceDN/>
                    <w:bidi w:val="0"/>
                    <w:adjustRightInd/>
                    <w:snapToGrid/>
                    <w:spacing w:line="284"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c>
                <w:tcPr>
                  <w:tcW w:w="1608" w:type="dxa"/>
                  <w:vAlign w:val="center"/>
                </w:tcPr>
                <w:p w14:paraId="338B2DE4">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太坪村居民点6</w:t>
                  </w:r>
                </w:p>
              </w:tc>
              <w:tc>
                <w:tcPr>
                  <w:tcW w:w="1116" w:type="dxa"/>
                  <w:vAlign w:val="center"/>
                </w:tcPr>
                <w:p w14:paraId="7D2103FE">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215m</w:t>
                  </w:r>
                </w:p>
              </w:tc>
              <w:tc>
                <w:tcPr>
                  <w:tcW w:w="756" w:type="dxa"/>
                  <w:vAlign w:val="center"/>
                </w:tcPr>
                <w:p w14:paraId="25536CFD">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15户</w:t>
                  </w:r>
                </w:p>
              </w:tc>
              <w:tc>
                <w:tcPr>
                  <w:tcW w:w="806" w:type="dxa"/>
                  <w:vAlign w:val="center"/>
                </w:tcPr>
                <w:p w14:paraId="76907F07">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ES</w:t>
                  </w:r>
                </w:p>
              </w:tc>
              <w:tc>
                <w:tcPr>
                  <w:tcW w:w="1116" w:type="dxa"/>
                  <w:vAlign w:val="center"/>
                </w:tcPr>
                <w:p w14:paraId="2AAAF3D0">
                  <w:pPr>
                    <w:keepNext w:val="0"/>
                    <w:keepLines w:val="0"/>
                    <w:pageBreakBefore w:val="0"/>
                    <w:widowControl w:val="0"/>
                    <w:kinsoku/>
                    <w:wordWrap/>
                    <w:overflowPunct/>
                    <w:topLinePunct w:val="0"/>
                    <w:autoSpaceDE/>
                    <w:autoSpaceDN/>
                    <w:bidi w:val="0"/>
                    <w:adjustRightInd/>
                    <w:snapToGrid/>
                    <w:spacing w:line="284" w:lineRule="auto"/>
                    <w:ind w:firstLine="0" w:firstLineChars="0"/>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w:t>
                  </w:r>
                </w:p>
              </w:tc>
              <w:tc>
                <w:tcPr>
                  <w:tcW w:w="2213" w:type="dxa"/>
                  <w:vMerge w:val="continue"/>
                  <w:vAlign w:val="center"/>
                </w:tcPr>
                <w:p w14:paraId="504447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p>
              </w:tc>
            </w:tr>
            <w:tr w14:paraId="7D0F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1CE75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声环境</w:t>
                  </w:r>
                </w:p>
              </w:tc>
              <w:tc>
                <w:tcPr>
                  <w:tcW w:w="7615" w:type="dxa"/>
                  <w:gridSpan w:val="6"/>
                  <w:vAlign w:val="center"/>
                </w:tcPr>
                <w:p w14:paraId="172D7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本项目厂界外50米范围内无声环境保护目标</w:t>
                  </w:r>
                </w:p>
              </w:tc>
            </w:tr>
            <w:tr w14:paraId="2C98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5C5511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地下水环境</w:t>
                  </w:r>
                </w:p>
              </w:tc>
              <w:tc>
                <w:tcPr>
                  <w:tcW w:w="7615" w:type="dxa"/>
                  <w:gridSpan w:val="6"/>
                  <w:vAlign w:val="center"/>
                </w:tcPr>
                <w:p w14:paraId="03155E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本项目厂界外500米范围内无地下水集中式饮用水源和热水、矿泉水、温泉等特殊地下水资源</w:t>
                  </w:r>
                </w:p>
              </w:tc>
            </w:tr>
            <w:tr w14:paraId="7EFC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61EE9C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生态环境</w:t>
                  </w:r>
                </w:p>
              </w:tc>
              <w:tc>
                <w:tcPr>
                  <w:tcW w:w="7615" w:type="dxa"/>
                  <w:gridSpan w:val="6"/>
                  <w:vAlign w:val="center"/>
                </w:tcPr>
                <w:p w14:paraId="6C97C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本项目不新增建设用地，仅依托现有项目厂区1号车间进行建设，本项目用地范围内无生态环境保护目标</w:t>
                  </w:r>
                </w:p>
              </w:tc>
            </w:tr>
          </w:tbl>
          <w:p w14:paraId="4F487E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000000" w:themeColor="text1"/>
                <w:sz w:val="24"/>
                <w:szCs w:val="24"/>
                <w:lang w:eastAsia="zh-CN"/>
                <w14:textFill>
                  <w14:solidFill>
                    <w14:schemeClr w14:val="tx1"/>
                  </w14:solidFill>
                </w14:textFill>
              </w:rPr>
            </w:pPr>
          </w:p>
        </w:tc>
      </w:tr>
      <w:tr w14:paraId="106F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5" w:type="dxa"/>
            <w:noWrap w:val="0"/>
            <w:vAlign w:val="center"/>
          </w:tcPr>
          <w:p w14:paraId="32ED2CF2">
            <w:pPr>
              <w:spacing w:line="240" w:lineRule="auto"/>
              <w:jc w:val="center"/>
              <w:rPr>
                <w:rFonts w:eastAsia="黑体"/>
                <w:b/>
                <w:bCs/>
                <w:color w:val="000000" w:themeColor="text1"/>
                <w14:textFill>
                  <w14:solidFill>
                    <w14:schemeClr w14:val="tx1"/>
                  </w14:solidFill>
                </w14:textFill>
              </w:rPr>
            </w:pPr>
            <w:r>
              <w:rPr>
                <w:rFonts w:hint="eastAsia" w:eastAsia="黑体"/>
                <w:b/>
                <w:bCs/>
                <w:color w:val="000000" w:themeColor="text1"/>
                <w:sz w:val="24"/>
                <w:szCs w:val="24"/>
                <w14:textFill>
                  <w14:solidFill>
                    <w14:schemeClr w14:val="tx1"/>
                  </w14:solidFill>
                </w14:textFill>
              </w:rPr>
              <w:t>污染物排放控制标准</w:t>
            </w:r>
          </w:p>
        </w:tc>
        <w:tc>
          <w:tcPr>
            <w:tcW w:w="8490" w:type="dxa"/>
            <w:noWrap w:val="0"/>
            <w:vAlign w:val="center"/>
          </w:tcPr>
          <w:p w14:paraId="38E7DC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黑体" w:cs="Times New Roman"/>
                <w:b w:val="0"/>
                <w:bCs w:val="0"/>
                <w:color w:val="000000" w:themeColor="text1"/>
                <w:sz w:val="24"/>
                <w:szCs w:val="24"/>
                <w:lang w:val="en-US" w:eastAsia="zh-CN"/>
                <w14:textFill>
                  <w14:solidFill>
                    <w14:schemeClr w14:val="tx1"/>
                  </w14:solidFill>
                </w14:textFill>
              </w:rPr>
            </w:pPr>
            <w:r>
              <w:rPr>
                <w:rFonts w:hint="eastAsia" w:eastAsia="黑体" w:cs="Times New Roman"/>
                <w:b w:val="0"/>
                <w:bCs w:val="0"/>
                <w:color w:val="000000" w:themeColor="text1"/>
                <w:sz w:val="24"/>
                <w:szCs w:val="24"/>
                <w:lang w:val="en-US" w:eastAsia="zh-CN"/>
                <w14:textFill>
                  <w14:solidFill>
                    <w14:schemeClr w14:val="tx1"/>
                  </w14:solidFill>
                </w14:textFill>
              </w:rPr>
              <w:t>8.污染物排放控制标准</w:t>
            </w:r>
          </w:p>
          <w:p w14:paraId="468F4A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eastAsia="黑体" w:cs="Times New Roman"/>
                <w:b w:val="0"/>
                <w:bCs w:val="0"/>
                <w:color w:val="000000" w:themeColor="text1"/>
                <w:sz w:val="24"/>
                <w:szCs w:val="24"/>
                <w:lang w:val="en-US" w:eastAsia="zh-CN"/>
                <w14:textFill>
                  <w14:solidFill>
                    <w14:schemeClr w14:val="tx1"/>
                  </w14:solidFill>
                </w14:textFill>
              </w:rPr>
              <w:t>8.1</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废气</w:t>
            </w:r>
          </w:p>
          <w:p w14:paraId="260DDC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本项目</w:t>
            </w:r>
            <w:r>
              <w:rPr>
                <w:rFonts w:hint="eastAsia" w:cs="Times New Roman"/>
                <w:color w:val="000000" w:themeColor="text1"/>
                <w:sz w:val="24"/>
                <w:szCs w:val="24"/>
                <w:u w:val="single"/>
                <w:lang w:val="en-US" w:eastAsia="zh-CN"/>
                <w14:textFill>
                  <w14:solidFill>
                    <w14:schemeClr w14:val="tx1"/>
                  </w14:solidFill>
                </w14:textFill>
              </w:rPr>
              <w:t>调漆、上漆、晾干工序中产生的</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二甲苯、</w:t>
            </w:r>
            <w:r>
              <w:rPr>
                <w:rFonts w:hint="eastAsia" w:cs="Times New Roman"/>
                <w:color w:val="000000" w:themeColor="text1"/>
                <w:sz w:val="24"/>
                <w:szCs w:val="24"/>
                <w:u w:val="single"/>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执行《表面涂装（汽车制造及维修）挥发性有机物、镍排放标准》（DB43/1356-2017）表1中标准限值</w:t>
            </w:r>
            <w:r>
              <w:rPr>
                <w:rFonts w:hint="eastAsia" w:cs="Times New Roman"/>
                <w:color w:val="000000" w:themeColor="text1"/>
                <w:sz w:val="24"/>
                <w:szCs w:val="24"/>
                <w:u w:val="single"/>
                <w:lang w:val="en-US" w:eastAsia="zh-CN"/>
                <w14:textFill>
                  <w14:solidFill>
                    <w14:schemeClr w14:val="tx1"/>
                  </w14:solidFill>
                </w14:textFill>
              </w:rPr>
              <w:t>；厂界二甲苯、非甲烷总烃无组织排放</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执行《</w:t>
            </w:r>
            <w:r>
              <w:rPr>
                <w:rFonts w:hint="eastAsia" w:cs="Times New Roman"/>
                <w:color w:val="000000" w:themeColor="text1"/>
                <w:sz w:val="24"/>
                <w:szCs w:val="24"/>
                <w:u w:val="single"/>
                <w:lang w:val="en-US" w:eastAsia="zh-CN"/>
                <w14:textFill>
                  <w14:solidFill>
                    <w14:schemeClr w14:val="tx1"/>
                  </w14:solidFill>
                </w14:textFill>
              </w:rPr>
              <w:t>大气污染物排放综合排放标准</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w:t>
            </w:r>
            <w:r>
              <w:rPr>
                <w:rFonts w:hint="eastAsia" w:cs="Times New Roman"/>
                <w:color w:val="000000" w:themeColor="text1"/>
                <w:sz w:val="24"/>
                <w:szCs w:val="24"/>
                <w:u w:val="single"/>
                <w:lang w:val="en-US" w:eastAsia="zh-CN"/>
                <w14:textFill>
                  <w14:solidFill>
                    <w14:schemeClr w14:val="tx1"/>
                  </w14:solidFill>
                </w14:textFill>
              </w:rPr>
              <w:t>（GB16297-1996）</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表</w:t>
            </w:r>
            <w:r>
              <w:rPr>
                <w:rFonts w:hint="eastAsia" w:cs="Times New Roman"/>
                <w:color w:val="000000" w:themeColor="text1"/>
                <w:sz w:val="24"/>
                <w:szCs w:val="24"/>
                <w:u w:val="single"/>
                <w:lang w:val="en-US" w:eastAsia="zh-CN"/>
                <w14:textFill>
                  <w14:solidFill>
                    <w14:schemeClr w14:val="tx1"/>
                  </w14:solidFill>
                </w14:textFill>
              </w:rPr>
              <w:t>2中无组织排放浓度监控限值</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w:t>
            </w:r>
          </w:p>
          <w:p w14:paraId="134D1C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厂区内非甲烷总烃无组织排放执行《挥发性有机物无组织排放控制标准》（GB37822-2019）附录A中“厂区内NMHC无组织排放限值”。厂区内具体标准限值详见下表3-5、3-6。</w:t>
            </w:r>
          </w:p>
          <w:p w14:paraId="41EE22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3-5 有组织</w:t>
            </w:r>
            <w:r>
              <w:rPr>
                <w:rFonts w:hint="default" w:ascii="Times New Roman" w:hAnsi="Times New Roman" w:eastAsia="黑体" w:cs="Times New Roman"/>
                <w:b w:val="0"/>
                <w:bCs w:val="0"/>
                <w:color w:val="000000" w:themeColor="text1"/>
                <w:sz w:val="21"/>
                <w:szCs w:val="21"/>
                <w14:textFill>
                  <w14:solidFill>
                    <w14:schemeClr w14:val="tx1"/>
                  </w14:solidFill>
                </w14:textFill>
              </w:rPr>
              <w:t>大气污染物排放</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标准</w:t>
            </w:r>
            <w:r>
              <w:rPr>
                <w:rFonts w:hint="default" w:ascii="Times New Roman" w:hAnsi="Times New Roman" w:eastAsia="黑体" w:cs="Times New Roman"/>
                <w:b w:val="0"/>
                <w:bCs w:val="0"/>
                <w:color w:val="000000" w:themeColor="text1"/>
                <w:sz w:val="21"/>
                <w:szCs w:val="21"/>
                <w14:textFill>
                  <w14:solidFill>
                    <w14:schemeClr w14:val="tx1"/>
                  </w14:solidFill>
                </w14:textFill>
              </w:rPr>
              <w:t>（摘录）</w:t>
            </w:r>
          </w:p>
          <w:tbl>
            <w:tblPr>
              <w:tblStyle w:val="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956"/>
              <w:gridCol w:w="1920"/>
              <w:gridCol w:w="2208"/>
              <w:gridCol w:w="1702"/>
            </w:tblGrid>
            <w:tr w14:paraId="46ED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20" w:type="dxa"/>
                  <w:noWrap w:val="0"/>
                  <w:vAlign w:val="center"/>
                </w:tcPr>
                <w:p w14:paraId="6EFC98D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项目</w:t>
                  </w:r>
                </w:p>
              </w:tc>
              <w:tc>
                <w:tcPr>
                  <w:tcW w:w="956" w:type="dxa"/>
                  <w:noWrap w:val="0"/>
                  <w:vAlign w:val="center"/>
                </w:tcPr>
                <w:p w14:paraId="795B2F4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排气筒编号</w:t>
                  </w:r>
                </w:p>
              </w:tc>
              <w:tc>
                <w:tcPr>
                  <w:tcW w:w="1920" w:type="dxa"/>
                  <w:noWrap w:val="0"/>
                  <w:vAlign w:val="center"/>
                </w:tcPr>
                <w:p w14:paraId="7F1E499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最高允许排放浓度（mg/m</w:t>
                  </w:r>
                  <w:r>
                    <w:rPr>
                      <w:rFonts w:hint="default" w:ascii="Times New Roman" w:hAnsi="Times New Roman" w:eastAsia="黑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p>
              </w:tc>
              <w:tc>
                <w:tcPr>
                  <w:tcW w:w="2208" w:type="dxa"/>
                  <w:noWrap w:val="0"/>
                  <w:vAlign w:val="center"/>
                </w:tcPr>
                <w:p w14:paraId="69D14FB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最高允许排放速率（kg/h）</w:t>
                  </w:r>
                </w:p>
              </w:tc>
              <w:tc>
                <w:tcPr>
                  <w:tcW w:w="1702" w:type="dxa"/>
                  <w:noWrap w:val="0"/>
                  <w:vAlign w:val="center"/>
                </w:tcPr>
                <w:p w14:paraId="640EE7F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标准来源</w:t>
                  </w:r>
                </w:p>
              </w:tc>
            </w:tr>
            <w:tr w14:paraId="446B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520" w:type="dxa"/>
                  <w:noWrap w:val="0"/>
                  <w:vAlign w:val="center"/>
                </w:tcPr>
                <w:p w14:paraId="71D19D4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非甲烷总烃</w:t>
                  </w:r>
                </w:p>
              </w:tc>
              <w:tc>
                <w:tcPr>
                  <w:tcW w:w="956" w:type="dxa"/>
                  <w:vMerge w:val="restart"/>
                  <w:noWrap w:val="0"/>
                  <w:vAlign w:val="center"/>
                </w:tcPr>
                <w:p w14:paraId="20845B1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DA001</w:t>
                  </w:r>
                </w:p>
              </w:tc>
              <w:tc>
                <w:tcPr>
                  <w:tcW w:w="1920" w:type="dxa"/>
                  <w:noWrap w:val="0"/>
                  <w:vAlign w:val="center"/>
                </w:tcPr>
                <w:p w14:paraId="71E14BA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40</w:t>
                  </w:r>
                </w:p>
              </w:tc>
              <w:tc>
                <w:tcPr>
                  <w:tcW w:w="2208" w:type="dxa"/>
                  <w:noWrap w:val="0"/>
                  <w:vAlign w:val="center"/>
                </w:tcPr>
                <w:p w14:paraId="3A6639A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w:t>
                  </w:r>
                </w:p>
              </w:tc>
              <w:tc>
                <w:tcPr>
                  <w:tcW w:w="1702" w:type="dxa"/>
                  <w:vMerge w:val="restart"/>
                  <w:noWrap w:val="0"/>
                  <w:vAlign w:val="center"/>
                </w:tcPr>
                <w:p w14:paraId="43A97E2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DB43/1356-2017</w:t>
                  </w:r>
                </w:p>
              </w:tc>
            </w:tr>
            <w:tr w14:paraId="4B94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0" w:type="dxa"/>
                  <w:noWrap w:val="0"/>
                  <w:vAlign w:val="center"/>
                </w:tcPr>
                <w:p w14:paraId="2FA9E10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二甲苯</w:t>
                  </w:r>
                </w:p>
              </w:tc>
              <w:tc>
                <w:tcPr>
                  <w:tcW w:w="956" w:type="dxa"/>
                  <w:vMerge w:val="continue"/>
                  <w:noWrap w:val="0"/>
                  <w:vAlign w:val="center"/>
                </w:tcPr>
                <w:p w14:paraId="06E5555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p>
              </w:tc>
              <w:tc>
                <w:tcPr>
                  <w:tcW w:w="1920" w:type="dxa"/>
                  <w:noWrap w:val="0"/>
                  <w:vAlign w:val="center"/>
                </w:tcPr>
                <w:p w14:paraId="34D655F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17</w:t>
                  </w:r>
                </w:p>
              </w:tc>
              <w:tc>
                <w:tcPr>
                  <w:tcW w:w="2208" w:type="dxa"/>
                  <w:noWrap w:val="0"/>
                  <w:vAlign w:val="center"/>
                </w:tcPr>
                <w:p w14:paraId="28B996D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w:t>
                  </w:r>
                </w:p>
              </w:tc>
              <w:tc>
                <w:tcPr>
                  <w:tcW w:w="1702" w:type="dxa"/>
                  <w:vMerge w:val="continue"/>
                  <w:noWrap w:val="0"/>
                  <w:vAlign w:val="center"/>
                </w:tcPr>
                <w:p w14:paraId="0BC9D8B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tc>
            </w:tr>
          </w:tbl>
          <w:p w14:paraId="47EBAB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3-6 无组织</w:t>
            </w:r>
            <w:r>
              <w:rPr>
                <w:rFonts w:hint="default" w:ascii="Times New Roman" w:hAnsi="Times New Roman" w:eastAsia="黑体" w:cs="Times New Roman"/>
                <w:b w:val="0"/>
                <w:bCs w:val="0"/>
                <w:color w:val="000000" w:themeColor="text1"/>
                <w:sz w:val="21"/>
                <w:szCs w:val="21"/>
                <w14:textFill>
                  <w14:solidFill>
                    <w14:schemeClr w14:val="tx1"/>
                  </w14:solidFill>
                </w14:textFill>
              </w:rPr>
              <w:t>大气污染物排放</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标准</w:t>
            </w:r>
            <w:r>
              <w:rPr>
                <w:rFonts w:hint="default" w:ascii="Times New Roman" w:hAnsi="Times New Roman" w:eastAsia="黑体" w:cs="Times New Roman"/>
                <w:b w:val="0"/>
                <w:bCs w:val="0"/>
                <w:color w:val="000000" w:themeColor="text1"/>
                <w:sz w:val="21"/>
                <w:szCs w:val="21"/>
                <w14:textFill>
                  <w14:solidFill>
                    <w14:schemeClr w14:val="tx1"/>
                  </w14:solidFill>
                </w14:textFill>
              </w:rPr>
              <w:t>（摘录）</w:t>
            </w:r>
          </w:p>
          <w:tbl>
            <w:tblPr>
              <w:tblStyle w:val="8"/>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500"/>
              <w:gridCol w:w="1704"/>
              <w:gridCol w:w="828"/>
              <w:gridCol w:w="2888"/>
            </w:tblGrid>
            <w:tr w14:paraId="1A0A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Pr>
                <w:p w14:paraId="5882A4C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监测点位</w:t>
                  </w:r>
                </w:p>
              </w:tc>
              <w:tc>
                <w:tcPr>
                  <w:tcW w:w="1500" w:type="dxa"/>
                </w:tcPr>
                <w:p w14:paraId="0FE8DA4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污染物名称</w:t>
                  </w:r>
                </w:p>
              </w:tc>
              <w:tc>
                <w:tcPr>
                  <w:tcW w:w="2532" w:type="dxa"/>
                  <w:gridSpan w:val="2"/>
                </w:tcPr>
                <w:p w14:paraId="7BED820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浓度（</w:t>
                  </w:r>
                  <w:r>
                    <w:rPr>
                      <w:rFonts w:hint="default" w:ascii="Times New Roman" w:hAnsi="Times New Roman" w:eastAsia="黑体" w:cs="Times New Roman"/>
                      <w:b w:val="0"/>
                      <w:bCs w:val="0"/>
                      <w:color w:val="000000" w:themeColor="text1"/>
                      <w:sz w:val="21"/>
                      <w:szCs w:val="21"/>
                      <w14:textFill>
                        <w14:solidFill>
                          <w14:schemeClr w14:val="tx1"/>
                        </w14:solidFill>
                      </w14:textFill>
                    </w:rPr>
                    <w:t>mg/m</w:t>
                  </w:r>
                  <w:r>
                    <w:rPr>
                      <w:rFonts w:hint="default" w:ascii="Times New Roman" w:hAnsi="Times New Roman" w:eastAsia="黑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p>
              </w:tc>
              <w:tc>
                <w:tcPr>
                  <w:tcW w:w="2888" w:type="dxa"/>
                </w:tcPr>
                <w:p w14:paraId="01218CB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标准来源</w:t>
                  </w:r>
                </w:p>
              </w:tc>
            </w:tr>
            <w:tr w14:paraId="097A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restart"/>
                  <w:vAlign w:val="center"/>
                </w:tcPr>
                <w:p w14:paraId="21B9C72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运营期厂界</w:t>
                  </w:r>
                </w:p>
              </w:tc>
              <w:tc>
                <w:tcPr>
                  <w:tcW w:w="1500" w:type="dxa"/>
                  <w:vAlign w:val="center"/>
                </w:tcPr>
                <w:p w14:paraId="3E71753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非甲烷总烃</w:t>
                  </w:r>
                </w:p>
              </w:tc>
              <w:tc>
                <w:tcPr>
                  <w:tcW w:w="2532" w:type="dxa"/>
                  <w:gridSpan w:val="2"/>
                  <w:vAlign w:val="center"/>
                </w:tcPr>
                <w:p w14:paraId="374C3DD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4.0</w:t>
                  </w:r>
                </w:p>
              </w:tc>
              <w:tc>
                <w:tcPr>
                  <w:tcW w:w="2888" w:type="dxa"/>
                  <w:vMerge w:val="restart"/>
                  <w:vAlign w:val="center"/>
                </w:tcPr>
                <w:p w14:paraId="3486493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GB16297-1996</w:t>
                  </w:r>
                </w:p>
              </w:tc>
            </w:tr>
            <w:tr w14:paraId="683E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4" w:type="dxa"/>
                  <w:vMerge w:val="continue"/>
                  <w:vAlign w:val="center"/>
                </w:tcPr>
                <w:p w14:paraId="05E3A4B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1500" w:type="dxa"/>
                  <w:vMerge w:val="restart"/>
                  <w:vAlign w:val="center"/>
                </w:tcPr>
                <w:p w14:paraId="4E7EB1F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苯系物</w:t>
                  </w:r>
                </w:p>
              </w:tc>
              <w:tc>
                <w:tcPr>
                  <w:tcW w:w="2532" w:type="dxa"/>
                  <w:gridSpan w:val="2"/>
                  <w:vAlign w:val="center"/>
                </w:tcPr>
                <w:p w14:paraId="30240B6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1.5</w:t>
                  </w:r>
                </w:p>
              </w:tc>
              <w:tc>
                <w:tcPr>
                  <w:tcW w:w="2888" w:type="dxa"/>
                  <w:vMerge w:val="continue"/>
                  <w:vAlign w:val="center"/>
                </w:tcPr>
                <w:p w14:paraId="7452CF5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r>
            <w:tr w14:paraId="0C0C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restart"/>
                  <w:vAlign w:val="center"/>
                </w:tcPr>
                <w:p w14:paraId="0E4CC0E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运营期厂区</w:t>
                  </w:r>
                </w:p>
              </w:tc>
              <w:tc>
                <w:tcPr>
                  <w:tcW w:w="1500" w:type="dxa"/>
                  <w:vMerge w:val="restart"/>
                  <w:vAlign w:val="center"/>
                </w:tcPr>
                <w:p w14:paraId="11D9D1F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非甲烷总烃</w:t>
                  </w:r>
                </w:p>
              </w:tc>
              <w:tc>
                <w:tcPr>
                  <w:tcW w:w="1704" w:type="dxa"/>
                  <w:vAlign w:val="center"/>
                </w:tcPr>
                <w:p w14:paraId="6120A06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监控点处1h平均浓度</w:t>
                  </w:r>
                </w:p>
              </w:tc>
              <w:tc>
                <w:tcPr>
                  <w:tcW w:w="828" w:type="dxa"/>
                  <w:vAlign w:val="center"/>
                </w:tcPr>
                <w:p w14:paraId="74D2D45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6</w:t>
                  </w:r>
                </w:p>
              </w:tc>
              <w:tc>
                <w:tcPr>
                  <w:tcW w:w="2888" w:type="dxa"/>
                  <w:vMerge w:val="restart"/>
                  <w:vAlign w:val="center"/>
                </w:tcPr>
                <w:p w14:paraId="5D4ABAB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《挥发性有机物无组织排放控制标准》（GB37822-2019）</w:t>
                  </w:r>
                </w:p>
              </w:tc>
            </w:tr>
            <w:tr w14:paraId="0259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Merge w:val="continue"/>
                  <w:vAlign w:val="center"/>
                </w:tcPr>
                <w:p w14:paraId="4FA7A78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1500" w:type="dxa"/>
                  <w:vMerge w:val="continue"/>
                  <w:vAlign w:val="center"/>
                </w:tcPr>
                <w:p w14:paraId="6D731EE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c>
                <w:tcPr>
                  <w:tcW w:w="1704" w:type="dxa"/>
                  <w:vAlign w:val="center"/>
                </w:tcPr>
                <w:p w14:paraId="1329EE8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监控点处任意一次浓度限值</w:t>
                  </w:r>
                </w:p>
              </w:tc>
              <w:tc>
                <w:tcPr>
                  <w:tcW w:w="828" w:type="dxa"/>
                  <w:vAlign w:val="center"/>
                </w:tcPr>
                <w:p w14:paraId="7F3280A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20</w:t>
                  </w:r>
                </w:p>
              </w:tc>
              <w:tc>
                <w:tcPr>
                  <w:tcW w:w="2888" w:type="dxa"/>
                  <w:vMerge w:val="continue"/>
                  <w:vAlign w:val="center"/>
                </w:tcPr>
                <w:p w14:paraId="0F76C2B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p>
              </w:tc>
            </w:tr>
          </w:tbl>
          <w:p w14:paraId="196F8D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eastAsia="黑体" w:cs="Times New Roman"/>
                <w:b w:val="0"/>
                <w:bCs w:val="0"/>
                <w:color w:val="000000" w:themeColor="text1"/>
                <w:sz w:val="24"/>
                <w:szCs w:val="24"/>
                <w:lang w:val="en-US" w:eastAsia="zh-CN"/>
                <w14:textFill>
                  <w14:solidFill>
                    <w14:schemeClr w14:val="tx1"/>
                  </w14:solidFill>
                </w14:textFill>
              </w:rPr>
              <w:t>8.2</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废</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水</w:t>
            </w:r>
          </w:p>
          <w:p w14:paraId="36BC67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本项目不新增员工，不产生生活污水；</w:t>
            </w:r>
            <w:r>
              <w:rPr>
                <w:rFonts w:hint="eastAsia" w:cs="Times New Roman"/>
                <w:color w:val="000000" w:themeColor="text1"/>
                <w:sz w:val="24"/>
                <w:szCs w:val="24"/>
                <w:u w:val="single"/>
                <w:lang w:val="en-US" w:eastAsia="zh-CN"/>
                <w14:textFill>
                  <w14:solidFill>
                    <w14:schemeClr w14:val="tx1"/>
                  </w14:solidFill>
                </w14:textFill>
              </w:rPr>
              <w:t>本项目辊筒清洗废水用于油漆调配</w:t>
            </w:r>
            <w:r>
              <w:rPr>
                <w:rFonts w:hint="eastAsia" w:cs="Times New Roman"/>
                <w:color w:val="000000" w:themeColor="text1"/>
                <w:sz w:val="24"/>
                <w:szCs w:val="24"/>
                <w:u w:val="none"/>
                <w:lang w:val="en-US" w:eastAsia="zh-CN"/>
                <w14:textFill>
                  <w14:solidFill>
                    <w14:schemeClr w14:val="tx1"/>
                  </w14:solidFill>
                </w14:textFill>
              </w:rPr>
              <w:t>，不外排；</w:t>
            </w:r>
          </w:p>
          <w:p w14:paraId="451491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eastAsia="黑体" w:cs="Times New Roman"/>
                <w:b w:val="0"/>
                <w:bCs w:val="0"/>
                <w:color w:val="000000" w:themeColor="text1"/>
                <w:sz w:val="24"/>
                <w:szCs w:val="24"/>
                <w:lang w:val="en-US" w:eastAsia="zh-CN"/>
                <w14:textFill>
                  <w14:solidFill>
                    <w14:schemeClr w14:val="tx1"/>
                  </w14:solidFill>
                </w14:textFill>
              </w:rPr>
              <w:t>8.3</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噪声</w:t>
            </w:r>
          </w:p>
          <w:p w14:paraId="510AB9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项目营运期噪声排放执行《工业企业厂界环境噪声排放标准》（GB12348-2008）中</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类标准限值，具体数值详见下表</w:t>
            </w:r>
            <w:r>
              <w:rPr>
                <w:rFonts w:hint="eastAsia" w:cs="Times New Roman"/>
                <w:color w:val="000000" w:themeColor="text1"/>
                <w:sz w:val="24"/>
                <w:szCs w:val="24"/>
                <w:lang w:val="en-US" w:eastAsia="zh-CN"/>
                <w14:textFill>
                  <w14:solidFill>
                    <w14:schemeClr w14:val="tx1"/>
                  </w14:solidFill>
                </w14:textFill>
              </w:rPr>
              <w:t>3-7</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45C864AE">
            <w:pPr>
              <w:shd w:val="clear" w:color="auto" w:fill="auto"/>
              <w:bidi w:val="0"/>
              <w:spacing w:line="360" w:lineRule="auto"/>
              <w:jc w:val="center"/>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表 </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 xml:space="preserve">3-7 </w:t>
            </w:r>
            <w:r>
              <w:rPr>
                <w:rFonts w:hint="default" w:ascii="Times New Roman" w:hAnsi="Times New Roman" w:eastAsia="黑体" w:cs="Times New Roman"/>
                <w:b w:val="0"/>
                <w:bCs w:val="0"/>
                <w:color w:val="000000" w:themeColor="text1"/>
                <w:sz w:val="21"/>
                <w:szCs w:val="21"/>
                <w14:textFill>
                  <w14:solidFill>
                    <w14:schemeClr w14:val="tx1"/>
                  </w14:solidFill>
                </w14:textFill>
              </w:rPr>
              <w:t>项目噪声执行标准  单位：dB（A）</w:t>
            </w:r>
          </w:p>
          <w:tbl>
            <w:tblPr>
              <w:tblStyle w:val="8"/>
              <w:tblW w:w="8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096"/>
              <w:gridCol w:w="2096"/>
              <w:gridCol w:w="2042"/>
            </w:tblGrid>
            <w:tr w14:paraId="4285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noWrap w:val="0"/>
                  <w:vAlign w:val="center"/>
                </w:tcPr>
                <w:p w14:paraId="3B3B94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时期</w:t>
                  </w:r>
                </w:p>
              </w:tc>
              <w:tc>
                <w:tcPr>
                  <w:tcW w:w="2096" w:type="dxa"/>
                  <w:noWrap w:val="0"/>
                  <w:vAlign w:val="center"/>
                </w:tcPr>
                <w:p w14:paraId="02CA19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类别</w:t>
                  </w:r>
                </w:p>
              </w:tc>
              <w:tc>
                <w:tcPr>
                  <w:tcW w:w="2096" w:type="dxa"/>
                  <w:noWrap w:val="0"/>
                  <w:vAlign w:val="center"/>
                </w:tcPr>
                <w:p w14:paraId="5391EF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昼间</w:t>
                  </w:r>
                </w:p>
              </w:tc>
              <w:tc>
                <w:tcPr>
                  <w:tcW w:w="2042" w:type="dxa"/>
                  <w:noWrap w:val="0"/>
                  <w:vAlign w:val="center"/>
                </w:tcPr>
                <w:p w14:paraId="1DFBBF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夜间</w:t>
                  </w:r>
                </w:p>
              </w:tc>
            </w:tr>
            <w:tr w14:paraId="08E9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noWrap w:val="0"/>
                  <w:vAlign w:val="center"/>
                </w:tcPr>
                <w:p w14:paraId="3410AA6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运营期</w:t>
                  </w:r>
                </w:p>
              </w:tc>
              <w:tc>
                <w:tcPr>
                  <w:tcW w:w="2096" w:type="dxa"/>
                  <w:noWrap w:val="0"/>
                  <w:vAlign w:val="center"/>
                </w:tcPr>
                <w:p w14:paraId="286083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黑体" w:cs="Times New Roman"/>
                      <w:color w:val="000000" w:themeColor="text1"/>
                      <w:sz w:val="21"/>
                      <w:szCs w:val="21"/>
                      <w14:textFill>
                        <w14:solidFill>
                          <w14:schemeClr w14:val="tx1"/>
                        </w14:solidFill>
                      </w14:textFill>
                    </w:rPr>
                    <w:t>类</w:t>
                  </w:r>
                </w:p>
              </w:tc>
              <w:tc>
                <w:tcPr>
                  <w:tcW w:w="2096" w:type="dxa"/>
                  <w:noWrap w:val="0"/>
                  <w:vAlign w:val="center"/>
                </w:tcPr>
                <w:p w14:paraId="46C3B0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65</w:t>
                  </w:r>
                </w:p>
              </w:tc>
              <w:tc>
                <w:tcPr>
                  <w:tcW w:w="2042" w:type="dxa"/>
                  <w:noWrap w:val="0"/>
                  <w:vAlign w:val="center"/>
                </w:tcPr>
                <w:p w14:paraId="23459F7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55</w:t>
                  </w:r>
                </w:p>
              </w:tc>
            </w:tr>
          </w:tbl>
          <w:p w14:paraId="0789D4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eastAsia" w:eastAsia="黑体" w:cs="Times New Roman"/>
                <w:b w:val="0"/>
                <w:bCs w:val="0"/>
                <w:color w:val="000000" w:themeColor="text1"/>
                <w:sz w:val="24"/>
                <w:szCs w:val="24"/>
                <w:lang w:val="en-US" w:eastAsia="zh-CN"/>
                <w14:textFill>
                  <w14:solidFill>
                    <w14:schemeClr w14:val="tx1"/>
                  </w14:solidFill>
                </w14:textFill>
              </w:rPr>
              <w:t>8.4</w:t>
            </w:r>
            <w:r>
              <w:rPr>
                <w:rFonts w:hint="default" w:ascii="Times New Roman" w:hAnsi="Times New Roman" w:eastAsia="黑体" w:cs="Times New Roman"/>
                <w:b w:val="0"/>
                <w:bCs w:val="0"/>
                <w:color w:val="000000" w:themeColor="text1"/>
                <w:sz w:val="24"/>
                <w:szCs w:val="24"/>
                <w14:textFill>
                  <w14:solidFill>
                    <w14:schemeClr w14:val="tx1"/>
                  </w14:solidFill>
                </w14:textFill>
              </w:rPr>
              <w:t>固体废物</w:t>
            </w:r>
          </w:p>
          <w:p w14:paraId="3613EE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一般工业固体废物执行《一般固体废物分类与代码》（GBT39198-2020）、《中华人民共和国固体废物污染环境防治法》（主席令第三十一号）（2016年修正本），采用库房或包装工具贮存，按照防渗漏、防雨淋、防扬尘等要求进行污染控制及环境管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危险废物执行《国家危险废物名录》（</w:t>
            </w:r>
            <w:r>
              <w:rPr>
                <w:rFonts w:hint="eastAsia" w:cs="Times New Roman"/>
                <w:color w:val="000000" w:themeColor="text1"/>
                <w:sz w:val="24"/>
                <w:szCs w:val="24"/>
                <w:u w:val="single"/>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年版</w:t>
            </w:r>
            <w:r>
              <w:rPr>
                <w:rFonts w:hint="default" w:ascii="Times New Roman" w:hAnsi="Times New Roman" w:eastAsia="宋体" w:cs="Times New Roman"/>
                <w:color w:val="000000" w:themeColor="text1"/>
                <w:sz w:val="24"/>
                <w:szCs w:val="24"/>
                <w:u w:val="single"/>
                <w14:textFill>
                  <w14:solidFill>
                    <w14:schemeClr w14:val="tx1"/>
                  </w14:solidFill>
                </w14:textFill>
              </w:rPr>
              <w:t>）、《危险废物贮存污染控制标准》（GB 18597</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2023），并按照《危险废物贮存污染控制标准》</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GB18597-2023</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要求进行污染控制及环境管理</w:t>
            </w:r>
            <w:r>
              <w:rPr>
                <w:rFonts w:hint="default" w:ascii="Times New Roman" w:hAnsi="Times New Roman" w:eastAsia="宋体" w:cs="Times New Roman"/>
                <w:color w:val="000000" w:themeColor="text1"/>
                <w:sz w:val="24"/>
                <w:szCs w:val="24"/>
                <w14:textFill>
                  <w14:solidFill>
                    <w14:schemeClr w14:val="tx1"/>
                  </w14:solidFill>
                </w14:textFill>
              </w:rPr>
              <w:t>。</w:t>
            </w:r>
          </w:p>
        </w:tc>
      </w:tr>
      <w:tr w14:paraId="6976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5" w:type="dxa"/>
            <w:noWrap w:val="0"/>
            <w:vAlign w:val="center"/>
          </w:tcPr>
          <w:p w14:paraId="2B97C4F7">
            <w:pPr>
              <w:spacing w:line="240" w:lineRule="auto"/>
              <w:jc w:val="center"/>
              <w:rPr>
                <w:rFonts w:hint="eastAsia" w:eastAsia="黑体"/>
                <w:b/>
                <w:bCs/>
                <w:color w:val="000000" w:themeColor="text1"/>
                <w:sz w:val="24"/>
                <w:szCs w:val="24"/>
                <w14:textFill>
                  <w14:solidFill>
                    <w14:schemeClr w14:val="tx1"/>
                  </w14:solidFill>
                </w14:textFill>
              </w:rPr>
            </w:pPr>
            <w:r>
              <w:rPr>
                <w:rFonts w:hint="eastAsia" w:eastAsia="黑体"/>
                <w:b/>
                <w:bCs/>
                <w:color w:val="000000" w:themeColor="text1"/>
                <w:sz w:val="24"/>
                <w:szCs w:val="24"/>
                <w14:textFill>
                  <w14:solidFill>
                    <w14:schemeClr w14:val="tx1"/>
                  </w14:solidFill>
                </w14:textFill>
              </w:rPr>
              <w:t>总量控制指标</w:t>
            </w:r>
          </w:p>
        </w:tc>
        <w:tc>
          <w:tcPr>
            <w:tcW w:w="8490" w:type="dxa"/>
            <w:noWrap w:val="0"/>
            <w:vAlign w:val="center"/>
          </w:tcPr>
          <w:p w14:paraId="53A59D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lang w:val="en-US" w:eastAsia="zh-CN"/>
                <w14:textFill>
                  <w14:solidFill>
                    <w14:schemeClr w14:val="tx1"/>
                  </w14:solidFill>
                </w14:textFill>
              </w:rPr>
              <w:t>9.总量控制</w:t>
            </w:r>
          </w:p>
          <w:p w14:paraId="6ED2C5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根据《主要污染物总量减排核算技术指南》（2022年修订），</w:t>
            </w:r>
            <w:r>
              <w:rPr>
                <w:rFonts w:hint="default" w:ascii="Times New Roman" w:hAnsi="Times New Roman" w:eastAsia="宋体" w:cs="Times New Roman"/>
                <w:color w:val="000000" w:themeColor="text1"/>
                <w:sz w:val="24"/>
                <w:szCs w:val="24"/>
                <w14:textFill>
                  <w14:solidFill>
                    <w14:schemeClr w14:val="tx1"/>
                  </w14:solidFill>
                </w14:textFill>
              </w:rPr>
              <w:t>要污染物是指实施总量控制的化学需氧量</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COD</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、氨氮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、氮氧化物</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NOx</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、挥发性有机物</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VOCs</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等4项污染物</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湖南省十四五生态环境保护规划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14:textFill>
                  <w14:solidFill>
                    <w14:schemeClr w14:val="tx1"/>
                  </w14:solidFill>
                </w14:textFill>
              </w:rPr>
              <w:t>《湖南省“十四五”节能减排综合工作实施方案》（湘政发〔2022〕16号）</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w:t>
            </w:r>
            <w:r>
              <w:rPr>
                <w:rFonts w:hint="default" w:ascii="Times New Roman" w:hAnsi="Times New Roman" w:eastAsia="宋体" w:cs="Times New Roman"/>
                <w:color w:val="000000" w:themeColor="text1"/>
                <w:sz w:val="24"/>
                <w:szCs w:val="24"/>
                <w14:textFill>
                  <w14:solidFill>
                    <w14:schemeClr w14:val="tx1"/>
                  </w14:solidFill>
                </w14:textFill>
              </w:rPr>
              <w:t>对四项约束性控制指标COD、NH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-N、NO</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14:textFill>
                  <w14:solidFill>
                    <w14:schemeClr w14:val="tx1"/>
                  </w14:solidFill>
                </w14:textFill>
              </w:rPr>
              <w:t>、VOCS进行管控。</w:t>
            </w:r>
          </w:p>
          <w:p w14:paraId="257F6D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lang w:val="en-US" w:eastAsia="zh-CN"/>
                <w14:textFill>
                  <w14:solidFill>
                    <w14:schemeClr w14:val="tx1"/>
                  </w14:solidFill>
                </w14:textFill>
              </w:rPr>
            </w:pPr>
            <w:r>
              <w:rPr>
                <w:rFonts w:hint="eastAsia" w:eastAsia="黑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黑体" w:cs="Times New Roman"/>
                <w:color w:val="000000" w:themeColor="text1"/>
                <w:sz w:val="24"/>
                <w:szCs w:val="24"/>
                <w:lang w:val="en-US" w:eastAsia="zh-CN"/>
                <w14:textFill>
                  <w14:solidFill>
                    <w14:schemeClr w14:val="tx1"/>
                  </w14:solidFill>
                </w14:textFill>
              </w:rPr>
              <w:t>废水</w:t>
            </w:r>
          </w:p>
          <w:p w14:paraId="4959AF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本项目不新增员工，不产生生活污水；本项目辊筒清洗废水用于油漆调配，不外排。因此项目不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需要另</w:t>
            </w:r>
            <w:r>
              <w:rPr>
                <w:rFonts w:hint="default" w:ascii="Times New Roman" w:hAnsi="Times New Roman" w:eastAsia="宋体" w:cs="Times New Roman"/>
                <w:color w:val="000000" w:themeColor="text1"/>
                <w:sz w:val="24"/>
                <w:szCs w:val="24"/>
                <w14:textFill>
                  <w14:solidFill>
                    <w14:schemeClr w14:val="tx1"/>
                  </w14:solidFill>
                </w14:textFill>
              </w:rPr>
              <w:t>设水污染总量控制指标。</w:t>
            </w:r>
          </w:p>
          <w:p w14:paraId="1F5DFE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color w:val="000000" w:themeColor="text1"/>
                <w:sz w:val="24"/>
                <w:szCs w:val="24"/>
                <w:u w:val="single"/>
                <w:lang w:val="en-US" w:eastAsia="zh-CN"/>
                <w14:textFill>
                  <w14:solidFill>
                    <w14:schemeClr w14:val="tx1"/>
                  </w14:solidFill>
                </w14:textFill>
              </w:rPr>
            </w:pPr>
            <w:r>
              <w:rPr>
                <w:rFonts w:hint="eastAsia" w:eastAsia="黑体" w:cs="Times New Roman"/>
                <w:color w:val="000000" w:themeColor="text1"/>
                <w:sz w:val="24"/>
                <w:szCs w:val="24"/>
                <w:u w:val="single"/>
                <w:lang w:val="en-US" w:eastAsia="zh-CN"/>
                <w14:textFill>
                  <w14:solidFill>
                    <w14:schemeClr w14:val="tx1"/>
                  </w14:solidFill>
                </w14:textFill>
              </w:rPr>
              <w:t>2、</w:t>
            </w:r>
            <w:r>
              <w:rPr>
                <w:rFonts w:hint="eastAsia" w:ascii="Times New Roman" w:hAnsi="Times New Roman" w:eastAsia="黑体" w:cs="Times New Roman"/>
                <w:color w:val="000000" w:themeColor="text1"/>
                <w:sz w:val="24"/>
                <w:szCs w:val="24"/>
                <w:u w:val="single"/>
                <w:lang w:val="en-US" w:eastAsia="zh-CN"/>
                <w14:textFill>
                  <w14:solidFill>
                    <w14:schemeClr w14:val="tx1"/>
                  </w14:solidFill>
                </w14:textFill>
              </w:rPr>
              <w:t>废气</w:t>
            </w:r>
          </w:p>
          <w:p w14:paraId="010783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工程分析，</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总体项目（</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扩建后</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总量控制指标如下表</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3-8所示</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w:t>
            </w:r>
          </w:p>
          <w:p w14:paraId="6FC391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表3-8 总体项目（扩建后）污染物排放总量控制一览表  单位：t/a</w:t>
            </w:r>
          </w:p>
          <w:tbl>
            <w:tblPr>
              <w:tblStyle w:val="8"/>
              <w:tblW w:w="82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284"/>
              <w:gridCol w:w="1219"/>
              <w:gridCol w:w="1157"/>
              <w:gridCol w:w="1008"/>
              <w:gridCol w:w="804"/>
              <w:gridCol w:w="1168"/>
              <w:gridCol w:w="1035"/>
            </w:tblGrid>
            <w:tr w14:paraId="211A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Align w:val="center"/>
                </w:tcPr>
                <w:p w14:paraId="23C555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项目</w:t>
                  </w:r>
                </w:p>
              </w:tc>
              <w:tc>
                <w:tcPr>
                  <w:tcW w:w="1284" w:type="dxa"/>
                  <w:vAlign w:val="center"/>
                </w:tcPr>
                <w:p w14:paraId="58B17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污染物</w:t>
                  </w:r>
                </w:p>
              </w:tc>
              <w:tc>
                <w:tcPr>
                  <w:tcW w:w="1219" w:type="dxa"/>
                  <w:vAlign w:val="center"/>
                </w:tcPr>
                <w:p w14:paraId="7ABC63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现有项目（扩建前）实际排放总量</w:t>
                  </w:r>
                </w:p>
              </w:tc>
              <w:tc>
                <w:tcPr>
                  <w:tcW w:w="1157" w:type="dxa"/>
                  <w:vAlign w:val="center"/>
                </w:tcPr>
                <w:p w14:paraId="08A1D2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现有项目（扩建前）审批排放总量</w:t>
                  </w:r>
                </w:p>
              </w:tc>
              <w:tc>
                <w:tcPr>
                  <w:tcW w:w="1008" w:type="dxa"/>
                  <w:vAlign w:val="center"/>
                </w:tcPr>
                <w:p w14:paraId="42F24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本项目（扩建项目）排放量</w:t>
                  </w:r>
                </w:p>
              </w:tc>
              <w:tc>
                <w:tcPr>
                  <w:tcW w:w="804" w:type="dxa"/>
                  <w:vAlign w:val="center"/>
                </w:tcPr>
                <w:p w14:paraId="701F5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以新带老削减量</w:t>
                  </w:r>
                </w:p>
              </w:tc>
              <w:tc>
                <w:tcPr>
                  <w:tcW w:w="1168" w:type="dxa"/>
                  <w:vAlign w:val="center"/>
                </w:tcPr>
                <w:p w14:paraId="44E09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总体项目（扩建后）全厂排放总量</w:t>
                  </w:r>
                </w:p>
              </w:tc>
              <w:tc>
                <w:tcPr>
                  <w:tcW w:w="1035" w:type="dxa"/>
                  <w:vAlign w:val="center"/>
                </w:tcPr>
                <w:p w14:paraId="2CBFA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总体项目（扩建后）排放增减量</w:t>
                  </w:r>
                </w:p>
              </w:tc>
            </w:tr>
            <w:tr w14:paraId="0EDC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tcPr>
                <w:p w14:paraId="14658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大气</w:t>
                  </w:r>
                </w:p>
              </w:tc>
              <w:tc>
                <w:tcPr>
                  <w:tcW w:w="1284" w:type="dxa"/>
                </w:tcPr>
                <w:p w14:paraId="470E68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非甲烷总烃</w:t>
                  </w:r>
                </w:p>
              </w:tc>
              <w:tc>
                <w:tcPr>
                  <w:tcW w:w="1219" w:type="dxa"/>
                </w:tcPr>
                <w:p w14:paraId="6B8902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c>
                <w:tcPr>
                  <w:tcW w:w="1157" w:type="dxa"/>
                </w:tcPr>
                <w:p w14:paraId="4D7C43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c>
                <w:tcPr>
                  <w:tcW w:w="1008" w:type="dxa"/>
                </w:tcPr>
                <w:p w14:paraId="0AFE6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0.049</w:t>
                  </w:r>
                </w:p>
              </w:tc>
              <w:tc>
                <w:tcPr>
                  <w:tcW w:w="804" w:type="dxa"/>
                </w:tcPr>
                <w:p w14:paraId="5B463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c>
                <w:tcPr>
                  <w:tcW w:w="1168" w:type="dxa"/>
                  <w:vAlign w:val="top"/>
                </w:tcPr>
                <w:p w14:paraId="7661CC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0.049</w:t>
                  </w:r>
                </w:p>
              </w:tc>
              <w:tc>
                <w:tcPr>
                  <w:tcW w:w="1035" w:type="dxa"/>
                  <w:vAlign w:val="top"/>
                </w:tcPr>
                <w:p w14:paraId="455098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+0.049</w:t>
                  </w:r>
                </w:p>
              </w:tc>
            </w:tr>
            <w:tr w14:paraId="7D3A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Pr>
                <w:p w14:paraId="57971A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14:textFill>
                        <w14:solidFill>
                          <w14:schemeClr w14:val="tx1"/>
                        </w14:solidFill>
                      </w14:textFill>
                    </w:rPr>
                  </w:pPr>
                </w:p>
              </w:tc>
              <w:tc>
                <w:tcPr>
                  <w:tcW w:w="1284" w:type="dxa"/>
                </w:tcPr>
                <w:p w14:paraId="0CE14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二甲苯</w:t>
                  </w:r>
                </w:p>
              </w:tc>
              <w:tc>
                <w:tcPr>
                  <w:tcW w:w="1219" w:type="dxa"/>
                </w:tcPr>
                <w:p w14:paraId="0DD60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c>
                <w:tcPr>
                  <w:tcW w:w="1157" w:type="dxa"/>
                </w:tcPr>
                <w:p w14:paraId="217DD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c>
                <w:tcPr>
                  <w:tcW w:w="1008" w:type="dxa"/>
                </w:tcPr>
                <w:p w14:paraId="02B22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0.063</w:t>
                  </w:r>
                </w:p>
              </w:tc>
              <w:tc>
                <w:tcPr>
                  <w:tcW w:w="804" w:type="dxa"/>
                </w:tcPr>
                <w:p w14:paraId="491A22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w:t>
                  </w:r>
                </w:p>
              </w:tc>
              <w:tc>
                <w:tcPr>
                  <w:tcW w:w="1168" w:type="dxa"/>
                  <w:vAlign w:val="top"/>
                </w:tcPr>
                <w:p w14:paraId="17CD66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0.063</w:t>
                  </w:r>
                </w:p>
              </w:tc>
              <w:tc>
                <w:tcPr>
                  <w:tcW w:w="1035" w:type="dxa"/>
                  <w:vAlign w:val="top"/>
                </w:tcPr>
                <w:p w14:paraId="08A18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vertAlign w:val="baseline"/>
                      <w:lang w:val="en-US" w:eastAsia="zh-CN"/>
                      <w14:textFill>
                        <w14:solidFill>
                          <w14:schemeClr w14:val="tx1"/>
                        </w14:solidFill>
                      </w14:textFill>
                    </w:rPr>
                    <w:t>+0.063</w:t>
                  </w:r>
                </w:p>
              </w:tc>
            </w:tr>
          </w:tbl>
          <w:p w14:paraId="752B0C7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p>
          <w:p w14:paraId="1EEE37E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0815636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35BC204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47A54F9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3C0A6DC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2CCF298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0E0B82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554F2C8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ADFFCE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4B1B474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6646CB6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6B606CB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4AEA0B5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0286F6C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7C5A645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607CF65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366C5A5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56E56A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7C4248F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tc>
      </w:tr>
    </w:tbl>
    <w:p w14:paraId="4DA16AAE">
      <w:pPr>
        <w:jc w:val="both"/>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1F4B6770">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color w:val="000000" w:themeColor="text1"/>
          <w:sz w:val="28"/>
          <w:szCs w:val="28"/>
          <w:lang w:val="en-US" w:eastAsia="zh-CN"/>
          <w14:textFill>
            <w14:solidFill>
              <w14:schemeClr w14:val="tx1"/>
            </w14:solidFill>
          </w14:textFill>
        </w:rPr>
      </w:pPr>
      <w:bookmarkStart w:id="21" w:name="_Toc20631"/>
      <w:bookmarkStart w:id="22" w:name="_Toc28483"/>
      <w:bookmarkStart w:id="23" w:name="_Toc8979"/>
      <w:r>
        <w:rPr>
          <w:rFonts w:hint="default" w:ascii="Times New Roman" w:hAnsi="Times New Roman" w:eastAsia="黑体" w:cs="Times New Roman"/>
          <w:color w:val="000000" w:themeColor="text1"/>
          <w:sz w:val="28"/>
          <w:szCs w:val="28"/>
          <w:lang w:val="en-US" w:eastAsia="zh-CN"/>
          <w14:textFill>
            <w14:solidFill>
              <w14:schemeClr w14:val="tx1"/>
            </w14:solidFill>
          </w14:textFill>
        </w:rPr>
        <w:t>四、主要环境影响和保护措施</w:t>
      </w:r>
      <w:bookmarkEnd w:id="21"/>
      <w:bookmarkEnd w:id="22"/>
      <w:bookmarkEnd w:id="23"/>
    </w:p>
    <w:tbl>
      <w:tblPr>
        <w:tblStyle w:val="8"/>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8517"/>
      </w:tblGrid>
      <w:tr w14:paraId="1CA6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14:paraId="2EC381C5">
            <w:pPr>
              <w:spacing w:line="240" w:lineRule="auto"/>
              <w:ind w:firstLine="0" w:firstLineChars="0"/>
              <w:jc w:val="center"/>
              <w:rPr>
                <w:color w:val="000000" w:themeColor="text1"/>
                <w:vertAlign w:val="baseline"/>
                <w14:textFill>
                  <w14:solidFill>
                    <w14:schemeClr w14:val="tx1"/>
                  </w14:solidFill>
                </w14:textFill>
              </w:rPr>
            </w:pPr>
            <w:r>
              <w:rPr>
                <w:rFonts w:hint="default" w:ascii="Times New Roman" w:hAnsi="Times New Roman" w:eastAsia="黑体" w:cs="Times New Roman"/>
                <w:b/>
                <w:bCs/>
                <w:color w:val="000000" w:themeColor="text1"/>
                <w:sz w:val="24"/>
                <w:szCs w:val="24"/>
                <w:vertAlign w:val="baseline"/>
                <w:lang w:val="en-US" w:eastAsia="zh-CN"/>
                <w14:textFill>
                  <w14:solidFill>
                    <w14:schemeClr w14:val="tx1"/>
                  </w14:solidFill>
                </w14:textFill>
              </w:rPr>
              <w:t>施工期环境影响和保护措施</w:t>
            </w:r>
          </w:p>
        </w:tc>
        <w:tc>
          <w:tcPr>
            <w:tcW w:w="8517" w:type="dxa"/>
            <w:vAlign w:val="center"/>
          </w:tcPr>
          <w:p w14:paraId="580B9B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themeColor="text1"/>
                <w:vertAlign w:val="baseline"/>
                <w14:textFill>
                  <w14:solidFill>
                    <w14:schemeClr w14:val="tx1"/>
                  </w14:solidFill>
                </w14:textFill>
              </w:rPr>
            </w:pPr>
            <w:r>
              <w:rPr>
                <w:rFonts w:hint="eastAsia"/>
                <w:color w:val="000000" w:themeColor="text1"/>
                <w:vertAlign w:val="baseline"/>
                <w14:textFill>
                  <w14:solidFill>
                    <w14:schemeClr w14:val="tx1"/>
                  </w14:solidFill>
                </w14:textFill>
              </w:rPr>
              <w:t>本项目依托现有项目厂区的1号车间进行建设，不新增用地，不涉及土建工程。只需要进行相应的机械设备安装和调试，设备安装主要是人工作业，无大型机械入内，施工期基本无废水、废气、固废产生，机械噪音较小，可忽略，所以施工期间基本无污染工序。</w:t>
            </w:r>
          </w:p>
        </w:tc>
      </w:tr>
      <w:tr w14:paraId="77E2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14:paraId="19FD2DAA">
            <w:pPr>
              <w:spacing w:line="240" w:lineRule="auto"/>
              <w:ind w:firstLine="0" w:firstLineChars="0"/>
              <w:jc w:val="center"/>
              <w:rPr>
                <w:color w:val="000000" w:themeColor="text1"/>
                <w:vertAlign w:val="baseline"/>
                <w14:textFill>
                  <w14:solidFill>
                    <w14:schemeClr w14:val="tx1"/>
                  </w14:solidFill>
                </w14:textFill>
              </w:rPr>
            </w:pPr>
            <w:r>
              <w:rPr>
                <w:rFonts w:hint="default" w:ascii="Times New Roman" w:hAnsi="Times New Roman" w:eastAsia="黑体" w:cs="Times New Roman"/>
                <w:b/>
                <w:bCs/>
                <w:color w:val="000000" w:themeColor="text1"/>
                <w:sz w:val="24"/>
                <w:szCs w:val="24"/>
                <w:vertAlign w:val="baseline"/>
                <w:lang w:val="en-US" w:eastAsia="zh-CN"/>
                <w14:textFill>
                  <w14:solidFill>
                    <w14:schemeClr w14:val="tx1"/>
                  </w14:solidFill>
                </w14:textFill>
              </w:rPr>
              <w:t>运营期环境影响和保护措施</w:t>
            </w:r>
          </w:p>
        </w:tc>
        <w:tc>
          <w:tcPr>
            <w:tcW w:w="8517" w:type="dxa"/>
          </w:tcPr>
          <w:p w14:paraId="7977A5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废水</w:t>
            </w:r>
          </w:p>
          <w:p w14:paraId="3CB04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none"/>
                <w:lang w:val="en-US" w:eastAsia="zh-CN"/>
                <w14:textFill>
                  <w14:solidFill>
                    <w14:schemeClr w14:val="tx1"/>
                  </w14:solidFill>
                </w14:textFill>
              </w:rPr>
            </w:pPr>
            <w:r>
              <w:rPr>
                <w:rFonts w:hint="eastAsia" w:eastAsia="黑体" w:cs="Times New Roman"/>
                <w:b w:val="0"/>
                <w:bCs w:val="0"/>
                <w:color w:val="000000" w:themeColor="text1"/>
                <w:sz w:val="24"/>
                <w:szCs w:val="24"/>
                <w:u w:val="none"/>
                <w:lang w:val="en-US" w:eastAsia="zh-CN"/>
                <w14:textFill>
                  <w14:solidFill>
                    <w14:schemeClr w14:val="tx1"/>
                  </w14:solidFill>
                </w14:textFill>
              </w:rPr>
              <w:t>1.1</w:t>
            </w:r>
            <w:r>
              <w:rPr>
                <w:rFonts w:hint="default" w:ascii="Times New Roman" w:hAnsi="Times New Roman" w:eastAsia="黑体" w:cs="Times New Roman"/>
                <w:b w:val="0"/>
                <w:bCs w:val="0"/>
                <w:color w:val="000000" w:themeColor="text1"/>
                <w:sz w:val="24"/>
                <w:szCs w:val="24"/>
                <w:u w:val="none"/>
                <w:lang w:val="en-US" w:eastAsia="zh-CN"/>
                <w14:textFill>
                  <w14:solidFill>
                    <w14:schemeClr w14:val="tx1"/>
                  </w14:solidFill>
                </w14:textFill>
              </w:rPr>
              <w:t>生活污水</w:t>
            </w:r>
          </w:p>
          <w:p w14:paraId="49A5AC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00" w:themeColor="text1"/>
                <w:sz w:val="24"/>
                <w:szCs w:val="24"/>
                <w:u w:val="none"/>
                <w:lang w:val="en-US" w:eastAsia="zh-CN"/>
                <w14:textFill>
                  <w14:solidFill>
                    <w14:schemeClr w14:val="tx1"/>
                  </w14:solidFill>
                </w14:textFill>
              </w:rPr>
            </w:pPr>
            <w:r>
              <w:rPr>
                <w:rFonts w:hint="eastAsia" w:cs="Times New Roman"/>
                <w:b w:val="0"/>
                <w:bCs w:val="0"/>
                <w:color w:val="000000" w:themeColor="text1"/>
                <w:sz w:val="24"/>
                <w:szCs w:val="24"/>
                <w:u w:val="none"/>
                <w:lang w:val="en-US" w:eastAsia="zh-CN"/>
                <w14:textFill>
                  <w14:solidFill>
                    <w14:schemeClr w14:val="tx1"/>
                  </w14:solidFill>
                </w14:textFill>
              </w:rPr>
              <w:t>本项目不新增员工，不产生生活污水；</w:t>
            </w:r>
          </w:p>
          <w:p w14:paraId="71258B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none"/>
                <w:lang w:val="en-US" w:eastAsia="zh-CN"/>
                <w14:textFill>
                  <w14:solidFill>
                    <w14:schemeClr w14:val="tx1"/>
                  </w14:solidFill>
                </w14:textFill>
              </w:rPr>
            </w:pPr>
            <w:r>
              <w:rPr>
                <w:rFonts w:hint="eastAsia" w:eastAsia="黑体" w:cs="Times New Roman"/>
                <w:b w:val="0"/>
                <w:bCs w:val="0"/>
                <w:color w:val="000000" w:themeColor="text1"/>
                <w:sz w:val="24"/>
                <w:szCs w:val="24"/>
                <w:u w:val="none"/>
                <w:lang w:val="en-US" w:eastAsia="zh-CN"/>
                <w14:textFill>
                  <w14:solidFill>
                    <w14:schemeClr w14:val="tx1"/>
                  </w14:solidFill>
                </w14:textFill>
              </w:rPr>
              <w:t>1.2辊筒</w:t>
            </w:r>
            <w:r>
              <w:rPr>
                <w:rFonts w:hint="default" w:ascii="Times New Roman" w:hAnsi="Times New Roman" w:eastAsia="黑体" w:cs="Times New Roman"/>
                <w:b w:val="0"/>
                <w:bCs w:val="0"/>
                <w:color w:val="000000" w:themeColor="text1"/>
                <w:sz w:val="24"/>
                <w:szCs w:val="24"/>
                <w:u w:val="none"/>
                <w:lang w:val="en-US" w:eastAsia="zh-CN"/>
                <w14:textFill>
                  <w14:solidFill>
                    <w14:schemeClr w14:val="tx1"/>
                  </w14:solidFill>
                </w14:textFill>
              </w:rPr>
              <w:t>清洗废水</w:t>
            </w:r>
          </w:p>
          <w:p w14:paraId="0A1128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00" w:themeColor="text1"/>
                <w:sz w:val="24"/>
                <w:szCs w:val="24"/>
                <w:u w:val="single"/>
                <w:lang w:val="en-US" w:eastAsia="zh-CN"/>
                <w14:textFill>
                  <w14:solidFill>
                    <w14:schemeClr w14:val="tx1"/>
                  </w14:solidFill>
                </w14:textFill>
              </w:rPr>
            </w:pPr>
            <w:r>
              <w:rPr>
                <w:rFonts w:hint="eastAsia" w:cs="Times New Roman"/>
                <w:b w:val="0"/>
                <w:bCs w:val="0"/>
                <w:color w:val="000000" w:themeColor="text1"/>
                <w:sz w:val="24"/>
                <w:szCs w:val="24"/>
                <w:u w:val="single"/>
                <w:lang w:val="en-US" w:eastAsia="zh-CN"/>
                <w14:textFill>
                  <w14:solidFill>
                    <w14:schemeClr w14:val="tx1"/>
                  </w14:solidFill>
                </w14:textFill>
              </w:rPr>
              <w:t>本项目辊筒清洗废水用于油漆调配，不外排；</w:t>
            </w:r>
          </w:p>
          <w:p w14:paraId="4ECB69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2.废气</w:t>
            </w:r>
          </w:p>
          <w:p w14:paraId="018C68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cs="Times New Roman"/>
                <w:b w:val="0"/>
                <w:bCs w:val="0"/>
                <w:color w:val="000000" w:themeColor="text1"/>
                <w:sz w:val="24"/>
                <w:szCs w:val="24"/>
                <w:vertAlign w:val="baseline"/>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w:t>
            </w:r>
            <w:r>
              <w:rPr>
                <w:rFonts w:hint="eastAsia" w:cs="Times New Roman"/>
                <w:b w:val="0"/>
                <w:bCs w:val="0"/>
                <w:color w:val="000000" w:themeColor="text1"/>
                <w:sz w:val="24"/>
                <w:szCs w:val="24"/>
                <w:vertAlign w:val="baseline"/>
                <w:lang w:val="en-US" w:eastAsia="zh-CN"/>
                <w14:textFill>
                  <w14:solidFill>
                    <w14:schemeClr w14:val="tx1"/>
                  </w14:solidFill>
                </w14:textFill>
              </w:rPr>
              <w:t>上</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漆、晾干过程会产生有机废气，主要污染物为</w:t>
            </w:r>
            <w:r>
              <w:rPr>
                <w:rFonts w:hint="eastAsia" w:cs="Times New Roman"/>
                <w:b w:val="0"/>
                <w:bCs w:val="0"/>
                <w:color w:val="000000" w:themeColor="text1"/>
                <w:sz w:val="24"/>
                <w:szCs w:val="24"/>
                <w:vertAlign w:val="baseline"/>
                <w:lang w:val="en-US" w:eastAsia="zh-CN"/>
                <w14:textFill>
                  <w14:solidFill>
                    <w14:schemeClr w14:val="tx1"/>
                  </w14:solidFill>
                </w14:textFill>
              </w:rPr>
              <w:t>非甲烷总烃计</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、二甲苯。</w:t>
            </w:r>
            <w:r>
              <w:rPr>
                <w:rFonts w:hint="eastAsia" w:cs="Times New Roman"/>
                <w:b w:val="0"/>
                <w:bCs w:val="0"/>
                <w:color w:val="000000" w:themeColor="text1"/>
                <w:sz w:val="24"/>
                <w:szCs w:val="24"/>
                <w:vertAlign w:val="baseline"/>
                <w:lang w:val="en-US" w:eastAsia="zh-CN"/>
                <w14:textFill>
                  <w14:solidFill>
                    <w14:schemeClr w14:val="tx1"/>
                  </w14:solidFill>
                </w14:textFill>
              </w:rPr>
              <w:t>上</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漆前调漆过程、喷漆后洗</w:t>
            </w:r>
            <w:r>
              <w:rPr>
                <w:rFonts w:hint="eastAsia" w:cs="Times New Roman"/>
                <w:b w:val="0"/>
                <w:bCs w:val="0"/>
                <w:color w:val="000000" w:themeColor="text1"/>
                <w:sz w:val="24"/>
                <w:szCs w:val="24"/>
                <w:vertAlign w:val="baseline"/>
                <w:lang w:val="en-US" w:eastAsia="zh-CN"/>
                <w14:textFill>
                  <w14:solidFill>
                    <w14:schemeClr w14:val="tx1"/>
                  </w14:solidFill>
                </w14:textFill>
              </w:rPr>
              <w:t>辊筒</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过程均在</w:t>
            </w:r>
            <w:r>
              <w:rPr>
                <w:rFonts w:hint="eastAsia" w:cs="Times New Roman"/>
                <w:b w:val="0"/>
                <w:bCs w:val="0"/>
                <w:color w:val="000000" w:themeColor="text1"/>
                <w:sz w:val="24"/>
                <w:szCs w:val="24"/>
                <w:vertAlign w:val="baseline"/>
                <w:lang w:val="en-US" w:eastAsia="zh-CN"/>
                <w14:textFill>
                  <w14:solidFill>
                    <w14:schemeClr w14:val="tx1"/>
                  </w14:solidFill>
                </w14:textFill>
              </w:rPr>
              <w:t>上</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漆房内完成，该过程均会产生有机废气，该过程时间较短，有机废气挥发量较少，产生废气与</w:t>
            </w:r>
            <w:r>
              <w:rPr>
                <w:rFonts w:hint="eastAsia" w:cs="Times New Roman"/>
                <w:b w:val="0"/>
                <w:bCs w:val="0"/>
                <w:color w:val="000000" w:themeColor="text1"/>
                <w:sz w:val="24"/>
                <w:szCs w:val="24"/>
                <w:vertAlign w:val="baseline"/>
                <w:lang w:val="en-US" w:eastAsia="zh-CN"/>
                <w14:textFill>
                  <w14:solidFill>
                    <w14:schemeClr w14:val="tx1"/>
                  </w14:solidFill>
                </w14:textFill>
              </w:rPr>
              <w:t>上漆、晾干</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废气一并收集处理，故调漆、</w:t>
            </w:r>
            <w:r>
              <w:rPr>
                <w:rFonts w:hint="eastAsia" w:cs="Times New Roman"/>
                <w:b w:val="0"/>
                <w:bCs w:val="0"/>
                <w:color w:val="000000" w:themeColor="text1"/>
                <w:sz w:val="24"/>
                <w:szCs w:val="24"/>
                <w:vertAlign w:val="baseline"/>
                <w:lang w:val="en-US" w:eastAsia="zh-CN"/>
                <w14:textFill>
                  <w14:solidFill>
                    <w14:schemeClr w14:val="tx1"/>
                  </w14:solidFill>
                </w14:textFill>
              </w:rPr>
              <w:t>清洗</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过程产生废气并入</w:t>
            </w:r>
            <w:r>
              <w:rPr>
                <w:rFonts w:hint="eastAsia" w:cs="Times New Roman"/>
                <w:b w:val="0"/>
                <w:bCs w:val="0"/>
                <w:color w:val="000000" w:themeColor="text1"/>
                <w:sz w:val="24"/>
                <w:szCs w:val="24"/>
                <w:vertAlign w:val="baseline"/>
                <w:lang w:val="en-US" w:eastAsia="zh-CN"/>
                <w14:textFill>
                  <w14:solidFill>
                    <w14:schemeClr w14:val="tx1"/>
                  </w14:solidFill>
                </w14:textFill>
              </w:rPr>
              <w:t>上漆、晾干</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废气中计算，不另外核算。</w:t>
            </w:r>
          </w:p>
          <w:p w14:paraId="76E026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2.</w:t>
            </w:r>
            <w:r>
              <w:rPr>
                <w:rFonts w:hint="eastAsia"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废气</w:t>
            </w:r>
            <w:r>
              <w:rPr>
                <w:rFonts w:hint="eastAsia"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产污环节、污染物项目、排放形式及污染防治措施</w:t>
            </w:r>
          </w:p>
          <w:p w14:paraId="0800C8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本项目废气产污环节、污染物项目、排放形式及污染防治设施一览表详见下表4-1。</w:t>
            </w:r>
          </w:p>
          <w:p w14:paraId="7FA979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本项目废气污染物产排</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污</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情况</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详见下表4-2</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18585684">
            <w:pPr>
              <w:spacing w:line="240" w:lineRule="auto"/>
              <w:jc w:val="both"/>
              <w:rPr>
                <w:color w:val="000000" w:themeColor="text1"/>
                <w:vertAlign w:val="baseline"/>
                <w14:textFill>
                  <w14:solidFill>
                    <w14:schemeClr w14:val="tx1"/>
                  </w14:solidFill>
                </w14:textFill>
              </w:rPr>
            </w:pPr>
          </w:p>
          <w:p w14:paraId="61551812">
            <w:pPr>
              <w:spacing w:line="240" w:lineRule="auto"/>
              <w:jc w:val="both"/>
              <w:rPr>
                <w:color w:val="000000" w:themeColor="text1"/>
                <w:vertAlign w:val="baseline"/>
                <w14:textFill>
                  <w14:solidFill>
                    <w14:schemeClr w14:val="tx1"/>
                  </w14:solidFill>
                </w14:textFill>
              </w:rPr>
            </w:pPr>
          </w:p>
          <w:p w14:paraId="22E4C832">
            <w:pPr>
              <w:spacing w:line="240" w:lineRule="auto"/>
              <w:jc w:val="both"/>
              <w:rPr>
                <w:color w:val="000000" w:themeColor="text1"/>
                <w:vertAlign w:val="baseline"/>
                <w14:textFill>
                  <w14:solidFill>
                    <w14:schemeClr w14:val="tx1"/>
                  </w14:solidFill>
                </w14:textFill>
              </w:rPr>
            </w:pPr>
          </w:p>
          <w:p w14:paraId="37D1709D">
            <w:pPr>
              <w:spacing w:line="240" w:lineRule="auto"/>
              <w:jc w:val="both"/>
              <w:rPr>
                <w:color w:val="000000" w:themeColor="text1"/>
                <w:vertAlign w:val="baseline"/>
                <w14:textFill>
                  <w14:solidFill>
                    <w14:schemeClr w14:val="tx1"/>
                  </w14:solidFill>
                </w14:textFill>
              </w:rPr>
            </w:pPr>
          </w:p>
          <w:p w14:paraId="754A49DB">
            <w:pPr>
              <w:spacing w:line="240" w:lineRule="auto"/>
              <w:jc w:val="both"/>
              <w:rPr>
                <w:color w:val="000000" w:themeColor="text1"/>
                <w:vertAlign w:val="baseline"/>
                <w14:textFill>
                  <w14:solidFill>
                    <w14:schemeClr w14:val="tx1"/>
                  </w14:solidFill>
                </w14:textFill>
              </w:rPr>
            </w:pPr>
          </w:p>
          <w:p w14:paraId="664B2AD6">
            <w:pPr>
              <w:bidi w:val="0"/>
              <w:rPr>
                <w:color w:val="000000" w:themeColor="text1"/>
                <w14:textFill>
                  <w14:solidFill>
                    <w14:schemeClr w14:val="tx1"/>
                  </w14:solidFill>
                </w14:textFill>
              </w:rPr>
            </w:pPr>
          </w:p>
        </w:tc>
      </w:tr>
    </w:tbl>
    <w:p w14:paraId="07583B7B">
      <w:pPr>
        <w:jc w:val="both"/>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tbl>
      <w:tblPr>
        <w:tblStyle w:val="8"/>
        <w:tblW w:w="14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4027"/>
      </w:tblGrid>
      <w:tr w14:paraId="2921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vAlign w:val="center"/>
          </w:tcPr>
          <w:p w14:paraId="6411D7BF">
            <w:pPr>
              <w:spacing w:line="240" w:lineRule="auto"/>
              <w:jc w:val="center"/>
              <w:rPr>
                <w:color w:val="000000" w:themeColor="text1"/>
                <w:vertAlign w:val="baseline"/>
                <w14:textFill>
                  <w14:solidFill>
                    <w14:schemeClr w14:val="tx1"/>
                  </w14:solidFill>
                </w14:textFill>
              </w:rPr>
            </w:pPr>
            <w:r>
              <w:rPr>
                <w:rFonts w:hint="default" w:ascii="Times New Roman" w:hAnsi="Times New Roman" w:eastAsia="黑体" w:cs="Times New Roman"/>
                <w:b/>
                <w:bCs/>
                <w:color w:val="000000" w:themeColor="text1"/>
                <w:sz w:val="24"/>
                <w:szCs w:val="24"/>
                <w:vertAlign w:val="baseline"/>
                <w:lang w:val="en-US" w:eastAsia="zh-CN"/>
                <w14:textFill>
                  <w14:solidFill>
                    <w14:schemeClr w14:val="tx1"/>
                  </w14:solidFill>
                </w14:textFill>
              </w:rPr>
              <w:t>运营期环境影响和保护措施</w:t>
            </w:r>
          </w:p>
        </w:tc>
        <w:tc>
          <w:tcPr>
            <w:tcW w:w="14027" w:type="dxa"/>
          </w:tcPr>
          <w:p w14:paraId="0066CD15">
            <w:pPr>
              <w:spacing w:line="360" w:lineRule="auto"/>
              <w:jc w:val="cente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4-1 项目废气产污环节、污染物项目、排放形式及污染防治措施情况一览表</w:t>
            </w:r>
          </w:p>
          <w:tbl>
            <w:tblPr>
              <w:tblStyle w:val="8"/>
              <w:tblW w:w="13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962"/>
              <w:gridCol w:w="1284"/>
              <w:gridCol w:w="1092"/>
              <w:gridCol w:w="894"/>
              <w:gridCol w:w="1340"/>
              <w:gridCol w:w="776"/>
              <w:gridCol w:w="1058"/>
              <w:gridCol w:w="1058"/>
              <w:gridCol w:w="1059"/>
              <w:gridCol w:w="1059"/>
              <w:gridCol w:w="1059"/>
              <w:gridCol w:w="1059"/>
            </w:tblGrid>
            <w:tr w14:paraId="344B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restart"/>
                  <w:vAlign w:val="center"/>
                </w:tcPr>
                <w:p w14:paraId="1E239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产污设施名称</w:t>
                  </w:r>
                </w:p>
              </w:tc>
              <w:tc>
                <w:tcPr>
                  <w:tcW w:w="962" w:type="dxa"/>
                  <w:vMerge w:val="restart"/>
                  <w:vAlign w:val="center"/>
                </w:tcPr>
                <w:p w14:paraId="473B5D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产污环节名称</w:t>
                  </w:r>
                </w:p>
              </w:tc>
              <w:tc>
                <w:tcPr>
                  <w:tcW w:w="1284" w:type="dxa"/>
                  <w:vMerge w:val="restart"/>
                  <w:vAlign w:val="center"/>
                </w:tcPr>
                <w:p w14:paraId="2AC4A3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污染物</w:t>
                  </w:r>
                </w:p>
                <w:p w14:paraId="3081B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种类</w:t>
                  </w:r>
                </w:p>
              </w:tc>
              <w:tc>
                <w:tcPr>
                  <w:tcW w:w="1092" w:type="dxa"/>
                  <w:vMerge w:val="restart"/>
                  <w:vAlign w:val="center"/>
                </w:tcPr>
                <w:p w14:paraId="01388D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排放形式</w:t>
                  </w:r>
                </w:p>
              </w:tc>
              <w:tc>
                <w:tcPr>
                  <w:tcW w:w="5126" w:type="dxa"/>
                  <w:gridSpan w:val="5"/>
                  <w:vAlign w:val="center"/>
                </w:tcPr>
                <w:p w14:paraId="2E15A5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污染物治理设施</w:t>
                  </w:r>
                </w:p>
              </w:tc>
              <w:tc>
                <w:tcPr>
                  <w:tcW w:w="1059" w:type="dxa"/>
                  <w:vMerge w:val="restart"/>
                  <w:vAlign w:val="center"/>
                </w:tcPr>
                <w:p w14:paraId="52555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有组织排放口编号</w:t>
                  </w:r>
                </w:p>
              </w:tc>
              <w:tc>
                <w:tcPr>
                  <w:tcW w:w="1059" w:type="dxa"/>
                  <w:vMerge w:val="restart"/>
                  <w:vAlign w:val="center"/>
                </w:tcPr>
                <w:p w14:paraId="483B4B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有组织排放口名称</w:t>
                  </w:r>
                </w:p>
              </w:tc>
              <w:tc>
                <w:tcPr>
                  <w:tcW w:w="1059" w:type="dxa"/>
                  <w:vMerge w:val="restart"/>
                  <w:vAlign w:val="center"/>
                </w:tcPr>
                <w:p w14:paraId="5E088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排放口设置是否符合要求</w:t>
                  </w:r>
                </w:p>
              </w:tc>
              <w:tc>
                <w:tcPr>
                  <w:tcW w:w="1059" w:type="dxa"/>
                  <w:vMerge w:val="restart"/>
                  <w:vAlign w:val="center"/>
                </w:tcPr>
                <w:p w14:paraId="536010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排放口</w:t>
                  </w:r>
                </w:p>
                <w:p w14:paraId="7D5F9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类型</w:t>
                  </w:r>
                </w:p>
              </w:tc>
            </w:tr>
            <w:tr w14:paraId="4A02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58" w:type="dxa"/>
                  <w:vMerge w:val="continue"/>
                  <w:vAlign w:val="center"/>
                </w:tcPr>
                <w:p w14:paraId="0C9B8E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62" w:type="dxa"/>
                  <w:vMerge w:val="continue"/>
                  <w:vAlign w:val="center"/>
                </w:tcPr>
                <w:p w14:paraId="52F87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284" w:type="dxa"/>
                  <w:vMerge w:val="continue"/>
                  <w:vAlign w:val="center"/>
                </w:tcPr>
                <w:p w14:paraId="39EA67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92" w:type="dxa"/>
                  <w:vMerge w:val="continue"/>
                  <w:vAlign w:val="center"/>
                </w:tcPr>
                <w:p w14:paraId="2B2592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894" w:type="dxa"/>
                  <w:vAlign w:val="center"/>
                </w:tcPr>
                <w:p w14:paraId="6FF2BF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编号</w:t>
                  </w:r>
                </w:p>
              </w:tc>
              <w:tc>
                <w:tcPr>
                  <w:tcW w:w="1340" w:type="dxa"/>
                  <w:vAlign w:val="center"/>
                </w:tcPr>
                <w:p w14:paraId="2F25DD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名称</w:t>
                  </w:r>
                </w:p>
              </w:tc>
              <w:tc>
                <w:tcPr>
                  <w:tcW w:w="776" w:type="dxa"/>
                  <w:vAlign w:val="center"/>
                </w:tcPr>
                <w:p w14:paraId="001BA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工艺</w:t>
                  </w:r>
                </w:p>
              </w:tc>
              <w:tc>
                <w:tcPr>
                  <w:tcW w:w="1058" w:type="dxa"/>
                  <w:vAlign w:val="center"/>
                </w:tcPr>
                <w:p w14:paraId="193D90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是否可行性技术</w:t>
                  </w:r>
                </w:p>
              </w:tc>
              <w:tc>
                <w:tcPr>
                  <w:tcW w:w="1058" w:type="dxa"/>
                  <w:vAlign w:val="center"/>
                </w:tcPr>
                <w:p w14:paraId="21E877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处理效率</w:t>
                  </w:r>
                </w:p>
              </w:tc>
              <w:tc>
                <w:tcPr>
                  <w:tcW w:w="1059" w:type="dxa"/>
                  <w:vMerge w:val="continue"/>
                  <w:vAlign w:val="center"/>
                </w:tcPr>
                <w:p w14:paraId="54EB9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9" w:type="dxa"/>
                  <w:vMerge w:val="continue"/>
                  <w:vAlign w:val="center"/>
                </w:tcPr>
                <w:p w14:paraId="51C13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9" w:type="dxa"/>
                  <w:vMerge w:val="continue"/>
                  <w:vAlign w:val="center"/>
                </w:tcPr>
                <w:p w14:paraId="54C86B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9" w:type="dxa"/>
                  <w:vMerge w:val="continue"/>
                  <w:vAlign w:val="center"/>
                </w:tcPr>
                <w:p w14:paraId="0480CA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r>
            <w:tr w14:paraId="4EAC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58" w:type="dxa"/>
                  <w:vMerge w:val="restart"/>
                  <w:vAlign w:val="center"/>
                </w:tcPr>
                <w:p w14:paraId="7D020C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上漆房</w:t>
                  </w:r>
                </w:p>
              </w:tc>
              <w:tc>
                <w:tcPr>
                  <w:tcW w:w="962" w:type="dxa"/>
                  <w:vMerge w:val="restart"/>
                  <w:vAlign w:val="center"/>
                </w:tcPr>
                <w:p w14:paraId="04C18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调漆、上漆、晾干</w:t>
                  </w:r>
                </w:p>
              </w:tc>
              <w:tc>
                <w:tcPr>
                  <w:tcW w:w="1284" w:type="dxa"/>
                  <w:vAlign w:val="center"/>
                </w:tcPr>
                <w:p w14:paraId="733EC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非甲烷总烃</w:t>
                  </w:r>
                </w:p>
              </w:tc>
              <w:tc>
                <w:tcPr>
                  <w:tcW w:w="1092" w:type="dxa"/>
                  <w:vMerge w:val="restart"/>
                  <w:vAlign w:val="center"/>
                </w:tcPr>
                <w:p w14:paraId="3DBC7C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有组织</w:t>
                  </w:r>
                </w:p>
              </w:tc>
              <w:tc>
                <w:tcPr>
                  <w:tcW w:w="894" w:type="dxa"/>
                  <w:vMerge w:val="restart"/>
                  <w:vAlign w:val="center"/>
                </w:tcPr>
                <w:p w14:paraId="04655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DA001</w:t>
                  </w:r>
                </w:p>
              </w:tc>
              <w:tc>
                <w:tcPr>
                  <w:tcW w:w="1340" w:type="dxa"/>
                  <w:vMerge w:val="restart"/>
                  <w:vAlign w:val="center"/>
                </w:tcPr>
                <w:p w14:paraId="09CA07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“二级活性炭吸附”装置</w:t>
                  </w:r>
                </w:p>
              </w:tc>
              <w:tc>
                <w:tcPr>
                  <w:tcW w:w="776" w:type="dxa"/>
                  <w:vMerge w:val="restart"/>
                  <w:vAlign w:val="center"/>
                </w:tcPr>
                <w:p w14:paraId="0E714C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吸附</w:t>
                  </w:r>
                </w:p>
              </w:tc>
              <w:tc>
                <w:tcPr>
                  <w:tcW w:w="1058" w:type="dxa"/>
                  <w:vMerge w:val="restart"/>
                  <w:vAlign w:val="center"/>
                </w:tcPr>
                <w:p w14:paraId="61ED7B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是</w:t>
                  </w:r>
                </w:p>
              </w:tc>
              <w:tc>
                <w:tcPr>
                  <w:tcW w:w="1058" w:type="dxa"/>
                  <w:vMerge w:val="restart"/>
                  <w:vAlign w:val="center"/>
                </w:tcPr>
                <w:p w14:paraId="41E722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90%</w:t>
                  </w:r>
                </w:p>
              </w:tc>
              <w:tc>
                <w:tcPr>
                  <w:tcW w:w="1059" w:type="dxa"/>
                  <w:vMerge w:val="restart"/>
                  <w:vAlign w:val="center"/>
                </w:tcPr>
                <w:p w14:paraId="3EA029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DA001</w:t>
                  </w:r>
                </w:p>
              </w:tc>
              <w:tc>
                <w:tcPr>
                  <w:tcW w:w="1059" w:type="dxa"/>
                  <w:vMerge w:val="restart"/>
                  <w:vAlign w:val="center"/>
                </w:tcPr>
                <w:p w14:paraId="6CAE8F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有机废气排放口</w:t>
                  </w:r>
                </w:p>
              </w:tc>
              <w:tc>
                <w:tcPr>
                  <w:tcW w:w="1059" w:type="dxa"/>
                  <w:vMerge w:val="restart"/>
                  <w:vAlign w:val="center"/>
                </w:tcPr>
                <w:p w14:paraId="14B53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是</w:t>
                  </w:r>
                </w:p>
              </w:tc>
              <w:tc>
                <w:tcPr>
                  <w:tcW w:w="1059" w:type="dxa"/>
                  <w:vMerge w:val="restart"/>
                  <w:vAlign w:val="center"/>
                </w:tcPr>
                <w:p w14:paraId="088966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一般排放口</w:t>
                  </w:r>
                </w:p>
              </w:tc>
            </w:tr>
            <w:tr w14:paraId="2D54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058" w:type="dxa"/>
                  <w:vMerge w:val="continue"/>
                  <w:vAlign w:val="center"/>
                </w:tcPr>
                <w:p w14:paraId="3B5A55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62" w:type="dxa"/>
                  <w:vMerge w:val="continue"/>
                  <w:vAlign w:val="center"/>
                </w:tcPr>
                <w:p w14:paraId="59047F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284" w:type="dxa"/>
                  <w:vAlign w:val="center"/>
                </w:tcPr>
                <w:p w14:paraId="20792F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二甲苯</w:t>
                  </w:r>
                </w:p>
              </w:tc>
              <w:tc>
                <w:tcPr>
                  <w:tcW w:w="1092" w:type="dxa"/>
                  <w:vMerge w:val="continue"/>
                  <w:vAlign w:val="center"/>
                </w:tcPr>
                <w:p w14:paraId="4A77BD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894" w:type="dxa"/>
                  <w:vMerge w:val="continue"/>
                  <w:vAlign w:val="center"/>
                </w:tcPr>
                <w:p w14:paraId="2E6C82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340" w:type="dxa"/>
                  <w:vMerge w:val="continue"/>
                  <w:vAlign w:val="center"/>
                </w:tcPr>
                <w:p w14:paraId="08DE7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776" w:type="dxa"/>
                  <w:vMerge w:val="continue"/>
                  <w:vAlign w:val="center"/>
                </w:tcPr>
                <w:p w14:paraId="3B21D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8" w:type="dxa"/>
                  <w:vMerge w:val="continue"/>
                  <w:vAlign w:val="center"/>
                </w:tcPr>
                <w:p w14:paraId="1DCB9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8" w:type="dxa"/>
                  <w:vMerge w:val="continue"/>
                  <w:vAlign w:val="center"/>
                </w:tcPr>
                <w:p w14:paraId="13000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9" w:type="dxa"/>
                  <w:vMerge w:val="continue"/>
                  <w:vAlign w:val="center"/>
                </w:tcPr>
                <w:p w14:paraId="239F38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9" w:type="dxa"/>
                  <w:vMerge w:val="continue"/>
                  <w:vAlign w:val="center"/>
                </w:tcPr>
                <w:p w14:paraId="2F29AD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9" w:type="dxa"/>
                  <w:vMerge w:val="continue"/>
                  <w:vAlign w:val="center"/>
                </w:tcPr>
                <w:p w14:paraId="299148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059" w:type="dxa"/>
                  <w:vMerge w:val="continue"/>
                  <w:vAlign w:val="center"/>
                </w:tcPr>
                <w:p w14:paraId="24D3B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r>
          </w:tbl>
          <w:p w14:paraId="324D6B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2.2废气产排污情况</w:t>
            </w:r>
          </w:p>
          <w:p w14:paraId="7CC1EFC4">
            <w:pPr>
              <w:spacing w:line="360" w:lineRule="auto"/>
              <w:jc w:val="cente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4-2 项目废气污染物产排污情况一览表</w:t>
            </w:r>
          </w:p>
          <w:tbl>
            <w:tblPr>
              <w:tblStyle w:val="8"/>
              <w:tblW w:w="13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680"/>
              <w:gridCol w:w="972"/>
              <w:gridCol w:w="1492"/>
              <w:gridCol w:w="996"/>
              <w:gridCol w:w="1056"/>
              <w:gridCol w:w="1008"/>
              <w:gridCol w:w="905"/>
              <w:gridCol w:w="1127"/>
              <w:gridCol w:w="613"/>
              <w:gridCol w:w="1031"/>
              <w:gridCol w:w="992"/>
              <w:gridCol w:w="1068"/>
              <w:gridCol w:w="952"/>
            </w:tblGrid>
            <w:tr w14:paraId="4574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47" w:type="dxa"/>
                  <w:vMerge w:val="restart"/>
                  <w:vAlign w:val="center"/>
                </w:tcPr>
                <w:p w14:paraId="2E032BC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工序/生产线</w:t>
                  </w:r>
                </w:p>
              </w:tc>
              <w:tc>
                <w:tcPr>
                  <w:tcW w:w="680" w:type="dxa"/>
                  <w:vMerge w:val="restart"/>
                  <w:vAlign w:val="center"/>
                </w:tcPr>
                <w:p w14:paraId="6095A5E4">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装置</w:t>
                  </w:r>
                </w:p>
              </w:tc>
              <w:tc>
                <w:tcPr>
                  <w:tcW w:w="972" w:type="dxa"/>
                  <w:vMerge w:val="restart"/>
                  <w:vAlign w:val="center"/>
                </w:tcPr>
                <w:p w14:paraId="31FC54BD">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污染源</w:t>
                  </w:r>
                </w:p>
              </w:tc>
              <w:tc>
                <w:tcPr>
                  <w:tcW w:w="1492" w:type="dxa"/>
                  <w:vMerge w:val="restart"/>
                  <w:vAlign w:val="center"/>
                </w:tcPr>
                <w:p w14:paraId="16A9245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污染物</w:t>
                  </w:r>
                </w:p>
              </w:tc>
              <w:tc>
                <w:tcPr>
                  <w:tcW w:w="3965" w:type="dxa"/>
                  <w:gridSpan w:val="4"/>
                  <w:vAlign w:val="center"/>
                </w:tcPr>
                <w:p w14:paraId="31E7EEE2">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污染物产生</w:t>
                  </w:r>
                </w:p>
              </w:tc>
              <w:tc>
                <w:tcPr>
                  <w:tcW w:w="1740" w:type="dxa"/>
                  <w:gridSpan w:val="2"/>
                  <w:vAlign w:val="center"/>
                </w:tcPr>
                <w:p w14:paraId="5CB20FF3">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治理措施</w:t>
                  </w:r>
                </w:p>
              </w:tc>
              <w:tc>
                <w:tcPr>
                  <w:tcW w:w="4043" w:type="dxa"/>
                  <w:gridSpan w:val="4"/>
                  <w:vAlign w:val="center"/>
                </w:tcPr>
                <w:p w14:paraId="67F381A5">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污染物排放</w:t>
                  </w:r>
                </w:p>
              </w:tc>
            </w:tr>
            <w:tr w14:paraId="1F45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47" w:type="dxa"/>
                  <w:vMerge w:val="continue"/>
                  <w:vAlign w:val="center"/>
                </w:tcPr>
                <w:p w14:paraId="0BF6C00A">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680" w:type="dxa"/>
                  <w:vMerge w:val="continue"/>
                  <w:vAlign w:val="center"/>
                </w:tcPr>
                <w:p w14:paraId="0C0D3331">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72" w:type="dxa"/>
                  <w:vMerge w:val="continue"/>
                  <w:vAlign w:val="center"/>
                </w:tcPr>
                <w:p w14:paraId="4383FF6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1492" w:type="dxa"/>
                  <w:vMerge w:val="continue"/>
                  <w:vAlign w:val="center"/>
                </w:tcPr>
                <w:p w14:paraId="6A63848F">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96" w:type="dxa"/>
                  <w:vAlign w:val="center"/>
                </w:tcPr>
                <w:p w14:paraId="456C61E0">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核算</w:t>
                  </w:r>
                </w:p>
                <w:p w14:paraId="19C29E47">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方法</w:t>
                  </w:r>
                </w:p>
              </w:tc>
              <w:tc>
                <w:tcPr>
                  <w:tcW w:w="1056" w:type="dxa"/>
                  <w:vAlign w:val="center"/>
                </w:tcPr>
                <w:p w14:paraId="25F395B1">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废气产生量m</w:t>
                  </w:r>
                  <w:r>
                    <w:rPr>
                      <w:rFonts w:hint="default" w:ascii="Times New Roman" w:hAnsi="Times New Roman" w:eastAsia="黑体" w:cs="Times New Roman"/>
                      <w:b w:val="0"/>
                      <w:bCs w:val="0"/>
                      <w:color w:val="000000" w:themeColor="text1"/>
                      <w:spacing w:val="-2"/>
                      <w:sz w:val="20"/>
                      <w:szCs w:val="20"/>
                      <w:vertAlign w:val="superscript"/>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/h</w:t>
                  </w:r>
                </w:p>
              </w:tc>
              <w:tc>
                <w:tcPr>
                  <w:tcW w:w="1008" w:type="dxa"/>
                  <w:vAlign w:val="center"/>
                </w:tcPr>
                <w:p w14:paraId="533F874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产生浓度mg/m</w:t>
                  </w:r>
                  <w:r>
                    <w:rPr>
                      <w:rFonts w:hint="default" w:ascii="Times New Roman" w:hAnsi="Times New Roman" w:eastAsia="黑体" w:cs="Times New Roman"/>
                      <w:b w:val="0"/>
                      <w:bCs w:val="0"/>
                      <w:color w:val="000000" w:themeColor="text1"/>
                      <w:spacing w:val="-2"/>
                      <w:sz w:val="20"/>
                      <w:szCs w:val="20"/>
                      <w:vertAlign w:val="superscript"/>
                      <w:lang w:val="en-US" w:eastAsia="zh-CN"/>
                      <w14:textFill>
                        <w14:solidFill>
                          <w14:schemeClr w14:val="tx1"/>
                        </w14:solidFill>
                      </w14:textFill>
                    </w:rPr>
                    <w:t>3</w:t>
                  </w:r>
                </w:p>
              </w:tc>
              <w:tc>
                <w:tcPr>
                  <w:tcW w:w="905" w:type="dxa"/>
                  <w:vAlign w:val="center"/>
                </w:tcPr>
                <w:p w14:paraId="52DE973F">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产生量t/a</w:t>
                  </w:r>
                </w:p>
              </w:tc>
              <w:tc>
                <w:tcPr>
                  <w:tcW w:w="1127" w:type="dxa"/>
                  <w:vAlign w:val="center"/>
                </w:tcPr>
                <w:p w14:paraId="2B3DCB2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工艺</w:t>
                  </w:r>
                </w:p>
              </w:tc>
              <w:tc>
                <w:tcPr>
                  <w:tcW w:w="613" w:type="dxa"/>
                  <w:vAlign w:val="center"/>
                </w:tcPr>
                <w:p w14:paraId="013F7D04">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效率</w:t>
                  </w:r>
                </w:p>
              </w:tc>
              <w:tc>
                <w:tcPr>
                  <w:tcW w:w="1031" w:type="dxa"/>
                  <w:vAlign w:val="center"/>
                </w:tcPr>
                <w:p w14:paraId="442AABDB">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废气排放量m</w:t>
                  </w:r>
                  <w:r>
                    <w:rPr>
                      <w:rFonts w:hint="default" w:ascii="Times New Roman" w:hAnsi="Times New Roman" w:eastAsia="黑体" w:cs="Times New Roman"/>
                      <w:b w:val="0"/>
                      <w:bCs w:val="0"/>
                      <w:color w:val="000000" w:themeColor="text1"/>
                      <w:spacing w:val="-2"/>
                      <w:sz w:val="20"/>
                      <w:szCs w:val="20"/>
                      <w:vertAlign w:val="superscript"/>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/h</w:t>
                  </w:r>
                </w:p>
              </w:tc>
              <w:tc>
                <w:tcPr>
                  <w:tcW w:w="992" w:type="dxa"/>
                  <w:vAlign w:val="center"/>
                </w:tcPr>
                <w:p w14:paraId="4E4D4351">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排放速率kg/h</w:t>
                  </w:r>
                </w:p>
              </w:tc>
              <w:tc>
                <w:tcPr>
                  <w:tcW w:w="1068" w:type="dxa"/>
                  <w:vAlign w:val="center"/>
                </w:tcPr>
                <w:p w14:paraId="05B0CDA3">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排放浓度mg/m</w:t>
                  </w:r>
                  <w:r>
                    <w:rPr>
                      <w:rFonts w:hint="default" w:ascii="Times New Roman" w:hAnsi="Times New Roman" w:eastAsia="黑体" w:cs="Times New Roman"/>
                      <w:b w:val="0"/>
                      <w:bCs w:val="0"/>
                      <w:color w:val="000000" w:themeColor="text1"/>
                      <w:spacing w:val="-2"/>
                      <w:sz w:val="20"/>
                      <w:szCs w:val="20"/>
                      <w:vertAlign w:val="superscript"/>
                      <w:lang w:val="en-US" w:eastAsia="zh-CN"/>
                      <w14:textFill>
                        <w14:solidFill>
                          <w14:schemeClr w14:val="tx1"/>
                        </w14:solidFill>
                      </w14:textFill>
                    </w:rPr>
                    <w:t>3</w:t>
                  </w:r>
                </w:p>
              </w:tc>
              <w:tc>
                <w:tcPr>
                  <w:tcW w:w="952" w:type="dxa"/>
                  <w:vAlign w:val="center"/>
                </w:tcPr>
                <w:p w14:paraId="0459CF0B">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排放量t/a</w:t>
                  </w:r>
                </w:p>
              </w:tc>
            </w:tr>
            <w:tr w14:paraId="6A7A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47" w:type="dxa"/>
                  <w:vMerge w:val="restart"/>
                  <w:vAlign w:val="center"/>
                </w:tcPr>
                <w:p w14:paraId="1377A89D">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调漆、上漆、晾干</w:t>
                  </w:r>
                </w:p>
              </w:tc>
              <w:tc>
                <w:tcPr>
                  <w:tcW w:w="680" w:type="dxa"/>
                  <w:vMerge w:val="restart"/>
                  <w:vAlign w:val="center"/>
                </w:tcPr>
                <w:p w14:paraId="7244C6C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上</w:t>
                  </w:r>
                </w:p>
                <w:p w14:paraId="6F26A117">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漆</w:t>
                  </w:r>
                </w:p>
                <w:p w14:paraId="5546C9C5">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房</w:t>
                  </w:r>
                </w:p>
              </w:tc>
              <w:tc>
                <w:tcPr>
                  <w:tcW w:w="972" w:type="dxa"/>
                  <w:tcBorders>
                    <w:bottom w:val="single" w:color="000000" w:sz="8" w:space="0"/>
                  </w:tcBorders>
                  <w:vAlign w:val="center"/>
                </w:tcPr>
                <w:p w14:paraId="202F8D0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DA001</w:t>
                  </w:r>
                </w:p>
              </w:tc>
              <w:tc>
                <w:tcPr>
                  <w:tcW w:w="1492" w:type="dxa"/>
                  <w:vMerge w:val="restart"/>
                  <w:vAlign w:val="center"/>
                </w:tcPr>
                <w:p w14:paraId="4D670178">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非甲烷总烃</w:t>
                  </w:r>
                </w:p>
              </w:tc>
              <w:tc>
                <w:tcPr>
                  <w:tcW w:w="996" w:type="dxa"/>
                  <w:vMerge w:val="restart"/>
                  <w:vAlign w:val="center"/>
                </w:tcPr>
                <w:p w14:paraId="0FBBBDE8">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产污系数法</w:t>
                  </w:r>
                </w:p>
              </w:tc>
              <w:tc>
                <w:tcPr>
                  <w:tcW w:w="1056" w:type="dxa"/>
                  <w:tcBorders>
                    <w:bottom w:val="single" w:color="000000" w:sz="8" w:space="0"/>
                  </w:tcBorders>
                  <w:vAlign w:val="center"/>
                </w:tcPr>
                <w:p w14:paraId="7EA8FEE0">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33000</w:t>
                  </w:r>
                </w:p>
              </w:tc>
              <w:tc>
                <w:tcPr>
                  <w:tcW w:w="1008" w:type="dxa"/>
                  <w:vAlign w:val="center"/>
                </w:tcPr>
                <w:p w14:paraId="46E32311">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2.955</w:t>
                  </w:r>
                </w:p>
              </w:tc>
              <w:tc>
                <w:tcPr>
                  <w:tcW w:w="905" w:type="dxa"/>
                  <w:vAlign w:val="center"/>
                </w:tcPr>
                <w:p w14:paraId="4F07EA02">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0.234</w:t>
                  </w:r>
                </w:p>
              </w:tc>
              <w:tc>
                <w:tcPr>
                  <w:tcW w:w="1127" w:type="dxa"/>
                  <w:vAlign w:val="center"/>
                </w:tcPr>
                <w:p w14:paraId="15AC1E76">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“二级活性炭吸附”</w:t>
                  </w:r>
                </w:p>
              </w:tc>
              <w:tc>
                <w:tcPr>
                  <w:tcW w:w="613" w:type="dxa"/>
                  <w:vAlign w:val="center"/>
                </w:tcPr>
                <w:p w14:paraId="576E6B73">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90%</w:t>
                  </w:r>
                </w:p>
              </w:tc>
              <w:tc>
                <w:tcPr>
                  <w:tcW w:w="1031" w:type="dxa"/>
                  <w:vAlign w:val="center"/>
                </w:tcPr>
                <w:p w14:paraId="46A0A815">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33000</w:t>
                  </w:r>
                </w:p>
              </w:tc>
              <w:tc>
                <w:tcPr>
                  <w:tcW w:w="992" w:type="dxa"/>
                  <w:vAlign w:val="center"/>
                </w:tcPr>
                <w:p w14:paraId="680DCAE1">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0.010</w:t>
                  </w:r>
                </w:p>
              </w:tc>
              <w:tc>
                <w:tcPr>
                  <w:tcW w:w="1068" w:type="dxa"/>
                  <w:vAlign w:val="center"/>
                </w:tcPr>
                <w:p w14:paraId="5DC3A681">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0.295</w:t>
                  </w:r>
                </w:p>
              </w:tc>
              <w:tc>
                <w:tcPr>
                  <w:tcW w:w="952" w:type="dxa"/>
                  <w:vAlign w:val="center"/>
                </w:tcPr>
                <w:p w14:paraId="4F7591CD">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0.023</w:t>
                  </w:r>
                </w:p>
              </w:tc>
            </w:tr>
            <w:tr w14:paraId="3650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dxa"/>
                  <w:vMerge w:val="continue"/>
                  <w:vAlign w:val="center"/>
                </w:tcPr>
                <w:p w14:paraId="38BD1AD9">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680" w:type="dxa"/>
                  <w:vMerge w:val="continue"/>
                  <w:vAlign w:val="center"/>
                </w:tcPr>
                <w:p w14:paraId="029435A1">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72" w:type="dxa"/>
                  <w:tcBorders>
                    <w:top w:val="single" w:color="000000" w:sz="8" w:space="0"/>
                  </w:tcBorders>
                  <w:vAlign w:val="center"/>
                </w:tcPr>
                <w:p w14:paraId="0FC2C713">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无组织</w:t>
                  </w:r>
                </w:p>
              </w:tc>
              <w:tc>
                <w:tcPr>
                  <w:tcW w:w="1492" w:type="dxa"/>
                  <w:vMerge w:val="continue"/>
                  <w:vAlign w:val="center"/>
                </w:tcPr>
                <w:p w14:paraId="11D5E0CF">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96" w:type="dxa"/>
                  <w:vMerge w:val="continue"/>
                  <w:vAlign w:val="center"/>
                </w:tcPr>
                <w:p w14:paraId="61CC1E3A">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p>
              </w:tc>
              <w:tc>
                <w:tcPr>
                  <w:tcW w:w="1056" w:type="dxa"/>
                  <w:tcBorders>
                    <w:top w:val="single" w:color="000000" w:sz="8" w:space="0"/>
                  </w:tcBorders>
                  <w:vAlign w:val="center"/>
                </w:tcPr>
                <w:p w14:paraId="5B23899E">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1008" w:type="dxa"/>
                  <w:vAlign w:val="center"/>
                </w:tcPr>
                <w:p w14:paraId="3F688F67">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905" w:type="dxa"/>
                  <w:vAlign w:val="center"/>
                </w:tcPr>
                <w:p w14:paraId="5C7A8D66">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0.026</w:t>
                  </w:r>
                </w:p>
              </w:tc>
              <w:tc>
                <w:tcPr>
                  <w:tcW w:w="1127" w:type="dxa"/>
                  <w:vAlign w:val="center"/>
                </w:tcPr>
                <w:p w14:paraId="01F83536">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613" w:type="dxa"/>
                  <w:vAlign w:val="center"/>
                </w:tcPr>
                <w:p w14:paraId="560C2C68">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1031" w:type="dxa"/>
                  <w:vAlign w:val="center"/>
                </w:tcPr>
                <w:p w14:paraId="0EA6FF6A">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992" w:type="dxa"/>
                  <w:vAlign w:val="center"/>
                </w:tcPr>
                <w:p w14:paraId="4CBFF68C">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1068" w:type="dxa"/>
                  <w:vAlign w:val="center"/>
                </w:tcPr>
                <w:p w14:paraId="5EEEC68C">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952" w:type="dxa"/>
                  <w:vAlign w:val="center"/>
                </w:tcPr>
                <w:p w14:paraId="6B9BDE0C">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0.026</w:t>
                  </w:r>
                </w:p>
              </w:tc>
            </w:tr>
            <w:tr w14:paraId="0EE3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847" w:type="dxa"/>
                  <w:vMerge w:val="continue"/>
                  <w:vAlign w:val="center"/>
                </w:tcPr>
                <w:p w14:paraId="7C02C243">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680" w:type="dxa"/>
                  <w:vMerge w:val="continue"/>
                  <w:vAlign w:val="center"/>
                </w:tcPr>
                <w:p w14:paraId="4CB49967">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72" w:type="dxa"/>
                  <w:vAlign w:val="center"/>
                </w:tcPr>
                <w:p w14:paraId="00B1A9A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DA001</w:t>
                  </w:r>
                </w:p>
              </w:tc>
              <w:tc>
                <w:tcPr>
                  <w:tcW w:w="1492" w:type="dxa"/>
                  <w:vMerge w:val="restart"/>
                  <w:vAlign w:val="center"/>
                </w:tcPr>
                <w:p w14:paraId="4209DB0E">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二甲苯</w:t>
                  </w:r>
                </w:p>
              </w:tc>
              <w:tc>
                <w:tcPr>
                  <w:tcW w:w="996" w:type="dxa"/>
                  <w:vMerge w:val="restart"/>
                  <w:vAlign w:val="center"/>
                </w:tcPr>
                <w:p w14:paraId="4CCBA55E">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产污系数法</w:t>
                  </w:r>
                </w:p>
              </w:tc>
              <w:tc>
                <w:tcPr>
                  <w:tcW w:w="1056" w:type="dxa"/>
                  <w:tcBorders>
                    <w:bottom w:val="single" w:color="000000" w:sz="8" w:space="0"/>
                  </w:tcBorders>
                  <w:vAlign w:val="center"/>
                </w:tcPr>
                <w:p w14:paraId="581F39A7">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33000</w:t>
                  </w:r>
                </w:p>
              </w:tc>
              <w:tc>
                <w:tcPr>
                  <w:tcW w:w="1008" w:type="dxa"/>
                  <w:vAlign w:val="center"/>
                </w:tcPr>
                <w:p w14:paraId="40A0295D">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3.739</w:t>
                  </w:r>
                </w:p>
              </w:tc>
              <w:tc>
                <w:tcPr>
                  <w:tcW w:w="905" w:type="dxa"/>
                  <w:vAlign w:val="center"/>
                </w:tcPr>
                <w:p w14:paraId="5BA9C36E">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0.296</w:t>
                  </w:r>
                </w:p>
              </w:tc>
              <w:tc>
                <w:tcPr>
                  <w:tcW w:w="1127" w:type="dxa"/>
                  <w:vAlign w:val="center"/>
                </w:tcPr>
                <w:p w14:paraId="7B2468D1">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“二级活性炭吸附”</w:t>
                  </w:r>
                </w:p>
              </w:tc>
              <w:tc>
                <w:tcPr>
                  <w:tcW w:w="613" w:type="dxa"/>
                  <w:vAlign w:val="center"/>
                </w:tcPr>
                <w:p w14:paraId="3E2EE0A9">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90%</w:t>
                  </w:r>
                </w:p>
              </w:tc>
              <w:tc>
                <w:tcPr>
                  <w:tcW w:w="1031" w:type="dxa"/>
                  <w:vAlign w:val="center"/>
                </w:tcPr>
                <w:p w14:paraId="03CBC0FD">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33000</w:t>
                  </w:r>
                </w:p>
              </w:tc>
              <w:tc>
                <w:tcPr>
                  <w:tcW w:w="992" w:type="dxa"/>
                  <w:vAlign w:val="center"/>
                </w:tcPr>
                <w:p w14:paraId="1F8FB5C6">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0.012</w:t>
                  </w:r>
                </w:p>
              </w:tc>
              <w:tc>
                <w:tcPr>
                  <w:tcW w:w="1068" w:type="dxa"/>
                  <w:vAlign w:val="center"/>
                </w:tcPr>
                <w:p w14:paraId="104F025A">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0.374</w:t>
                  </w:r>
                </w:p>
              </w:tc>
              <w:tc>
                <w:tcPr>
                  <w:tcW w:w="952" w:type="dxa"/>
                  <w:vAlign w:val="center"/>
                </w:tcPr>
                <w:p w14:paraId="523C31B1">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0.030</w:t>
                  </w:r>
                </w:p>
              </w:tc>
            </w:tr>
            <w:tr w14:paraId="050C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dxa"/>
                  <w:vMerge w:val="continue"/>
                  <w:tcBorders>
                    <w:bottom w:val="single" w:color="000000" w:sz="8" w:space="0"/>
                  </w:tcBorders>
                  <w:vAlign w:val="center"/>
                </w:tcPr>
                <w:p w14:paraId="65699A82">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680" w:type="dxa"/>
                  <w:vMerge w:val="continue"/>
                  <w:tcBorders>
                    <w:bottom w:val="single" w:color="000000" w:sz="8" w:space="0"/>
                  </w:tcBorders>
                  <w:vAlign w:val="center"/>
                </w:tcPr>
                <w:p w14:paraId="11EEC1D0">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72" w:type="dxa"/>
                  <w:tcBorders>
                    <w:bottom w:val="single" w:color="000000" w:sz="8" w:space="0"/>
                  </w:tcBorders>
                  <w:vAlign w:val="center"/>
                </w:tcPr>
                <w:p w14:paraId="5ED9D8CA">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无组织</w:t>
                  </w:r>
                </w:p>
              </w:tc>
              <w:tc>
                <w:tcPr>
                  <w:tcW w:w="1492" w:type="dxa"/>
                  <w:vMerge w:val="continue"/>
                  <w:vAlign w:val="center"/>
                </w:tcPr>
                <w:p w14:paraId="4DF19B16">
                  <w:pPr>
                    <w:spacing w:line="240" w:lineRule="auto"/>
                    <w:ind w:firstLine="0" w:firstLineChars="0"/>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p>
              </w:tc>
              <w:tc>
                <w:tcPr>
                  <w:tcW w:w="996" w:type="dxa"/>
                  <w:vMerge w:val="continue"/>
                  <w:vAlign w:val="center"/>
                </w:tcPr>
                <w:p w14:paraId="26B893D0">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p>
              </w:tc>
              <w:tc>
                <w:tcPr>
                  <w:tcW w:w="1056" w:type="dxa"/>
                  <w:tcBorders>
                    <w:top w:val="single" w:color="000000" w:sz="8" w:space="0"/>
                  </w:tcBorders>
                  <w:vAlign w:val="center"/>
                </w:tcPr>
                <w:p w14:paraId="4A1911A7">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1008" w:type="dxa"/>
                  <w:vAlign w:val="center"/>
                </w:tcPr>
                <w:p w14:paraId="0B6B2701">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905" w:type="dxa"/>
                  <w:vAlign w:val="center"/>
                </w:tcPr>
                <w:p w14:paraId="3C9E218B">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0.033</w:t>
                  </w:r>
                </w:p>
              </w:tc>
              <w:tc>
                <w:tcPr>
                  <w:tcW w:w="1127" w:type="dxa"/>
                  <w:vAlign w:val="center"/>
                </w:tcPr>
                <w:p w14:paraId="246751FB">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613" w:type="dxa"/>
                  <w:vAlign w:val="center"/>
                </w:tcPr>
                <w:p w14:paraId="1D38A894">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1031" w:type="dxa"/>
                  <w:vAlign w:val="center"/>
                </w:tcPr>
                <w:p w14:paraId="23BD3A8C">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992" w:type="dxa"/>
                  <w:vAlign w:val="center"/>
                </w:tcPr>
                <w:p w14:paraId="5C497091">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1068" w:type="dxa"/>
                  <w:vAlign w:val="center"/>
                </w:tcPr>
                <w:p w14:paraId="2EC30F64">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w:t>
                  </w:r>
                </w:p>
              </w:tc>
              <w:tc>
                <w:tcPr>
                  <w:tcW w:w="952" w:type="dxa"/>
                  <w:vAlign w:val="center"/>
                </w:tcPr>
                <w:p w14:paraId="792E5E95">
                  <w:pPr>
                    <w:spacing w:line="240" w:lineRule="auto"/>
                    <w:ind w:firstLine="0" w:firstLineChars="0"/>
                    <w:jc w:val="cente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2"/>
                      <w:sz w:val="20"/>
                      <w:szCs w:val="20"/>
                      <w:vertAlign w:val="baseline"/>
                      <w:lang w:val="en-US" w:eastAsia="zh-CN"/>
                      <w14:textFill>
                        <w14:solidFill>
                          <w14:schemeClr w14:val="tx1"/>
                        </w14:solidFill>
                      </w14:textFill>
                    </w:rPr>
                    <w:t>0.033</w:t>
                  </w:r>
                </w:p>
              </w:tc>
            </w:tr>
          </w:tbl>
          <w:p w14:paraId="72E11912">
            <w:pPr>
              <w:bidi w:val="0"/>
              <w:spacing w:line="240" w:lineRule="auto"/>
              <w:rPr>
                <w:color w:val="000000" w:themeColor="text1"/>
                <w14:textFill>
                  <w14:solidFill>
                    <w14:schemeClr w14:val="tx1"/>
                  </w14:solidFill>
                </w14:textFill>
              </w:rPr>
            </w:pPr>
          </w:p>
          <w:p w14:paraId="753BDF79">
            <w:pPr>
              <w:bidi w:val="0"/>
              <w:spacing w:line="240" w:lineRule="auto"/>
              <w:rPr>
                <w:color w:val="000000" w:themeColor="text1"/>
                <w14:textFill>
                  <w14:solidFill>
                    <w14:schemeClr w14:val="tx1"/>
                  </w14:solidFill>
                </w14:textFill>
              </w:rPr>
            </w:pPr>
          </w:p>
          <w:p w14:paraId="7FE4EE3D">
            <w:pPr>
              <w:bidi w:val="0"/>
              <w:spacing w:line="240" w:lineRule="auto"/>
              <w:rPr>
                <w:color w:val="000000" w:themeColor="text1"/>
                <w14:textFill>
                  <w14:solidFill>
                    <w14:schemeClr w14:val="tx1"/>
                  </w14:solidFill>
                </w14:textFill>
              </w:rPr>
            </w:pPr>
          </w:p>
        </w:tc>
      </w:tr>
    </w:tbl>
    <w:p w14:paraId="341B3053">
      <w:pPr>
        <w:jc w:val="both"/>
        <w:rPr>
          <w:color w:val="000000" w:themeColor="text1"/>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tbl>
      <w:tblPr>
        <w:tblStyle w:val="8"/>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8517"/>
      </w:tblGrid>
      <w:tr w14:paraId="2075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jc w:val="center"/>
        </w:trPr>
        <w:tc>
          <w:tcPr>
            <w:tcW w:w="551" w:type="dxa"/>
            <w:vAlign w:val="center"/>
          </w:tcPr>
          <w:p w14:paraId="01632CA5">
            <w:pPr>
              <w:spacing w:line="240" w:lineRule="auto"/>
              <w:ind w:firstLine="0" w:firstLineChars="0"/>
              <w:jc w:val="center"/>
              <w:rPr>
                <w:color w:val="000000" w:themeColor="text1"/>
                <w:vertAlign w:val="baseline"/>
                <w14:textFill>
                  <w14:solidFill>
                    <w14:schemeClr w14:val="tx1"/>
                  </w14:solidFill>
                </w14:textFill>
              </w:rPr>
            </w:pPr>
            <w:r>
              <w:rPr>
                <w:rFonts w:hint="default" w:ascii="Times New Roman" w:hAnsi="Times New Roman" w:eastAsia="黑体" w:cs="Times New Roman"/>
                <w:b/>
                <w:bCs/>
                <w:color w:val="000000" w:themeColor="text1"/>
                <w:sz w:val="24"/>
                <w:szCs w:val="24"/>
                <w:vertAlign w:val="baseline"/>
                <w:lang w:val="en-US" w:eastAsia="zh-CN"/>
                <w14:textFill>
                  <w14:solidFill>
                    <w14:schemeClr w14:val="tx1"/>
                  </w14:solidFill>
                </w14:textFill>
              </w:rPr>
              <w:t>运营期环境影响和保护措施</w:t>
            </w:r>
          </w:p>
        </w:tc>
        <w:tc>
          <w:tcPr>
            <w:tcW w:w="8517" w:type="dxa"/>
          </w:tcPr>
          <w:p w14:paraId="2DF06D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2.</w:t>
            </w:r>
            <w:r>
              <w:rPr>
                <w:rFonts w:hint="eastAsia" w:eastAsia="黑体" w:cs="Times New Roman"/>
                <w:b w:val="0"/>
                <w:bCs w:val="0"/>
                <w:color w:val="000000" w:themeColor="text1"/>
                <w:sz w:val="24"/>
                <w:szCs w:val="24"/>
                <w:vertAlign w:val="baseli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废气</w:t>
            </w:r>
            <w:r>
              <w:rPr>
                <w:rFonts w:hint="eastAsia"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源强核算</w:t>
            </w:r>
          </w:p>
          <w:p w14:paraId="7D93E5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调漆、</w:t>
            </w:r>
            <w:r>
              <w:rPr>
                <w:rFonts w:hint="eastAsia" w:eastAsia="黑体" w:cs="Times New Roman"/>
                <w:b w:val="0"/>
                <w:bCs w:val="0"/>
                <w:color w:val="000000" w:themeColor="text1"/>
                <w:sz w:val="24"/>
                <w:szCs w:val="24"/>
                <w:lang w:val="en-US" w:eastAsia="zh-CN"/>
                <w14:textFill>
                  <w14:solidFill>
                    <w14:schemeClr w14:val="tx1"/>
                  </w14:solidFill>
                </w14:textFill>
              </w:rPr>
              <w:t>上漆</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、晾干</w:t>
            </w:r>
          </w:p>
          <w:p w14:paraId="126138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w:t>
            </w:r>
            <w:r>
              <w:rPr>
                <w:rFonts w:hint="eastAsia" w:cs="Times New Roman"/>
                <w:b w:val="0"/>
                <w:bCs w:val="0"/>
                <w:color w:val="000000" w:themeColor="text1"/>
                <w:sz w:val="24"/>
                <w:szCs w:val="24"/>
                <w:lang w:val="en-US" w:eastAsia="zh-CN"/>
                <w14:textFill>
                  <w14:solidFill>
                    <w14:schemeClr w14:val="tx1"/>
                  </w14:solidFill>
                </w14:textFill>
              </w:rPr>
              <w:t>拟</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设置一个封闭</w:t>
            </w:r>
            <w:r>
              <w:rPr>
                <w:rFonts w:hint="eastAsia" w:cs="Times New Roman"/>
                <w:b w:val="0"/>
                <w:bCs w:val="0"/>
                <w:color w:val="000000" w:themeColor="text1"/>
                <w:sz w:val="24"/>
                <w:szCs w:val="24"/>
                <w:lang w:val="en-US" w:eastAsia="zh-CN"/>
                <w14:textFill>
                  <w14:solidFill>
                    <w14:schemeClr w14:val="tx1"/>
                  </w14:solidFill>
                </w14:textFill>
              </w:rPr>
              <w:t>上漆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房（</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m），调漆、</w:t>
            </w:r>
            <w:r>
              <w:rPr>
                <w:rFonts w:hint="eastAsia" w:cs="Times New Roman"/>
                <w:b w:val="0"/>
                <w:bCs w:val="0"/>
                <w:color w:val="000000" w:themeColor="text1"/>
                <w:sz w:val="24"/>
                <w:szCs w:val="24"/>
                <w:lang w:val="en-US" w:eastAsia="zh-CN"/>
                <w14:textFill>
                  <w14:solidFill>
                    <w14:schemeClr w14:val="tx1"/>
                  </w14:solidFill>
                </w14:textFill>
              </w:rPr>
              <w:t>上漆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、晾干、</w:t>
            </w:r>
            <w:r>
              <w:rPr>
                <w:rFonts w:hint="eastAsia" w:cs="Times New Roman"/>
                <w:b w:val="0"/>
                <w:bCs w:val="0"/>
                <w:color w:val="000000" w:themeColor="text1"/>
                <w:sz w:val="24"/>
                <w:szCs w:val="24"/>
                <w:lang w:val="en-US" w:eastAsia="zh-CN"/>
                <w14:textFill>
                  <w14:solidFill>
                    <w14:schemeClr w14:val="tx1"/>
                  </w14:solidFill>
                </w14:textFill>
              </w:rPr>
              <w:t>辊筒</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清洗皆在</w:t>
            </w:r>
            <w:r>
              <w:rPr>
                <w:rFonts w:hint="eastAsia" w:cs="Times New Roman"/>
                <w:b w:val="0"/>
                <w:bCs w:val="0"/>
                <w:color w:val="000000" w:themeColor="text1"/>
                <w:sz w:val="24"/>
                <w:szCs w:val="24"/>
                <w:lang w:val="en-US" w:eastAsia="zh-CN"/>
                <w14:textFill>
                  <w14:solidFill>
                    <w14:schemeClr w14:val="tx1"/>
                  </w14:solidFill>
                </w14:textFill>
              </w:rPr>
              <w:t>上漆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房中进行。本项目水性漆年使用量约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t，油性漆年使用量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t，根据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前文“表2-</w:t>
            </w:r>
            <w:r>
              <w:rPr>
                <w:rFonts w:hint="eastAsia" w:cs="Times New Roman"/>
                <w:b w:val="0"/>
                <w:bCs w:val="0"/>
                <w:color w:val="000000" w:themeColor="text1"/>
                <w:sz w:val="24"/>
                <w:szCs w:val="24"/>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 项目涂料挥发量情况一览表”</w:t>
            </w:r>
            <w:r>
              <w:rPr>
                <w:rFonts w:hint="eastAsia" w:cs="Times New Roman"/>
                <w:b w:val="0"/>
                <w:bCs w:val="0"/>
                <w:color w:val="000000" w:themeColor="text1"/>
                <w:sz w:val="24"/>
                <w:szCs w:val="24"/>
                <w:lang w:val="en-US" w:eastAsia="zh-CN"/>
                <w14:textFill>
                  <w14:solidFill>
                    <w14:schemeClr w14:val="tx1"/>
                  </w14:solidFill>
                </w14:textFill>
              </w:rPr>
              <w:t>及“表2-16 项目物料平衡一览表”</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可知</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非甲烷总烃的</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产生量</w:t>
            </w:r>
            <w:r>
              <w:rPr>
                <w:rFonts w:hint="eastAsia" w:cs="Times New Roman"/>
                <w:b w:val="0"/>
                <w:bCs w:val="0"/>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0.260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二甲苯的产生量为0.329</w:t>
            </w:r>
            <w:r>
              <w:rPr>
                <w:rFonts w:hint="eastAsia" w:cs="Times New Roman"/>
                <w:b w:val="0"/>
                <w:bCs w:val="0"/>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0F3A10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（2）危废间有机废气</w:t>
            </w:r>
          </w:p>
          <w:p w14:paraId="44D967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本项目危废暂存库暂存的废油漆桶含有挥发性物质，在暂存的过程中会产生有机废气。但危废库产生的废气极少，且危废在厂内暂存周期短，故本次仅进行定性分析不进行定量计算。</w:t>
            </w:r>
          </w:p>
          <w:p w14:paraId="3A82FD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2.3</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废气</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治理设施</w:t>
            </w:r>
          </w:p>
          <w:p w14:paraId="72D1EB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cs="Times New Roman"/>
                <w:b w:val="0"/>
                <w:bCs w:val="0"/>
                <w:color w:val="000000" w:themeColor="text1"/>
                <w:sz w:val="24"/>
                <w:szCs w:val="24"/>
                <w:u w:val="single"/>
                <w:lang w:val="en-US" w:eastAsia="zh-CN"/>
                <w14:textFill>
                  <w14:solidFill>
                    <w14:schemeClr w14:val="tx1"/>
                  </w14:solidFill>
                </w14:textFill>
              </w:rPr>
              <w:t>本项目新增1个密闭上漆房，（</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m</w:t>
            </w:r>
            <w:r>
              <w:rPr>
                <w:rFonts w:hint="eastAsia" w:cs="Times New Roman"/>
                <w:b w:val="0"/>
                <w:bCs w:val="0"/>
                <w:color w:val="000000" w:themeColor="text1"/>
                <w:sz w:val="24"/>
                <w:szCs w:val="24"/>
                <w:u w:val="singl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调漆、</w:t>
            </w:r>
            <w:r>
              <w:rPr>
                <w:rFonts w:hint="eastAsia" w:cs="Times New Roman"/>
                <w:b w:val="0"/>
                <w:bCs w:val="0"/>
                <w:color w:val="000000" w:themeColor="text1"/>
                <w:sz w:val="24"/>
                <w:szCs w:val="24"/>
                <w:u w:val="single"/>
                <w:lang w:val="en-US" w:eastAsia="zh-CN"/>
                <w14:textFill>
                  <w14:solidFill>
                    <w14:schemeClr w14:val="tx1"/>
                  </w14:solidFill>
                </w14:textFill>
              </w:rPr>
              <w:t>上漆</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、晾干、</w:t>
            </w:r>
            <w:r>
              <w:rPr>
                <w:rFonts w:hint="eastAsia" w:cs="Times New Roman"/>
                <w:b w:val="0"/>
                <w:bCs w:val="0"/>
                <w:color w:val="000000" w:themeColor="text1"/>
                <w:sz w:val="24"/>
                <w:szCs w:val="24"/>
                <w:u w:val="single"/>
                <w:lang w:val="en-US" w:eastAsia="zh-CN"/>
                <w14:textFill>
                  <w14:solidFill>
                    <w14:schemeClr w14:val="tx1"/>
                  </w14:solidFill>
                </w14:textFill>
              </w:rPr>
              <w:t>辊筒</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清洗皆在</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密闭</w:t>
            </w:r>
            <w:r>
              <w:rPr>
                <w:rFonts w:hint="eastAsia" w:cs="Times New Roman"/>
                <w:b w:val="0"/>
                <w:bCs w:val="0"/>
                <w:color w:val="000000" w:themeColor="text1"/>
                <w:sz w:val="24"/>
                <w:szCs w:val="24"/>
                <w:u w:val="single"/>
                <w:lang w:val="en-US" w:eastAsia="zh-CN"/>
                <w14:textFill>
                  <w14:solidFill>
                    <w14:schemeClr w14:val="tx1"/>
                  </w14:solidFill>
                </w14:textFill>
              </w:rPr>
              <w:t>上漆</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房中进行</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。在此过程产生出的非甲烷总烃、二甲苯经负压收集后通过“二级活性炭吸附装置”处理达标后通过15m高排气筒（DA001）排放。</w:t>
            </w:r>
          </w:p>
          <w:p w14:paraId="48623E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drawing>
                <wp:inline distT="0" distB="0" distL="114300" distR="114300">
                  <wp:extent cx="5269865" cy="938530"/>
                  <wp:effectExtent l="0" t="0" r="0" b="0"/>
                  <wp:docPr id="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wps"/>
                          <pic:cNvPicPr>
                            <a:picLocks noChangeAspect="1"/>
                          </pic:cNvPicPr>
                        </pic:nvPicPr>
                        <pic:blipFill>
                          <a:blip r:embed="rId11"/>
                          <a:stretch>
                            <a:fillRect/>
                          </a:stretch>
                        </pic:blipFill>
                        <pic:spPr>
                          <a:xfrm>
                            <a:off x="0" y="0"/>
                            <a:ext cx="5269865" cy="938530"/>
                          </a:xfrm>
                          <a:prstGeom prst="rect">
                            <a:avLst/>
                          </a:prstGeom>
                        </pic:spPr>
                      </pic:pic>
                    </a:graphicData>
                  </a:graphic>
                </wp:inline>
              </w:drawing>
            </w:r>
          </w:p>
          <w:p w14:paraId="3A1F6F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图</w:t>
            </w:r>
            <w:r>
              <w:rPr>
                <w:rFonts w:hint="eastAsia" w:eastAsia="黑体" w:cs="Times New Roman"/>
                <w:b w:val="0"/>
                <w:bCs w:val="0"/>
                <w:color w:val="000000" w:themeColor="text1"/>
                <w:sz w:val="21"/>
                <w:szCs w:val="21"/>
                <w:u w:val="single"/>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-1 项目废气治理设施图</w:t>
            </w:r>
          </w:p>
          <w:p w14:paraId="104AA9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（1）废气处理风量</w:t>
            </w:r>
          </w:p>
          <w:p w14:paraId="771559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根据《三废处理工程技术手册废气卷》</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刘天齐主编，化学工业出版社，1999年版</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中的“表17-8各种排气罩的排气量计算公式”</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按照密闭罩中整体密闭罩的公式计算得出各设备所需的风量Q:</w:t>
            </w:r>
          </w:p>
          <w:p w14:paraId="79236F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Q=Voxn</w:t>
            </w:r>
          </w:p>
          <w:p w14:paraId="4E2DF4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其中：</w:t>
            </w:r>
          </w:p>
          <w:p w14:paraId="4607F74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Q——排气量，m³/h</w:t>
            </w:r>
            <w:r>
              <w:rPr>
                <w:rFonts w:hint="eastAsia"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w:t>
            </w:r>
          </w:p>
          <w:p w14:paraId="58A3548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Vo——罩内容积，m³</w:t>
            </w:r>
          </w:p>
          <w:p w14:paraId="01C0BDB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N——换气次数，次/h</w:t>
            </w:r>
          </w:p>
          <w:p w14:paraId="23727D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根据《三废处理工程技术手册废气卷》</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刘天齐主编，化学工业出版社，1999年版</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）可知</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，工厂一般作业室每小时换气次数为6次</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为保守考虑，喷漆房按</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53</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次/h来计算所需理论风量</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。本项目上漆间处理风量见下表4-3。</w:t>
            </w:r>
          </w:p>
          <w:p w14:paraId="7764B3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表4-3 本项目上漆间废气处理风量一览表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068"/>
              <w:gridCol w:w="948"/>
              <w:gridCol w:w="972"/>
              <w:gridCol w:w="864"/>
              <w:gridCol w:w="1044"/>
              <w:gridCol w:w="1104"/>
              <w:gridCol w:w="1249"/>
            </w:tblGrid>
            <w:tr w14:paraId="1EA8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14:paraId="5DB250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所在</w:t>
                  </w:r>
                </w:p>
                <w:p w14:paraId="676E98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位置</w:t>
                  </w:r>
                </w:p>
              </w:tc>
              <w:tc>
                <w:tcPr>
                  <w:tcW w:w="1068" w:type="dxa"/>
                  <w:vAlign w:val="center"/>
                </w:tcPr>
                <w:p w14:paraId="32771A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产污车间</w:t>
                  </w:r>
                </w:p>
              </w:tc>
              <w:tc>
                <w:tcPr>
                  <w:tcW w:w="948" w:type="dxa"/>
                  <w:vAlign w:val="center"/>
                </w:tcPr>
                <w:p w14:paraId="666FC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长（m）</w:t>
                  </w:r>
                </w:p>
              </w:tc>
              <w:tc>
                <w:tcPr>
                  <w:tcW w:w="972" w:type="dxa"/>
                  <w:vAlign w:val="center"/>
                </w:tcPr>
                <w:p w14:paraId="35836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宽（m）</w:t>
                  </w:r>
                </w:p>
              </w:tc>
              <w:tc>
                <w:tcPr>
                  <w:tcW w:w="864" w:type="dxa"/>
                  <w:vAlign w:val="center"/>
                </w:tcPr>
                <w:p w14:paraId="357356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高（m）</w:t>
                  </w:r>
                </w:p>
              </w:tc>
              <w:tc>
                <w:tcPr>
                  <w:tcW w:w="1044" w:type="dxa"/>
                  <w:vAlign w:val="center"/>
                </w:tcPr>
                <w:p w14:paraId="534CB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车间体积（m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104" w:type="dxa"/>
                  <w:vAlign w:val="center"/>
                </w:tcPr>
                <w:p w14:paraId="600183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换气次数（次/h）</w:t>
                  </w:r>
                </w:p>
              </w:tc>
              <w:tc>
                <w:tcPr>
                  <w:tcW w:w="1249" w:type="dxa"/>
                  <w:vAlign w:val="center"/>
                </w:tcPr>
                <w:p w14:paraId="0C175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整室收集需要风量m3/h</w:t>
                  </w:r>
                </w:p>
              </w:tc>
            </w:tr>
            <w:tr w14:paraId="2B43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14:paraId="619FAA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1号车间</w:t>
                  </w:r>
                </w:p>
              </w:tc>
              <w:tc>
                <w:tcPr>
                  <w:tcW w:w="1068" w:type="dxa"/>
                  <w:vAlign w:val="center"/>
                </w:tcPr>
                <w:p w14:paraId="1E5A1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上漆间</w:t>
                  </w:r>
                </w:p>
              </w:tc>
              <w:tc>
                <w:tcPr>
                  <w:tcW w:w="948" w:type="dxa"/>
                  <w:vAlign w:val="center"/>
                </w:tcPr>
                <w:p w14:paraId="13B574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w:t>
                  </w:r>
                </w:p>
              </w:tc>
              <w:tc>
                <w:tcPr>
                  <w:tcW w:w="972" w:type="dxa"/>
                  <w:vAlign w:val="center"/>
                </w:tcPr>
                <w:p w14:paraId="4411F0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w:t>
                  </w:r>
                </w:p>
              </w:tc>
              <w:tc>
                <w:tcPr>
                  <w:tcW w:w="864" w:type="dxa"/>
                  <w:vAlign w:val="center"/>
                </w:tcPr>
                <w:p w14:paraId="22278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w:t>
                  </w:r>
                </w:p>
              </w:tc>
              <w:tc>
                <w:tcPr>
                  <w:tcW w:w="1044" w:type="dxa"/>
                  <w:vAlign w:val="center"/>
                </w:tcPr>
                <w:p w14:paraId="09DB43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600</w:t>
                  </w:r>
                </w:p>
              </w:tc>
              <w:tc>
                <w:tcPr>
                  <w:tcW w:w="1104" w:type="dxa"/>
                  <w:vAlign w:val="center"/>
                </w:tcPr>
                <w:p w14:paraId="48D3BB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55</w:t>
                  </w:r>
                </w:p>
              </w:tc>
              <w:tc>
                <w:tcPr>
                  <w:tcW w:w="1249" w:type="dxa"/>
                  <w:vAlign w:val="center"/>
                </w:tcPr>
                <w:p w14:paraId="01711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33000</w:t>
                  </w:r>
                </w:p>
              </w:tc>
            </w:tr>
          </w:tbl>
          <w:p w14:paraId="446355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根据公式计算得出，本项目废气处理设施</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所需废气</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处理风量</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为33000</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m³/h。</w:t>
            </w:r>
          </w:p>
          <w:p w14:paraId="0C193D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）废气</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收集效率</w:t>
            </w:r>
          </w:p>
          <w:p w14:paraId="170178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本项目上</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漆房</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全密闭</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上漆房</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采用负压收集废气，负压目前是收集效率最高的废气收集方式之一，负压收集系统通过在污染源附近创造一个低于周围大气压力的区域，使得空气从周围环境被吸入到污染源区域，并通过集气罩或管道输送至废气处理设备。这样可以有效地控制污染物的扩散，提高收集效率。</w:t>
            </w:r>
          </w:p>
          <w:p w14:paraId="75D155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根据《中华人民共和国生态环境部办公厅关于印发2021年主要污染物总量减排核算技术指南的通知》（环办综合函﹝2021﹞487号）中“表2-1 VOCs废气收集率通用系数”可知，本项目废气收集效率详见下表4-4。</w:t>
            </w:r>
          </w:p>
          <w:p w14:paraId="22EE7A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表4-4 本项目废气收集效率一览表</w:t>
            </w:r>
          </w:p>
          <w:tbl>
            <w:tblPr>
              <w:tblStyle w:val="8"/>
              <w:tblW w:w="8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744"/>
              <w:gridCol w:w="1440"/>
              <w:gridCol w:w="1224"/>
              <w:gridCol w:w="852"/>
              <w:gridCol w:w="864"/>
              <w:gridCol w:w="948"/>
              <w:gridCol w:w="1302"/>
            </w:tblGrid>
            <w:tr w14:paraId="6DA5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9" w:type="dxa"/>
                  <w:gridSpan w:val="7"/>
                  <w:vAlign w:val="center"/>
                </w:tcPr>
                <w:p w14:paraId="5AEE7B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“表2-1 VOCs废气收集率通用系数”</w:t>
                  </w:r>
                </w:p>
              </w:tc>
              <w:tc>
                <w:tcPr>
                  <w:tcW w:w="1302" w:type="dxa"/>
                  <w:vMerge w:val="restart"/>
                  <w:vAlign w:val="center"/>
                </w:tcPr>
                <w:p w14:paraId="38FABA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本项目</w:t>
                  </w:r>
                </w:p>
              </w:tc>
            </w:tr>
            <w:tr w14:paraId="2A67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vMerge w:val="restart"/>
                  <w:vAlign w:val="center"/>
                </w:tcPr>
                <w:p w14:paraId="0BED4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废气收集方式</w:t>
                  </w:r>
                </w:p>
              </w:tc>
              <w:tc>
                <w:tcPr>
                  <w:tcW w:w="744" w:type="dxa"/>
                  <w:vMerge w:val="restart"/>
                  <w:vAlign w:val="center"/>
                </w:tcPr>
                <w:p w14:paraId="42C89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密闭管道</w:t>
                  </w:r>
                </w:p>
              </w:tc>
              <w:tc>
                <w:tcPr>
                  <w:tcW w:w="2664" w:type="dxa"/>
                  <w:gridSpan w:val="2"/>
                  <w:vAlign w:val="center"/>
                </w:tcPr>
                <w:p w14:paraId="62334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密闭空间（含密闭式集气罩）</w:t>
                  </w:r>
                </w:p>
              </w:tc>
              <w:tc>
                <w:tcPr>
                  <w:tcW w:w="852" w:type="dxa"/>
                  <w:vMerge w:val="restart"/>
                  <w:vAlign w:val="center"/>
                </w:tcPr>
                <w:p w14:paraId="45247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排气柜</w:t>
                  </w:r>
                </w:p>
              </w:tc>
              <w:tc>
                <w:tcPr>
                  <w:tcW w:w="864" w:type="dxa"/>
                  <w:vMerge w:val="restart"/>
                  <w:vAlign w:val="center"/>
                </w:tcPr>
                <w:p w14:paraId="13B9D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外部集气罩</w:t>
                  </w:r>
                </w:p>
              </w:tc>
              <w:tc>
                <w:tcPr>
                  <w:tcW w:w="948" w:type="dxa"/>
                  <w:vMerge w:val="restart"/>
                  <w:vAlign w:val="center"/>
                </w:tcPr>
                <w:p w14:paraId="43DCB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其他收集方式</w:t>
                  </w:r>
                </w:p>
              </w:tc>
              <w:tc>
                <w:tcPr>
                  <w:tcW w:w="1302" w:type="dxa"/>
                  <w:vMerge w:val="continue"/>
                  <w:vAlign w:val="center"/>
                </w:tcPr>
                <w:p w14:paraId="5D79F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p>
              </w:tc>
            </w:tr>
            <w:tr w14:paraId="076D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vMerge w:val="continue"/>
                  <w:vAlign w:val="center"/>
                </w:tcPr>
                <w:p w14:paraId="66E948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p>
              </w:tc>
              <w:tc>
                <w:tcPr>
                  <w:tcW w:w="744" w:type="dxa"/>
                  <w:vMerge w:val="continue"/>
                  <w:vAlign w:val="center"/>
                </w:tcPr>
                <w:p w14:paraId="09BD7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p>
              </w:tc>
              <w:tc>
                <w:tcPr>
                  <w:tcW w:w="1440" w:type="dxa"/>
                  <w:vAlign w:val="center"/>
                </w:tcPr>
                <w:p w14:paraId="04D5A3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负压</w:t>
                  </w:r>
                </w:p>
              </w:tc>
              <w:tc>
                <w:tcPr>
                  <w:tcW w:w="1224" w:type="dxa"/>
                  <w:vAlign w:val="center"/>
                </w:tcPr>
                <w:p w14:paraId="687E58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正压</w:t>
                  </w:r>
                </w:p>
              </w:tc>
              <w:tc>
                <w:tcPr>
                  <w:tcW w:w="852" w:type="dxa"/>
                  <w:vMerge w:val="continue"/>
                  <w:vAlign w:val="center"/>
                </w:tcPr>
                <w:p w14:paraId="4BD13A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p>
              </w:tc>
              <w:tc>
                <w:tcPr>
                  <w:tcW w:w="864" w:type="dxa"/>
                  <w:vMerge w:val="continue"/>
                  <w:vAlign w:val="center"/>
                </w:tcPr>
                <w:p w14:paraId="0076D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p>
              </w:tc>
              <w:tc>
                <w:tcPr>
                  <w:tcW w:w="948" w:type="dxa"/>
                  <w:vMerge w:val="continue"/>
                  <w:vAlign w:val="center"/>
                </w:tcPr>
                <w:p w14:paraId="2A358B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p>
              </w:tc>
              <w:tc>
                <w:tcPr>
                  <w:tcW w:w="1302" w:type="dxa"/>
                  <w:vMerge w:val="continue"/>
                  <w:vAlign w:val="center"/>
                </w:tcPr>
                <w:p w14:paraId="12EF0F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p>
              </w:tc>
            </w:tr>
            <w:tr w14:paraId="161C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vAlign w:val="center"/>
                </w:tcPr>
                <w:p w14:paraId="251B9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废气收集效率</w:t>
                  </w:r>
                </w:p>
              </w:tc>
              <w:tc>
                <w:tcPr>
                  <w:tcW w:w="744" w:type="dxa"/>
                  <w:vAlign w:val="center"/>
                </w:tcPr>
                <w:p w14:paraId="7DFE54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95%</w:t>
                  </w:r>
                </w:p>
              </w:tc>
              <w:tc>
                <w:tcPr>
                  <w:tcW w:w="1440" w:type="dxa"/>
                  <w:vAlign w:val="center"/>
                </w:tcPr>
                <w:p w14:paraId="2D7F67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90%</w:t>
                  </w:r>
                </w:p>
              </w:tc>
              <w:tc>
                <w:tcPr>
                  <w:tcW w:w="1224" w:type="dxa"/>
                  <w:vAlign w:val="center"/>
                </w:tcPr>
                <w:p w14:paraId="14C615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80%</w:t>
                  </w:r>
                </w:p>
              </w:tc>
              <w:tc>
                <w:tcPr>
                  <w:tcW w:w="852" w:type="dxa"/>
                  <w:vAlign w:val="center"/>
                </w:tcPr>
                <w:p w14:paraId="3A0068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65%</w:t>
                  </w:r>
                </w:p>
              </w:tc>
              <w:tc>
                <w:tcPr>
                  <w:tcW w:w="864" w:type="dxa"/>
                  <w:vAlign w:val="center"/>
                </w:tcPr>
                <w:p w14:paraId="769EE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30%</w:t>
                  </w:r>
                </w:p>
              </w:tc>
              <w:tc>
                <w:tcPr>
                  <w:tcW w:w="948" w:type="dxa"/>
                  <w:vAlign w:val="center"/>
                </w:tcPr>
                <w:p w14:paraId="20B863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10%</w:t>
                  </w:r>
                </w:p>
              </w:tc>
              <w:tc>
                <w:tcPr>
                  <w:tcW w:w="1302" w:type="dxa"/>
                  <w:vAlign w:val="center"/>
                </w:tcPr>
                <w:p w14:paraId="4F5C4A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vertAlign w:val="baseline"/>
                      <w:lang w:val="en-US" w:eastAsia="zh-CN"/>
                      <w14:textFill>
                        <w14:solidFill>
                          <w14:schemeClr w14:val="tx1"/>
                        </w14:solidFill>
                      </w14:textFill>
                    </w:rPr>
                    <w:t>密闭空间负压收集（90%）</w:t>
                  </w:r>
                </w:p>
              </w:tc>
            </w:tr>
          </w:tbl>
          <w:p w14:paraId="2F2140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综上所述，本项目废气收集效率为90%。</w:t>
            </w:r>
          </w:p>
          <w:p w14:paraId="0AEC7B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）废气</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处理效率</w:t>
            </w:r>
          </w:p>
          <w:p w14:paraId="71CB89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根据《吸附法工业有机废气治理工程技术规范》</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HJ2026-2013</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）可知</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 吸收法（活性炭吸附法）治理效率为50~80%</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本</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第一级活性炭净化效率取</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80</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%，第二级活性炭净化效率取</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60</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%。当项目存在两种或两种以上治理设施联合治理时，治理效率可按照以下公式计算</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p>
          <w:p w14:paraId="2A91C3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u w:val="single"/>
                <w14:textFill>
                  <w14:solidFill>
                    <w14:schemeClr w14:val="tx1"/>
                  </w14:solidFill>
                </w14:textFill>
              </w:rPr>
              <w:drawing>
                <wp:inline distT="0" distB="0" distL="114300" distR="114300">
                  <wp:extent cx="4563110" cy="421640"/>
                  <wp:effectExtent l="0" t="0" r="889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563110" cy="421640"/>
                          </a:xfrm>
                          <a:prstGeom prst="rect">
                            <a:avLst/>
                          </a:prstGeom>
                          <a:noFill/>
                          <a:ln>
                            <a:noFill/>
                          </a:ln>
                        </pic:spPr>
                      </pic:pic>
                    </a:graphicData>
                  </a:graphic>
                </wp:inline>
              </w:drawing>
            </w:r>
          </w:p>
          <w:p w14:paraId="03B0C8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式中:ηi-某种治理设施的治理效率。</w:t>
            </w:r>
          </w:p>
          <w:p w14:paraId="54EEC2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计算结果详见下表</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4-5</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p>
          <w:p w14:paraId="62CEA7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表4-5 本项目废气处理效率一览表</w:t>
            </w:r>
          </w:p>
          <w:tbl>
            <w:tblPr>
              <w:tblStyle w:val="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84"/>
              <w:gridCol w:w="1620"/>
              <w:gridCol w:w="1548"/>
              <w:gridCol w:w="1503"/>
            </w:tblGrid>
            <w:tr w14:paraId="514F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14:paraId="52D5DC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废气</w:t>
                  </w:r>
                </w:p>
              </w:tc>
              <w:tc>
                <w:tcPr>
                  <w:tcW w:w="1584" w:type="dxa"/>
                  <w:vAlign w:val="center"/>
                </w:tcPr>
                <w:p w14:paraId="39B270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第一级活性炭吸附处理效率（%）</w:t>
                  </w:r>
                </w:p>
              </w:tc>
              <w:tc>
                <w:tcPr>
                  <w:tcW w:w="1620" w:type="dxa"/>
                  <w:vAlign w:val="center"/>
                </w:tcPr>
                <w:p w14:paraId="14AAD3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第一级活性炭吸附处理效率（%）</w:t>
                  </w:r>
                </w:p>
              </w:tc>
              <w:tc>
                <w:tcPr>
                  <w:tcW w:w="1548" w:type="dxa"/>
                  <w:vAlign w:val="center"/>
                </w:tcPr>
                <w:p w14:paraId="1130F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总处理效率（%）</w:t>
                  </w:r>
                </w:p>
              </w:tc>
              <w:tc>
                <w:tcPr>
                  <w:tcW w:w="1503" w:type="dxa"/>
                  <w:vAlign w:val="center"/>
                </w:tcPr>
                <w:p w14:paraId="27F02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本项目取值（%）</w:t>
                  </w:r>
                </w:p>
              </w:tc>
            </w:tr>
            <w:tr w14:paraId="17B6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6" w:type="dxa"/>
                  <w:vAlign w:val="center"/>
                </w:tcPr>
                <w:p w14:paraId="0AC637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二甲苯、非甲烷总烃</w:t>
                  </w:r>
                </w:p>
                <w:p w14:paraId="3517E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（有机废气）</w:t>
                  </w:r>
                </w:p>
              </w:tc>
              <w:tc>
                <w:tcPr>
                  <w:tcW w:w="1584" w:type="dxa"/>
                  <w:vAlign w:val="center"/>
                </w:tcPr>
                <w:p w14:paraId="18635B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80</w:t>
                  </w:r>
                </w:p>
              </w:tc>
              <w:tc>
                <w:tcPr>
                  <w:tcW w:w="1620" w:type="dxa"/>
                  <w:vAlign w:val="center"/>
                </w:tcPr>
                <w:p w14:paraId="725051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60</w:t>
                  </w:r>
                </w:p>
              </w:tc>
              <w:tc>
                <w:tcPr>
                  <w:tcW w:w="1548" w:type="dxa"/>
                  <w:vAlign w:val="center"/>
                </w:tcPr>
                <w:p w14:paraId="3C4AC1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92</w:t>
                  </w:r>
                </w:p>
              </w:tc>
              <w:tc>
                <w:tcPr>
                  <w:tcW w:w="1503" w:type="dxa"/>
                  <w:vAlign w:val="center"/>
                </w:tcPr>
                <w:p w14:paraId="5363B0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90</w:t>
                  </w:r>
                </w:p>
              </w:tc>
            </w:tr>
          </w:tbl>
          <w:p w14:paraId="30BE8A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为了保守考虑，本次评价“二级活性炭吸附”装置对有机废气处理效率取</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90</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p>
          <w:p w14:paraId="02AC79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技术可行性分析</w:t>
            </w:r>
          </w:p>
          <w:p w14:paraId="035DFE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 xml:space="preserve">由于本项目无相关排污技术规范，参考《排污许可证申请与核发技术规范 </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家具</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制造业》</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HJ1027-2019）中“表4简化管理排污单位废气产污环节、污染物种类、排放形式及污染防治设施一览表”中“涂装车间-面漆房工段的废气污染防治设施名称及工艺包括活性炭吸附”，证明本项目采用“二级活性炭吸附”装置属于可行性工艺。</w:t>
            </w:r>
          </w:p>
          <w:p w14:paraId="6ED801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治理设施可行性分析</w:t>
            </w:r>
          </w:p>
          <w:p w14:paraId="5D071F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b w:val="0"/>
                <w:bCs w:val="0"/>
                <w:color w:val="000000" w:themeColor="text1"/>
                <w:sz w:val="24"/>
                <w:szCs w:val="24"/>
                <w:u w:val="singl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u w:val="single"/>
                <w:vertAlign w:val="baseline"/>
                <w:lang w:val="en-US" w:eastAsia="zh-CN"/>
                <w14:textFill>
                  <w14:solidFill>
                    <w14:schemeClr w14:val="tx1"/>
                  </w14:solidFill>
                </w14:textFill>
              </w:rPr>
              <w:t>①有组织（</w:t>
            </w:r>
            <w:r>
              <w:rPr>
                <w:rFonts w:hint="eastAsia" w:ascii="黑体" w:hAnsi="黑体" w:eastAsia="黑体" w:cs="黑体"/>
                <w:b w:val="0"/>
                <w:bCs w:val="0"/>
                <w:color w:val="000000" w:themeColor="text1"/>
                <w:sz w:val="24"/>
                <w:szCs w:val="24"/>
                <w:u w:val="single"/>
                <w:lang w:val="en-US" w:eastAsia="zh-CN"/>
                <w14:textFill>
                  <w14:solidFill>
                    <w14:schemeClr w14:val="tx1"/>
                  </w14:solidFill>
                </w14:textFill>
              </w:rPr>
              <w:t>“二级活性炭吸附”装置</w:t>
            </w:r>
            <w:r>
              <w:rPr>
                <w:rFonts w:hint="eastAsia" w:ascii="黑体" w:hAnsi="黑体" w:eastAsia="黑体" w:cs="黑体"/>
                <w:b w:val="0"/>
                <w:bCs w:val="0"/>
                <w:color w:val="000000" w:themeColor="text1"/>
                <w:sz w:val="24"/>
                <w:szCs w:val="24"/>
                <w:u w:val="single"/>
                <w:vertAlign w:val="baseline"/>
                <w:lang w:val="en-US" w:eastAsia="zh-CN"/>
                <w14:textFill>
                  <w14:solidFill>
                    <w14:schemeClr w14:val="tx1"/>
                  </w14:solidFill>
                </w14:textFill>
              </w:rPr>
              <w:t>）</w:t>
            </w:r>
          </w:p>
          <w:p w14:paraId="322B50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活性炭是一种黑色多孔的固体炭质。早期由木材、硬果壳或兽骨等经炭化、活化制得，后改用煤通过粉碎、成型或用均匀的煤粒经炭化、活化生产。</w:t>
            </w:r>
          </w:p>
          <w:p w14:paraId="6593E2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普通活性炭的比表面积在500～1700m²/g间，具有很强的吸附性能，吸附速度快，吸附容量高，易于再生，经久耐用，为用途极广的一种工业吸附剂。对于气、液的吸附可接近于活性炭本身的质量。在同一系列物质中，沸点越高越容易被吸附，压越大、温度越低、浓度越高、吸附 量越大，反之，减压、升温有利于气体的解吸。</w:t>
            </w:r>
          </w:p>
          <w:p w14:paraId="1A8AF8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活性炭吸附过滤装置一般由风机、箱体和装填在箱体内的活性炭吸附过滤单元组成。活性炭吸附装置可处理苯、酮类、醇类、烷类及其混合物类有机废气，主要用于电子原件生产、电池生产、酸洗作业、实验室排气、冶金、化工、医药、涂装、食品、酿造等废气治理，尤为适合低浓度大风量或高浓度间歇排放废气的作业环境</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因此，较适用于本项目有机废气的处理净化。</w:t>
            </w:r>
          </w:p>
          <w:p w14:paraId="3A5671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工作原理</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气体由风机提供动力，正压或负压进入活性炭吸附床，由于活性炭固体表面上存在着未平衡和未饱和的分子引力或化学健力，因此当此固体表面与气体接触时，就能吸引气体分子，使其浓聚并保持在固体表面，污染物质从而被吸附，废气经过滤器后，进入设备排尘系统，净化气体高空达标排放。</w:t>
            </w:r>
          </w:p>
          <w:p w14:paraId="48569F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经过以上治理措施，可以减少有组织废气的排放；有</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组织排放的废气能够满足相应的排放标准要求，对周围大气环境的影响较小。</w:t>
            </w:r>
          </w:p>
          <w:p w14:paraId="2CAF1D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黑体" w:hAnsi="黑体" w:eastAsia="黑体" w:cs="黑体"/>
                <w:b w:val="0"/>
                <w:bCs w:val="0"/>
                <w:color w:val="000000" w:themeColor="text1"/>
                <w:sz w:val="24"/>
                <w:szCs w:val="24"/>
                <w:u w:val="singl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u w:val="single"/>
                <w:vertAlign w:val="baseline"/>
                <w:lang w:val="en-US" w:eastAsia="zh-CN"/>
                <w14:textFill>
                  <w14:solidFill>
                    <w14:schemeClr w14:val="tx1"/>
                  </w14:solidFill>
                </w14:textFill>
              </w:rPr>
              <w:t>②无组织</w:t>
            </w:r>
          </w:p>
          <w:p w14:paraId="0D479B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本项目采取如下措施，以减少无组织挥发量与排放浓度：</w:t>
            </w:r>
          </w:p>
          <w:p w14:paraId="5262F1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①合理布置车间，将产生无组织废气的产生源布置密闭或局部收集措施，以减少无组织废气的排放；</w:t>
            </w:r>
          </w:p>
          <w:p w14:paraId="2557F7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②加强对操作工的培训和管理，确保废气的捕捉率，以减少人为造成的废气无组织排放；</w:t>
            </w:r>
          </w:p>
          <w:p w14:paraId="793E6B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③在厂区外侧设置绿化带，种植对废气具有良好吸附效果的植被以降低无组织排放的影响。</w:t>
            </w:r>
          </w:p>
          <w:p w14:paraId="202D57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④收集的废气中NMHC初始排放速率≧3kg/h时，应配置VOCs处理设施，处理效率不应低于80%；对于重点地区，收集的废气中NMHC初始排放速率≧2kg/h时，应配置VOCs处理设施，处理效率不应低于80%；采用的原辅料符合国家有关低VOCs含量产品规定的除外。</w:t>
            </w:r>
          </w:p>
          <w:p w14:paraId="3B38BD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通过以上措施，可以减少无组织废气的排放，无组织排放的废气能够满足相应的排放标准要求，对周围大气环境的影响较小。</w:t>
            </w:r>
          </w:p>
          <w:p w14:paraId="1564C4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u w:val="single"/>
                <w:vertAlign w:val="baseline"/>
                <w:lang w:val="en-US" w:eastAsia="zh-CN"/>
                <w14:textFill>
                  <w14:solidFill>
                    <w14:schemeClr w14:val="tx1"/>
                  </w14:solidFill>
                </w14:textFill>
              </w:rPr>
              <w:t>2.4</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废气</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排放情况达标分析</w:t>
            </w:r>
          </w:p>
          <w:p w14:paraId="455B3A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（1）有组织排放达标情况</w:t>
            </w:r>
          </w:p>
          <w:p w14:paraId="16F445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表4-6 本项目废气有组织排放达标情况一览表</w:t>
            </w:r>
          </w:p>
          <w:tbl>
            <w:tblPr>
              <w:tblStyle w:val="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272"/>
              <w:gridCol w:w="924"/>
              <w:gridCol w:w="1160"/>
              <w:gridCol w:w="956"/>
              <w:gridCol w:w="1144"/>
              <w:gridCol w:w="1216"/>
              <w:gridCol w:w="754"/>
            </w:tblGrid>
            <w:tr w14:paraId="2E68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75" w:type="dxa"/>
                  <w:vMerge w:val="restart"/>
                  <w:vAlign w:val="center"/>
                </w:tcPr>
                <w:p w14:paraId="709A7F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污染源</w:t>
                  </w:r>
                </w:p>
              </w:tc>
              <w:tc>
                <w:tcPr>
                  <w:tcW w:w="1272" w:type="dxa"/>
                  <w:vMerge w:val="restart"/>
                  <w:vAlign w:val="center"/>
                </w:tcPr>
                <w:p w14:paraId="093F6F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污染因子</w:t>
                  </w:r>
                </w:p>
              </w:tc>
              <w:tc>
                <w:tcPr>
                  <w:tcW w:w="924" w:type="dxa"/>
                  <w:vMerge w:val="restart"/>
                  <w:vAlign w:val="center"/>
                </w:tcPr>
                <w:p w14:paraId="06C318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治理</w:t>
                  </w:r>
                </w:p>
                <w:p w14:paraId="7AADB3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设施</w:t>
                  </w:r>
                </w:p>
              </w:tc>
              <w:tc>
                <w:tcPr>
                  <w:tcW w:w="2116" w:type="dxa"/>
                  <w:gridSpan w:val="2"/>
                  <w:vAlign w:val="center"/>
                </w:tcPr>
                <w:p w14:paraId="7080B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污染物排放情况</w:t>
                  </w:r>
                </w:p>
              </w:tc>
              <w:tc>
                <w:tcPr>
                  <w:tcW w:w="2360" w:type="dxa"/>
                  <w:gridSpan w:val="2"/>
                  <w:vAlign w:val="center"/>
                </w:tcPr>
                <w:p w14:paraId="7E9B3F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执行标准</w:t>
                  </w:r>
                </w:p>
              </w:tc>
              <w:tc>
                <w:tcPr>
                  <w:tcW w:w="754" w:type="dxa"/>
                  <w:vMerge w:val="restart"/>
                  <w:vAlign w:val="center"/>
                </w:tcPr>
                <w:p w14:paraId="0B9268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达标情况</w:t>
                  </w:r>
                </w:p>
              </w:tc>
            </w:tr>
            <w:tr w14:paraId="51CC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875" w:type="dxa"/>
                  <w:vMerge w:val="continue"/>
                  <w:vAlign w:val="center"/>
                </w:tcPr>
                <w:p w14:paraId="74B6B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272" w:type="dxa"/>
                  <w:vMerge w:val="continue"/>
                  <w:vAlign w:val="center"/>
                </w:tcPr>
                <w:p w14:paraId="0E3D19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924" w:type="dxa"/>
                  <w:vMerge w:val="continue"/>
                  <w:vAlign w:val="center"/>
                </w:tcPr>
                <w:p w14:paraId="5B0C7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160" w:type="dxa"/>
                  <w:vAlign w:val="center"/>
                </w:tcPr>
                <w:p w14:paraId="549CB1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浓度</w:t>
                  </w:r>
                </w:p>
                <w:p w14:paraId="3FA706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（mg/m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956" w:type="dxa"/>
                  <w:vAlign w:val="center"/>
                </w:tcPr>
                <w:p w14:paraId="738AD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速率（kg/h）</w:t>
                  </w:r>
                </w:p>
              </w:tc>
              <w:tc>
                <w:tcPr>
                  <w:tcW w:w="1144" w:type="dxa"/>
                  <w:vAlign w:val="center"/>
                </w:tcPr>
                <w:p w14:paraId="433CC0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最高允许排放浓度（mg/m</w:t>
                  </w:r>
                  <w:r>
                    <w:rPr>
                      <w:rFonts w:hint="default" w:ascii="Times New Roman" w:hAnsi="Times New Roman" w:eastAsia="黑体" w:cs="Times New Roman"/>
                      <w:b w:val="0"/>
                      <w:bCs w:val="0"/>
                      <w:color w:val="000000" w:themeColor="text1"/>
                      <w:sz w:val="21"/>
                      <w:szCs w:val="21"/>
                      <w:u w:val="single"/>
                      <w:vertAlign w:val="superscript"/>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216" w:type="dxa"/>
                  <w:vAlign w:val="center"/>
                </w:tcPr>
                <w:p w14:paraId="645AF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最高允许排放速率（kg/h）</w:t>
                  </w:r>
                </w:p>
              </w:tc>
              <w:tc>
                <w:tcPr>
                  <w:tcW w:w="754" w:type="dxa"/>
                  <w:vMerge w:val="continue"/>
                  <w:vAlign w:val="center"/>
                </w:tcPr>
                <w:p w14:paraId="3E4BA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r>
            <w:tr w14:paraId="433F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75" w:type="dxa"/>
                  <w:vMerge w:val="restart"/>
                  <w:vAlign w:val="center"/>
                </w:tcPr>
                <w:p w14:paraId="79617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DA001</w:t>
                  </w:r>
                </w:p>
              </w:tc>
              <w:tc>
                <w:tcPr>
                  <w:tcW w:w="1272" w:type="dxa"/>
                  <w:vAlign w:val="center"/>
                </w:tcPr>
                <w:p w14:paraId="477010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非甲烷总烃</w:t>
                  </w:r>
                </w:p>
              </w:tc>
              <w:tc>
                <w:tcPr>
                  <w:tcW w:w="924" w:type="dxa"/>
                  <w:vMerge w:val="restart"/>
                  <w:vAlign w:val="center"/>
                </w:tcPr>
                <w:p w14:paraId="21F40A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二级活性炭吸附装置</w:t>
                  </w:r>
                </w:p>
              </w:tc>
              <w:tc>
                <w:tcPr>
                  <w:tcW w:w="1160" w:type="dxa"/>
                  <w:vAlign w:val="center"/>
                </w:tcPr>
                <w:p w14:paraId="2A5BE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0.295</w:t>
                  </w:r>
                </w:p>
              </w:tc>
              <w:tc>
                <w:tcPr>
                  <w:tcW w:w="956" w:type="dxa"/>
                  <w:vAlign w:val="center"/>
                </w:tcPr>
                <w:p w14:paraId="510C92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0.010</w:t>
                  </w:r>
                </w:p>
              </w:tc>
              <w:tc>
                <w:tcPr>
                  <w:tcW w:w="1144" w:type="dxa"/>
                  <w:vAlign w:val="center"/>
                </w:tcPr>
                <w:p w14:paraId="7149CA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40</w:t>
                  </w:r>
                </w:p>
              </w:tc>
              <w:tc>
                <w:tcPr>
                  <w:tcW w:w="1216" w:type="dxa"/>
                  <w:vAlign w:val="center"/>
                </w:tcPr>
                <w:p w14:paraId="0AF92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754" w:type="dxa"/>
                  <w:vAlign w:val="center"/>
                </w:tcPr>
                <w:p w14:paraId="77F96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r w14:paraId="1565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11C7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272" w:type="dxa"/>
                  <w:vAlign w:val="center"/>
                </w:tcPr>
                <w:p w14:paraId="34B436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二甲苯</w:t>
                  </w:r>
                </w:p>
              </w:tc>
              <w:tc>
                <w:tcPr>
                  <w:tcW w:w="924" w:type="dxa"/>
                  <w:vMerge w:val="continue"/>
                  <w:vAlign w:val="center"/>
                </w:tcPr>
                <w:p w14:paraId="615E51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p>
              </w:tc>
              <w:tc>
                <w:tcPr>
                  <w:tcW w:w="1160" w:type="dxa"/>
                  <w:vAlign w:val="center"/>
                </w:tcPr>
                <w:p w14:paraId="7417BB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0.374</w:t>
                  </w:r>
                </w:p>
              </w:tc>
              <w:tc>
                <w:tcPr>
                  <w:tcW w:w="956" w:type="dxa"/>
                  <w:vAlign w:val="center"/>
                </w:tcPr>
                <w:p w14:paraId="3A0F39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0.012</w:t>
                  </w:r>
                </w:p>
              </w:tc>
              <w:tc>
                <w:tcPr>
                  <w:tcW w:w="1144" w:type="dxa"/>
                  <w:vAlign w:val="center"/>
                </w:tcPr>
                <w:p w14:paraId="13D61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17</w:t>
                  </w:r>
                </w:p>
              </w:tc>
              <w:tc>
                <w:tcPr>
                  <w:tcW w:w="1216" w:type="dxa"/>
                  <w:vAlign w:val="center"/>
                </w:tcPr>
                <w:p w14:paraId="72B593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754" w:type="dxa"/>
                  <w:vAlign w:val="center"/>
                </w:tcPr>
                <w:p w14:paraId="58CFF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达标</w:t>
                  </w:r>
                </w:p>
              </w:tc>
            </w:tr>
          </w:tbl>
          <w:p w14:paraId="747BDB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由上表可知，</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二甲苯、</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非甲烷总烃</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有组织排放</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可达到《表面涂装（汽车制造及维修）挥发性有机物、镍排放标准》（DB43/1356-2017）表1中标准限值</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w:t>
            </w:r>
          </w:p>
          <w:p w14:paraId="21A893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（2）无组织排放达标情况</w:t>
            </w:r>
          </w:p>
          <w:p w14:paraId="18095D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本项目产生的</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二甲苯</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无组织排放量为0.033t/a</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、非甲烷总烃无组织排放</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量为0.026t/a。厂界二甲苯、非甲烷总烃可达到</w:t>
            </w:r>
            <w:r>
              <w:rPr>
                <w:rFonts w:hint="default"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《大气污染物排放综合排放标准》（GB16297-1996）表2中无组织排放浓度监控限值。</w:t>
            </w:r>
            <w:r>
              <w:rPr>
                <w:rFonts w:hint="eastAsia" w:ascii="Times New Roman" w:hAnsi="Times New Roman" w:eastAsia="宋体" w:cs="Times New Roman"/>
                <w:b w:val="0"/>
                <w:bCs w:val="0"/>
                <w:color w:val="000000" w:themeColor="text1"/>
                <w:sz w:val="24"/>
                <w:szCs w:val="24"/>
                <w:u w:val="single"/>
                <w:vertAlign w:val="baseline"/>
                <w:lang w:val="en-US" w:eastAsia="zh-CN"/>
                <w14:textFill>
                  <w14:solidFill>
                    <w14:schemeClr w14:val="tx1"/>
                  </w14:solidFill>
                </w14:textFill>
              </w:rPr>
              <w:t>厂区内非甲烷总烃无组织排放可达到《挥发性有机物无组织排放控制标准》（GB37822-2019）附录A中“厂区内NMHC无组织排放限值”</w:t>
            </w:r>
          </w:p>
          <w:p w14:paraId="06D4CC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pPr>
            <w:r>
              <w:rPr>
                <w:rFonts w:hint="eastAsia" w:eastAsia="黑体" w:cs="Times New Roman"/>
                <w:b w:val="0"/>
                <w:bCs w:val="0"/>
                <w:color w:val="000000" w:themeColor="text1"/>
                <w:sz w:val="24"/>
                <w:szCs w:val="24"/>
                <w:vertAlign w:val="baseline"/>
                <w:lang w:val="en-US" w:eastAsia="zh-CN"/>
                <w14:textFill>
                  <w14:solidFill>
                    <w14:schemeClr w14:val="tx1"/>
                  </w14:solidFill>
                </w14:textFill>
              </w:rPr>
              <w:t>2.5</w:t>
            </w:r>
            <w:r>
              <w:rPr>
                <w:rFonts w:hint="eastAsia"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非正常排放情况</w:t>
            </w:r>
          </w:p>
          <w:p w14:paraId="40C1EA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检验工作开始</w:t>
            </w:r>
            <w:r>
              <w:rPr>
                <w:rFonts w:hint="default" w:ascii="Times New Roman" w:hAnsi="Times New Roman" w:eastAsia="宋体" w:cs="Times New Roman"/>
                <w:color w:val="000000" w:themeColor="text1"/>
                <w:sz w:val="24"/>
                <w:szCs w:val="24"/>
                <w14:textFill>
                  <w14:solidFill>
                    <w14:schemeClr w14:val="tx1"/>
                  </w14:solidFill>
                </w14:textFill>
              </w:rPr>
              <w:t>时，首先运行所有的废气处理装置，然后再开启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检验的</w:t>
            </w:r>
            <w:r>
              <w:rPr>
                <w:rFonts w:hint="default" w:ascii="Times New Roman" w:hAnsi="Times New Roman" w:eastAsia="宋体" w:cs="Times New Roman"/>
                <w:color w:val="000000" w:themeColor="text1"/>
                <w:sz w:val="24"/>
                <w:szCs w:val="24"/>
                <w14:textFill>
                  <w14:solidFill>
                    <w14:schemeClr w14:val="tx1"/>
                  </w14:solidFill>
                </w14:textFill>
              </w:rPr>
              <w:t>工艺流程，使在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检验工作</w:t>
            </w:r>
            <w:r>
              <w:rPr>
                <w:rFonts w:hint="default" w:ascii="Times New Roman" w:hAnsi="Times New Roman" w:eastAsia="宋体" w:cs="Times New Roman"/>
                <w:color w:val="000000" w:themeColor="text1"/>
                <w:sz w:val="24"/>
                <w:szCs w:val="24"/>
                <w14:textFill>
                  <w14:solidFill>
                    <w14:schemeClr w14:val="tx1"/>
                  </w14:solidFill>
                </w14:textFill>
              </w:rPr>
              <w:t>中所产生的废气都能得到处理。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检验完毕后</w:t>
            </w:r>
            <w:r>
              <w:rPr>
                <w:rFonts w:hint="default" w:ascii="Times New Roman" w:hAnsi="Times New Roman" w:eastAsia="宋体" w:cs="Times New Roman"/>
                <w:color w:val="000000" w:themeColor="text1"/>
                <w:sz w:val="24"/>
                <w:szCs w:val="24"/>
                <w14:textFill>
                  <w14:solidFill>
                    <w14:schemeClr w14:val="tx1"/>
                  </w14:solidFill>
                </w14:textFill>
              </w:rPr>
              <w:t>，所有的废气处理装置继续运转，待工艺中的废气没有排出之后才逐台关闭。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检验废气处理设施</w:t>
            </w:r>
            <w:r>
              <w:rPr>
                <w:rFonts w:hint="default" w:ascii="Times New Roman" w:hAnsi="Times New Roman" w:eastAsia="宋体" w:cs="Times New Roman"/>
                <w:color w:val="000000" w:themeColor="text1"/>
                <w:sz w:val="24"/>
                <w:szCs w:val="24"/>
                <w14:textFill>
                  <w14:solidFill>
                    <w14:schemeClr w14:val="tx1"/>
                  </w14:solidFill>
                </w14:textFill>
              </w:rPr>
              <w:t>在开、停车时排出污染物均得到有效处理，经排气筒排出的污染物浓度和正常生产时基本一致。</w:t>
            </w:r>
          </w:p>
          <w:p w14:paraId="19FF92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气处理系统和排风机均设有保安电源，系统设有备用风机（N+1配置）。当废气处理设备出现故障时，工艺生产过程排放的废气将未经处理直接排入大气，造成非正常排放。本工程排风系统均设有安全保护电源和报警系统，设备每年检修一次，基本上能保证无故障运行。日常运行中，若出现故障，检修人员可立即到现场进行维修，一般操作在30分钟内基本上可以完成，预计最长不会超过60分钟。</w:t>
            </w:r>
          </w:p>
          <w:p w14:paraId="2C034C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废气处理系统出现故障，一般有3种情况：停电、净化装置和风机出现故障，对生产异常情况，采取以下措施：</w:t>
            </w:r>
          </w:p>
          <w:p w14:paraId="24C9F6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a.如果全厂停电，停止生产，无污染物产生。为确保安全，风机仍然继续运转（采用UPS）。</w:t>
            </w:r>
          </w:p>
          <w:p w14:paraId="52A06C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b.风机出现故障时，备用风机立即启动。</w:t>
            </w:r>
          </w:p>
          <w:p w14:paraId="7E15C6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c.当废气处理设施出现故障时，应立即进行维修，必要时停止生产原料的供给。</w:t>
            </w:r>
          </w:p>
          <w:p w14:paraId="3B8825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安排专人负责环保设备的日常维护和管理，每个固定时间检查、汇报情况，及时发现废气处理设备的隐患，确保废气处理系统正常运行</w:t>
            </w:r>
          </w:p>
          <w:p w14:paraId="74170C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e.</w:t>
            </w:r>
            <w:r>
              <w:rPr>
                <w:rFonts w:hint="default" w:ascii="Times New Roman" w:hAnsi="Times New Roman" w:eastAsia="宋体" w:cs="Times New Roman"/>
                <w:color w:val="000000" w:themeColor="text1"/>
                <w:sz w:val="24"/>
                <w:szCs w:val="24"/>
                <w14:textFill>
                  <w14:solidFill>
                    <w14:schemeClr w14:val="tx1"/>
                  </w14:solidFill>
                </w14:textFill>
              </w:rPr>
              <w:t>建立健全的环保管理机构，对环保管理人员和技术人员进行岗位培训，委托具有专业资质的环境检测单位对项目排放的各类污染物进行定期检测</w:t>
            </w:r>
          </w:p>
          <w:p w14:paraId="6FAB96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f.</w:t>
            </w:r>
            <w:r>
              <w:rPr>
                <w:rFonts w:hint="default" w:ascii="Times New Roman" w:hAnsi="Times New Roman" w:eastAsia="宋体" w:cs="Times New Roman"/>
                <w:color w:val="000000" w:themeColor="text1"/>
                <w:sz w:val="24"/>
                <w:szCs w:val="24"/>
                <w14:textFill>
                  <w14:solidFill>
                    <w14:schemeClr w14:val="tx1"/>
                  </w14:solidFill>
                </w14:textFill>
              </w:rPr>
              <w:t>应定期维护、检修废气净化装置，以保持废气处理装置的净化能力和净化容量。</w:t>
            </w:r>
          </w:p>
          <w:p w14:paraId="63414D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因此，非正常工况考虑废气环保设施运行不正常的情况，本报告按最不利的情况考虑，即废气处理装置完全失效，处理效率下降至0%。非正常排放情况及概率见下表</w:t>
            </w:r>
            <w:r>
              <w:rPr>
                <w:rFonts w:hint="eastAsia" w:cs="Times New Roman"/>
                <w:color w:val="000000" w:themeColor="text1"/>
                <w:sz w:val="24"/>
                <w:szCs w:val="24"/>
                <w:lang w:val="en-US" w:eastAsia="zh-CN"/>
                <w14:textFill>
                  <w14:solidFill>
                    <w14:schemeClr w14:val="tx1"/>
                  </w14:solidFill>
                </w14:textFill>
              </w:rPr>
              <w:t>4-7</w:t>
            </w:r>
            <w:r>
              <w:rPr>
                <w:rFonts w:hint="default" w:ascii="Times New Roman" w:hAnsi="Times New Roman" w:eastAsia="宋体" w:cs="Times New Roman"/>
                <w:color w:val="000000" w:themeColor="text1"/>
                <w:sz w:val="24"/>
                <w:szCs w:val="24"/>
                <w14:textFill>
                  <w14:solidFill>
                    <w14:schemeClr w14:val="tx1"/>
                  </w14:solidFill>
                </w14:textFill>
              </w:rPr>
              <w:t>。</w:t>
            </w:r>
          </w:p>
          <w:p w14:paraId="56F086DD">
            <w:pPr>
              <w:spacing w:line="360" w:lineRule="auto"/>
              <w:jc w:val="cente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4-7 项目非正常排放量核算及概率分析一览表</w:t>
            </w:r>
          </w:p>
          <w:tbl>
            <w:tblPr>
              <w:tblStyle w:val="8"/>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248"/>
              <w:gridCol w:w="876"/>
              <w:gridCol w:w="1428"/>
              <w:gridCol w:w="1224"/>
              <w:gridCol w:w="888"/>
              <w:gridCol w:w="744"/>
              <w:gridCol w:w="1084"/>
            </w:tblGrid>
            <w:tr w14:paraId="4A69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6" w:type="dxa"/>
                  <w:noWrap w:val="0"/>
                  <w:vAlign w:val="center"/>
                </w:tcPr>
                <w:p w14:paraId="43FA6694">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污染源</w:t>
                  </w:r>
                </w:p>
              </w:tc>
              <w:tc>
                <w:tcPr>
                  <w:tcW w:w="1248" w:type="dxa"/>
                  <w:noWrap w:val="0"/>
                  <w:vAlign w:val="center"/>
                </w:tcPr>
                <w:p w14:paraId="665EC85D">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非正常排放原因</w:t>
                  </w:r>
                </w:p>
              </w:tc>
              <w:tc>
                <w:tcPr>
                  <w:tcW w:w="876" w:type="dxa"/>
                  <w:noWrap w:val="0"/>
                  <w:vAlign w:val="center"/>
                </w:tcPr>
                <w:p w14:paraId="00A9BC4A">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污染物</w:t>
                  </w:r>
                </w:p>
              </w:tc>
              <w:tc>
                <w:tcPr>
                  <w:tcW w:w="1428" w:type="dxa"/>
                  <w:noWrap w:val="0"/>
                  <w:vAlign w:val="center"/>
                </w:tcPr>
                <w:p w14:paraId="0F22449C">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非正常排放浓度（mg/m</w:t>
                  </w:r>
                  <w:r>
                    <w:rPr>
                      <w:rFonts w:hint="default" w:ascii="Times New Roman" w:hAnsi="Times New Roman" w:eastAsia="黑体" w:cs="Times New Roman"/>
                      <w:b w:val="0"/>
                      <w:bCs w:val="0"/>
                      <w:color w:val="000000" w:themeColor="text1"/>
                      <w:sz w:val="20"/>
                      <w:szCs w:val="20"/>
                      <w:vertAlign w:val="superscript"/>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w:t>
                  </w:r>
                </w:p>
              </w:tc>
              <w:tc>
                <w:tcPr>
                  <w:tcW w:w="1224" w:type="dxa"/>
                  <w:noWrap w:val="0"/>
                  <w:vAlign w:val="center"/>
                </w:tcPr>
                <w:p w14:paraId="0A1434E0">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非正常排放速率（g/h）</w:t>
                  </w:r>
                </w:p>
              </w:tc>
              <w:tc>
                <w:tcPr>
                  <w:tcW w:w="888" w:type="dxa"/>
                  <w:noWrap w:val="0"/>
                  <w:vAlign w:val="center"/>
                </w:tcPr>
                <w:p w14:paraId="06604D71">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单次持续时间/h</w:t>
                  </w:r>
                </w:p>
              </w:tc>
              <w:tc>
                <w:tcPr>
                  <w:tcW w:w="744" w:type="dxa"/>
                  <w:noWrap w:val="0"/>
                  <w:vAlign w:val="center"/>
                </w:tcPr>
                <w:p w14:paraId="60646DB2">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年发生频次/次</w:t>
                  </w:r>
                </w:p>
              </w:tc>
              <w:tc>
                <w:tcPr>
                  <w:tcW w:w="1084" w:type="dxa"/>
                  <w:noWrap w:val="0"/>
                  <w:vAlign w:val="center"/>
                </w:tcPr>
                <w:p w14:paraId="2A321740">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应对措施</w:t>
                  </w:r>
                </w:p>
              </w:tc>
            </w:tr>
            <w:tr w14:paraId="16E4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56" w:type="dxa"/>
                  <w:vMerge w:val="restart"/>
                  <w:noWrap w:val="0"/>
                  <w:vAlign w:val="center"/>
                </w:tcPr>
                <w:p w14:paraId="52408885">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DA001</w:t>
                  </w:r>
                </w:p>
              </w:tc>
              <w:tc>
                <w:tcPr>
                  <w:tcW w:w="1248" w:type="dxa"/>
                  <w:vMerge w:val="restart"/>
                  <w:noWrap w:val="0"/>
                  <w:vAlign w:val="center"/>
                </w:tcPr>
                <w:p w14:paraId="6BF2EAFE">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环保设备出现故障，废气治理效率下降至0</w:t>
                  </w:r>
                </w:p>
              </w:tc>
              <w:tc>
                <w:tcPr>
                  <w:tcW w:w="876" w:type="dxa"/>
                  <w:noWrap w:val="0"/>
                  <w:vAlign w:val="center"/>
                </w:tcPr>
                <w:p w14:paraId="58FAC644">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lang w:val="en-US" w:eastAsia="zh-CN"/>
                      <w14:textFill>
                        <w14:solidFill>
                          <w14:schemeClr w14:val="tx1"/>
                        </w14:solidFill>
                      </w14:textFill>
                    </w:rPr>
                    <w:t>非甲烷总烃</w:t>
                  </w:r>
                </w:p>
              </w:tc>
              <w:tc>
                <w:tcPr>
                  <w:tcW w:w="1428" w:type="dxa"/>
                  <w:noWrap w:val="0"/>
                  <w:vAlign w:val="center"/>
                </w:tcPr>
                <w:p w14:paraId="266B4B01">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lang w:val="en-US" w:eastAsia="zh-CN"/>
                      <w14:textFill>
                        <w14:solidFill>
                          <w14:schemeClr w14:val="tx1"/>
                        </w14:solidFill>
                      </w14:textFill>
                    </w:rPr>
                    <w:t>2.955</w:t>
                  </w:r>
                </w:p>
              </w:tc>
              <w:tc>
                <w:tcPr>
                  <w:tcW w:w="1224" w:type="dxa"/>
                  <w:noWrap w:val="0"/>
                  <w:vAlign w:val="center"/>
                </w:tcPr>
                <w:p w14:paraId="0024657A">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0.098</w:t>
                  </w:r>
                </w:p>
              </w:tc>
              <w:tc>
                <w:tcPr>
                  <w:tcW w:w="888" w:type="dxa"/>
                  <w:vMerge w:val="restart"/>
                  <w:noWrap w:val="0"/>
                  <w:vAlign w:val="center"/>
                </w:tcPr>
                <w:p w14:paraId="1EA78D31">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1</w:t>
                  </w:r>
                </w:p>
              </w:tc>
              <w:tc>
                <w:tcPr>
                  <w:tcW w:w="744" w:type="dxa"/>
                  <w:vMerge w:val="restart"/>
                  <w:noWrap w:val="0"/>
                  <w:vAlign w:val="center"/>
                </w:tcPr>
                <w:p w14:paraId="0EF16914">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2</w:t>
                  </w:r>
                </w:p>
              </w:tc>
              <w:tc>
                <w:tcPr>
                  <w:tcW w:w="1084" w:type="dxa"/>
                  <w:vMerge w:val="restart"/>
                  <w:noWrap w:val="0"/>
                  <w:vAlign w:val="center"/>
                </w:tcPr>
                <w:p w14:paraId="40F674DC">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定期停工检修；加强对环保设备的保养和维护</w:t>
                  </w:r>
                </w:p>
              </w:tc>
            </w:tr>
            <w:tr w14:paraId="34FF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56" w:type="dxa"/>
                  <w:vMerge w:val="continue"/>
                  <w:noWrap w:val="0"/>
                  <w:vAlign w:val="center"/>
                </w:tcPr>
                <w:p w14:paraId="7D56F449">
                  <w:pPr>
                    <w:bidi w:val="0"/>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1248" w:type="dxa"/>
                  <w:vMerge w:val="continue"/>
                  <w:noWrap w:val="0"/>
                  <w:vAlign w:val="center"/>
                </w:tcPr>
                <w:p w14:paraId="38914F00">
                  <w:pPr>
                    <w:bidi w:val="0"/>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876" w:type="dxa"/>
                  <w:noWrap w:val="0"/>
                  <w:vAlign w:val="center"/>
                </w:tcPr>
                <w:p w14:paraId="3C27C1C5">
                  <w:pPr>
                    <w:bidi w:val="0"/>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二甲苯</w:t>
                  </w:r>
                </w:p>
              </w:tc>
              <w:tc>
                <w:tcPr>
                  <w:tcW w:w="1428" w:type="dxa"/>
                  <w:noWrap w:val="0"/>
                  <w:vAlign w:val="center"/>
                </w:tcPr>
                <w:p w14:paraId="4FCE2DF8">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3.739</w:t>
                  </w:r>
                </w:p>
              </w:tc>
              <w:tc>
                <w:tcPr>
                  <w:tcW w:w="1224" w:type="dxa"/>
                  <w:noWrap w:val="0"/>
                  <w:vAlign w:val="center"/>
                </w:tcPr>
                <w:p w14:paraId="508BB06C">
                  <w:pPr>
                    <w:bidi w:val="0"/>
                    <w:spacing w:line="240" w:lineRule="auto"/>
                    <w:jc w:val="cente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0"/>
                      <w:szCs w:val="20"/>
                      <w:vertAlign w:val="baseline"/>
                      <w:lang w:val="en-US" w:eastAsia="zh-CN"/>
                      <w14:textFill>
                        <w14:solidFill>
                          <w14:schemeClr w14:val="tx1"/>
                        </w14:solidFill>
                      </w14:textFill>
                    </w:rPr>
                    <w:t>0.123</w:t>
                  </w:r>
                </w:p>
              </w:tc>
              <w:tc>
                <w:tcPr>
                  <w:tcW w:w="888" w:type="dxa"/>
                  <w:vMerge w:val="continue"/>
                  <w:noWrap w:val="0"/>
                  <w:vAlign w:val="center"/>
                </w:tcPr>
                <w:p w14:paraId="2432024C">
                  <w:pPr>
                    <w:bidi w:val="0"/>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744" w:type="dxa"/>
                  <w:vMerge w:val="continue"/>
                  <w:noWrap w:val="0"/>
                  <w:vAlign w:val="center"/>
                </w:tcPr>
                <w:p w14:paraId="056BBB83">
                  <w:pPr>
                    <w:bidi w:val="0"/>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c>
                <w:tcPr>
                  <w:tcW w:w="1084" w:type="dxa"/>
                  <w:vMerge w:val="continue"/>
                  <w:noWrap w:val="0"/>
                  <w:vAlign w:val="center"/>
                </w:tcPr>
                <w:p w14:paraId="6A80B1CB">
                  <w:pPr>
                    <w:bidi w:val="0"/>
                    <w:spacing w:line="240" w:lineRule="auto"/>
                    <w:jc w:val="center"/>
                    <w:rPr>
                      <w:rFonts w:hint="default" w:ascii="Times New Roman" w:hAnsi="Times New Roman" w:eastAsia="黑体" w:cs="Times New Roman"/>
                      <w:b w:val="0"/>
                      <w:bCs w:val="0"/>
                      <w:color w:val="000000" w:themeColor="text1"/>
                      <w:sz w:val="20"/>
                      <w:szCs w:val="20"/>
                      <w:vertAlign w:val="baseline"/>
                      <w14:textFill>
                        <w14:solidFill>
                          <w14:schemeClr w14:val="tx1"/>
                        </w14:solidFill>
                      </w14:textFill>
                    </w:rPr>
                  </w:pPr>
                </w:p>
              </w:tc>
            </w:tr>
          </w:tbl>
          <w:p w14:paraId="27C78F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themeColor="text1"/>
                <w:vertAlign w:val="baseline"/>
                <w14:textFill>
                  <w14:solidFill>
                    <w14:schemeClr w14:val="tx1"/>
                  </w14:solidFill>
                </w14:textFill>
              </w:rPr>
            </w:pPr>
            <w:r>
              <w:rPr>
                <w:rFonts w:hint="eastAsia"/>
                <w:color w:val="000000" w:themeColor="text1"/>
                <w:vertAlign w:val="baseline"/>
                <w14:textFill>
                  <w14:solidFill>
                    <w14:schemeClr w14:val="tx1"/>
                  </w14:solidFill>
                </w14:textFill>
              </w:rPr>
              <w:t>建设单位需避免在非正常工况下进行开工。为预防非正常工况的发生，建设单位对于废气处理装置应</w:t>
            </w:r>
            <w:r>
              <w:rPr>
                <w:rFonts w:hint="eastAsia"/>
                <w:color w:val="000000" w:themeColor="text1"/>
                <w:vertAlign w:val="baseline"/>
                <w:lang w:val="en-US" w:eastAsia="zh-CN"/>
                <w14:textFill>
                  <w14:solidFill>
                    <w14:schemeClr w14:val="tx1"/>
                  </w14:solidFill>
                </w14:textFill>
              </w:rPr>
              <w:t>定期停工检修，并</w:t>
            </w:r>
            <w:r>
              <w:rPr>
                <w:rFonts w:hint="eastAsia"/>
                <w:color w:val="000000" w:themeColor="text1"/>
                <w:vertAlign w:val="baseline"/>
                <w14:textFill>
                  <w14:solidFill>
                    <w14:schemeClr w14:val="tx1"/>
                  </w14:solidFill>
                </w14:textFill>
              </w:rPr>
              <w:t>加强相应的日常的检修和保养。</w:t>
            </w:r>
          </w:p>
          <w:p w14:paraId="5288F2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eastAsia="黑体" w:cs="Times New Roman"/>
                <w:b w:val="0"/>
                <w:bCs w:val="0"/>
                <w:color w:val="000000" w:themeColor="text1"/>
                <w:sz w:val="24"/>
                <w:szCs w:val="24"/>
                <w:u w:val="single"/>
                <w:lang w:val="en-US" w:eastAsia="zh-CN"/>
                <w14:textFill>
                  <w14:solidFill>
                    <w14:schemeClr w14:val="tx1"/>
                  </w14:solidFill>
                </w14:textFill>
              </w:rPr>
              <w:t>2.6</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废气环境监测计划</w:t>
            </w:r>
          </w:p>
          <w:p w14:paraId="5FAA3E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color w:val="000000" w:themeColor="text1"/>
                <w:u w:val="single"/>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根据《排污单位自行监测技术指南总则</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w:t>
            </w:r>
            <w:r>
              <w:rPr>
                <w:color w:val="000000" w:themeColor="text1"/>
                <w:u w:val="single"/>
                <w14:textFill>
                  <w14:solidFill>
                    <w14:schemeClr w14:val="tx1"/>
                  </w14:solidFill>
                </w14:textFill>
              </w:rPr>
              <w:t>（HJ819-2017）</w:t>
            </w:r>
            <w:r>
              <w:rPr>
                <w:rFonts w:hint="eastAsia"/>
                <w:color w:val="000000" w:themeColor="text1"/>
                <w:u w:val="single"/>
                <w:lang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排污单位自行监测技术指南 涂装</w:t>
            </w:r>
            <w:r>
              <w:rPr>
                <w:rFonts w:hint="eastAsia"/>
                <w:color w:val="000000" w:themeColor="text1"/>
                <w:u w:val="single"/>
                <w:lang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HJ1086-2020</w:t>
            </w:r>
            <w:r>
              <w:rPr>
                <w:rFonts w:hint="eastAsia"/>
                <w:color w:val="000000" w:themeColor="text1"/>
                <w:u w:val="single"/>
                <w:lang w:eastAsia="zh-CN"/>
                <w14:textFill>
                  <w14:solidFill>
                    <w14:schemeClr w14:val="tx1"/>
                  </w14:solidFill>
                </w14:textFill>
              </w:rPr>
              <w:t>），</w:t>
            </w:r>
            <w:r>
              <w:rPr>
                <w:rFonts w:hint="eastAsia"/>
                <w:color w:val="000000" w:themeColor="text1"/>
                <w:u w:val="single"/>
                <w:vertAlign w:val="baseline"/>
                <w14:textFill>
                  <w14:solidFill>
                    <w14:schemeClr w14:val="tx1"/>
                  </w14:solidFill>
                </w14:textFill>
              </w:rPr>
              <w:t>本项目运营期废气环境监测计划如下表</w:t>
            </w:r>
            <w:r>
              <w:rPr>
                <w:rFonts w:hint="eastAsia"/>
                <w:color w:val="000000" w:themeColor="text1"/>
                <w:u w:val="single"/>
                <w:vertAlign w:val="baseline"/>
                <w:lang w:val="en-US" w:eastAsia="zh-CN"/>
                <w14:textFill>
                  <w14:solidFill>
                    <w14:schemeClr w14:val="tx1"/>
                  </w14:solidFill>
                </w14:textFill>
              </w:rPr>
              <w:t>4-8</w:t>
            </w:r>
            <w:r>
              <w:rPr>
                <w:rFonts w:hint="eastAsia"/>
                <w:color w:val="000000" w:themeColor="text1"/>
                <w:u w:val="single"/>
                <w:vertAlign w:val="baseline"/>
                <w14:textFill>
                  <w14:solidFill>
                    <w14:schemeClr w14:val="tx1"/>
                  </w14:solidFill>
                </w14:textFill>
              </w:rPr>
              <w:t>所示</w:t>
            </w:r>
            <w:r>
              <w:rPr>
                <w:rFonts w:hint="eastAsia"/>
                <w:color w:val="000000" w:themeColor="text1"/>
                <w:u w:val="single"/>
                <w:vertAlign w:val="baseline"/>
                <w:lang w:eastAsia="zh-CN"/>
                <w14:textFill>
                  <w14:solidFill>
                    <w14:schemeClr w14:val="tx1"/>
                  </w14:solidFill>
                </w14:textFill>
              </w:rPr>
              <w:t>。</w:t>
            </w:r>
          </w:p>
          <w:p w14:paraId="6AD03194">
            <w:pPr>
              <w:spacing w:line="360" w:lineRule="auto"/>
              <w:jc w:val="center"/>
              <w:rPr>
                <w:rFonts w:hint="eastAsia" w:eastAsia="黑体"/>
                <w:b w:val="0"/>
                <w:bCs w:val="0"/>
                <w:color w:val="000000" w:themeColor="text1"/>
                <w:sz w:val="21"/>
                <w:szCs w:val="21"/>
                <w:u w:val="single"/>
                <w:lang w:val="en-US" w:eastAsia="zh-CN"/>
                <w14:textFill>
                  <w14:solidFill>
                    <w14:schemeClr w14:val="tx1"/>
                  </w14:solidFill>
                </w14:textFill>
              </w:rPr>
            </w:pPr>
            <w:r>
              <w:rPr>
                <w:rFonts w:eastAsia="黑体"/>
                <w:b w:val="0"/>
                <w:bCs w:val="0"/>
                <w:color w:val="000000" w:themeColor="text1"/>
                <w:sz w:val="21"/>
                <w:szCs w:val="21"/>
                <w:u w:val="single"/>
                <w14:textFill>
                  <w14:solidFill>
                    <w14:schemeClr w14:val="tx1"/>
                  </w14:solidFill>
                </w14:textFill>
              </w:rPr>
              <w:t>表</w:t>
            </w:r>
            <w:r>
              <w:rPr>
                <w:rFonts w:hint="eastAsia" w:eastAsia="黑体"/>
                <w:b w:val="0"/>
                <w:bCs w:val="0"/>
                <w:color w:val="000000" w:themeColor="text1"/>
                <w:sz w:val="21"/>
                <w:szCs w:val="21"/>
                <w:u w:val="single"/>
                <w:lang w:val="en-US" w:eastAsia="zh-CN"/>
                <w14:textFill>
                  <w14:solidFill>
                    <w14:schemeClr w14:val="tx1"/>
                  </w14:solidFill>
                </w14:textFill>
              </w:rPr>
              <w:t>4-8 本项目运营期废气环境监测计划一览表</w:t>
            </w:r>
          </w:p>
          <w:tbl>
            <w:tblPr>
              <w:tblStyle w:val="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2004"/>
              <w:gridCol w:w="1084"/>
              <w:gridCol w:w="3515"/>
            </w:tblGrid>
            <w:tr w14:paraId="3E77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vAlign w:val="center"/>
                </w:tcPr>
                <w:p w14:paraId="78127E0A">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监测点位</w:t>
                  </w:r>
                </w:p>
              </w:tc>
              <w:tc>
                <w:tcPr>
                  <w:tcW w:w="2004" w:type="dxa"/>
                  <w:vAlign w:val="center"/>
                </w:tcPr>
                <w:p w14:paraId="0B1804A2">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监测指标</w:t>
                  </w:r>
                </w:p>
              </w:tc>
              <w:tc>
                <w:tcPr>
                  <w:tcW w:w="1084" w:type="dxa"/>
                  <w:vAlign w:val="center"/>
                </w:tcPr>
                <w:p w14:paraId="5D74FFEB">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监测频次</w:t>
                  </w:r>
                </w:p>
              </w:tc>
              <w:tc>
                <w:tcPr>
                  <w:tcW w:w="3515" w:type="dxa"/>
                  <w:vAlign w:val="center"/>
                </w:tcPr>
                <w:p w14:paraId="2B6ADA52">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执行标准</w:t>
                  </w:r>
                </w:p>
              </w:tc>
            </w:tr>
            <w:tr w14:paraId="5739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vAlign w:val="center"/>
                </w:tcPr>
                <w:p w14:paraId="7201765C">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DA001</w:t>
                  </w:r>
                </w:p>
                <w:p w14:paraId="62ED91C9">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废气排放口</w:t>
                  </w:r>
                </w:p>
              </w:tc>
              <w:tc>
                <w:tcPr>
                  <w:tcW w:w="2004" w:type="dxa"/>
                  <w:vAlign w:val="center"/>
                </w:tcPr>
                <w:p w14:paraId="47098C86">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二甲苯、非甲烷总烃</w:t>
                  </w:r>
                </w:p>
              </w:tc>
              <w:tc>
                <w:tcPr>
                  <w:tcW w:w="1084" w:type="dxa"/>
                  <w:vAlign w:val="center"/>
                </w:tcPr>
                <w:p w14:paraId="6C109252">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1次/年</w:t>
                  </w:r>
                </w:p>
              </w:tc>
              <w:tc>
                <w:tcPr>
                  <w:tcW w:w="3515" w:type="dxa"/>
                  <w:vAlign w:val="center"/>
                </w:tcPr>
                <w:p w14:paraId="13FB7FCF">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《表面涂装（汽车制造及维修）挥发性有机物、镍排放标准》（DB43/1356-2017）表1中标准限值</w:t>
                  </w:r>
                </w:p>
              </w:tc>
            </w:tr>
            <w:tr w14:paraId="66F6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698" w:type="dxa"/>
                  <w:vAlign w:val="center"/>
                </w:tcPr>
                <w:p w14:paraId="53652F9D">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厂界</w:t>
                  </w:r>
                </w:p>
                <w:p w14:paraId="35954980">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（上风向设1个参照点，下风向设3个监控点）</w:t>
                  </w:r>
                </w:p>
              </w:tc>
              <w:tc>
                <w:tcPr>
                  <w:tcW w:w="2004" w:type="dxa"/>
                  <w:vAlign w:val="center"/>
                </w:tcPr>
                <w:p w14:paraId="6050E6BC">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二甲苯、非甲烷总烃</w:t>
                  </w:r>
                </w:p>
              </w:tc>
              <w:tc>
                <w:tcPr>
                  <w:tcW w:w="1084" w:type="dxa"/>
                  <w:vAlign w:val="center"/>
                </w:tcPr>
                <w:p w14:paraId="693D2B59">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1次/年</w:t>
                  </w:r>
                </w:p>
              </w:tc>
              <w:tc>
                <w:tcPr>
                  <w:tcW w:w="3515" w:type="dxa"/>
                  <w:vAlign w:val="center"/>
                </w:tcPr>
                <w:p w14:paraId="24212701">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《大气污染物排放综合排放标准》（GB16297-1996）表2中无组织排放浓度监控限值</w:t>
                  </w:r>
                </w:p>
              </w:tc>
            </w:tr>
            <w:tr w14:paraId="0DD1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vAlign w:val="center"/>
                </w:tcPr>
                <w:p w14:paraId="2968A0CC">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厂区内</w:t>
                  </w:r>
                </w:p>
              </w:tc>
              <w:tc>
                <w:tcPr>
                  <w:tcW w:w="2004" w:type="dxa"/>
                  <w:vAlign w:val="center"/>
                </w:tcPr>
                <w:p w14:paraId="07689B1E">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非甲烷总烃</w:t>
                  </w:r>
                </w:p>
              </w:tc>
              <w:tc>
                <w:tcPr>
                  <w:tcW w:w="1084" w:type="dxa"/>
                  <w:vAlign w:val="center"/>
                </w:tcPr>
                <w:p w14:paraId="0AFAEAE4">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1次/年</w:t>
                  </w:r>
                </w:p>
              </w:tc>
              <w:tc>
                <w:tcPr>
                  <w:tcW w:w="3515" w:type="dxa"/>
                  <w:vAlign w:val="center"/>
                </w:tcPr>
                <w:p w14:paraId="5A6D73D4">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厂区内非甲烷总烃无组织排放执行《挥发性有机物无组织排放控制标准》（GB37822-2019）附录A中“厂区内NMHC无组织排放限值”</w:t>
                  </w:r>
                </w:p>
              </w:tc>
            </w:tr>
          </w:tbl>
          <w:p w14:paraId="2FC0D7A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黑体" w:cs="Times New Roman"/>
                <w:color w:val="000000" w:themeColor="text1"/>
                <w:sz w:val="24"/>
                <w:szCs w:val="24"/>
                <w:u w:val="single"/>
                <w:lang w:val="en-US" w:eastAsia="zh-CN"/>
                <w14:textFill>
                  <w14:solidFill>
                    <w14:schemeClr w14:val="tx1"/>
                  </w14:solidFill>
                </w14:textFill>
              </w:rPr>
            </w:pPr>
            <w:r>
              <w:rPr>
                <w:rFonts w:hint="eastAsia" w:eastAsia="黑体" w:cs="Times New Roman"/>
                <w:b w:val="0"/>
                <w:bCs w:val="0"/>
                <w:color w:val="000000" w:themeColor="text1"/>
                <w:sz w:val="24"/>
                <w:szCs w:val="24"/>
                <w:u w:val="single"/>
                <w:lang w:val="en-US" w:eastAsia="zh-CN"/>
                <w14:textFill>
                  <w14:solidFill>
                    <w14:schemeClr w14:val="tx1"/>
                  </w14:solidFill>
                </w14:textFill>
              </w:rPr>
              <w:t>2.7</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废气</w:t>
            </w:r>
            <w:r>
              <w:rPr>
                <w:rFonts w:hint="eastAsia" w:ascii="Times New Roman" w:hAnsi="Times New Roman" w:eastAsia="黑体" w:cs="Times New Roman"/>
                <w:color w:val="000000" w:themeColor="text1"/>
                <w:sz w:val="24"/>
                <w:szCs w:val="24"/>
                <w:u w:val="single"/>
                <w:lang w:val="en-US" w:eastAsia="zh-CN"/>
                <w14:textFill>
                  <w14:solidFill>
                    <w14:schemeClr w14:val="tx1"/>
                  </w14:solidFill>
                </w14:textFill>
              </w:rPr>
              <w:t>环境影响分析结论</w:t>
            </w:r>
          </w:p>
          <w:p w14:paraId="1B20ED5C">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000000" w:themeColor="text1"/>
                <w:u w:val="single"/>
                <w14:textFill>
                  <w14:solidFill>
                    <w14:schemeClr w14:val="tx1"/>
                  </w14:solidFill>
                </w14:textFill>
              </w:rPr>
            </w:pPr>
            <w:r>
              <w:rPr>
                <w:color w:val="000000" w:themeColor="text1"/>
                <w:u w:val="single"/>
                <w14:textFill>
                  <w14:solidFill>
                    <w14:schemeClr w14:val="tx1"/>
                  </w14:solidFill>
                </w14:textFill>
              </w:rPr>
              <w:t>本项目所在地环境空气质量满足标准要求，本项目实施后，废气污染物采取的污染防治措施均为可行技术，经处理后的污染物可达标排放。</w:t>
            </w:r>
          </w:p>
          <w:p w14:paraId="388B3BC8">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000000" w:themeColor="text1"/>
                <w:u w:val="single"/>
                <w14:textFill>
                  <w14:solidFill>
                    <w14:schemeClr w14:val="tx1"/>
                  </w14:solidFill>
                </w14:textFill>
              </w:rPr>
            </w:pPr>
            <w:r>
              <w:rPr>
                <w:color w:val="000000" w:themeColor="text1"/>
                <w:u w:val="single"/>
                <w14:textFill>
                  <w14:solidFill>
                    <w14:schemeClr w14:val="tx1"/>
                  </w14:solidFill>
                </w14:textFill>
              </w:rPr>
              <w:t>本项目在落实评价提出的废气治理措施后，可以确保污染物达标排放，排放量较小，不会对所在区域环境质量、环境保护目标造成环境影响。</w:t>
            </w:r>
          </w:p>
          <w:p w14:paraId="6A1A47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vertAlign w:val="baseline"/>
                <w:lang w:val="en-US" w:eastAsia="zh-CN"/>
                <w14:textFill>
                  <w14:solidFill>
                    <w14:schemeClr w14:val="tx1"/>
                  </w14:solidFill>
                </w14:textFill>
              </w:rPr>
              <w:t>3.</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噪声</w:t>
            </w:r>
          </w:p>
          <w:p w14:paraId="61378E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eastAsia="黑体" w:cs="Times New Roman"/>
                <w:b w:val="0"/>
                <w:bCs w:val="0"/>
                <w:color w:val="000000" w:themeColor="text1"/>
                <w:sz w:val="24"/>
                <w:szCs w:val="24"/>
                <w:lang w:val="en-US" w:eastAsia="zh-CN"/>
                <w14:textFill>
                  <w14:solidFill>
                    <w14:schemeClr w14:val="tx1"/>
                  </w14:solidFill>
                </w14:textFill>
              </w:rPr>
              <w:t>3.1</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噪声源强分析</w:t>
            </w:r>
          </w:p>
          <w:p w14:paraId="3F1D49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本项目不新增生产设备，且工作制度不变。新增的废气治理设施中的辅助设备风机运行过程会产生噪声，噪声源强为80</w:t>
            </w:r>
            <w:r>
              <w:rPr>
                <w:rFonts w:hint="default"/>
                <w:color w:val="000000" w:themeColor="text1"/>
                <w14:textFill>
                  <w14:solidFill>
                    <w14:schemeClr w14:val="tx1"/>
                  </w14:solidFill>
                </w14:textFill>
              </w:rPr>
              <w:t>dB（A）。</w:t>
            </w:r>
          </w:p>
          <w:p w14:paraId="578D23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default"/>
                <w:color w:val="000000" w:themeColor="text1"/>
                <w:lang w:val="en-US" w:eastAsia="zh-CN"/>
                <w14:textFill>
                  <w14:solidFill>
                    <w14:schemeClr w14:val="tx1"/>
                  </w14:solidFill>
                </w14:textFill>
              </w:rPr>
              <w:t>通过对风机加装减振垫等减震措施，减振垫隔声量约为40dB（A），为保守考虑，本项目减振垫取隔声量20dB（A）。</w:t>
            </w:r>
          </w:p>
          <w:p w14:paraId="6DC4F78C">
            <w:pPr>
              <w:bidi w:val="0"/>
              <w:jc w:val="cente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表4-</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9 本</w:t>
            </w:r>
            <w:r>
              <w:rPr>
                <w:rFonts w:hint="default" w:ascii="Times New Roman" w:hAnsi="Times New Roman" w:eastAsia="黑体" w:cs="Times New Roman"/>
                <w:b w:val="0"/>
                <w:bCs w:val="0"/>
                <w:color w:val="000000" w:themeColor="text1"/>
                <w:sz w:val="21"/>
                <w:szCs w:val="21"/>
                <w14:textFill>
                  <w14:solidFill>
                    <w14:schemeClr w14:val="tx1"/>
                  </w14:solidFill>
                </w14:textFill>
              </w:rPr>
              <w:t>项目</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辅助设备噪声声源强度表（室外声源）</w:t>
            </w:r>
          </w:p>
          <w:tbl>
            <w:tblPr>
              <w:tblStyle w:val="8"/>
              <w:tblW w:w="8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636"/>
              <w:gridCol w:w="576"/>
              <w:gridCol w:w="588"/>
              <w:gridCol w:w="600"/>
              <w:gridCol w:w="1200"/>
              <w:gridCol w:w="1068"/>
              <w:gridCol w:w="1346"/>
              <w:gridCol w:w="703"/>
              <w:gridCol w:w="1196"/>
            </w:tblGrid>
            <w:tr w14:paraId="5AD9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restart"/>
                  <w:vAlign w:val="center"/>
                </w:tcPr>
                <w:p w14:paraId="13761085">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序号</w:t>
                  </w:r>
                </w:p>
              </w:tc>
              <w:tc>
                <w:tcPr>
                  <w:tcW w:w="636" w:type="dxa"/>
                  <w:vMerge w:val="restart"/>
                  <w:vAlign w:val="center"/>
                </w:tcPr>
                <w:p w14:paraId="7B1AF8CC">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声源名称</w:t>
                  </w:r>
                </w:p>
              </w:tc>
              <w:tc>
                <w:tcPr>
                  <w:tcW w:w="1764" w:type="dxa"/>
                  <w:gridSpan w:val="3"/>
                  <w:vAlign w:val="center"/>
                </w:tcPr>
                <w:p w14:paraId="0EB0D61A">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空间相对位置/m</w:t>
                  </w:r>
                </w:p>
              </w:tc>
              <w:tc>
                <w:tcPr>
                  <w:tcW w:w="2268" w:type="dxa"/>
                  <w:gridSpan w:val="2"/>
                  <w:vAlign w:val="center"/>
                </w:tcPr>
                <w:p w14:paraId="29AB356E">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声源源强</w:t>
                  </w:r>
                </w:p>
              </w:tc>
              <w:tc>
                <w:tcPr>
                  <w:tcW w:w="1346" w:type="dxa"/>
                  <w:vMerge w:val="restart"/>
                  <w:vAlign w:val="center"/>
                </w:tcPr>
                <w:p w14:paraId="28F779C5">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声源控制措施</w:t>
                  </w:r>
                </w:p>
              </w:tc>
              <w:tc>
                <w:tcPr>
                  <w:tcW w:w="703" w:type="dxa"/>
                  <w:vMerge w:val="restart"/>
                  <w:vAlign w:val="center"/>
                </w:tcPr>
                <w:p w14:paraId="2CF17537">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运行时间（h）</w:t>
                  </w:r>
                </w:p>
              </w:tc>
              <w:tc>
                <w:tcPr>
                  <w:tcW w:w="1196" w:type="dxa"/>
                  <w:vMerge w:val="restart"/>
                  <w:vAlign w:val="center"/>
                </w:tcPr>
                <w:p w14:paraId="32A0FBFC">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降噪后距声源1m声压级/dB（A）</w:t>
                  </w:r>
                </w:p>
              </w:tc>
            </w:tr>
            <w:tr w14:paraId="1157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771C4452">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p>
              </w:tc>
              <w:tc>
                <w:tcPr>
                  <w:tcW w:w="636" w:type="dxa"/>
                  <w:vMerge w:val="continue"/>
                  <w:vAlign w:val="center"/>
                </w:tcPr>
                <w:p w14:paraId="1401D5E7">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p>
              </w:tc>
              <w:tc>
                <w:tcPr>
                  <w:tcW w:w="576" w:type="dxa"/>
                  <w:vAlign w:val="center"/>
                </w:tcPr>
                <w:p w14:paraId="5429E701">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X</w:t>
                  </w:r>
                </w:p>
              </w:tc>
              <w:tc>
                <w:tcPr>
                  <w:tcW w:w="588" w:type="dxa"/>
                  <w:vAlign w:val="center"/>
                </w:tcPr>
                <w:p w14:paraId="05FC7F1F">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Y</w:t>
                  </w:r>
                </w:p>
              </w:tc>
              <w:tc>
                <w:tcPr>
                  <w:tcW w:w="600" w:type="dxa"/>
                  <w:vAlign w:val="center"/>
                </w:tcPr>
                <w:p w14:paraId="6F8EEAF7">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Z</w:t>
                  </w:r>
                </w:p>
              </w:tc>
              <w:tc>
                <w:tcPr>
                  <w:tcW w:w="1200" w:type="dxa"/>
                  <w:vAlign w:val="center"/>
                </w:tcPr>
                <w:p w14:paraId="486BF80C">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单台距声源1m声压级/dB（A）</w:t>
                  </w:r>
                </w:p>
              </w:tc>
              <w:tc>
                <w:tcPr>
                  <w:tcW w:w="1068" w:type="dxa"/>
                  <w:vAlign w:val="center"/>
                </w:tcPr>
                <w:p w14:paraId="65C5BF15">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多台距声源1m声压级/dB（A）</w:t>
                  </w:r>
                </w:p>
              </w:tc>
              <w:tc>
                <w:tcPr>
                  <w:tcW w:w="1346" w:type="dxa"/>
                  <w:vMerge w:val="continue"/>
                  <w:vAlign w:val="center"/>
                </w:tcPr>
                <w:p w14:paraId="7EA9A698">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p>
              </w:tc>
              <w:tc>
                <w:tcPr>
                  <w:tcW w:w="703" w:type="dxa"/>
                  <w:vMerge w:val="continue"/>
                  <w:vAlign w:val="center"/>
                </w:tcPr>
                <w:p w14:paraId="61B8B091">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p>
              </w:tc>
              <w:tc>
                <w:tcPr>
                  <w:tcW w:w="1196" w:type="dxa"/>
                  <w:vMerge w:val="continue"/>
                  <w:vAlign w:val="center"/>
                </w:tcPr>
                <w:p w14:paraId="31604600">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p>
              </w:tc>
            </w:tr>
            <w:tr w14:paraId="5F48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shd w:val="clear" w:color="auto" w:fill="auto"/>
                  <w:vAlign w:val="center"/>
                </w:tcPr>
                <w:p w14:paraId="1487CC38">
                  <w:pPr>
                    <w:bidi w:val="0"/>
                    <w:spacing w:line="240" w:lineRule="auto"/>
                    <w:ind w:firstLine="0" w:firstLineChars="0"/>
                    <w:jc w:val="center"/>
                    <w:rPr>
                      <w:rFonts w:hint="default" w:ascii="Times New Roman" w:hAnsi="Times New Roman" w:eastAsia="黑体" w:cs="Times New Roman"/>
                      <w:b w:val="0"/>
                      <w:bCs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1</w:t>
                  </w:r>
                </w:p>
              </w:tc>
              <w:tc>
                <w:tcPr>
                  <w:tcW w:w="636" w:type="dxa"/>
                  <w:shd w:val="clear" w:color="auto" w:fill="auto"/>
                  <w:vAlign w:val="center"/>
                </w:tcPr>
                <w:p w14:paraId="16F41C41">
                  <w:pPr>
                    <w:bidi w:val="0"/>
                    <w:spacing w:line="240" w:lineRule="auto"/>
                    <w:ind w:firstLine="0" w:firstLineChars="0"/>
                    <w:jc w:val="center"/>
                    <w:rPr>
                      <w:rFonts w:hint="default" w:ascii="Times New Roman" w:hAnsi="Times New Roman" w:eastAsia="黑体" w:cs="Times New Roman"/>
                      <w:b w:val="0"/>
                      <w:bCs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风机</w:t>
                  </w:r>
                </w:p>
              </w:tc>
              <w:tc>
                <w:tcPr>
                  <w:tcW w:w="576" w:type="dxa"/>
                  <w:vAlign w:val="center"/>
                </w:tcPr>
                <w:p w14:paraId="32A468C4">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79</w:t>
                  </w:r>
                </w:p>
              </w:tc>
              <w:tc>
                <w:tcPr>
                  <w:tcW w:w="588" w:type="dxa"/>
                  <w:vAlign w:val="center"/>
                </w:tcPr>
                <w:p w14:paraId="5B5FE97E">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32</w:t>
                  </w:r>
                </w:p>
              </w:tc>
              <w:tc>
                <w:tcPr>
                  <w:tcW w:w="600" w:type="dxa"/>
                  <w:vAlign w:val="center"/>
                </w:tcPr>
                <w:p w14:paraId="71B238D2">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85</w:t>
                  </w:r>
                </w:p>
              </w:tc>
              <w:tc>
                <w:tcPr>
                  <w:tcW w:w="1200" w:type="dxa"/>
                  <w:vAlign w:val="center"/>
                </w:tcPr>
                <w:p w14:paraId="112A4593">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80</w:t>
                  </w:r>
                </w:p>
              </w:tc>
              <w:tc>
                <w:tcPr>
                  <w:tcW w:w="1068" w:type="dxa"/>
                  <w:vAlign w:val="center"/>
                </w:tcPr>
                <w:p w14:paraId="0E686450">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83.01</w:t>
                  </w:r>
                </w:p>
              </w:tc>
              <w:tc>
                <w:tcPr>
                  <w:tcW w:w="1346" w:type="dxa"/>
                  <w:vAlign w:val="center"/>
                </w:tcPr>
                <w:p w14:paraId="144DD6B3">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加装减震垫</w:t>
                  </w:r>
                </w:p>
              </w:tc>
              <w:tc>
                <w:tcPr>
                  <w:tcW w:w="703" w:type="dxa"/>
                  <w:vAlign w:val="center"/>
                </w:tcPr>
                <w:p w14:paraId="2C24D4A1">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8</w:t>
                  </w:r>
                </w:p>
              </w:tc>
              <w:tc>
                <w:tcPr>
                  <w:tcW w:w="1196" w:type="dxa"/>
                  <w:vAlign w:val="center"/>
                </w:tcPr>
                <w:p w14:paraId="02B128B5">
                  <w:pPr>
                    <w:bidi w:val="0"/>
                    <w:spacing w:line="240" w:lineRule="auto"/>
                    <w:jc w:val="cente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vertAlign w:val="baseline"/>
                      <w:lang w:val="en-US" w:eastAsia="zh-CN"/>
                      <w14:textFill>
                        <w14:solidFill>
                          <w14:schemeClr w14:val="tx1"/>
                        </w14:solidFill>
                      </w14:textFill>
                    </w:rPr>
                    <w:t>63.01</w:t>
                  </w:r>
                </w:p>
              </w:tc>
            </w:tr>
          </w:tbl>
          <w:p w14:paraId="0CC966DB">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eastAsia="黑体" w:cs="Times New Roman"/>
                <w:b w:val="0"/>
                <w:bCs w:val="0"/>
                <w:color w:val="000000" w:themeColor="text1"/>
                <w:sz w:val="21"/>
                <w:szCs w:val="21"/>
                <w:lang w:val="en-US" w:eastAsia="zh-CN"/>
                <w14:textFill>
                  <w14:solidFill>
                    <w14:schemeClr w14:val="tx1"/>
                  </w14:solidFill>
                </w14:textFill>
              </w:rPr>
            </w:pPr>
            <w:r>
              <w:rPr>
                <w:rFonts w:hint="eastAsia" w:eastAsia="黑体" w:cs="Times New Roman"/>
                <w:b w:val="0"/>
                <w:bCs w:val="0"/>
                <w:color w:val="000000" w:themeColor="text1"/>
                <w:sz w:val="21"/>
                <w:szCs w:val="21"/>
                <w:lang w:val="en-US" w:eastAsia="zh-CN"/>
                <w14:textFill>
                  <w14:solidFill>
                    <w14:schemeClr w14:val="tx1"/>
                  </w14:solidFill>
                </w14:textFill>
              </w:rPr>
              <w:t>备注：原点坐标以厂区中心（</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E110°33′42.877″，N27°55′22.126″</w:t>
            </w:r>
            <w:r>
              <w:rPr>
                <w:rFonts w:hint="eastAsia" w:eastAsia="黑体" w:cs="Times New Roman"/>
                <w:b w:val="0"/>
                <w:bCs w:val="0"/>
                <w:color w:val="000000" w:themeColor="text1"/>
                <w:sz w:val="21"/>
                <w:szCs w:val="21"/>
                <w:lang w:val="en-US" w:eastAsia="zh-CN"/>
                <w14:textFill>
                  <w14:solidFill>
                    <w14:schemeClr w14:val="tx1"/>
                  </w14:solidFill>
                </w14:textFill>
              </w:rPr>
              <w:t>）为坐标原点（0,0,0）</w:t>
            </w:r>
          </w:p>
          <w:p w14:paraId="40EFDD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eastAsia="黑体" w:cs="Times New Roman"/>
                <w:b w:val="0"/>
                <w:bCs w:val="0"/>
                <w:color w:val="000000" w:themeColor="text1"/>
                <w:sz w:val="24"/>
                <w:szCs w:val="24"/>
                <w:lang w:val="en-US" w:eastAsia="zh-CN"/>
                <w14:textFill>
                  <w14:solidFill>
                    <w14:schemeClr w14:val="tx1"/>
                  </w14:solidFill>
                </w14:textFill>
              </w:rPr>
              <w:t>3.2</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噪声环境影响预测及达标分析</w:t>
            </w:r>
          </w:p>
          <w:p w14:paraId="3CEB7E8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color w:val="000000" w:themeColor="text1"/>
                <w:sz w:val="24"/>
                <w:szCs w:val="24"/>
                <w14:textFill>
                  <w14:solidFill>
                    <w14:schemeClr w14:val="tx1"/>
                  </w14:solidFill>
                </w14:textFill>
              </w:rPr>
              <w:t>（1）厂界噪声预测模式</w:t>
            </w:r>
          </w:p>
          <w:p w14:paraId="72F2F6E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环境影响评价技术导则—声环境》（HJ2.4-2021），固定声源的噪声向周围传播过程中，会发生反射、折射、衍射、吸收等现象。因此，随传播距离的增加而产生的衰减量并不按简单的几何规律计算；声源位于室内，室内声源可采用等效室外声源声功率级法进行计算：</w:t>
            </w:r>
          </w:p>
          <w:p w14:paraId="3B11097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①计算某一室内声源靠近围护结构处产生的倍频带声压级：</w:t>
            </w:r>
          </w:p>
          <w:p w14:paraId="1AA4E7EC">
            <w:pPr>
              <w:keepNext w:val="0"/>
              <w:keepLines w:val="0"/>
              <w:pageBreakBefore w:val="0"/>
              <w:widowControl w:val="0"/>
              <w:numPr>
                <w:ilvl w:val="0"/>
                <w:numId w:val="0"/>
              </w:numPr>
              <w:kinsoku/>
              <w:wordWrap/>
              <w:overflowPunct/>
              <w:topLinePunct w:val="0"/>
              <w:autoSpaceDE/>
              <w:autoSpaceDN/>
              <w:bidi w:val="0"/>
              <w:adjustRightInd/>
              <w:snapToGrid/>
              <w:ind w:firstLine="440" w:firstLineChars="20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pacing w:val="-10"/>
                <w:position w:val="-28"/>
                <w:sz w:val="24"/>
                <w:szCs w:val="24"/>
                <w14:textFill>
                  <w14:solidFill>
                    <w14:schemeClr w14:val="tx1"/>
                  </w14:solidFill>
                </w14:textFill>
              </w:rPr>
              <w:object>
                <v:shape id="_x0000_i1025" o:spt="75" type="#_x0000_t75" style="height:41pt;width:161.45pt;" o:ole="t" filled="f" o:preferrelative="t" stroked="f" coordsize="21600,21600">
                  <v:path/>
                  <v:fill on="f" focussize="0,0"/>
                  <v:stroke on="f"/>
                  <v:imagedata r:id="rId14" o:title=""/>
                  <o:lock v:ext="edit" aspectratio="t"/>
                  <w10:wrap type="none"/>
                  <w10:anchorlock/>
                </v:shape>
                <o:OLEObject Type="Embed" ProgID="Equation.KSEE3" ShapeID="_x0000_i1025" DrawAspect="Content" ObjectID="_1468075725" r:id="rId13">
                  <o:LockedField>false</o:LockedField>
                </o:OLEObject>
              </w:object>
            </w:r>
          </w:p>
          <w:p w14:paraId="62A1BF7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14:paraId="47D06A4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Q——指向性因数：通常对无指向性声源，当声源放在房间中心时，Q=1；当放在一面墙的中心时，Q=2；当放在两面墙夹角时，Q=4；当放在三面墙夹角处时，Q=8。</w:t>
            </w:r>
          </w:p>
          <w:p w14:paraId="22BEB59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R——房间常数：R=Sa/（1-a），S为房间内表面面积，m2；a为平均吸声系数。</w:t>
            </w:r>
          </w:p>
          <w:p w14:paraId="69AD21C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r——声源到靠近围护结构某点处的距离，m。</w:t>
            </w:r>
          </w:p>
          <w:p w14:paraId="490F03D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②计算出所有室内声源在围护结构处产生的i倍频带叠加声压级；</w:t>
            </w:r>
          </w:p>
          <w:p w14:paraId="1A4178D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pacing w:val="-10"/>
                <w:sz w:val="24"/>
                <w:szCs w:val="24"/>
                <w14:textFill>
                  <w14:solidFill>
                    <w14:schemeClr w14:val="tx1"/>
                  </w14:solidFill>
                </w14:textFill>
              </w:rPr>
              <w:object>
                <v:shape id="_x0000_i1026" o:spt="75" type="#_x0000_t75" style="height:38pt;width:129pt;" o:ole="t" filled="f" o:preferrelative="t" stroked="f" coordsize="21600,21600">
                  <v:path/>
                  <v:fill on="f" focussize="0,0"/>
                  <v:stroke on="f"/>
                  <v:imagedata r:id="rId16" o:title=""/>
                  <o:lock v:ext="edit" aspectratio="t"/>
                  <w10:wrap type="none"/>
                  <w10:anchorlock/>
                </v:shape>
                <o:OLEObject Type="Embed" ProgID="Equation.KSEE3" ShapeID="_x0000_i1026" DrawAspect="Content" ObjectID="_1468075726" r:id="rId15">
                  <o:LockedField>false</o:LockedField>
                </o:OLEObject>
              </w:object>
            </w:r>
          </w:p>
          <w:p w14:paraId="48E4A9D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14:paraId="1E2694C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LP1i（T）——靠近围护结构处室内N个声源i倍频带的叠加声压级，dB；</w:t>
            </w:r>
          </w:p>
          <w:p w14:paraId="380807D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sz w:val="21"/>
              </w:rPr>
              <mc:AlternateContent>
                <mc:Choice Requires="wps">
                  <w:drawing>
                    <wp:anchor distT="0" distB="0" distL="114300" distR="114300" simplePos="0" relativeHeight="251668480" behindDoc="0" locked="0" layoutInCell="1" allowOverlap="1">
                      <wp:simplePos x="0" y="0"/>
                      <wp:positionH relativeFrom="column">
                        <wp:posOffset>263525</wp:posOffset>
                      </wp:positionH>
                      <wp:positionV relativeFrom="paragraph">
                        <wp:posOffset>295910</wp:posOffset>
                      </wp:positionV>
                      <wp:extent cx="4940935" cy="7096125"/>
                      <wp:effectExtent l="6350" t="6350" r="24765" b="22225"/>
                      <wp:wrapNone/>
                      <wp:docPr id="80" name="矩形 80"/>
                      <wp:cNvGraphicFramePr/>
                      <a:graphic xmlns:a="http://schemas.openxmlformats.org/drawingml/2006/main">
                        <a:graphicData uri="http://schemas.microsoft.com/office/word/2010/wordprocessingShape">
                          <wps:wsp>
                            <wps:cNvSpPr/>
                            <wps:spPr>
                              <a:xfrm>
                                <a:off x="1583055" y="1513840"/>
                                <a:ext cx="4940935" cy="7096125"/>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5pt;margin-top:23.3pt;height:558.75pt;width:389.05pt;z-index:251668480;v-text-anchor:middle;mso-width-relative:page;mso-height-relative:page;" fillcolor="#000000 [3213]" filled="t" stroked="t" coordsize="21600,21600" o:gfxdata="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UViiHYAAAA&#10;CgEAAA8AAAAAAAAAAQAgAAAAIgAAAGRycy9kb3ducmV2LnhtbFBLAQIUABQAAAAIAIdO4kAoW9dy&#10;jwIAACUFAAAOAAAAAAAAAAEAIAAAACcBAABkcnMvZTJvRG9jLnhtbFBLBQYAAAAABgAGAFkBAAAo&#10;BgAAAAA=&#10;">
                      <v:fill on="t" focussize="0,0"/>
                      <v:stroke weight="1pt" color="#2E54A1 [2404]" miterlimit="8" joinstyle="miter"/>
                      <v:imagedata o:title=""/>
                      <o:lock v:ext="edit" aspectratio="f"/>
                    </v:rect>
                  </w:pict>
                </mc:Fallback>
              </mc:AlternateContent>
            </w:r>
            <w:r>
              <w:rPr>
                <w:rFonts w:hint="default" w:ascii="Times New Roman" w:hAnsi="Times New Roman" w:eastAsia="宋体" w:cs="Times New Roman"/>
                <w:color w:val="000000" w:themeColor="text1"/>
                <w:sz w:val="21"/>
                <w:szCs w:val="21"/>
                <w14:textFill>
                  <w14:solidFill>
                    <w14:schemeClr w14:val="tx1"/>
                  </w14:solidFill>
                </w14:textFill>
              </w:rPr>
              <w:t>LP1ij——室内j声源i倍频带的声压级，dB。</w:t>
            </w:r>
          </w:p>
          <w:p w14:paraId="1CDD4E2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③在室内近似为扩散声场地，按下式计算出靠近室外围护结构处的声压级：</w:t>
            </w:r>
          </w:p>
          <w:p w14:paraId="3943B58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pacing w:val="-10"/>
                <w:sz w:val="24"/>
                <w:szCs w:val="24"/>
                <w14:textFill>
                  <w14:solidFill>
                    <w14:schemeClr w14:val="tx1"/>
                  </w14:solidFill>
                </w14:textFill>
              </w:rPr>
              <w:object>
                <v:shape id="_x0000_i1027" o:spt="75" type="#_x0000_t75" style="height:19pt;width:132.95pt;" o:ole="t" filled="f" o:preferrelative="t" stroked="f" coordsize="21600,21600">
                  <v:path/>
                  <v:fill on="f" focussize="0,0"/>
                  <v:stroke on="f"/>
                  <v:imagedata r:id="rId18" o:title=""/>
                  <o:lock v:ext="edit" aspectratio="t"/>
                  <w10:wrap type="none"/>
                  <w10:anchorlock/>
                </v:shape>
                <o:OLEObject Type="Embed" ProgID="Equation.KSEE3" ShapeID="_x0000_i1027" DrawAspect="Content" ObjectID="_1468075727" r:id="rId17">
                  <o:LockedField>false</o:LockedField>
                </o:OLEObject>
              </w:object>
            </w:r>
          </w:p>
          <w:p w14:paraId="0626169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14:paraId="1EA779D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LP2i（T）——靠近围护结构处室外N个声源i倍频带的叠加声压级，dB；</w:t>
            </w:r>
          </w:p>
          <w:p w14:paraId="0DFF12E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TLi——围护结构i倍频带的隔声量，dB。</w:t>
            </w:r>
          </w:p>
          <w:p w14:paraId="7651CA5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④将室外声源的声压级和透过面积换算成等效的室外声源，计算出中心位置位于透声面积（S）处的等效声源的倍频带声功率级。</w:t>
            </w:r>
          </w:p>
          <w:p w14:paraId="2F746EB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pacing w:val="-10"/>
                <w:sz w:val="24"/>
                <w:szCs w:val="24"/>
                <w14:textFill>
                  <w14:solidFill>
                    <w14:schemeClr w14:val="tx1"/>
                  </w14:solidFill>
                </w14:textFill>
              </w:rPr>
              <w:object>
                <v:shape id="_x0000_i1028" o:spt="75" type="#_x0000_t75" style="height:19pt;width:100pt;" o:ole="t" filled="f" o:preferrelative="t" stroked="f" coordsize="21600,21600">
                  <v:path/>
                  <v:fill on="f" focussize="0,0"/>
                  <v:stroke on="f"/>
                  <v:imagedata r:id="rId20" o:title=""/>
                  <o:lock v:ext="edit" aspectratio="t"/>
                  <w10:wrap type="none"/>
                  <w10:anchorlock/>
                </v:shape>
                <o:OLEObject Type="Embed" ProgID="Equation.KSEE3" ShapeID="_x0000_i1028" DrawAspect="Content" ObjectID="_1468075728" r:id="rId19">
                  <o:LockedField>false</o:LockedField>
                </o:OLEObject>
              </w:object>
            </w:r>
          </w:p>
          <w:p w14:paraId="64B3B56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⑤按室外声源预测方法计算预测点处的A声级。</w:t>
            </w:r>
          </w:p>
          <w:p w14:paraId="500B870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5784465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pacing w:val="-10"/>
                <w:sz w:val="24"/>
                <w:szCs w:val="24"/>
                <w14:textFill>
                  <w14:solidFill>
                    <w14:schemeClr w14:val="tx1"/>
                  </w14:solidFill>
                </w14:textFill>
              </w:rPr>
              <w:object>
                <v:shape id="_x0000_i1029" o:spt="75" type="#_x0000_t75" style="height:40pt;width:207pt;" o:ole="t" filled="f" o:preferrelative="t" stroked="f" coordsize="21600,21600">
                  <v:path/>
                  <v:fill on="f" focussize="0,0"/>
                  <v:stroke on="f"/>
                  <v:imagedata r:id="rId22" o:title=""/>
                  <o:lock v:ext="edit" aspectratio="t"/>
                  <w10:wrap type="none"/>
                  <w10:anchorlock/>
                </v:shape>
                <o:OLEObject Type="Embed" ProgID="Equation.KSEE3" ShapeID="_x0000_i1029" DrawAspect="Content" ObjectID="_1468075729" r:id="rId21">
                  <o:LockedField>false</o:LockedField>
                </o:OLEObject>
              </w:object>
            </w:r>
          </w:p>
          <w:p w14:paraId="4A90E97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14:paraId="09856C9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tj——在T时间内j声源工作时间，s；</w:t>
            </w:r>
          </w:p>
          <w:p w14:paraId="5511026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ti——在T时间内i声源工作时间，s；</w:t>
            </w:r>
          </w:p>
          <w:p w14:paraId="6FE00C86">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T——用于计算等效声级的时间，s；</w:t>
            </w:r>
          </w:p>
          <w:p w14:paraId="0020E40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N——室外声源个数；</w:t>
            </w:r>
          </w:p>
          <w:p w14:paraId="0DE5EFE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M——等效室外声源个数。</w:t>
            </w:r>
          </w:p>
          <w:p w14:paraId="2637B27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⑥预测点的预测等效声级（Leq）计算：</w:t>
            </w:r>
          </w:p>
          <w:p w14:paraId="676BDC8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pacing w:val="-10"/>
                <w:sz w:val="24"/>
                <w:szCs w:val="24"/>
                <w14:textFill>
                  <w14:solidFill>
                    <w14:schemeClr w14:val="tx1"/>
                  </w14:solidFill>
                </w14:textFill>
              </w:rPr>
              <w:object>
                <v:shape id="_x0000_i1030" o:spt="75" type="#_x0000_t75" style="height:21pt;width:135pt;" o:ole="t" filled="f" o:preferrelative="t" stroked="f" coordsize="21600,21600">
                  <v:path/>
                  <v:fill on="f" focussize="0,0"/>
                  <v:stroke on="f"/>
                  <v:imagedata r:id="rId24" o:title=""/>
                  <o:lock v:ext="edit" aspectratio="t"/>
                  <w10:wrap type="none"/>
                  <w10:anchorlock/>
                </v:shape>
                <o:OLEObject Type="Embed" ProgID="Equation.KSEE3" ShapeID="_x0000_i1030" DrawAspect="Content" ObjectID="_1468075730" r:id="rId23">
                  <o:LockedField>false</o:LockedField>
                </o:OLEObject>
              </w:object>
            </w:r>
          </w:p>
          <w:p w14:paraId="687D7C2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14:paraId="584A525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Leq——建设项目声源在预测点的等效声级贡献量，dB(A)；</w:t>
            </w:r>
          </w:p>
          <w:p w14:paraId="5A35013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Leqb——预测点背景值，dB(A)。</w:t>
            </w:r>
          </w:p>
          <w:p w14:paraId="61F0688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⑦预测值计算采用点声源的半自由声场几何发散衰减公式</w:t>
            </w:r>
          </w:p>
          <w:p w14:paraId="7A7BFC4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pacing w:val="-10"/>
                <w:sz w:val="24"/>
                <w:szCs w:val="24"/>
                <w14:textFill>
                  <w14:solidFill>
                    <w14:schemeClr w14:val="tx1"/>
                  </w14:solidFill>
                </w14:textFill>
              </w:rPr>
              <w:object>
                <v:shape id="_x0000_i1031" o:spt="75" type="#_x0000_t75" style="height:31.95pt;width:148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31" r:id="rId25">
                  <o:LockedField>false</o:LockedField>
                </o:OLEObject>
              </w:object>
            </w:r>
          </w:p>
          <w:p w14:paraId="39F37D1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14:paraId="75F7B7D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Loct(r)—点声源在预测点产生的倍频带声压级；</w:t>
            </w:r>
          </w:p>
          <w:p w14:paraId="790D2B9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Loct(r0)—参考位置r0处的倍频带声压级；</w:t>
            </w:r>
          </w:p>
          <w:p w14:paraId="0C6320F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sz w:val="24"/>
              </w:rPr>
              <mc:AlternateContent>
                <mc:Choice Requires="wps">
                  <w:drawing>
                    <wp:anchor distT="0" distB="0" distL="114300" distR="114300" simplePos="0" relativeHeight="251669504" behindDoc="0" locked="0" layoutInCell="1" allowOverlap="1">
                      <wp:simplePos x="0" y="0"/>
                      <wp:positionH relativeFrom="column">
                        <wp:posOffset>156845</wp:posOffset>
                      </wp:positionH>
                      <wp:positionV relativeFrom="paragraph">
                        <wp:posOffset>91440</wp:posOffset>
                      </wp:positionV>
                      <wp:extent cx="4953000" cy="6977380"/>
                      <wp:effectExtent l="6350" t="6350" r="12700" b="7620"/>
                      <wp:wrapNone/>
                      <wp:docPr id="81" name="矩形 81"/>
                      <wp:cNvGraphicFramePr/>
                      <a:graphic xmlns:a="http://schemas.openxmlformats.org/drawingml/2006/main">
                        <a:graphicData uri="http://schemas.microsoft.com/office/word/2010/wordprocessingShape">
                          <wps:wsp>
                            <wps:cNvSpPr/>
                            <wps:spPr>
                              <a:xfrm>
                                <a:off x="1476375" y="2498090"/>
                                <a:ext cx="4953000" cy="6977380"/>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5pt;margin-top:7.2pt;height:549.4pt;width:390pt;z-index:251669504;v-text-anchor:middle;mso-width-relative:page;mso-height-relative:page;" fillcolor="#000000 [3213]" filled="t" stroked="t" coordsize="21600,21600" o:gfxdata="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6rVm1dcAAAAK&#10;AQAADwAAAAAAAAABACAAAAAiAAAAZHJzL2Rvd25yZXYueG1sUEsBAhQAFAAAAAgAh07iQEW206aP&#10;AgAAJQUAAA4AAAAAAAAAAQAgAAAAJgEAAGRycy9lMm9Eb2MueG1sUEsFBgAAAAAGAAYAWQEAACcG&#10;AAAAAA==&#10;">
                      <v:fill on="t" focussize="0,0"/>
                      <v:stroke weight="1pt" color="#2E54A1 [2404]" miterlimit="8" joinstyle="miter"/>
                      <v:imagedata o:title=""/>
                      <o:lock v:ext="edit" aspectratio="f"/>
                    </v:rect>
                  </w:pict>
                </mc:Fallback>
              </mc:AlternateContent>
            </w:r>
            <w:r>
              <w:rPr>
                <w:rFonts w:hint="default" w:ascii="Times New Roman" w:hAnsi="Times New Roman" w:eastAsia="宋体" w:cs="Times New Roman"/>
                <w:color w:val="000000" w:themeColor="text1"/>
                <w:sz w:val="24"/>
                <w:szCs w:val="24"/>
                <w14:textFill>
                  <w14:solidFill>
                    <w14:schemeClr w14:val="tx1"/>
                  </w14:solidFill>
                </w14:textFill>
              </w:rPr>
              <w:t>r—预测点距声源的距离，m；</w:t>
            </w:r>
          </w:p>
          <w:p w14:paraId="5AD8EF7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r0—参考位置距声源的距离，m；r0=1。</w:t>
            </w:r>
          </w:p>
          <w:p w14:paraId="3876CBE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2553E60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综上分析，上式可简化为</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6AE1905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pacing w:val="-10"/>
                <w:sz w:val="24"/>
                <w:szCs w:val="24"/>
                <w14:textFill>
                  <w14:solidFill>
                    <w14:schemeClr w14:val="tx1"/>
                  </w14:solidFill>
                </w14:textFill>
              </w:rPr>
              <w:object>
                <v:shape id="_x0000_i1032" o:spt="75" type="#_x0000_t75" style="height:19pt;width:131pt;" o:ole="t" filled="f" o:preferrelative="t" stroked="f" coordsize="21600,21600">
                  <v:path/>
                  <v:fill on="f" focussize="0,0"/>
                  <v:stroke on="f"/>
                  <v:imagedata r:id="rId28" o:title=""/>
                  <o:lock v:ext="edit" aspectratio="t"/>
                  <w10:wrap type="none"/>
                  <w10:anchorlock/>
                </v:shape>
                <o:OLEObject Type="Embed" ProgID="Equation.KSEE3" ShapeID="_x0000_i1032" DrawAspect="Content" ObjectID="_1468075732" r:id="rId27">
                  <o:LockedField>false</o:LockedField>
                </o:OLEObject>
              </w:object>
            </w:r>
          </w:p>
          <w:p w14:paraId="37DF16C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color w:val="000000" w:themeColor="text1"/>
                <w:sz w:val="24"/>
                <w:szCs w:val="24"/>
                <w14:textFill>
                  <w14:solidFill>
                    <w14:schemeClr w14:val="tx1"/>
                  </w14:solidFill>
                </w14:textFill>
              </w:rPr>
              <w:t>（2）预测结果</w:t>
            </w:r>
          </w:p>
          <w:p w14:paraId="3CE8B36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本项目最大噪声源是生产设备噪声，噪声源均处于车间内。因此，本报告将车间内的声源通过不同距离处噪声贡献值进行分析。</w:t>
            </w:r>
          </w:p>
          <w:p w14:paraId="1BE5F61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为确保项目营运期噪声能够稳定达标排放，提出以下几点措施：</w:t>
            </w:r>
          </w:p>
          <w:p w14:paraId="24C94D4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①选用低噪声型设备；</w:t>
            </w:r>
          </w:p>
          <w:p w14:paraId="6EE997F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②合理布设设备，且生产设备置于洁净车间内，使强噪声设备远离厂界；</w:t>
            </w:r>
          </w:p>
          <w:p w14:paraId="57D82D0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③强噪声设备底座设置基础减振或减振垫；</w:t>
            </w:r>
          </w:p>
          <w:p w14:paraId="44F69AB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④定期检修设备，减少因零部件磨损产生的噪声。</w:t>
            </w:r>
          </w:p>
          <w:p w14:paraId="4D5ED55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经采取上述综合措施后，且噪声经过加装减震垫衰减后，噪声源强可削减20~40dB</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，本评价的噪声综合削减量取最低的20dB</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，则本项目车间噪声预测结果如下表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所示</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5135224D">
            <w:pPr>
              <w:numPr>
                <w:ilvl w:val="0"/>
                <w:numId w:val="0"/>
              </w:numPr>
              <w:bidi w:val="0"/>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表</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4-10 本项目辅助设备对厂界的影响</w:t>
            </w:r>
            <w:r>
              <w:rPr>
                <w:rFonts w:hint="default" w:ascii="Times New Roman" w:hAnsi="Times New Roman" w:eastAsia="黑体" w:cs="Times New Roman"/>
                <w:color w:val="000000" w:themeColor="text1"/>
                <w:sz w:val="21"/>
                <w:szCs w:val="21"/>
                <w:lang w:eastAsia="zh-CN"/>
                <w14:textFill>
                  <w14:solidFill>
                    <w14:schemeClr w14:val="tx1"/>
                  </w14:solidFill>
                </w14:textFill>
              </w:rPr>
              <w:t>一览表</w:t>
            </w:r>
            <w:r>
              <w:rPr>
                <w:rFonts w:hint="default" w:ascii="Times New Roman" w:hAnsi="Times New Roman" w:eastAsia="黑体" w:cs="Times New Roman"/>
                <w:color w:val="000000" w:themeColor="text1"/>
                <w:sz w:val="21"/>
                <w:szCs w:val="21"/>
                <w14:textFill>
                  <w14:solidFill>
                    <w14:schemeClr w14:val="tx1"/>
                  </w14:solidFill>
                </w14:textFill>
              </w:rPr>
              <w:t>（单位：dB(A)）</w:t>
            </w:r>
          </w:p>
          <w:tbl>
            <w:tblPr>
              <w:tblStyle w:val="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918"/>
              <w:gridCol w:w="684"/>
              <w:gridCol w:w="864"/>
              <w:gridCol w:w="696"/>
              <w:gridCol w:w="852"/>
              <w:gridCol w:w="744"/>
              <w:gridCol w:w="876"/>
              <w:gridCol w:w="684"/>
              <w:gridCol w:w="884"/>
            </w:tblGrid>
            <w:tr w14:paraId="5A06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1126329C">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设备名称</w:t>
                  </w:r>
                </w:p>
              </w:tc>
              <w:tc>
                <w:tcPr>
                  <w:tcW w:w="918" w:type="dxa"/>
                  <w:vAlign w:val="center"/>
                </w:tcPr>
                <w:p w14:paraId="3E836D74">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降噪后距声源1m声压级/dB(A）</w:t>
                  </w:r>
                </w:p>
              </w:tc>
              <w:tc>
                <w:tcPr>
                  <w:tcW w:w="684" w:type="dxa"/>
                  <w:vAlign w:val="center"/>
                </w:tcPr>
                <w:p w14:paraId="4A715C92">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东面距离/m</w:t>
                  </w:r>
                </w:p>
              </w:tc>
              <w:tc>
                <w:tcPr>
                  <w:tcW w:w="864" w:type="dxa"/>
                  <w:vAlign w:val="center"/>
                </w:tcPr>
                <w:p w14:paraId="251B4785">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东面贡献值/ dB(A)</w:t>
                  </w:r>
                </w:p>
              </w:tc>
              <w:tc>
                <w:tcPr>
                  <w:tcW w:w="696" w:type="dxa"/>
                  <w:vAlign w:val="center"/>
                </w:tcPr>
                <w:p w14:paraId="6E136219">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南面距离/m</w:t>
                  </w:r>
                </w:p>
              </w:tc>
              <w:tc>
                <w:tcPr>
                  <w:tcW w:w="852" w:type="dxa"/>
                  <w:vAlign w:val="center"/>
                </w:tcPr>
                <w:p w14:paraId="65E8A605">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南面贡献值/ dB(A)</w:t>
                  </w:r>
                </w:p>
              </w:tc>
              <w:tc>
                <w:tcPr>
                  <w:tcW w:w="744" w:type="dxa"/>
                  <w:vAlign w:val="center"/>
                </w:tcPr>
                <w:p w14:paraId="1F03CE31">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西面距离/m</w:t>
                  </w:r>
                </w:p>
              </w:tc>
              <w:tc>
                <w:tcPr>
                  <w:tcW w:w="876" w:type="dxa"/>
                  <w:vAlign w:val="center"/>
                </w:tcPr>
                <w:p w14:paraId="4CE06743">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西面贡献值/ dB(A)</w:t>
                  </w:r>
                </w:p>
              </w:tc>
              <w:tc>
                <w:tcPr>
                  <w:tcW w:w="684" w:type="dxa"/>
                  <w:vAlign w:val="center"/>
                </w:tcPr>
                <w:p w14:paraId="0AE6EB9E">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北面距离/m</w:t>
                  </w:r>
                </w:p>
              </w:tc>
              <w:tc>
                <w:tcPr>
                  <w:tcW w:w="884" w:type="dxa"/>
                  <w:vAlign w:val="center"/>
                </w:tcPr>
                <w:p w14:paraId="70885C7D">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14:textFill>
                        <w14:solidFill>
                          <w14:schemeClr w14:val="tx1"/>
                        </w14:solidFill>
                      </w14:textFill>
                    </w:rPr>
                    <w:t>北面贡献值/ dB(A)</w:t>
                  </w:r>
                </w:p>
              </w:tc>
            </w:tr>
            <w:tr w14:paraId="14C6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49295E5D">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风机</w:t>
                  </w:r>
                </w:p>
              </w:tc>
              <w:tc>
                <w:tcPr>
                  <w:tcW w:w="918" w:type="dxa"/>
                  <w:vAlign w:val="center"/>
                </w:tcPr>
                <w:p w14:paraId="30B9E57B">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63.1</w:t>
                  </w:r>
                </w:p>
              </w:tc>
              <w:tc>
                <w:tcPr>
                  <w:tcW w:w="684" w:type="dxa"/>
                  <w:vAlign w:val="center"/>
                </w:tcPr>
                <w:p w14:paraId="3D32D5F0">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10</w:t>
                  </w:r>
                </w:p>
              </w:tc>
              <w:tc>
                <w:tcPr>
                  <w:tcW w:w="864" w:type="dxa"/>
                  <w:vAlign w:val="center"/>
                </w:tcPr>
                <w:p w14:paraId="677F6147">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43.01</w:t>
                  </w:r>
                </w:p>
              </w:tc>
              <w:tc>
                <w:tcPr>
                  <w:tcW w:w="696" w:type="dxa"/>
                  <w:vAlign w:val="center"/>
                </w:tcPr>
                <w:p w14:paraId="40A81910">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78</w:t>
                  </w:r>
                </w:p>
              </w:tc>
              <w:tc>
                <w:tcPr>
                  <w:tcW w:w="852" w:type="dxa"/>
                  <w:vAlign w:val="center"/>
                </w:tcPr>
                <w:p w14:paraId="274DC8D8">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25.17</w:t>
                  </w:r>
                </w:p>
              </w:tc>
              <w:tc>
                <w:tcPr>
                  <w:tcW w:w="744" w:type="dxa"/>
                  <w:vAlign w:val="center"/>
                </w:tcPr>
                <w:p w14:paraId="4CA90AAA">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33</w:t>
                  </w:r>
                </w:p>
              </w:tc>
              <w:tc>
                <w:tcPr>
                  <w:tcW w:w="876" w:type="dxa"/>
                  <w:vAlign w:val="center"/>
                </w:tcPr>
                <w:p w14:paraId="013A3858">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32.64</w:t>
                  </w:r>
                </w:p>
              </w:tc>
              <w:tc>
                <w:tcPr>
                  <w:tcW w:w="684" w:type="dxa"/>
                  <w:vAlign w:val="center"/>
                </w:tcPr>
                <w:p w14:paraId="3D652686">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15</w:t>
                  </w:r>
                </w:p>
              </w:tc>
              <w:tc>
                <w:tcPr>
                  <w:tcW w:w="884" w:type="dxa"/>
                  <w:vAlign w:val="center"/>
                </w:tcPr>
                <w:p w14:paraId="3FFDEAD3">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39.49</w:t>
                  </w:r>
                </w:p>
              </w:tc>
            </w:tr>
            <w:tr w14:paraId="58F3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6E958BAC">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昼间</w:t>
                  </w:r>
                </w:p>
                <w:p w14:paraId="360F6BC2">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叠加值</w:t>
                  </w:r>
                </w:p>
              </w:tc>
              <w:tc>
                <w:tcPr>
                  <w:tcW w:w="918" w:type="dxa"/>
                  <w:vAlign w:val="center"/>
                </w:tcPr>
                <w:p w14:paraId="09206EB8">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684" w:type="dxa"/>
                  <w:vAlign w:val="center"/>
                </w:tcPr>
                <w:p w14:paraId="62AD32B3">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864" w:type="dxa"/>
                  <w:vAlign w:val="center"/>
                </w:tcPr>
                <w:p w14:paraId="2C1CA37D">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58.14</w:t>
                  </w:r>
                </w:p>
              </w:tc>
              <w:tc>
                <w:tcPr>
                  <w:tcW w:w="696" w:type="dxa"/>
                  <w:vAlign w:val="center"/>
                </w:tcPr>
                <w:p w14:paraId="02074D12">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852" w:type="dxa"/>
                  <w:vAlign w:val="center"/>
                </w:tcPr>
                <w:p w14:paraId="2910CB46">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59</w:t>
                  </w:r>
                </w:p>
              </w:tc>
              <w:tc>
                <w:tcPr>
                  <w:tcW w:w="744" w:type="dxa"/>
                  <w:vAlign w:val="center"/>
                </w:tcPr>
                <w:p w14:paraId="51331F33">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876" w:type="dxa"/>
                  <w:vAlign w:val="center"/>
                </w:tcPr>
                <w:p w14:paraId="319ECDE8">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58.01</w:t>
                  </w:r>
                </w:p>
              </w:tc>
              <w:tc>
                <w:tcPr>
                  <w:tcW w:w="684" w:type="dxa"/>
                  <w:vAlign w:val="center"/>
                </w:tcPr>
                <w:p w14:paraId="0E65D439">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884" w:type="dxa"/>
                  <w:vAlign w:val="center"/>
                </w:tcPr>
                <w:p w14:paraId="00248A58">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57.08</w:t>
                  </w:r>
                </w:p>
              </w:tc>
            </w:tr>
            <w:tr w14:paraId="389D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Align w:val="center"/>
                </w:tcPr>
                <w:p w14:paraId="17726F51">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昼间</w:t>
                  </w:r>
                </w:p>
                <w:p w14:paraId="6A9DA7EA">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标准值</w:t>
                  </w:r>
                </w:p>
              </w:tc>
              <w:tc>
                <w:tcPr>
                  <w:tcW w:w="918" w:type="dxa"/>
                  <w:vAlign w:val="center"/>
                </w:tcPr>
                <w:p w14:paraId="18405BB8">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684" w:type="dxa"/>
                  <w:vAlign w:val="center"/>
                </w:tcPr>
                <w:p w14:paraId="10AC43A8">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864" w:type="dxa"/>
                  <w:vAlign w:val="center"/>
                </w:tcPr>
                <w:p w14:paraId="75E4CB62">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65</w:t>
                  </w:r>
                </w:p>
              </w:tc>
              <w:tc>
                <w:tcPr>
                  <w:tcW w:w="696" w:type="dxa"/>
                  <w:vAlign w:val="center"/>
                </w:tcPr>
                <w:p w14:paraId="2E7E9201">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852" w:type="dxa"/>
                  <w:vAlign w:val="center"/>
                </w:tcPr>
                <w:p w14:paraId="7811BB34">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65</w:t>
                  </w:r>
                </w:p>
              </w:tc>
              <w:tc>
                <w:tcPr>
                  <w:tcW w:w="744" w:type="dxa"/>
                  <w:vAlign w:val="center"/>
                </w:tcPr>
                <w:p w14:paraId="0E07D68C">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876" w:type="dxa"/>
                  <w:vAlign w:val="center"/>
                </w:tcPr>
                <w:p w14:paraId="0A095746">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65</w:t>
                  </w:r>
                </w:p>
              </w:tc>
              <w:tc>
                <w:tcPr>
                  <w:tcW w:w="684" w:type="dxa"/>
                  <w:vAlign w:val="center"/>
                </w:tcPr>
                <w:p w14:paraId="47849F27">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w:t>
                  </w:r>
                </w:p>
              </w:tc>
              <w:tc>
                <w:tcPr>
                  <w:tcW w:w="884" w:type="dxa"/>
                  <w:vAlign w:val="center"/>
                </w:tcPr>
                <w:p w14:paraId="30318E8A">
                  <w:pPr>
                    <w:numPr>
                      <w:ilvl w:val="0"/>
                      <w:numId w:val="0"/>
                    </w:numPr>
                    <w:bidi w:val="0"/>
                    <w:spacing w:line="240" w:lineRule="auto"/>
                    <w:jc w:val="cente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vertAlign w:val="baseline"/>
                      <w:lang w:val="en-US" w:eastAsia="zh-CN"/>
                      <w14:textFill>
                        <w14:solidFill>
                          <w14:schemeClr w14:val="tx1"/>
                        </w14:solidFill>
                      </w14:textFill>
                    </w:rPr>
                    <w:t>65</w:t>
                  </w:r>
                </w:p>
              </w:tc>
            </w:tr>
          </w:tbl>
          <w:p w14:paraId="50E968B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由上表可知，对辅助设备风机采取加装减振垫等减震措施及距离衰减后，项目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厂界四周</w:t>
            </w:r>
            <w:r>
              <w:rPr>
                <w:rFonts w:hint="default"/>
                <w:color w:val="000000" w:themeColor="text1"/>
                <w14:textFill>
                  <w14:solidFill>
                    <w14:schemeClr w14:val="tx1"/>
                  </w14:solidFill>
                </w14:textFill>
              </w:rPr>
              <w:t>达到《工业企业厂界环境噪声排放标准》（GB12348-2008）</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类标准，即昼间等效声级≤</w:t>
            </w:r>
            <w:r>
              <w:rPr>
                <w:rFonts w:hint="eastAsia"/>
                <w:color w:val="000000" w:themeColor="text1"/>
                <w:lang w:val="en-US" w:eastAsia="zh-CN"/>
                <w14:textFill>
                  <w14:solidFill>
                    <w14:schemeClr w14:val="tx1"/>
                  </w14:solidFill>
                </w14:textFill>
              </w:rPr>
              <w:t>65</w:t>
            </w:r>
            <w:r>
              <w:rPr>
                <w:rFonts w:hint="default"/>
                <w:color w:val="000000" w:themeColor="text1"/>
                <w14:textFill>
                  <w14:solidFill>
                    <w14:schemeClr w14:val="tx1"/>
                  </w14:solidFill>
                </w14:textFill>
              </w:rPr>
              <w:t>dB(A)，且夜间不生产</w:t>
            </w:r>
            <w:r>
              <w:rPr>
                <w:rFonts w:hint="eastAsia"/>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项目50米范围内没有声环境保护目标，项目产生的噪声不会对周边敏感点造成影响。</w:t>
            </w:r>
          </w:p>
          <w:p w14:paraId="5CBF2C4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kern w:val="2"/>
                <w:sz w:val="24"/>
                <w:szCs w:val="24"/>
                <w:lang w:val="en-US" w:eastAsia="zh-CN" w:bidi="ar-SA"/>
                <w14:textFill>
                  <w14:solidFill>
                    <w14:schemeClr w14:val="tx1"/>
                  </w14:solidFill>
                </w14:textFill>
              </w:rPr>
              <w:t>3.3</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降噪措施</w:t>
            </w:r>
          </w:p>
          <w:p w14:paraId="0986EFA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从预测结果看，在经过墙体隔声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减振</w:t>
            </w:r>
            <w:r>
              <w:rPr>
                <w:color w:val="000000" w:themeColor="text1"/>
                <w14:textFill>
                  <w14:solidFill>
                    <w14:schemeClr w14:val="tx1"/>
                  </w14:solidFill>
                </w14:textFill>
              </w:rPr>
              <w:t>措施下，本项目各边界可达到《工业企业厂界环境噪声排放标准》（GB12348-2008）</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类标准。为降低本项目产生的噪声对周边环境的影响，保护周边生态环境，建议建设单位采取以下措施：</w:t>
            </w:r>
          </w:p>
          <w:p w14:paraId="777548C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lang w:val="en-US" w:eastAsia="zh-CN"/>
                <w14:textFill>
                  <w14:solidFill>
                    <w14:schemeClr w14:val="tx1"/>
                  </w14:solidFill>
                </w14:textFill>
              </w:rPr>
              <w:t>室内生产设备</w:t>
            </w:r>
            <w:r>
              <w:rPr>
                <w:color w:val="000000" w:themeColor="text1"/>
                <w14:textFill>
                  <w14:solidFill>
                    <w14:schemeClr w14:val="tx1"/>
                  </w14:solidFill>
                </w14:textFill>
              </w:rPr>
              <w:t>合理布局，重视总平面布置，考虑利用建筑物、构筑物来阻隔声波的传播。</w:t>
            </w:r>
          </w:p>
          <w:p w14:paraId="194E614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lang w:val="en-US" w:eastAsia="zh-CN"/>
                <w14:textFill>
                  <w14:solidFill>
                    <w14:schemeClr w14:val="tx1"/>
                  </w14:solidFill>
                </w14:textFill>
              </w:rPr>
              <w:t>采</w:t>
            </w:r>
            <w:r>
              <w:rPr>
                <w:color w:val="000000" w:themeColor="text1"/>
                <w14:textFill>
                  <w14:solidFill>
                    <w14:schemeClr w14:val="tx1"/>
                  </w14:solidFill>
                </w14:textFill>
              </w:rPr>
              <w:t>用低噪声设备；</w:t>
            </w:r>
            <w:r>
              <w:rPr>
                <w:rFonts w:hint="eastAsia"/>
                <w:color w:val="000000" w:themeColor="text1"/>
                <w:lang w:val="en-US" w:eastAsia="zh-CN"/>
                <w14:textFill>
                  <w14:solidFill>
                    <w14:schemeClr w14:val="tx1"/>
                  </w14:solidFill>
                </w14:textFill>
              </w:rPr>
              <w:t>对风机噪声设备</w:t>
            </w:r>
            <w:r>
              <w:rPr>
                <w:color w:val="000000" w:themeColor="text1"/>
                <w14:textFill>
                  <w14:solidFill>
                    <w14:schemeClr w14:val="tx1"/>
                  </w14:solidFill>
                </w14:textFill>
              </w:rPr>
              <w:t>采取一定的消声、减震措施，如底部设置减震垫等。</w:t>
            </w:r>
          </w:p>
          <w:p w14:paraId="213C860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③对生产设备的运动部件连接处添加润滑油，安装固定机架并拧紧螺丝，预防机械过于松弛；对部分高噪声设备设置减震和隔音装置。</w:t>
            </w:r>
          </w:p>
          <w:p w14:paraId="02D760D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w:t>④合理安排生产时间，避免在午休时间进行生产，在生产期间关闭部分门窗</w:t>
            </w:r>
            <w:r>
              <w:rPr>
                <w:rFonts w:hint="eastAsia"/>
                <w:color w:val="000000" w:themeColor="text1"/>
                <w14:textFill>
                  <w14:solidFill>
                    <w14:schemeClr w14:val="tx1"/>
                  </w14:solidFill>
                </w14:textFill>
              </w:rPr>
              <w:t>。</w:t>
            </w:r>
          </w:p>
          <w:p w14:paraId="131162A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⑤</w:t>
            </w:r>
            <w:r>
              <w:rPr>
                <w:color w:val="000000" w:themeColor="text1"/>
                <w14:textFill>
                  <w14:solidFill>
                    <w14:schemeClr w14:val="tx1"/>
                  </w14:solidFill>
                </w14:textFill>
              </w:rPr>
              <w:t>加强生产管理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加强管理建立设备定期维护、保养的管理制度，以防止设备故障形成的非生产噪声，同时确保环保措施发挥最有效的功能；加强职工环保意识教育，提倡文明生产，防止人为噪声。</w:t>
            </w:r>
          </w:p>
          <w:p w14:paraId="08A5045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⑥</w:t>
            </w:r>
            <w:r>
              <w:rPr>
                <w:color w:val="000000" w:themeColor="text1"/>
                <w14:textFill>
                  <w14:solidFill>
                    <w14:schemeClr w14:val="tx1"/>
                  </w14:solidFill>
                </w14:textFill>
              </w:rPr>
              <w:t>要求运输车进出厂区时要减速行驶，禁鸣喇叭，合理安排装卸货物；做好厂区内、外部车流的疏通</w:t>
            </w:r>
            <w:r>
              <w:rPr>
                <w:rFonts w:hint="eastAsia"/>
                <w:color w:val="000000" w:themeColor="text1"/>
                <w:lang w:eastAsia="zh-CN"/>
                <w14:textFill>
                  <w14:solidFill>
                    <w14:schemeClr w14:val="tx1"/>
                  </w14:solidFill>
                </w14:textFill>
              </w:rPr>
              <w:t>。</w:t>
            </w:r>
          </w:p>
          <w:p w14:paraId="62CF2C6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黑体"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黑体" w:cs="Times New Roman"/>
                <w:color w:val="000000" w:themeColor="text1"/>
                <w:sz w:val="24"/>
                <w:szCs w:val="24"/>
                <w:lang w:val="en-US" w:eastAsia="zh-CN"/>
                <w14:textFill>
                  <w14:solidFill>
                    <w14:schemeClr w14:val="tx1"/>
                  </w14:solidFill>
                </w14:textFill>
              </w:rPr>
              <w:t>噪声自行监测要求</w:t>
            </w:r>
          </w:p>
          <w:p w14:paraId="1D25A6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color w:val="000000" w:themeColor="text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根据《排污单位自行监测技术指南总则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color w:val="000000" w:themeColor="text1"/>
                <w14:textFill>
                  <w14:solidFill>
                    <w14:schemeClr w14:val="tx1"/>
                  </w14:solidFill>
                </w14:textFill>
              </w:rPr>
              <w:t>（HJ819-2017）</w:t>
            </w:r>
            <w:r>
              <w:rPr>
                <w:rFonts w:hint="eastAsia"/>
                <w:color w:val="000000" w:themeColor="text1"/>
                <w:lang w:eastAsia="zh-CN"/>
                <w14:textFill>
                  <w14:solidFill>
                    <w14:schemeClr w14:val="tx1"/>
                  </w14:solidFill>
                </w14:textFill>
              </w:rPr>
              <w:t>，</w:t>
            </w:r>
            <w:r>
              <w:rPr>
                <w:rFonts w:hint="eastAsia"/>
                <w:color w:val="000000" w:themeColor="text1"/>
                <w:vertAlign w:val="baseline"/>
                <w14:textFill>
                  <w14:solidFill>
                    <w14:schemeClr w14:val="tx1"/>
                  </w14:solidFill>
                </w14:textFill>
              </w:rPr>
              <w:t>本项目运营期</w:t>
            </w:r>
            <w:r>
              <w:rPr>
                <w:rFonts w:hint="eastAsia"/>
                <w:color w:val="000000" w:themeColor="text1"/>
                <w:vertAlign w:val="baseline"/>
                <w:lang w:val="en-US" w:eastAsia="zh-CN"/>
                <w14:textFill>
                  <w14:solidFill>
                    <w14:schemeClr w14:val="tx1"/>
                  </w14:solidFill>
                </w14:textFill>
              </w:rPr>
              <w:t>噪声</w:t>
            </w:r>
            <w:r>
              <w:rPr>
                <w:rFonts w:hint="eastAsia"/>
                <w:color w:val="000000" w:themeColor="text1"/>
                <w:vertAlign w:val="baseline"/>
                <w14:textFill>
                  <w14:solidFill>
                    <w14:schemeClr w14:val="tx1"/>
                  </w14:solidFill>
                </w14:textFill>
              </w:rPr>
              <w:t>环境监测计划如下表</w:t>
            </w:r>
            <w:r>
              <w:rPr>
                <w:rFonts w:hint="eastAsia"/>
                <w:color w:val="000000" w:themeColor="text1"/>
                <w:vertAlign w:val="baseline"/>
                <w:lang w:val="en-US" w:eastAsia="zh-CN"/>
                <w14:textFill>
                  <w14:solidFill>
                    <w14:schemeClr w14:val="tx1"/>
                  </w14:solidFill>
                </w14:textFill>
              </w:rPr>
              <w:t>4-11</w:t>
            </w:r>
            <w:r>
              <w:rPr>
                <w:rFonts w:hint="eastAsia"/>
                <w:color w:val="000000" w:themeColor="text1"/>
                <w:vertAlign w:val="baseline"/>
                <w14:textFill>
                  <w14:solidFill>
                    <w14:schemeClr w14:val="tx1"/>
                  </w14:solidFill>
                </w14:textFill>
              </w:rPr>
              <w:t>所示</w:t>
            </w:r>
            <w:r>
              <w:rPr>
                <w:rFonts w:hint="eastAsia"/>
                <w:color w:val="000000" w:themeColor="text1"/>
                <w:vertAlign w:val="baseline"/>
                <w:lang w:eastAsia="zh-CN"/>
                <w14:textFill>
                  <w14:solidFill>
                    <w14:schemeClr w14:val="tx1"/>
                  </w14:solidFill>
                </w14:textFill>
              </w:rPr>
              <w:t>。</w:t>
            </w:r>
          </w:p>
          <w:p w14:paraId="1C35C961">
            <w:pPr>
              <w:spacing w:line="360" w:lineRule="auto"/>
              <w:jc w:val="center"/>
              <w:rPr>
                <w:rFonts w:hint="eastAsia" w:eastAsia="黑体"/>
                <w:b w:val="0"/>
                <w:bCs w:val="0"/>
                <w:color w:val="000000" w:themeColor="text1"/>
                <w:sz w:val="21"/>
                <w:szCs w:val="21"/>
                <w:lang w:val="en-US" w:eastAsia="zh-CN"/>
                <w14:textFill>
                  <w14:solidFill>
                    <w14:schemeClr w14:val="tx1"/>
                  </w14:solidFill>
                </w14:textFill>
              </w:rPr>
            </w:pPr>
            <w:r>
              <w:rPr>
                <w:rFonts w:eastAsia="黑体"/>
                <w:b w:val="0"/>
                <w:bCs w:val="0"/>
                <w:color w:val="000000" w:themeColor="text1"/>
                <w:sz w:val="21"/>
                <w:szCs w:val="21"/>
                <w14:textFill>
                  <w14:solidFill>
                    <w14:schemeClr w14:val="tx1"/>
                  </w14:solidFill>
                </w14:textFill>
              </w:rPr>
              <w:t>表</w:t>
            </w:r>
            <w:r>
              <w:rPr>
                <w:rFonts w:hint="eastAsia" w:eastAsia="黑体"/>
                <w:b w:val="0"/>
                <w:bCs w:val="0"/>
                <w:color w:val="000000" w:themeColor="text1"/>
                <w:sz w:val="21"/>
                <w:szCs w:val="21"/>
                <w:lang w:val="en-US" w:eastAsia="zh-CN"/>
                <w14:textFill>
                  <w14:solidFill>
                    <w14:schemeClr w14:val="tx1"/>
                  </w14:solidFill>
                </w14:textFill>
              </w:rPr>
              <w:t>4-11 本项目运营期噪声环境监测计划一览表</w:t>
            </w:r>
          </w:p>
          <w:tbl>
            <w:tblPr>
              <w:tblStyle w:val="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409"/>
              <w:gridCol w:w="1679"/>
              <w:gridCol w:w="3515"/>
            </w:tblGrid>
            <w:tr w14:paraId="4B3A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vAlign w:val="center"/>
                </w:tcPr>
                <w:p w14:paraId="419B8307">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监测点位</w:t>
                  </w:r>
                </w:p>
              </w:tc>
              <w:tc>
                <w:tcPr>
                  <w:tcW w:w="1409" w:type="dxa"/>
                  <w:vAlign w:val="center"/>
                </w:tcPr>
                <w:p w14:paraId="4BA17664">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监测指标</w:t>
                  </w:r>
                </w:p>
              </w:tc>
              <w:tc>
                <w:tcPr>
                  <w:tcW w:w="1679" w:type="dxa"/>
                  <w:vAlign w:val="center"/>
                </w:tcPr>
                <w:p w14:paraId="77F30682">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监测频次</w:t>
                  </w:r>
                </w:p>
              </w:tc>
              <w:tc>
                <w:tcPr>
                  <w:tcW w:w="3515" w:type="dxa"/>
                  <w:vAlign w:val="center"/>
                </w:tcPr>
                <w:p w14:paraId="1658CBD8">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执行标准</w:t>
                  </w:r>
                </w:p>
              </w:tc>
            </w:tr>
            <w:tr w14:paraId="5F96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vAlign w:val="center"/>
                </w:tcPr>
                <w:p w14:paraId="602638F1">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各厂界1m处布设1个监测点</w:t>
                  </w:r>
                </w:p>
              </w:tc>
              <w:tc>
                <w:tcPr>
                  <w:tcW w:w="1409" w:type="dxa"/>
                  <w:vAlign w:val="center"/>
                </w:tcPr>
                <w:p w14:paraId="1F17AA56">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昼间噪声</w:t>
                  </w:r>
                </w:p>
              </w:tc>
              <w:tc>
                <w:tcPr>
                  <w:tcW w:w="1679" w:type="dxa"/>
                  <w:vAlign w:val="center"/>
                </w:tcPr>
                <w:p w14:paraId="01514574">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1次/季度</w:t>
                  </w:r>
                </w:p>
              </w:tc>
              <w:tc>
                <w:tcPr>
                  <w:tcW w:w="3515" w:type="dxa"/>
                  <w:vAlign w:val="center"/>
                </w:tcPr>
                <w:p w14:paraId="16E4ECF4">
                  <w:pPr>
                    <w:spacing w:line="240" w:lineRule="auto"/>
                    <w:jc w:val="cente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《工业企业厂界环境噪声排放标准》（GB12348-2008）3类标准</w:t>
                  </w:r>
                </w:p>
              </w:tc>
            </w:tr>
          </w:tbl>
          <w:p w14:paraId="41EC46E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黑体" w:cs="Times New Roman"/>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黑体" w:cs="Times New Roman"/>
                <w:color w:val="000000" w:themeColor="text1"/>
                <w:sz w:val="24"/>
                <w:szCs w:val="24"/>
                <w:lang w:val="en-US" w:eastAsia="zh-CN"/>
                <w14:textFill>
                  <w14:solidFill>
                    <w14:schemeClr w14:val="tx1"/>
                  </w14:solidFill>
                </w14:textFill>
              </w:rPr>
              <w:t>噪声环境影响分析结论</w:t>
            </w:r>
          </w:p>
          <w:p w14:paraId="3D75C3E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lang w:eastAsia="zh-CN"/>
                <w14:textFill>
                  <w14:solidFill>
                    <w14:schemeClr w14:val="tx1"/>
                  </w14:solidFill>
                </w14:textFill>
              </w:rPr>
              <w:t>本项目</w:t>
            </w:r>
            <w:r>
              <w:rPr>
                <w:rFonts w:hint="default"/>
                <w:color w:val="000000" w:themeColor="text1"/>
                <w:lang w:val="en-US" w:eastAsia="zh-CN"/>
                <w14:textFill>
                  <w14:solidFill>
                    <w14:schemeClr w14:val="tx1"/>
                  </w14:solidFill>
                </w14:textFill>
              </w:rPr>
              <w:t>在采取治理措施的情况下，</w:t>
            </w:r>
            <w:r>
              <w:rPr>
                <w:rFonts w:hint="eastAsia"/>
                <w:color w:val="000000" w:themeColor="text1"/>
                <w:lang w:val="en-US" w:eastAsia="zh-CN"/>
                <w14:textFill>
                  <w14:solidFill>
                    <w14:schemeClr w14:val="tx1"/>
                  </w14:solidFill>
                </w14:textFill>
              </w:rPr>
              <w:t>并且经过</w:t>
            </w:r>
            <w:r>
              <w:rPr>
                <w:rFonts w:hint="default"/>
                <w:color w:val="000000" w:themeColor="text1"/>
                <w:lang w:val="en-US" w:eastAsia="zh-CN"/>
                <w14:textFill>
                  <w14:solidFill>
                    <w14:schemeClr w14:val="tx1"/>
                  </w14:solidFill>
                </w14:textFill>
              </w:rPr>
              <w:t>一定的距离削减作用，本项目夜间不生产</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厂界噪声</w:t>
            </w:r>
            <w:r>
              <w:rPr>
                <w:rFonts w:hint="eastAsia"/>
                <w:color w:val="000000" w:themeColor="text1"/>
                <w:lang w:val="en-US" w:eastAsia="zh-CN"/>
                <w14:textFill>
                  <w14:solidFill>
                    <w14:schemeClr w14:val="tx1"/>
                  </w14:solidFill>
                </w14:textFill>
              </w:rPr>
              <w:t>可满足</w:t>
            </w:r>
            <w:r>
              <w:rPr>
                <w:rFonts w:hint="default"/>
                <w:color w:val="000000" w:themeColor="text1"/>
                <w:lang w:val="en-US" w:eastAsia="zh-CN"/>
                <w14:textFill>
                  <w14:solidFill>
                    <w14:schemeClr w14:val="tx1"/>
                  </w14:solidFill>
                </w14:textFill>
              </w:rPr>
              <w:t>《工业企业厂界环境噪声排放标准》（GB12348-2008）</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类标准，即昼间等效声级≤</w:t>
            </w:r>
            <w:r>
              <w:rPr>
                <w:rFonts w:hint="eastAsia"/>
                <w:color w:val="000000" w:themeColor="text1"/>
                <w:lang w:val="en-US" w:eastAsia="zh-CN"/>
                <w14:textFill>
                  <w14:solidFill>
                    <w14:schemeClr w14:val="tx1"/>
                  </w14:solidFill>
                </w14:textFill>
              </w:rPr>
              <w:t>65</w:t>
            </w:r>
            <w:r>
              <w:rPr>
                <w:rFonts w:hint="default"/>
                <w:color w:val="000000" w:themeColor="text1"/>
                <w:lang w:val="en-US" w:eastAsia="zh-CN"/>
                <w14:textFill>
                  <w14:solidFill>
                    <w14:schemeClr w14:val="tx1"/>
                  </w14:solidFill>
                </w14:textFill>
              </w:rPr>
              <w:t>dB(A)</w:t>
            </w:r>
            <w:r>
              <w:rPr>
                <w:rFonts w:hint="eastAsia"/>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项目50米范围内没有声环境保护目标，项目产生的噪声不会对周边敏感点造成影响。</w:t>
            </w:r>
          </w:p>
          <w:p w14:paraId="5A17CB0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黑体"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eastAsia="黑体" w:cs="Times New Roman"/>
                <w:color w:val="000000" w:themeColor="text1"/>
                <w:kern w:val="2"/>
                <w:sz w:val="24"/>
                <w:szCs w:val="24"/>
                <w:u w:val="single"/>
                <w:lang w:val="en-US" w:eastAsia="zh-CN" w:bidi="ar-SA"/>
                <w14:textFill>
                  <w14:solidFill>
                    <w14:schemeClr w14:val="tx1"/>
                  </w14:solidFill>
                </w14:textFill>
              </w:rPr>
              <w:t>4.</w:t>
            </w:r>
            <w:r>
              <w:rPr>
                <w:rFonts w:hint="eastAsia" w:ascii="Times New Roman" w:hAnsi="Times New Roman" w:eastAsia="黑体" w:cs="Times New Roman"/>
                <w:color w:val="000000" w:themeColor="text1"/>
                <w:sz w:val="24"/>
                <w:szCs w:val="24"/>
                <w:u w:val="single"/>
                <w:lang w:val="en-US" w:eastAsia="zh-CN"/>
                <w14:textFill>
                  <w14:solidFill>
                    <w14:schemeClr w14:val="tx1"/>
                  </w14:solidFill>
                </w14:textFill>
              </w:rPr>
              <w:t>固体废物</w:t>
            </w:r>
          </w:p>
          <w:p w14:paraId="5F8F6C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4.1</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源强</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计算</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分析</w:t>
            </w:r>
          </w:p>
          <w:p w14:paraId="535A5C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bCs/>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（1）</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生活垃圾</w:t>
            </w:r>
          </w:p>
          <w:p w14:paraId="72824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本项目不新增员工，不新增生活垃圾</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w:t>
            </w:r>
          </w:p>
          <w:p w14:paraId="099690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（2）一般固体废物</w:t>
            </w:r>
          </w:p>
          <w:p w14:paraId="431A14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cs="Times New Roman"/>
                <w:color w:val="000000" w:themeColor="text1"/>
                <w:sz w:val="24"/>
                <w:szCs w:val="24"/>
                <w:u w:val="single"/>
                <w:lang w:val="en-US" w:eastAsia="zh-CN"/>
                <w14:textFill>
                  <w14:solidFill>
                    <w14:schemeClr w14:val="tx1"/>
                  </w14:solidFill>
                </w14:textFill>
              </w:rPr>
              <w:t>本项目不新增一般工业固体废物</w:t>
            </w:r>
          </w:p>
          <w:p w14:paraId="690438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危险废物</w:t>
            </w:r>
          </w:p>
          <w:p w14:paraId="371995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黑体" w:hAnsi="黑体" w:eastAsia="黑体" w:cs="黑体"/>
                <w:b w:val="0"/>
                <w:bCs w:val="0"/>
                <w:color w:val="000000" w:themeColor="text1"/>
                <w:sz w:val="24"/>
                <w:szCs w:val="24"/>
                <w:u w:val="single"/>
                <w:lang w:val="en-US" w:eastAsia="zh-CN"/>
                <w14:textFill>
                  <w14:solidFill>
                    <w14:schemeClr w14:val="tx1"/>
                  </w14:solidFill>
                </w14:textFill>
              </w:rPr>
            </w:pPr>
            <w:r>
              <w:rPr>
                <w:rFonts w:hint="eastAsia" w:ascii="黑体" w:hAnsi="黑体" w:eastAsia="黑体" w:cs="黑体"/>
                <w:b w:val="0"/>
                <w:bCs w:val="0"/>
                <w:color w:val="000000" w:themeColor="text1"/>
                <w:sz w:val="24"/>
                <w:szCs w:val="24"/>
                <w:u w:val="single"/>
                <w:lang w:val="en-US" w:eastAsia="zh-CN"/>
                <w14:textFill>
                  <w14:solidFill>
                    <w14:schemeClr w14:val="tx1"/>
                  </w14:solidFill>
                </w14:textFill>
              </w:rPr>
              <w:t>①废溶剂桶</w:t>
            </w:r>
          </w:p>
          <w:p w14:paraId="6F8F23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本项目原辅材料使用中会产生</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废容器桶</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，主要为废油漆桶（水性漆、油性漆）、废稀释剂桶、废固化剂桶（水性漆、油性漆），项目年使用</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水性漆、油性漆共3</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t/a，废容器桶的产生量约为原材料用量的</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%，即废容器桶年产生量约为</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0.15</w:t>
            </w: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t/a。</w:t>
            </w:r>
          </w:p>
          <w:p w14:paraId="7ABC50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②废活性炭</w:t>
            </w:r>
          </w:p>
          <w:p w14:paraId="1E3BFB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本项目设有</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u w:val="single"/>
                <w14:textFill>
                  <w14:solidFill>
                    <w14:schemeClr w14:val="tx1"/>
                  </w14:solidFill>
                </w14:textFill>
              </w:rPr>
              <w:t>套活性炭吸附装置处理有机废气，该</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装置</w:t>
            </w:r>
            <w:r>
              <w:rPr>
                <w:rFonts w:hint="default" w:ascii="Times New Roman" w:hAnsi="Times New Roman" w:eastAsia="宋体" w:cs="Times New Roman"/>
                <w:color w:val="000000" w:themeColor="text1"/>
                <w:sz w:val="24"/>
                <w:szCs w:val="24"/>
                <w:u w:val="single"/>
                <w14:textFill>
                  <w14:solidFill>
                    <w14:schemeClr w14:val="tx1"/>
                  </w14:solidFill>
                </w14:textFill>
              </w:rPr>
              <w:t>对有机废气的去除效率取90%；活性炭吸附装置因吸附有机废气</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饱和</w:t>
            </w:r>
            <w:r>
              <w:rPr>
                <w:rFonts w:hint="default" w:ascii="Times New Roman" w:hAnsi="Times New Roman" w:eastAsia="宋体" w:cs="Times New Roman"/>
                <w:color w:val="000000" w:themeColor="text1"/>
                <w:sz w:val="24"/>
                <w:szCs w:val="24"/>
                <w:u w:val="single"/>
                <w14:textFill>
                  <w14:solidFill>
                    <w14:schemeClr w14:val="tx1"/>
                  </w14:solidFill>
                </w14:textFill>
              </w:rPr>
              <w:t>产生废活性炭，项目采用的是</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蜂窝状</w:t>
            </w:r>
            <w:r>
              <w:rPr>
                <w:rFonts w:hint="default" w:ascii="Times New Roman" w:hAnsi="Times New Roman" w:eastAsia="宋体" w:cs="Times New Roman"/>
                <w:color w:val="000000" w:themeColor="text1"/>
                <w:sz w:val="24"/>
                <w:szCs w:val="24"/>
                <w:u w:val="single"/>
                <w14:textFill>
                  <w14:solidFill>
                    <w14:schemeClr w14:val="tx1"/>
                  </w14:solidFill>
                </w14:textFill>
              </w:rPr>
              <w:t>活性炭，根据《简明通风设计手册》，活性炭：有机废气=1：0.3，即1kg的活性炭可以吸附0.3kg的有机废气</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活性炭吸附饱和率为90%</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w:t>
            </w:r>
          </w:p>
          <w:p w14:paraId="7E9E09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根据前文计算，有机废气净化系统有机废气去除量为</w:t>
            </w:r>
            <w:r>
              <w:rPr>
                <w:rFonts w:hint="eastAsia" w:cs="Times New Roman"/>
                <w:color w:val="000000" w:themeColor="text1"/>
                <w:sz w:val="24"/>
                <w:szCs w:val="24"/>
                <w:u w:val="single"/>
                <w:lang w:val="en-US" w:eastAsia="zh-CN"/>
                <w14:textFill>
                  <w14:solidFill>
                    <w14:schemeClr w14:val="tx1"/>
                  </w14:solidFill>
                </w14:textFill>
              </w:rPr>
              <w:t>0.477</w:t>
            </w:r>
            <w:r>
              <w:rPr>
                <w:rFonts w:hint="default" w:ascii="Times New Roman" w:hAnsi="Times New Roman" w:eastAsia="宋体" w:cs="Times New Roman"/>
                <w:color w:val="000000" w:themeColor="text1"/>
                <w:sz w:val="24"/>
                <w:szCs w:val="24"/>
                <w:u w:val="single"/>
                <w14:textFill>
                  <w14:solidFill>
                    <w14:schemeClr w14:val="tx1"/>
                  </w14:solidFill>
                </w14:textFill>
              </w:rPr>
              <w:t>t/a</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则需要活性炭</w:t>
            </w:r>
            <w:r>
              <w:rPr>
                <w:rFonts w:hint="eastAsia" w:cs="Times New Roman"/>
                <w:color w:val="000000" w:themeColor="text1"/>
                <w:sz w:val="24"/>
                <w:szCs w:val="24"/>
                <w:u w:val="single"/>
                <w:lang w:val="en-US" w:eastAsia="zh-CN"/>
                <w14:textFill>
                  <w14:solidFill>
                    <w14:schemeClr w14:val="tx1"/>
                  </w14:solidFill>
                </w14:textFill>
              </w:rPr>
              <w:t>1.59</w:t>
            </w:r>
            <w:r>
              <w:rPr>
                <w:rFonts w:hint="default" w:ascii="Times New Roman" w:hAnsi="Times New Roman" w:eastAsia="宋体" w:cs="Times New Roman"/>
                <w:color w:val="000000" w:themeColor="text1"/>
                <w:sz w:val="24"/>
                <w:szCs w:val="24"/>
                <w:u w:val="single"/>
                <w14:textFill>
                  <w14:solidFill>
                    <w14:schemeClr w14:val="tx1"/>
                  </w14:solidFill>
                </w14:textFill>
              </w:rPr>
              <w:t>t/a。根据设计方案</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项目活性炭</w:t>
            </w:r>
            <w:r>
              <w:rPr>
                <w:rFonts w:hint="default" w:ascii="Times New Roman" w:hAnsi="Times New Roman" w:eastAsia="宋体" w:cs="Times New Roman"/>
                <w:color w:val="000000" w:themeColor="text1"/>
                <w:sz w:val="24"/>
                <w:szCs w:val="24"/>
                <w:u w:val="single"/>
                <w14:textFill>
                  <w14:solidFill>
                    <w14:schemeClr w14:val="tx1"/>
                  </w14:solidFill>
                </w14:textFill>
              </w:rPr>
              <w:t>则每</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年</w:t>
            </w:r>
            <w:r>
              <w:rPr>
                <w:rFonts w:hint="default" w:ascii="Times New Roman" w:hAnsi="Times New Roman" w:eastAsia="宋体" w:cs="Times New Roman"/>
                <w:color w:val="000000" w:themeColor="text1"/>
                <w:sz w:val="24"/>
                <w:szCs w:val="24"/>
                <w:u w:val="single"/>
                <w14:textFill>
                  <w14:solidFill>
                    <w14:schemeClr w14:val="tx1"/>
                  </w14:solidFill>
                </w14:textFill>
              </w:rPr>
              <w:t>更换</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u w:val="single"/>
                <w14:textFill>
                  <w14:solidFill>
                    <w14:schemeClr w14:val="tx1"/>
                  </w14:solidFill>
                </w14:textFill>
              </w:rPr>
              <w:t>次，废活性炭产生量为</w:t>
            </w:r>
            <w:r>
              <w:rPr>
                <w:rFonts w:hint="eastAsia" w:cs="Times New Roman"/>
                <w:color w:val="000000" w:themeColor="text1"/>
                <w:sz w:val="24"/>
                <w:szCs w:val="24"/>
                <w:u w:val="single"/>
                <w:lang w:val="en-US" w:eastAsia="zh-CN"/>
                <w14:textFill>
                  <w14:solidFill>
                    <w14:schemeClr w14:val="tx1"/>
                  </w14:solidFill>
                </w14:textFill>
              </w:rPr>
              <w:t>2.067</w:t>
            </w:r>
            <w:r>
              <w:rPr>
                <w:rFonts w:hint="default" w:ascii="Times New Roman" w:hAnsi="Times New Roman" w:eastAsia="宋体" w:cs="Times New Roman"/>
                <w:color w:val="000000" w:themeColor="text1"/>
                <w:sz w:val="24"/>
                <w:szCs w:val="24"/>
                <w:u w:val="single"/>
                <w14:textFill>
                  <w14:solidFill>
                    <w14:schemeClr w14:val="tx1"/>
                  </w14:solidFill>
                </w14:textFill>
              </w:rPr>
              <w:t>t/a（含吸附的有机废气量</w:t>
            </w:r>
            <w:r>
              <w:rPr>
                <w:rFonts w:hint="eastAsia" w:cs="Times New Roman"/>
                <w:color w:val="000000" w:themeColor="text1"/>
                <w:sz w:val="24"/>
                <w:szCs w:val="24"/>
                <w:u w:val="single"/>
                <w:lang w:val="en-US" w:eastAsia="zh-CN"/>
                <w14:textFill>
                  <w14:solidFill>
                    <w14:schemeClr w14:val="tx1"/>
                  </w14:solidFill>
                </w14:textFill>
              </w:rPr>
              <w:t>0.477</w:t>
            </w:r>
            <w:r>
              <w:rPr>
                <w:rFonts w:hint="default" w:ascii="Times New Roman" w:hAnsi="Times New Roman" w:eastAsia="宋体" w:cs="Times New Roman"/>
                <w:color w:val="000000" w:themeColor="text1"/>
                <w:sz w:val="24"/>
                <w:szCs w:val="24"/>
                <w:u w:val="single"/>
                <w14:textFill>
                  <w14:solidFill>
                    <w14:schemeClr w14:val="tx1"/>
                  </w14:solidFill>
                </w14:textFill>
              </w:rPr>
              <w:t>t/a）。</w:t>
            </w:r>
          </w:p>
          <w:p w14:paraId="794F5B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u w:val="single"/>
                <w:lang w:bidi="ar"/>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综上，本项目各类固体废物产生情况见</w:t>
            </w:r>
            <w:r>
              <w:rPr>
                <w:rFonts w:hint="eastAsia" w:ascii="Times New Roman" w:hAnsi="Times New Roman" w:cs="Times New Roman"/>
                <w:color w:val="000000" w:themeColor="text1"/>
                <w:sz w:val="24"/>
                <w:u w:val="single"/>
                <w:lang w:val="en-US" w:eastAsia="zh-CN"/>
                <w14:textFill>
                  <w14:solidFill>
                    <w14:schemeClr w14:val="tx1"/>
                  </w14:solidFill>
                </w14:textFill>
              </w:rPr>
              <w:t>下</w:t>
            </w:r>
            <w:r>
              <w:rPr>
                <w:rFonts w:hint="default" w:ascii="Times New Roman" w:hAnsi="Times New Roman" w:cs="Times New Roman"/>
                <w:color w:val="000000" w:themeColor="text1"/>
                <w:sz w:val="24"/>
                <w:u w:val="single"/>
                <w14:textFill>
                  <w14:solidFill>
                    <w14:schemeClr w14:val="tx1"/>
                  </w14:solidFill>
                </w14:textFill>
              </w:rPr>
              <w:t>表4-</w:t>
            </w:r>
            <w:r>
              <w:rPr>
                <w:rFonts w:hint="eastAsia" w:ascii="Times New Roman" w:hAnsi="Times New Roman" w:cs="Times New Roman"/>
                <w:color w:val="000000" w:themeColor="text1"/>
                <w:sz w:val="24"/>
                <w:u w:val="single"/>
                <w:lang w:val="en-US" w:eastAsia="zh-CN"/>
                <w14:textFill>
                  <w14:solidFill>
                    <w14:schemeClr w14:val="tx1"/>
                  </w14:solidFill>
                </w14:textFill>
              </w:rPr>
              <w:t>12</w:t>
            </w:r>
            <w:r>
              <w:rPr>
                <w:rFonts w:hint="default" w:ascii="Times New Roman" w:hAnsi="Times New Roman" w:cs="Times New Roman"/>
                <w:color w:val="000000" w:themeColor="text1"/>
                <w:sz w:val="24"/>
                <w:u w:val="single"/>
                <w14:textFill>
                  <w14:solidFill>
                    <w14:schemeClr w14:val="tx1"/>
                  </w14:solidFill>
                </w14:textFill>
              </w:rPr>
              <w:t>所示。</w:t>
            </w:r>
          </w:p>
          <w:p w14:paraId="3B57D3A5">
            <w:pPr>
              <w:spacing w:line="360" w:lineRule="auto"/>
              <w:jc w:val="center"/>
              <w:rPr>
                <w:rFonts w:hint="default" w:ascii="Times New Roman" w:hAnsi="Times New Roman" w:eastAsia="黑体" w:cs="Times New Roman"/>
                <w:b/>
                <w:bCs/>
                <w:color w:val="000000" w:themeColor="text1"/>
                <w:szCs w:val="21"/>
                <w:u w:val="single"/>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表4-</w: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 xml:space="preserve">12 </w:t>
            </w:r>
            <w:r>
              <w:rPr>
                <w:rFonts w:hint="default" w:ascii="Times New Roman" w:hAnsi="Times New Roman" w:eastAsia="黑体" w:cs="Times New Roman"/>
                <w:b w:val="0"/>
                <w:bCs w:val="0"/>
                <w:color w:val="000000" w:themeColor="text1"/>
                <w:sz w:val="21"/>
                <w:szCs w:val="21"/>
                <w:u w:val="single"/>
                <w14:textFill>
                  <w14:solidFill>
                    <w14:schemeClr w14:val="tx1"/>
                  </w14:solidFill>
                </w14:textFill>
              </w:rPr>
              <w:t>本项目固体废物产生情况一览表</w:t>
            </w:r>
          </w:p>
          <w:tbl>
            <w:tblPr>
              <w:tblStyle w:val="7"/>
              <w:tblW w:w="82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23"/>
              <w:gridCol w:w="2626"/>
              <w:gridCol w:w="1358"/>
              <w:gridCol w:w="2448"/>
            </w:tblGrid>
            <w:tr w14:paraId="2EC7D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91" w:type="dxa"/>
                  <w:tcBorders>
                    <w:tl2br w:val="nil"/>
                    <w:tr2bl w:val="nil"/>
                  </w:tcBorders>
                  <w:shd w:val="clear" w:color="auto" w:fill="auto"/>
                  <w:noWrap w:val="0"/>
                  <w:vAlign w:val="center"/>
                </w:tcPr>
                <w:p w14:paraId="4EF145A0">
                  <w:pPr>
                    <w:bidi w:val="0"/>
                    <w:spacing w:line="240" w:lineRule="auto"/>
                    <w:ind w:firstLine="0" w:firstLineChars="0"/>
                    <w:jc w:val="center"/>
                    <w:rPr>
                      <w:rFonts w:hint="default" w:ascii="Times New Roman" w:hAnsi="Times New Roman" w:eastAsia="黑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序号</w:t>
                  </w:r>
                </w:p>
              </w:tc>
              <w:tc>
                <w:tcPr>
                  <w:tcW w:w="1123" w:type="dxa"/>
                  <w:tcBorders>
                    <w:tl2br w:val="nil"/>
                    <w:tr2bl w:val="nil"/>
                  </w:tcBorders>
                  <w:shd w:val="clear" w:color="auto" w:fill="auto"/>
                  <w:noWrap w:val="0"/>
                  <w:vAlign w:val="center"/>
                </w:tcPr>
                <w:p w14:paraId="6A68012C">
                  <w:pPr>
                    <w:bidi w:val="0"/>
                    <w:spacing w:line="240" w:lineRule="auto"/>
                    <w:ind w:firstLine="0" w:firstLineChars="0"/>
                    <w:jc w:val="center"/>
                    <w:rPr>
                      <w:rFonts w:hint="default" w:ascii="Times New Roman" w:hAnsi="Times New Roman" w:eastAsia="黑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类别</w:t>
                  </w:r>
                </w:p>
              </w:tc>
              <w:tc>
                <w:tcPr>
                  <w:tcW w:w="2626" w:type="dxa"/>
                  <w:tcBorders>
                    <w:tl2br w:val="nil"/>
                    <w:tr2bl w:val="nil"/>
                  </w:tcBorders>
                  <w:shd w:val="clear" w:color="auto" w:fill="auto"/>
                  <w:noWrap w:val="0"/>
                  <w:vAlign w:val="center"/>
                </w:tcPr>
                <w:p w14:paraId="4E568309">
                  <w:pPr>
                    <w:bidi w:val="0"/>
                    <w:spacing w:line="240" w:lineRule="auto"/>
                    <w:ind w:firstLine="0" w:firstLineChars="0"/>
                    <w:jc w:val="center"/>
                    <w:rPr>
                      <w:rFonts w:hint="default" w:ascii="Times New Roman" w:hAnsi="Times New Roman" w:eastAsia="黑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名称</w:t>
                  </w:r>
                </w:p>
              </w:tc>
              <w:tc>
                <w:tcPr>
                  <w:tcW w:w="1358" w:type="dxa"/>
                  <w:tcBorders>
                    <w:tl2br w:val="nil"/>
                    <w:tr2bl w:val="nil"/>
                  </w:tcBorders>
                  <w:shd w:val="clear" w:color="auto" w:fill="auto"/>
                  <w:noWrap w:val="0"/>
                  <w:vAlign w:val="center"/>
                </w:tcPr>
                <w:p w14:paraId="3A19E320">
                  <w:pPr>
                    <w:bidi w:val="0"/>
                    <w:spacing w:line="240" w:lineRule="auto"/>
                    <w:ind w:firstLine="0" w:firstLineChars="0"/>
                    <w:jc w:val="center"/>
                    <w:rPr>
                      <w:rFonts w:hint="default" w:ascii="Times New Roman" w:hAnsi="Times New Roman" w:eastAsia="黑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产生量（t/a）</w:t>
                  </w:r>
                </w:p>
              </w:tc>
              <w:tc>
                <w:tcPr>
                  <w:tcW w:w="2448" w:type="dxa"/>
                  <w:tcBorders>
                    <w:tl2br w:val="nil"/>
                    <w:tr2bl w:val="nil"/>
                  </w:tcBorders>
                  <w:shd w:val="clear" w:color="auto" w:fill="auto"/>
                  <w:noWrap w:val="0"/>
                  <w:vAlign w:val="center"/>
                </w:tcPr>
                <w:p w14:paraId="3AE83A84">
                  <w:pPr>
                    <w:bidi w:val="0"/>
                    <w:spacing w:line="240" w:lineRule="auto"/>
                    <w:ind w:firstLine="0" w:firstLineChars="0"/>
                    <w:jc w:val="center"/>
                    <w:rPr>
                      <w:rFonts w:hint="default" w:ascii="Times New Roman" w:hAnsi="Times New Roman" w:eastAsia="黑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处置方式</w:t>
                  </w:r>
                </w:p>
              </w:tc>
            </w:tr>
            <w:tr w14:paraId="430A5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91" w:type="dxa"/>
                  <w:tcBorders>
                    <w:tl2br w:val="nil"/>
                    <w:tr2bl w:val="nil"/>
                  </w:tcBorders>
                  <w:noWrap w:val="0"/>
                  <w:vAlign w:val="center"/>
                </w:tcPr>
                <w:p w14:paraId="23FF4482">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1</w:t>
                  </w:r>
                </w:p>
              </w:tc>
              <w:tc>
                <w:tcPr>
                  <w:tcW w:w="1123" w:type="dxa"/>
                  <w:vMerge w:val="restart"/>
                  <w:tcBorders>
                    <w:tl2br w:val="nil"/>
                    <w:tr2bl w:val="nil"/>
                  </w:tcBorders>
                  <w:noWrap w:val="0"/>
                  <w:vAlign w:val="center"/>
                </w:tcPr>
                <w:p w14:paraId="4ECF66EB">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危险废物</w:t>
                  </w:r>
                </w:p>
              </w:tc>
              <w:tc>
                <w:tcPr>
                  <w:tcW w:w="2626" w:type="dxa"/>
                  <w:tcBorders>
                    <w:tl2br w:val="nil"/>
                    <w:tr2bl w:val="nil"/>
                  </w:tcBorders>
                  <w:noWrap w:val="0"/>
                  <w:vAlign w:val="center"/>
                </w:tcPr>
                <w:p w14:paraId="66E03CAF">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废溶剂桶</w:t>
                  </w:r>
                </w:p>
              </w:tc>
              <w:tc>
                <w:tcPr>
                  <w:tcW w:w="1358" w:type="dxa"/>
                  <w:tcBorders>
                    <w:tl2br w:val="nil"/>
                    <w:tr2bl w:val="nil"/>
                  </w:tcBorders>
                  <w:noWrap w:val="0"/>
                  <w:vAlign w:val="center"/>
                </w:tcPr>
                <w:p w14:paraId="24D869AF">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0.15</w:t>
                  </w:r>
                </w:p>
              </w:tc>
              <w:tc>
                <w:tcPr>
                  <w:tcW w:w="2448" w:type="dxa"/>
                  <w:vMerge w:val="restart"/>
                  <w:tcBorders>
                    <w:tl2br w:val="nil"/>
                    <w:tr2bl w:val="nil"/>
                  </w:tcBorders>
                  <w:noWrap w:val="0"/>
                  <w:vAlign w:val="center"/>
                </w:tcPr>
                <w:p w14:paraId="7BD60523">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委托有危险废物处置资质的单位进行处理</w:t>
                  </w:r>
                </w:p>
              </w:tc>
            </w:tr>
            <w:tr w14:paraId="0AFB8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91" w:type="dxa"/>
                  <w:tcBorders>
                    <w:bottom w:val="single" w:color="000000" w:sz="8" w:space="0"/>
                    <w:tl2br w:val="nil"/>
                    <w:tr2bl w:val="nil"/>
                  </w:tcBorders>
                  <w:noWrap w:val="0"/>
                  <w:vAlign w:val="center"/>
                </w:tcPr>
                <w:p w14:paraId="18897224">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2</w:t>
                  </w:r>
                </w:p>
              </w:tc>
              <w:tc>
                <w:tcPr>
                  <w:tcW w:w="1123" w:type="dxa"/>
                  <w:vMerge w:val="continue"/>
                  <w:tcBorders>
                    <w:bottom w:val="single" w:color="000000" w:sz="8" w:space="0"/>
                    <w:tl2br w:val="nil"/>
                    <w:tr2bl w:val="nil"/>
                  </w:tcBorders>
                  <w:noWrap w:val="0"/>
                  <w:vAlign w:val="center"/>
                </w:tcPr>
                <w:p w14:paraId="7DEB7D32">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p>
              </w:tc>
              <w:tc>
                <w:tcPr>
                  <w:tcW w:w="2626" w:type="dxa"/>
                  <w:tcBorders>
                    <w:bottom w:val="single" w:color="000000" w:sz="8" w:space="0"/>
                    <w:tl2br w:val="nil"/>
                    <w:tr2bl w:val="nil"/>
                  </w:tcBorders>
                  <w:noWrap w:val="0"/>
                  <w:vAlign w:val="center"/>
                </w:tcPr>
                <w:p w14:paraId="302558B6">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废活性炭</w:t>
                  </w:r>
                </w:p>
              </w:tc>
              <w:tc>
                <w:tcPr>
                  <w:tcW w:w="1358" w:type="dxa"/>
                  <w:tcBorders>
                    <w:bottom w:val="single" w:color="000000" w:sz="8" w:space="0"/>
                    <w:tl2br w:val="nil"/>
                    <w:tr2bl w:val="nil"/>
                  </w:tcBorders>
                  <w:noWrap w:val="0"/>
                  <w:vAlign w:val="center"/>
                </w:tcPr>
                <w:p w14:paraId="0D83EB7D">
                  <w:pPr>
                    <w:bidi w:val="0"/>
                    <w:spacing w:line="240" w:lineRule="auto"/>
                    <w:jc w:val="cente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2.067</w:t>
                  </w:r>
                </w:p>
              </w:tc>
              <w:tc>
                <w:tcPr>
                  <w:tcW w:w="2448" w:type="dxa"/>
                  <w:vMerge w:val="continue"/>
                  <w:tcBorders>
                    <w:bottom w:val="single" w:color="000000" w:sz="8" w:space="0"/>
                    <w:tl2br w:val="nil"/>
                    <w:tr2bl w:val="nil"/>
                  </w:tcBorders>
                  <w:noWrap w:val="0"/>
                  <w:vAlign w:val="center"/>
                </w:tcPr>
                <w:p w14:paraId="420BF1B0">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p>
              </w:tc>
            </w:tr>
          </w:tbl>
          <w:p w14:paraId="3E69AC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4.2固体废物处理</w:t>
            </w:r>
          </w:p>
          <w:p w14:paraId="771148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废溶剂桶、</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废活性炭为危险废物</w:t>
            </w:r>
            <w:r>
              <w:rPr>
                <w:rFonts w:hint="eastAsia" w:ascii="Times New Roman" w:hAnsi="Times New Roman" w:eastAsia="宋体" w:cs="Times New Roman"/>
                <w:b w:val="0"/>
                <w:bCs w:val="0"/>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定期交由有危险废物处理资质的单位外运处理。危险废物的收集、贮存、转运应按照《危险废物贮存污染控制标准》（GB18597-2023）、《危险废物收集贮存运输技术规范》（HJ2025-2012）的要求执行。</w:t>
            </w:r>
          </w:p>
          <w:p w14:paraId="7ECD74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4.3危险废物暂存间可依托性分析</w:t>
            </w:r>
          </w:p>
          <w:p w14:paraId="0A2EB6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u w:val="single"/>
                <w14:textFill>
                  <w14:solidFill>
                    <w14:schemeClr w14:val="tx1"/>
                  </w14:solidFill>
                </w14:textFill>
              </w:rPr>
            </w:pP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本项目危险废物贮存依托</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现有</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项目危废暂存间，</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现有</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项目危废暂存间建设面积约为</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5m</w:t>
            </w:r>
            <w:r>
              <w:rPr>
                <w:rFonts w:hint="eastAsia" w:ascii="Times New Roman" w:hAnsi="Times New Roman" w:eastAsia="宋体" w:cs="Times New Roman"/>
                <w:b w:val="0"/>
                <w:bCs w:val="0"/>
                <w:color w:val="000000" w:themeColor="text1"/>
                <w:sz w:val="24"/>
                <w:szCs w:val="24"/>
                <w:u w:val="singl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，贮存能力约为</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吨，危废暂存间严格按照《危险废物贮存污染控制标准》</w:t>
            </w:r>
            <w:r>
              <w:rPr>
                <w:rFonts w:hint="eastAsia" w:ascii="Times New Roman" w:hAnsi="Times New Roman" w:eastAsia="宋体" w:cs="Times New Roman"/>
                <w:b w:val="0"/>
                <w:bCs w:val="0"/>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GB18597-2023</w:t>
            </w:r>
            <w:r>
              <w:rPr>
                <w:rFonts w:hint="eastAsia" w:ascii="Times New Roman" w:hAnsi="Times New Roman" w:eastAsia="宋体" w:cs="Times New Roman"/>
                <w:b w:val="0"/>
                <w:bCs w:val="0"/>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的要求规范建设和维护使用，设置了围堰，张贴了危险废物化学学名称、危险情况、安安全措施、废物产生单位和联系人人、联系电话等信息，贮存设施内地面做做了硬化</w:t>
            </w:r>
            <w:r>
              <w:rPr>
                <w:rFonts w:hint="eastAsia" w:ascii="Times New Roman" w:hAnsi="Times New Roman" w:eastAsia="宋体" w:cs="Times New Roman"/>
                <w:b w:val="0"/>
                <w:bCs w:val="0"/>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地面及墙采用高标号防渗混凝土，渗透速率为10</w:t>
            </w:r>
            <w:r>
              <w:rPr>
                <w:rFonts w:hint="default" w:ascii="Times New Roman" w:hAnsi="Times New Roman" w:eastAsia="宋体" w:cs="Times New Roman"/>
                <w:b w:val="0"/>
                <w:bCs w:val="0"/>
                <w:color w:val="000000" w:themeColor="text1"/>
                <w:sz w:val="24"/>
                <w:szCs w:val="24"/>
                <w:u w:val="single"/>
                <w:vertAlign w:val="super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m/s</w:t>
            </w:r>
            <w:r>
              <w:rPr>
                <w:rFonts w:hint="eastAsia" w:ascii="Times New Roman" w:hAnsi="Times New Roman" w:eastAsia="宋体" w:cs="Times New Roman"/>
                <w:b w:val="0"/>
                <w:bCs w:val="0"/>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根据</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总体项目</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危废产生量，建设单位拟增加危废物废转移频次，对危险废物定期</w:t>
            </w:r>
            <w:r>
              <w:rPr>
                <w:rFonts w:hint="eastAsia" w:ascii="Times New Roman" w:hAnsi="Times New Roman" w:eastAsia="宋体" w:cs="Times New Roman"/>
                <w:b w:val="0"/>
                <w:bCs w:val="0"/>
                <w:color w:val="000000" w:themeColor="text1"/>
                <w:sz w:val="24"/>
                <w:szCs w:val="24"/>
                <w:u w:val="single"/>
                <w:lang w:val="en-US" w:eastAsia="zh-CN"/>
                <w14:textFill>
                  <w14:solidFill>
                    <w14:schemeClr w14:val="tx1"/>
                  </w14:solidFill>
                </w14:textFill>
              </w:rPr>
              <w:t>转运处理</w:t>
            </w:r>
            <w:r>
              <w:rPr>
                <w:rFonts w:hint="default" w:ascii="Times New Roman" w:hAnsi="Times New Roman" w:eastAsia="宋体" w:cs="Times New Roman"/>
                <w:b w:val="0"/>
                <w:bCs w:val="0"/>
                <w:color w:val="000000" w:themeColor="text1"/>
                <w:sz w:val="24"/>
                <w:szCs w:val="24"/>
                <w:u w:val="single"/>
                <w14:textFill>
                  <w14:solidFill>
                    <w14:schemeClr w14:val="tx1"/>
                  </w14:solidFill>
                </w14:textFill>
              </w:rPr>
              <w:t>，因此本危险废物贮存依托原项目危废暂存间是可行的。</w:t>
            </w:r>
          </w:p>
          <w:p w14:paraId="036A9C33">
            <w:pPr>
              <w:spacing w:line="360" w:lineRule="auto"/>
              <w:jc w:val="center"/>
              <w:rPr>
                <w:rFonts w:hint="default" w:ascii="Times New Roman" w:hAnsi="Times New Roman" w:eastAsia="黑体" w:cs="Times New Roman"/>
                <w:b w:val="0"/>
                <w:bCs w:val="0"/>
                <w:color w:val="000000" w:themeColor="text1"/>
                <w:sz w:val="20"/>
                <w:szCs w:val="20"/>
                <w:u w:val="single"/>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14:textFill>
                  <w14:solidFill>
                    <w14:schemeClr w14:val="tx1"/>
                  </w14:solidFill>
                </w14:textFill>
              </w:rPr>
              <w:t>表4-</w:t>
            </w:r>
            <w:r>
              <w:rPr>
                <w:rFonts w:hint="default" w:ascii="Times New Roman" w:hAnsi="Times New Roman" w:eastAsia="黑体" w:cs="Times New Roman"/>
                <w:b w:val="0"/>
                <w:bCs w:val="0"/>
                <w:color w:val="000000" w:themeColor="text1"/>
                <w:sz w:val="20"/>
                <w:szCs w:val="20"/>
                <w:u w:val="single"/>
                <w:lang w:val="en-US" w:eastAsia="zh-CN"/>
                <w14:textFill>
                  <w14:solidFill>
                    <w14:schemeClr w14:val="tx1"/>
                  </w14:solidFill>
                </w14:textFill>
              </w:rPr>
              <w:t>13 本</w:t>
            </w:r>
            <w:r>
              <w:rPr>
                <w:rFonts w:hint="default" w:ascii="Times New Roman" w:hAnsi="Times New Roman" w:eastAsia="黑体" w:cs="Times New Roman"/>
                <w:b w:val="0"/>
                <w:bCs w:val="0"/>
                <w:color w:val="000000" w:themeColor="text1"/>
                <w:sz w:val="20"/>
                <w:szCs w:val="20"/>
                <w:u w:val="single"/>
                <w14:textFill>
                  <w14:solidFill>
                    <w14:schemeClr w14:val="tx1"/>
                  </w14:solidFill>
                </w14:textFill>
              </w:rPr>
              <w:t>项目危险废物汇总表</w:t>
            </w:r>
          </w:p>
          <w:tbl>
            <w:tblPr>
              <w:tblStyle w:val="7"/>
              <w:tblW w:w="83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26"/>
              <w:gridCol w:w="1029"/>
              <w:gridCol w:w="830"/>
              <w:gridCol w:w="1177"/>
              <w:gridCol w:w="816"/>
              <w:gridCol w:w="869"/>
              <w:gridCol w:w="459"/>
              <w:gridCol w:w="760"/>
              <w:gridCol w:w="636"/>
              <w:gridCol w:w="658"/>
              <w:gridCol w:w="715"/>
            </w:tblGrid>
            <w:tr w14:paraId="58E4A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94" w:hRule="atLeast"/>
                <w:jc w:val="center"/>
              </w:trPr>
              <w:tc>
                <w:tcPr>
                  <w:tcW w:w="426" w:type="dxa"/>
                  <w:tcBorders>
                    <w:tl2br w:val="nil"/>
                    <w:tr2bl w:val="nil"/>
                  </w:tcBorders>
                  <w:shd w:val="clear" w:color="auto" w:fill="FFFFFF"/>
                  <w:noWrap w:val="0"/>
                  <w:vAlign w:val="center"/>
                </w:tcPr>
                <w:p w14:paraId="33C5E65B">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序号</w:t>
                  </w:r>
                </w:p>
              </w:tc>
              <w:tc>
                <w:tcPr>
                  <w:tcW w:w="1029" w:type="dxa"/>
                  <w:tcBorders>
                    <w:tl2br w:val="nil"/>
                    <w:tr2bl w:val="nil"/>
                  </w:tcBorders>
                  <w:shd w:val="clear" w:color="auto" w:fill="FFFFFF"/>
                  <w:noWrap w:val="0"/>
                  <w:vAlign w:val="center"/>
                </w:tcPr>
                <w:p w14:paraId="0B169F18">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危险废物名称</w:t>
                  </w:r>
                </w:p>
              </w:tc>
              <w:tc>
                <w:tcPr>
                  <w:tcW w:w="830" w:type="dxa"/>
                  <w:tcBorders>
                    <w:tl2br w:val="nil"/>
                    <w:tr2bl w:val="nil"/>
                  </w:tcBorders>
                  <w:shd w:val="clear" w:color="auto" w:fill="FFFFFF"/>
                  <w:noWrap w:val="0"/>
                  <w:vAlign w:val="center"/>
                </w:tcPr>
                <w:p w14:paraId="4A059AE7">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危险废物类别</w:t>
                  </w:r>
                </w:p>
              </w:tc>
              <w:tc>
                <w:tcPr>
                  <w:tcW w:w="1177" w:type="dxa"/>
                  <w:tcBorders>
                    <w:tl2br w:val="nil"/>
                    <w:tr2bl w:val="nil"/>
                  </w:tcBorders>
                  <w:shd w:val="clear" w:color="auto" w:fill="FFFFFF"/>
                  <w:noWrap w:val="0"/>
                  <w:vAlign w:val="center"/>
                </w:tcPr>
                <w:p w14:paraId="3883FFDB">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危险废物</w:t>
                  </w:r>
                </w:p>
                <w:p w14:paraId="1F6AA5BB">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代码</w:t>
                  </w:r>
                </w:p>
              </w:tc>
              <w:tc>
                <w:tcPr>
                  <w:tcW w:w="816" w:type="dxa"/>
                  <w:tcBorders>
                    <w:tl2br w:val="nil"/>
                    <w:tr2bl w:val="nil"/>
                  </w:tcBorders>
                  <w:shd w:val="clear" w:color="auto" w:fill="FFFFFF"/>
                  <w:noWrap w:val="0"/>
                  <w:vAlign w:val="center"/>
                </w:tcPr>
                <w:p w14:paraId="37593F34">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产生量</w:t>
                  </w:r>
                  <w:r>
                    <w:rPr>
                      <w:rFonts w:hint="default" w:ascii="Times New Roman" w:hAnsi="Times New Roman" w:eastAsia="黑体" w:cs="Times New Roman"/>
                      <w:b w:val="0"/>
                      <w:bCs/>
                      <w:color w:val="000000" w:themeColor="text1"/>
                      <w:sz w:val="20"/>
                      <w:szCs w:val="20"/>
                      <w:u w:val="single"/>
                      <w14:textFill>
                        <w14:solidFill>
                          <w14:schemeClr w14:val="tx1"/>
                        </w14:solidFill>
                      </w14:textFill>
                    </w:rPr>
                    <w:t>（t/a）</w:t>
                  </w:r>
                </w:p>
              </w:tc>
              <w:tc>
                <w:tcPr>
                  <w:tcW w:w="869" w:type="dxa"/>
                  <w:tcBorders>
                    <w:tl2br w:val="nil"/>
                    <w:tr2bl w:val="nil"/>
                  </w:tcBorders>
                  <w:shd w:val="clear" w:color="auto" w:fill="FFFFFF"/>
                  <w:noWrap w:val="0"/>
                  <w:vAlign w:val="center"/>
                </w:tcPr>
                <w:p w14:paraId="2F46DEF4">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产生工序及装置</w:t>
                  </w:r>
                </w:p>
              </w:tc>
              <w:tc>
                <w:tcPr>
                  <w:tcW w:w="459" w:type="dxa"/>
                  <w:tcBorders>
                    <w:tl2br w:val="nil"/>
                    <w:tr2bl w:val="nil"/>
                  </w:tcBorders>
                  <w:shd w:val="clear" w:color="auto" w:fill="FFFFFF"/>
                  <w:noWrap w:val="0"/>
                  <w:vAlign w:val="center"/>
                </w:tcPr>
                <w:p w14:paraId="4B2278AC">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形态</w:t>
                  </w:r>
                </w:p>
              </w:tc>
              <w:tc>
                <w:tcPr>
                  <w:tcW w:w="760" w:type="dxa"/>
                  <w:tcBorders>
                    <w:tl2br w:val="nil"/>
                    <w:tr2bl w:val="nil"/>
                  </w:tcBorders>
                  <w:shd w:val="clear" w:color="auto" w:fill="FFFFFF"/>
                  <w:noWrap w:val="0"/>
                  <w:vAlign w:val="center"/>
                </w:tcPr>
                <w:p w14:paraId="40FD5B35">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主要成分</w:t>
                  </w:r>
                </w:p>
              </w:tc>
              <w:tc>
                <w:tcPr>
                  <w:tcW w:w="636" w:type="dxa"/>
                  <w:tcBorders>
                    <w:tl2br w:val="nil"/>
                    <w:tr2bl w:val="nil"/>
                  </w:tcBorders>
                  <w:shd w:val="clear" w:color="auto" w:fill="FFFFFF"/>
                  <w:noWrap w:val="0"/>
                  <w:vAlign w:val="center"/>
                </w:tcPr>
                <w:p w14:paraId="7862D6B2">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产废周期</w:t>
                  </w:r>
                </w:p>
              </w:tc>
              <w:tc>
                <w:tcPr>
                  <w:tcW w:w="658" w:type="dxa"/>
                  <w:tcBorders>
                    <w:tl2br w:val="nil"/>
                    <w:tr2bl w:val="nil"/>
                  </w:tcBorders>
                  <w:shd w:val="clear" w:color="auto" w:fill="FFFFFF"/>
                  <w:noWrap w:val="0"/>
                  <w:vAlign w:val="center"/>
                </w:tcPr>
                <w:p w14:paraId="08B4C35F">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危险</w:t>
                  </w:r>
                </w:p>
                <w:p w14:paraId="11011B07">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特性</w:t>
                  </w:r>
                </w:p>
              </w:tc>
              <w:tc>
                <w:tcPr>
                  <w:tcW w:w="715" w:type="dxa"/>
                  <w:tcBorders>
                    <w:tl2br w:val="nil"/>
                    <w:tr2bl w:val="nil"/>
                  </w:tcBorders>
                  <w:shd w:val="clear" w:color="auto" w:fill="FFFFFF"/>
                  <w:noWrap w:val="0"/>
                  <w:vAlign w:val="center"/>
                </w:tcPr>
                <w:p w14:paraId="35637A8E">
                  <w:pPr>
                    <w:topLinePunct/>
                    <w:spacing w:line="240" w:lineRule="auto"/>
                    <w:jc w:val="cente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kern w:val="0"/>
                      <w:sz w:val="20"/>
                      <w:szCs w:val="20"/>
                      <w:u w:val="single"/>
                      <w14:textFill>
                        <w14:solidFill>
                          <w14:schemeClr w14:val="tx1"/>
                        </w14:solidFill>
                      </w14:textFill>
                    </w:rPr>
                    <w:t>防治措施</w:t>
                  </w:r>
                </w:p>
              </w:tc>
            </w:tr>
            <w:tr w14:paraId="456BC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426" w:type="dxa"/>
                  <w:tcBorders>
                    <w:tl2br w:val="nil"/>
                    <w:tr2bl w:val="nil"/>
                  </w:tcBorders>
                  <w:shd w:val="clear" w:color="auto" w:fill="FFFFFF"/>
                  <w:noWrap w:val="0"/>
                  <w:vAlign w:val="center"/>
                </w:tcPr>
                <w:p w14:paraId="416D8592">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1</w:t>
                  </w:r>
                </w:p>
              </w:tc>
              <w:tc>
                <w:tcPr>
                  <w:tcW w:w="1029" w:type="dxa"/>
                  <w:tcBorders>
                    <w:tl2br w:val="nil"/>
                    <w:tr2bl w:val="nil"/>
                  </w:tcBorders>
                  <w:shd w:val="clear" w:color="auto" w:fill="FFFFFF"/>
                  <w:noWrap w:val="0"/>
                  <w:vAlign w:val="center"/>
                </w:tcPr>
                <w:p w14:paraId="547BFD84">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废容器桶</w:t>
                  </w:r>
                </w:p>
              </w:tc>
              <w:tc>
                <w:tcPr>
                  <w:tcW w:w="830" w:type="dxa"/>
                  <w:tcBorders>
                    <w:tl2br w:val="nil"/>
                    <w:tr2bl w:val="nil"/>
                  </w:tcBorders>
                  <w:shd w:val="clear" w:color="auto" w:fill="FFFFFF"/>
                  <w:noWrap w:val="0"/>
                  <w:vAlign w:val="center"/>
                </w:tcPr>
                <w:p w14:paraId="60E1F37B">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HW</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49</w:t>
                  </w:r>
                </w:p>
              </w:tc>
              <w:tc>
                <w:tcPr>
                  <w:tcW w:w="1177" w:type="dxa"/>
                  <w:tcBorders>
                    <w:tl2br w:val="nil"/>
                    <w:tr2bl w:val="nil"/>
                  </w:tcBorders>
                  <w:shd w:val="clear" w:color="auto" w:fill="FFFFFF"/>
                  <w:noWrap w:val="0"/>
                  <w:vAlign w:val="center"/>
                </w:tcPr>
                <w:p w14:paraId="420491FE">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900-047-49</w:t>
                  </w:r>
                </w:p>
              </w:tc>
              <w:tc>
                <w:tcPr>
                  <w:tcW w:w="816" w:type="dxa"/>
                  <w:tcBorders>
                    <w:tl2br w:val="nil"/>
                    <w:tr2bl w:val="nil"/>
                  </w:tcBorders>
                  <w:shd w:val="clear" w:color="auto" w:fill="FFFFFF"/>
                  <w:noWrap w:val="0"/>
                  <w:vAlign w:val="center"/>
                </w:tcPr>
                <w:p w14:paraId="49607ABA">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0.15</w:t>
                  </w:r>
                </w:p>
              </w:tc>
              <w:tc>
                <w:tcPr>
                  <w:tcW w:w="869" w:type="dxa"/>
                  <w:tcBorders>
                    <w:bottom w:val="single" w:color="000000" w:sz="4" w:space="0"/>
                    <w:tl2br w:val="nil"/>
                    <w:tr2bl w:val="nil"/>
                  </w:tcBorders>
                  <w:shd w:val="clear" w:color="auto" w:fill="FFFFFF"/>
                  <w:noWrap w:val="0"/>
                  <w:vAlign w:val="center"/>
                </w:tcPr>
                <w:p w14:paraId="166E73DE">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生产过程</w:t>
                  </w:r>
                </w:p>
              </w:tc>
              <w:tc>
                <w:tcPr>
                  <w:tcW w:w="459" w:type="dxa"/>
                  <w:tcBorders>
                    <w:bottom w:val="single" w:color="000000" w:sz="4" w:space="0"/>
                    <w:tl2br w:val="nil"/>
                    <w:tr2bl w:val="nil"/>
                  </w:tcBorders>
                  <w:shd w:val="clear" w:color="auto" w:fill="FFFFFF"/>
                  <w:noWrap w:val="0"/>
                  <w:vAlign w:val="center"/>
                </w:tcPr>
                <w:p w14:paraId="1F00032C">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固态</w:t>
                  </w:r>
                </w:p>
              </w:tc>
              <w:tc>
                <w:tcPr>
                  <w:tcW w:w="760" w:type="dxa"/>
                  <w:tcBorders>
                    <w:tl2br w:val="nil"/>
                    <w:tr2bl w:val="nil"/>
                  </w:tcBorders>
                  <w:shd w:val="clear" w:color="auto" w:fill="FFFFFF"/>
                  <w:noWrap w:val="0"/>
                  <w:vAlign w:val="center"/>
                </w:tcPr>
                <w:p w14:paraId="070F4701">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溶剂包装</w:t>
                  </w:r>
                </w:p>
              </w:tc>
              <w:tc>
                <w:tcPr>
                  <w:tcW w:w="636" w:type="dxa"/>
                  <w:tcBorders>
                    <w:tl2br w:val="nil"/>
                    <w:tr2bl w:val="nil"/>
                  </w:tcBorders>
                  <w:shd w:val="clear" w:color="auto" w:fill="FFFFFF"/>
                  <w:noWrap w:val="0"/>
                  <w:vAlign w:val="center"/>
                </w:tcPr>
                <w:p w14:paraId="6DF48771">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1年</w:t>
                  </w:r>
                </w:p>
              </w:tc>
              <w:tc>
                <w:tcPr>
                  <w:tcW w:w="658" w:type="dxa"/>
                  <w:tcBorders>
                    <w:tl2br w:val="nil"/>
                    <w:tr2bl w:val="nil"/>
                  </w:tcBorders>
                  <w:shd w:val="clear" w:color="auto" w:fill="FFFFFF"/>
                  <w:noWrap w:val="0"/>
                  <w:vAlign w:val="center"/>
                </w:tcPr>
                <w:p w14:paraId="08D0AD24">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T/</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In</w:t>
                  </w:r>
                </w:p>
              </w:tc>
              <w:tc>
                <w:tcPr>
                  <w:tcW w:w="715" w:type="dxa"/>
                  <w:vMerge w:val="restart"/>
                  <w:tcBorders>
                    <w:tl2br w:val="nil"/>
                    <w:tr2bl w:val="nil"/>
                  </w:tcBorders>
                  <w:shd w:val="clear" w:color="auto" w:fill="FFFFFF"/>
                  <w:noWrap w:val="0"/>
                  <w:vAlign w:val="center"/>
                </w:tcPr>
                <w:p w14:paraId="115A5850">
                  <w:pPr>
                    <w:topLinePunct/>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交由有</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危险废物处理</w:t>
                  </w:r>
                  <w:r>
                    <w:rPr>
                      <w:rFonts w:hint="default" w:ascii="Times New Roman" w:hAnsi="Times New Roman" w:eastAsia="黑体" w:cs="Times New Roman"/>
                      <w:color w:val="000000" w:themeColor="text1"/>
                      <w:sz w:val="20"/>
                      <w:szCs w:val="20"/>
                      <w:u w:val="single"/>
                      <w14:textFill>
                        <w14:solidFill>
                          <w14:schemeClr w14:val="tx1"/>
                        </w14:solidFill>
                      </w14:textFill>
                    </w:rPr>
                    <w:t>资质的单位收运处置</w:t>
                  </w:r>
                </w:p>
              </w:tc>
            </w:tr>
            <w:tr w14:paraId="05751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26" w:type="dxa"/>
                  <w:tcBorders>
                    <w:tl2br w:val="nil"/>
                    <w:tr2bl w:val="nil"/>
                  </w:tcBorders>
                  <w:shd w:val="clear" w:color="auto" w:fill="FFFFFF"/>
                  <w:noWrap w:val="0"/>
                  <w:vAlign w:val="center"/>
                </w:tcPr>
                <w:p w14:paraId="33922CB4">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2</w:t>
                  </w:r>
                </w:p>
              </w:tc>
              <w:tc>
                <w:tcPr>
                  <w:tcW w:w="1029" w:type="dxa"/>
                  <w:tcBorders>
                    <w:tl2br w:val="nil"/>
                    <w:tr2bl w:val="nil"/>
                  </w:tcBorders>
                  <w:shd w:val="clear" w:color="auto" w:fill="FFFFFF"/>
                  <w:noWrap w:val="0"/>
                  <w:vAlign w:val="center"/>
                </w:tcPr>
                <w:p w14:paraId="30D1B9F3">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废活性炭</w:t>
                  </w:r>
                </w:p>
              </w:tc>
              <w:tc>
                <w:tcPr>
                  <w:tcW w:w="830" w:type="dxa"/>
                  <w:tcBorders>
                    <w:tl2br w:val="nil"/>
                    <w:tr2bl w:val="nil"/>
                  </w:tcBorders>
                  <w:shd w:val="clear" w:color="auto" w:fill="FFFFFF"/>
                  <w:noWrap w:val="0"/>
                  <w:vAlign w:val="center"/>
                </w:tcPr>
                <w:p w14:paraId="7CFBAA22">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HW</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49</w:t>
                  </w:r>
                </w:p>
              </w:tc>
              <w:tc>
                <w:tcPr>
                  <w:tcW w:w="1177" w:type="dxa"/>
                  <w:tcBorders>
                    <w:tl2br w:val="nil"/>
                    <w:tr2bl w:val="nil"/>
                  </w:tcBorders>
                  <w:shd w:val="clear" w:color="auto" w:fill="FFFFFF"/>
                  <w:noWrap w:val="0"/>
                  <w:vAlign w:val="center"/>
                </w:tcPr>
                <w:p w14:paraId="12B6BD16">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900-039-49</w:t>
                  </w:r>
                </w:p>
              </w:tc>
              <w:tc>
                <w:tcPr>
                  <w:tcW w:w="816" w:type="dxa"/>
                  <w:tcBorders>
                    <w:tl2br w:val="nil"/>
                    <w:tr2bl w:val="nil"/>
                  </w:tcBorders>
                  <w:shd w:val="clear" w:color="auto" w:fill="FFFFFF"/>
                  <w:noWrap w:val="0"/>
                  <w:vAlign w:val="center"/>
                </w:tcPr>
                <w:p w14:paraId="67F51DB6">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4.68</w:t>
                  </w:r>
                </w:p>
              </w:tc>
              <w:tc>
                <w:tcPr>
                  <w:tcW w:w="869" w:type="dxa"/>
                  <w:tcBorders>
                    <w:top w:val="single" w:color="000000" w:sz="4" w:space="0"/>
                    <w:bottom w:val="single" w:color="000000" w:sz="4" w:space="0"/>
                    <w:tl2br w:val="nil"/>
                    <w:tr2bl w:val="nil"/>
                  </w:tcBorders>
                  <w:shd w:val="clear" w:color="auto" w:fill="FFFFFF"/>
                  <w:noWrap w:val="0"/>
                  <w:vAlign w:val="center"/>
                </w:tcPr>
                <w:p w14:paraId="2F1461F0">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废气治理设施</w:t>
                  </w:r>
                </w:p>
              </w:tc>
              <w:tc>
                <w:tcPr>
                  <w:tcW w:w="459" w:type="dxa"/>
                  <w:tcBorders>
                    <w:top w:val="single" w:color="000000" w:sz="4" w:space="0"/>
                    <w:bottom w:val="single" w:color="000000" w:sz="4" w:space="0"/>
                    <w:tl2br w:val="nil"/>
                    <w:tr2bl w:val="nil"/>
                  </w:tcBorders>
                  <w:shd w:val="clear" w:color="auto" w:fill="FFFFFF"/>
                  <w:noWrap w:val="0"/>
                  <w:vAlign w:val="center"/>
                </w:tcPr>
                <w:p w14:paraId="1F93FF79">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固态</w:t>
                  </w:r>
                </w:p>
              </w:tc>
              <w:tc>
                <w:tcPr>
                  <w:tcW w:w="760" w:type="dxa"/>
                  <w:tcBorders>
                    <w:tl2br w:val="nil"/>
                    <w:tr2bl w:val="nil"/>
                  </w:tcBorders>
                  <w:shd w:val="clear" w:color="auto" w:fill="FFFFFF"/>
                  <w:noWrap w:val="0"/>
                  <w:vAlign w:val="center"/>
                </w:tcPr>
                <w:p w14:paraId="0B54795F">
                  <w:pPr>
                    <w:bidi w:val="0"/>
                    <w:spacing w:line="240" w:lineRule="auto"/>
                    <w:jc w:val="cente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废气处理</w:t>
                  </w:r>
                </w:p>
              </w:tc>
              <w:tc>
                <w:tcPr>
                  <w:tcW w:w="636" w:type="dxa"/>
                  <w:tcBorders>
                    <w:bottom w:val="single" w:color="000000" w:sz="8" w:space="0"/>
                    <w:tl2br w:val="nil"/>
                    <w:tr2bl w:val="nil"/>
                  </w:tcBorders>
                  <w:shd w:val="clear" w:color="auto" w:fill="FFFFFF"/>
                  <w:noWrap w:val="0"/>
                  <w:vAlign w:val="center"/>
                </w:tcPr>
                <w:p w14:paraId="47E8CFC8">
                  <w:pPr>
                    <w:bidi w:val="0"/>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1年</w:t>
                  </w:r>
                </w:p>
              </w:tc>
              <w:tc>
                <w:tcPr>
                  <w:tcW w:w="658" w:type="dxa"/>
                  <w:tcBorders>
                    <w:bottom w:val="single" w:color="000000" w:sz="8" w:space="0"/>
                    <w:tl2br w:val="nil"/>
                    <w:tr2bl w:val="nil"/>
                  </w:tcBorders>
                  <w:shd w:val="clear" w:color="auto" w:fill="FFFFFF"/>
                  <w:noWrap w:val="0"/>
                  <w:vAlign w:val="center"/>
                </w:tcPr>
                <w:p w14:paraId="17D5F2B9">
                  <w:pPr>
                    <w:bidi w:val="0"/>
                    <w:spacing w:line="240" w:lineRule="auto"/>
                    <w:jc w:val="center"/>
                    <w:rPr>
                      <w:rFonts w:hint="default" w:ascii="Times New Roman" w:hAnsi="Times New Roman" w:eastAsia="黑体" w:cs="Times New Roman"/>
                      <w:color w:val="000000" w:themeColor="text1"/>
                      <w:sz w:val="20"/>
                      <w:szCs w:val="20"/>
                      <w:u w:val="single"/>
                      <w:lang w:val="zh-CN"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T</w:t>
                  </w:r>
                </w:p>
              </w:tc>
              <w:tc>
                <w:tcPr>
                  <w:tcW w:w="715" w:type="dxa"/>
                  <w:vMerge w:val="continue"/>
                  <w:tcBorders>
                    <w:bottom w:val="single" w:color="000000" w:sz="8" w:space="0"/>
                    <w:tl2br w:val="nil"/>
                    <w:tr2bl w:val="nil"/>
                  </w:tcBorders>
                  <w:shd w:val="clear" w:color="auto" w:fill="FFFFFF"/>
                  <w:noWrap w:val="0"/>
                  <w:vAlign w:val="center"/>
                </w:tcPr>
                <w:p w14:paraId="532DF99B">
                  <w:pPr>
                    <w:topLinePunct/>
                    <w:spacing w:line="240" w:lineRule="auto"/>
                    <w:jc w:val="center"/>
                    <w:rPr>
                      <w:rFonts w:hint="default" w:ascii="Times New Roman" w:hAnsi="Times New Roman" w:eastAsia="黑体" w:cs="Times New Roman"/>
                      <w:color w:val="000000" w:themeColor="text1"/>
                      <w:sz w:val="20"/>
                      <w:szCs w:val="20"/>
                      <w:u w:val="single"/>
                      <w14:textFill>
                        <w14:solidFill>
                          <w14:schemeClr w14:val="tx1"/>
                        </w14:solidFill>
                      </w14:textFill>
                    </w:rPr>
                  </w:pPr>
                </w:p>
              </w:tc>
            </w:tr>
          </w:tbl>
          <w:p w14:paraId="0CD15B2F">
            <w:pPr>
              <w:spacing w:line="360" w:lineRule="auto"/>
              <w:ind w:firstLine="480" w:firstLineChars="200"/>
              <w:rPr>
                <w:rFonts w:hint="default" w:ascii="Times New Roman" w:hAnsi="Times New Roman" w:cs="Times New Roman"/>
                <w:bCs/>
                <w:color w:val="000000" w:themeColor="text1"/>
                <w:spacing w:val="-10"/>
                <w:sz w:val="24"/>
                <w:u w:val="single"/>
                <w14:textFill>
                  <w14:solidFill>
                    <w14:schemeClr w14:val="tx1"/>
                  </w14:solidFill>
                </w14:textFill>
              </w:rPr>
            </w:pPr>
            <w:r>
              <w:rPr>
                <w:rFonts w:hint="default" w:ascii="Times New Roman" w:hAnsi="Times New Roman" w:cs="Times New Roman"/>
                <w:color w:val="000000" w:themeColor="text1"/>
                <w:kern w:val="0"/>
                <w:sz w:val="24"/>
                <w:u w:val="single"/>
                <w:lang w:bidi="ar"/>
                <w14:textFill>
                  <w14:solidFill>
                    <w14:schemeClr w14:val="tx1"/>
                  </w14:solidFill>
                </w14:textFill>
              </w:rPr>
              <w:t>项目建设项目危险废物贮存场所（设施）基本情况见下表</w:t>
            </w:r>
            <w:r>
              <w:rPr>
                <w:rFonts w:hint="eastAsia" w:ascii="Times New Roman" w:hAnsi="Times New Roman" w:cs="Times New Roman"/>
                <w:color w:val="000000" w:themeColor="text1"/>
                <w:kern w:val="0"/>
                <w:sz w:val="24"/>
                <w:u w:val="single"/>
                <w:lang w:val="en-US" w:eastAsia="zh-CN" w:bidi="ar"/>
                <w14:textFill>
                  <w14:solidFill>
                    <w14:schemeClr w14:val="tx1"/>
                  </w14:solidFill>
                </w14:textFill>
              </w:rPr>
              <w:t>4-14</w:t>
            </w:r>
            <w:r>
              <w:rPr>
                <w:rFonts w:hint="default" w:ascii="Times New Roman" w:hAnsi="Times New Roman" w:cs="Times New Roman"/>
                <w:color w:val="000000" w:themeColor="text1"/>
                <w:kern w:val="0"/>
                <w:sz w:val="24"/>
                <w:u w:val="single"/>
                <w:lang w:bidi="ar"/>
                <w14:textFill>
                  <w14:solidFill>
                    <w14:schemeClr w14:val="tx1"/>
                  </w14:solidFill>
                </w14:textFill>
              </w:rPr>
              <w:t>。</w:t>
            </w:r>
          </w:p>
          <w:p w14:paraId="7723173E">
            <w:pPr>
              <w:spacing w:line="360" w:lineRule="auto"/>
              <w:jc w:val="center"/>
              <w:rPr>
                <w:rFonts w:hint="default" w:ascii="Times New Roman" w:hAnsi="Times New Roman" w:eastAsia="黑体" w:cs="Times New Roman"/>
                <w:b w:val="0"/>
                <w:bCs/>
                <w:color w:val="000000" w:themeColor="text1"/>
                <w:sz w:val="20"/>
                <w:szCs w:val="20"/>
                <w:u w:val="single"/>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14:textFill>
                  <w14:solidFill>
                    <w14:schemeClr w14:val="tx1"/>
                  </w14:solidFill>
                </w14:textFill>
              </w:rPr>
              <w:t>表</w:t>
            </w:r>
            <w:r>
              <w:rPr>
                <w:rFonts w:hint="default" w:ascii="Times New Roman" w:hAnsi="Times New Roman" w:eastAsia="黑体" w:cs="Times New Roman"/>
                <w:b w:val="0"/>
                <w:bCs/>
                <w:color w:val="000000" w:themeColor="text1"/>
                <w:sz w:val="20"/>
                <w:szCs w:val="20"/>
                <w:u w:val="single"/>
                <w:lang w:val="en-US" w:eastAsia="zh-CN"/>
                <w14:textFill>
                  <w14:solidFill>
                    <w14:schemeClr w14:val="tx1"/>
                  </w14:solidFill>
                </w14:textFill>
              </w:rPr>
              <w:t>4-14</w:t>
            </w:r>
            <w:r>
              <w:rPr>
                <w:rFonts w:hint="default" w:ascii="Times New Roman" w:hAnsi="Times New Roman" w:eastAsia="黑体" w:cs="Times New Roman"/>
                <w:b w:val="0"/>
                <w:bCs/>
                <w:color w:val="000000" w:themeColor="text1"/>
                <w:sz w:val="20"/>
                <w:szCs w:val="20"/>
                <w:u w:val="single"/>
                <w14:textFill>
                  <w14:solidFill>
                    <w14:schemeClr w14:val="tx1"/>
                  </w14:solidFill>
                </w14:textFill>
              </w:rPr>
              <w:t xml:space="preserve"> 项目危险废物贮存场所（设施）基本情况表</w:t>
            </w:r>
          </w:p>
          <w:tbl>
            <w:tblPr>
              <w:tblStyle w:val="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140"/>
              <w:gridCol w:w="744"/>
              <w:gridCol w:w="1500"/>
              <w:gridCol w:w="1020"/>
              <w:gridCol w:w="744"/>
              <w:gridCol w:w="732"/>
              <w:gridCol w:w="768"/>
              <w:gridCol w:w="771"/>
            </w:tblGrid>
            <w:tr w14:paraId="41F4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shd w:val="clear" w:color="auto" w:fill="auto"/>
                  <w:vAlign w:val="center"/>
                </w:tcPr>
                <w:p w14:paraId="7D932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贮存</w:t>
                  </w:r>
                </w:p>
                <w:p w14:paraId="1BF5B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场所</w:t>
                  </w:r>
                </w:p>
              </w:tc>
              <w:tc>
                <w:tcPr>
                  <w:tcW w:w="1140" w:type="dxa"/>
                  <w:shd w:val="clear" w:color="auto" w:fill="auto"/>
                  <w:vAlign w:val="center"/>
                </w:tcPr>
                <w:p w14:paraId="3AB7B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危险废物名称</w:t>
                  </w:r>
                </w:p>
              </w:tc>
              <w:tc>
                <w:tcPr>
                  <w:tcW w:w="744" w:type="dxa"/>
                  <w:shd w:val="clear" w:color="auto" w:fill="auto"/>
                  <w:vAlign w:val="center"/>
                </w:tcPr>
                <w:p w14:paraId="7072BD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u w:val="single"/>
                      <w:vertAlign w:val="baseli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20"/>
                      <w:szCs w:val="20"/>
                      <w:u w:val="single"/>
                      <w:lang w:val="en-US" w:eastAsia="zh-CN"/>
                      <w14:textFill>
                        <w14:solidFill>
                          <w14:schemeClr w14:val="tx1"/>
                        </w14:solidFill>
                      </w14:textFill>
                    </w:rPr>
                    <w:t>危险废物类别</w:t>
                  </w:r>
                </w:p>
              </w:tc>
              <w:tc>
                <w:tcPr>
                  <w:tcW w:w="1500" w:type="dxa"/>
                  <w:shd w:val="clear" w:color="auto" w:fill="auto"/>
                  <w:vAlign w:val="center"/>
                </w:tcPr>
                <w:p w14:paraId="49CD7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危险废物代码</w:t>
                  </w:r>
                </w:p>
              </w:tc>
              <w:tc>
                <w:tcPr>
                  <w:tcW w:w="1020" w:type="dxa"/>
                  <w:shd w:val="clear" w:color="auto" w:fill="auto"/>
                  <w:vAlign w:val="center"/>
                </w:tcPr>
                <w:p w14:paraId="77E38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位置</w:t>
                  </w:r>
                </w:p>
              </w:tc>
              <w:tc>
                <w:tcPr>
                  <w:tcW w:w="744" w:type="dxa"/>
                  <w:shd w:val="clear" w:color="auto" w:fill="auto"/>
                  <w:vAlign w:val="center"/>
                </w:tcPr>
                <w:p w14:paraId="07463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占地面积</w:t>
                  </w:r>
                </w:p>
              </w:tc>
              <w:tc>
                <w:tcPr>
                  <w:tcW w:w="732" w:type="dxa"/>
                  <w:shd w:val="clear" w:color="auto" w:fill="auto"/>
                  <w:vAlign w:val="center"/>
                </w:tcPr>
                <w:p w14:paraId="78C84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贮存方式</w:t>
                  </w:r>
                </w:p>
              </w:tc>
              <w:tc>
                <w:tcPr>
                  <w:tcW w:w="768" w:type="dxa"/>
                  <w:shd w:val="clear" w:color="auto" w:fill="auto"/>
                  <w:vAlign w:val="center"/>
                </w:tcPr>
                <w:p w14:paraId="0A1335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000000" w:themeColor="text1"/>
                      <w:kern w:val="2"/>
                      <w:sz w:val="20"/>
                      <w:szCs w:val="20"/>
                      <w:u w:val="single"/>
                      <w:vertAlign w:val="baseline"/>
                      <w:lang w:val="en-US" w:eastAsia="zh-CN" w:bidi="ar-SA"/>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贮存能力</w:t>
                  </w:r>
                </w:p>
              </w:tc>
              <w:tc>
                <w:tcPr>
                  <w:tcW w:w="771" w:type="dxa"/>
                  <w:vAlign w:val="center"/>
                </w:tcPr>
                <w:p w14:paraId="0660C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贮存周期</w:t>
                  </w:r>
                </w:p>
              </w:tc>
            </w:tr>
            <w:tr w14:paraId="60BF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restart"/>
                  <w:vAlign w:val="center"/>
                </w:tcPr>
                <w:p w14:paraId="218EED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危废暂存间</w:t>
                  </w:r>
                </w:p>
              </w:tc>
              <w:tc>
                <w:tcPr>
                  <w:tcW w:w="1140" w:type="dxa"/>
                  <w:vAlign w:val="center"/>
                </w:tcPr>
                <w:p w14:paraId="24FD2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废溶剂桶</w:t>
                  </w:r>
                </w:p>
              </w:tc>
              <w:tc>
                <w:tcPr>
                  <w:tcW w:w="744" w:type="dxa"/>
                  <w:vAlign w:val="center"/>
                </w:tcPr>
                <w:p w14:paraId="01183A95">
                  <w:pPr>
                    <w:bidi w:val="0"/>
                    <w:spacing w:line="240" w:lineRule="auto"/>
                    <w:ind w:firstLine="0" w:firstLineChars="0"/>
                    <w:jc w:val="cente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T/</w:t>
                  </w:r>
                  <w:r>
                    <w:rPr>
                      <w:rFonts w:hint="default" w:ascii="Times New Roman" w:hAnsi="Times New Roman" w:eastAsia="黑体" w:cs="Times New Roman"/>
                      <w:color w:val="000000" w:themeColor="text1"/>
                      <w:sz w:val="20"/>
                      <w:szCs w:val="20"/>
                      <w:u w:val="single"/>
                      <w:lang w:val="en-US" w:eastAsia="zh-CN"/>
                      <w14:textFill>
                        <w14:solidFill>
                          <w14:schemeClr w14:val="tx1"/>
                        </w14:solidFill>
                      </w14:textFill>
                    </w:rPr>
                    <w:t>In</w:t>
                  </w:r>
                </w:p>
              </w:tc>
              <w:tc>
                <w:tcPr>
                  <w:tcW w:w="1500" w:type="dxa"/>
                  <w:vAlign w:val="center"/>
                </w:tcPr>
                <w:p w14:paraId="577DE72F">
                  <w:pPr>
                    <w:bidi w:val="0"/>
                    <w:spacing w:line="240" w:lineRule="auto"/>
                    <w:ind w:firstLine="0" w:firstLineChars="0"/>
                    <w:jc w:val="cente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900-047-49</w:t>
                  </w:r>
                </w:p>
              </w:tc>
              <w:tc>
                <w:tcPr>
                  <w:tcW w:w="1020" w:type="dxa"/>
                  <w:vMerge w:val="restart"/>
                  <w:vAlign w:val="center"/>
                </w:tcPr>
                <w:p w14:paraId="0E445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2号车间后门</w:t>
                  </w:r>
                </w:p>
              </w:tc>
              <w:tc>
                <w:tcPr>
                  <w:tcW w:w="744" w:type="dxa"/>
                  <w:vMerge w:val="restart"/>
                  <w:vAlign w:val="center"/>
                </w:tcPr>
                <w:p w14:paraId="208B8F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5</w:t>
                  </w:r>
                </w:p>
              </w:tc>
              <w:tc>
                <w:tcPr>
                  <w:tcW w:w="732" w:type="dxa"/>
                  <w:vMerge w:val="restart"/>
                  <w:vAlign w:val="center"/>
                </w:tcPr>
                <w:p w14:paraId="052A01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密封贮存</w:t>
                  </w:r>
                </w:p>
              </w:tc>
              <w:tc>
                <w:tcPr>
                  <w:tcW w:w="768" w:type="dxa"/>
                  <w:vMerge w:val="restart"/>
                  <w:vAlign w:val="center"/>
                </w:tcPr>
                <w:p w14:paraId="75B364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0.1</w:t>
                  </w:r>
                </w:p>
              </w:tc>
              <w:tc>
                <w:tcPr>
                  <w:tcW w:w="771" w:type="dxa"/>
                  <w:vMerge w:val="restart"/>
                  <w:vAlign w:val="center"/>
                </w:tcPr>
                <w:p w14:paraId="1D009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1年</w:t>
                  </w:r>
                </w:p>
              </w:tc>
            </w:tr>
            <w:tr w14:paraId="6EB1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vAlign w:val="center"/>
                </w:tcPr>
                <w:p w14:paraId="517B1D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p>
              </w:tc>
              <w:tc>
                <w:tcPr>
                  <w:tcW w:w="1140" w:type="dxa"/>
                  <w:vAlign w:val="center"/>
                </w:tcPr>
                <w:p w14:paraId="0EA4DA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t>废活性炭</w:t>
                  </w:r>
                </w:p>
              </w:tc>
              <w:tc>
                <w:tcPr>
                  <w:tcW w:w="744" w:type="dxa"/>
                  <w:vAlign w:val="center"/>
                </w:tcPr>
                <w:p w14:paraId="6F342962">
                  <w:pPr>
                    <w:bidi w:val="0"/>
                    <w:spacing w:line="240" w:lineRule="auto"/>
                    <w:ind w:firstLine="0" w:firstLineChars="0"/>
                    <w:jc w:val="cente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T</w:t>
                  </w:r>
                </w:p>
              </w:tc>
              <w:tc>
                <w:tcPr>
                  <w:tcW w:w="1500" w:type="dxa"/>
                  <w:vAlign w:val="center"/>
                </w:tcPr>
                <w:p w14:paraId="23755917">
                  <w:pPr>
                    <w:bidi w:val="0"/>
                    <w:spacing w:line="240" w:lineRule="auto"/>
                    <w:ind w:firstLine="0" w:firstLineChars="0"/>
                    <w:jc w:val="center"/>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0"/>
                      <w:szCs w:val="20"/>
                      <w:u w:val="single"/>
                      <w14:textFill>
                        <w14:solidFill>
                          <w14:schemeClr w14:val="tx1"/>
                        </w14:solidFill>
                      </w14:textFill>
                    </w:rPr>
                    <w:t>900-039-49</w:t>
                  </w:r>
                </w:p>
              </w:tc>
              <w:tc>
                <w:tcPr>
                  <w:tcW w:w="1020" w:type="dxa"/>
                  <w:vMerge w:val="continue"/>
                  <w:vAlign w:val="center"/>
                </w:tcPr>
                <w:p w14:paraId="359DF4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p>
              </w:tc>
              <w:tc>
                <w:tcPr>
                  <w:tcW w:w="744" w:type="dxa"/>
                  <w:vMerge w:val="continue"/>
                  <w:vAlign w:val="center"/>
                </w:tcPr>
                <w:p w14:paraId="48EC5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p>
              </w:tc>
              <w:tc>
                <w:tcPr>
                  <w:tcW w:w="732" w:type="dxa"/>
                  <w:vMerge w:val="continue"/>
                  <w:vAlign w:val="center"/>
                </w:tcPr>
                <w:p w14:paraId="353AF8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p>
              </w:tc>
              <w:tc>
                <w:tcPr>
                  <w:tcW w:w="768" w:type="dxa"/>
                  <w:vMerge w:val="continue"/>
                  <w:vAlign w:val="center"/>
                </w:tcPr>
                <w:p w14:paraId="4BDA44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p>
              </w:tc>
              <w:tc>
                <w:tcPr>
                  <w:tcW w:w="771" w:type="dxa"/>
                  <w:vMerge w:val="continue"/>
                  <w:vAlign w:val="center"/>
                </w:tcPr>
                <w:p w14:paraId="613045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0"/>
                      <w:szCs w:val="20"/>
                      <w:u w:val="single"/>
                      <w:vertAlign w:val="baseline"/>
                      <w:lang w:val="en-US" w:eastAsia="zh-CN"/>
                      <w14:textFill>
                        <w14:solidFill>
                          <w14:schemeClr w14:val="tx1"/>
                        </w14:solidFill>
                      </w14:textFill>
                    </w:rPr>
                  </w:pPr>
                </w:p>
              </w:tc>
            </w:tr>
          </w:tbl>
          <w:p w14:paraId="2A7036AC">
            <w:pPr>
              <w:spacing w:line="360" w:lineRule="auto"/>
              <w:ind w:firstLine="480" w:firstLineChars="200"/>
              <w:rPr>
                <w:rFonts w:hint="default" w:ascii="Times New Roman" w:hAnsi="Times New Roman" w:eastAsia="黑体" w:cs="Times New Roman"/>
                <w:b w:val="0"/>
                <w:bCs w:val="0"/>
                <w:color w:val="000000" w:themeColor="text1"/>
                <w:kern w:val="0"/>
                <w:sz w:val="24"/>
                <w:u w:val="single"/>
                <w:lang w:val="en-US" w:bidi="ar"/>
                <w14:textFill>
                  <w14:solidFill>
                    <w14:schemeClr w14:val="tx1"/>
                  </w14:solidFill>
                </w14:textFill>
              </w:rPr>
            </w:pPr>
            <w:r>
              <w:rPr>
                <w:rFonts w:hint="eastAsia" w:eastAsia="黑体" w:cs="Times New Roman"/>
                <w:b w:val="0"/>
                <w:bCs w:val="0"/>
                <w:color w:val="000000" w:themeColor="text1"/>
                <w:sz w:val="24"/>
                <w:szCs w:val="24"/>
                <w:u w:val="single"/>
                <w:lang w:val="en-US" w:eastAsia="zh-CN"/>
                <w14:textFill>
                  <w14:solidFill>
                    <w14:schemeClr w14:val="tx1"/>
                  </w14:solidFill>
                </w14:textFill>
              </w:rPr>
              <w:t>4.4</w:t>
            </w:r>
            <w:r>
              <w:rPr>
                <w:rFonts w:hint="default" w:ascii="Times New Roman" w:hAnsi="Times New Roman" w:eastAsia="黑体" w:cs="Times New Roman"/>
                <w:b w:val="0"/>
                <w:bCs w:val="0"/>
                <w:color w:val="000000" w:themeColor="text1"/>
                <w:kern w:val="0"/>
                <w:sz w:val="24"/>
                <w:u w:val="single"/>
                <w:lang w:val="en-US" w:eastAsia="zh-CN" w:bidi="ar"/>
                <w14:textFill>
                  <w14:solidFill>
                    <w14:schemeClr w14:val="tx1"/>
                  </w14:solidFill>
                </w14:textFill>
              </w:rPr>
              <w:t>危险废物</w:t>
            </w:r>
            <w:r>
              <w:rPr>
                <w:rFonts w:hint="eastAsia" w:eastAsia="黑体" w:cs="Times New Roman"/>
                <w:b w:val="0"/>
                <w:bCs w:val="0"/>
                <w:color w:val="000000" w:themeColor="text1"/>
                <w:kern w:val="0"/>
                <w:sz w:val="24"/>
                <w:u w:val="single"/>
                <w:lang w:val="en-US" w:eastAsia="zh-CN" w:bidi="ar"/>
                <w14:textFill>
                  <w14:solidFill>
                    <w14:schemeClr w14:val="tx1"/>
                  </w14:solidFill>
                </w14:textFill>
              </w:rPr>
              <w:t>环境管理要求</w:t>
            </w:r>
          </w:p>
          <w:p w14:paraId="7A90F1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 xml:space="preserve">项目危废暂存间严格按照《危险废物贮存污染控制标准》(GB18597-2023）和《危险废物收集、贮存、运输技术规范》（HJ2025-2012）的要求规范建设和维护使用，其中危废间满足防雨、防风、防渗、防漏的要求，地面与裙角要用坚固、防渗的材料建造，使用过程做好防雨、防风、防渗、防漏等防止二次污染措施。 </w:t>
            </w:r>
          </w:p>
          <w:p w14:paraId="0FF7ACF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危废暂存间的</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环境管理</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要求包括：</w:t>
            </w:r>
          </w:p>
          <w:p w14:paraId="680450C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地面与裙脚要用坚固、防渗的材料建造，建筑材料必须与危险废物相容。 </w:t>
            </w:r>
          </w:p>
          <w:p w14:paraId="6678FDA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必须有泄漏液体收集装置、气体导出口及气体净化装置。</w:t>
            </w:r>
          </w:p>
          <w:p w14:paraId="3A5AFC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设施内要有安全照明设施和观察窗口。</w:t>
            </w:r>
          </w:p>
          <w:p w14:paraId="5271C9D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用以存放装载液体、半固体危险废物容器的地方，必须有耐腐蚀的硬化地面，且表面无裂隙。</w:t>
            </w:r>
          </w:p>
          <w:p w14:paraId="36CB90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应设计堵截泄漏的裙脚，地面与裙脚所围建的容积不低于堵截最大容器的最大储量或总储量的五分之一。</w:t>
            </w:r>
          </w:p>
          <w:p w14:paraId="08EECDD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不相容的危险废物必须分开存放，并设有隔离间隔断。</w:t>
            </w:r>
          </w:p>
          <w:p w14:paraId="22AE72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基础必须防渗，防渗层为2毫米厚高密度聚乙烯，或至少2毫米厚的其它人工材料，渗透系数≤10</w:t>
            </w:r>
            <w:r>
              <w:rPr>
                <w:rFonts w:hint="default" w:ascii="Times New Roman" w:hAnsi="Times New Roman" w:eastAsia="宋体" w:cs="Times New Roman"/>
                <w:color w:val="000000" w:themeColor="text1"/>
                <w:sz w:val="24"/>
                <w:szCs w:val="24"/>
                <w:u w:val="singl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厘米/秒。</w:t>
            </w:r>
          </w:p>
          <w:p w14:paraId="4E4D7C9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危险废物应按照《危险废物贮存污染控制标准》(GB18597-2023）及其修改单的相关要求进行贮存，做好警示标识，而且要定期检查储存容器是否有损坏，防止泄露，然后定期交由有危险废物资质单位回收处理，运输转移时装载危险废物的车辆必须做好防渗、防漏的措施，按《危险废物转移联单管理办法》做好申报转移记录。</w:t>
            </w:r>
          </w:p>
          <w:p w14:paraId="1DC3C8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另外，企业须根据管理台账和近年生产计划，制订危险废物管理计划，并报当地环保部门备案。台帐应如实记载产生危险废物的种类、数量、利用、贮存、处置、流向等信息，以此作为向当地环保部门申报危险废物管理计划的编制依据。产生的危险废物实行分类收集后置于贮存设施内，贮存时限一般不得超过一年，并设专人管理。盛装危险废物的容器和包装物以及产生、收集、贮存、运输、处置危险废物的场所，必须依法设置相应标识、警示标志和标签，标签上应注明贮存的废物类别、危害性以及开始贮存时间等内容。企业必须严格执行危险废物转移计划报批和依法运行危险废物转移联单，并通过信息系统登记转移计划和电子转移联单。企业还需健全产生单位内部管理制度，包括落实危险废物产生信息公开制度，建立员工培训和固体废物管理员制度，完善危险废物相关档案管理制度。</w:t>
            </w:r>
          </w:p>
          <w:p w14:paraId="45B24D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u w:val="single"/>
                <w:lang w:val="en-US" w:eastAsia="zh-CN"/>
                <w14:textFill>
                  <w14:solidFill>
                    <w14:schemeClr w14:val="tx1"/>
                  </w14:solidFill>
                </w14:textFill>
              </w:rPr>
              <w:t>环境管理台账记录要求包括</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w:t>
            </w:r>
          </w:p>
          <w:p w14:paraId="1806BA2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①记录内容：“排污单位应建立工业固体废物环境管理台账，危险废物环境管理台账记录应符合《危险废物产生单位管理计划制定指南》等标准及管理文件的相关要求，待危险废物环境管理台账相关标准或管理文件发布实施后，从其规定。一般工业固体废物环境管理台账记录应符合《一般工业固体废物管理台账制定指南》要求。”</w:t>
            </w:r>
          </w:p>
          <w:p w14:paraId="546BD2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②记录频次：“危险废物和一般工业固体废物需分别符合《危险废物产生单位管理计划制定指南》和《一般工业固体废物管理台账制定指南》要求。”</w:t>
            </w:r>
          </w:p>
          <w:p w14:paraId="0CE658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③记录形式：</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一般固废台账保存期限不少于5年，危废台账保存期限不少于10年。</w:t>
            </w:r>
          </w:p>
          <w:p w14:paraId="5D5844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Cs/>
                <w:color w:val="000000" w:themeColor="text1"/>
                <w:spacing w:val="-10"/>
                <w:u w:val="single"/>
                <w:lang w:val="en-US" w:eastAsia="zh-CN"/>
                <w14:textFill>
                  <w14:solidFill>
                    <w14:schemeClr w14:val="tx1"/>
                  </w14:solidFill>
                </w14:textFill>
              </w:rPr>
            </w:pPr>
            <w:r>
              <w:rPr>
                <w:sz w:val="24"/>
              </w:rPr>
              <mc:AlternateContent>
                <mc:Choice Requires="wps">
                  <w:drawing>
                    <wp:anchor distT="0" distB="0" distL="114300" distR="114300" simplePos="0" relativeHeight="251670528" behindDoc="0" locked="0" layoutInCell="1" allowOverlap="1">
                      <wp:simplePos x="0" y="0"/>
                      <wp:positionH relativeFrom="column">
                        <wp:posOffset>227330</wp:posOffset>
                      </wp:positionH>
                      <wp:positionV relativeFrom="paragraph">
                        <wp:posOffset>1767205</wp:posOffset>
                      </wp:positionV>
                      <wp:extent cx="4953000" cy="4643120"/>
                      <wp:effectExtent l="6350" t="6350" r="12700" b="17780"/>
                      <wp:wrapNone/>
                      <wp:docPr id="82" name="矩形 82"/>
                      <wp:cNvGraphicFramePr/>
                      <a:graphic xmlns:a="http://schemas.openxmlformats.org/drawingml/2006/main">
                        <a:graphicData uri="http://schemas.microsoft.com/office/word/2010/wordprocessingShape">
                          <wps:wsp>
                            <wps:cNvSpPr/>
                            <wps:spPr>
                              <a:xfrm>
                                <a:off x="1546860" y="5065395"/>
                                <a:ext cx="4953000" cy="4643120"/>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pt;margin-top:139.15pt;height:365.6pt;width:390pt;z-index:251670528;v-text-anchor:middle;mso-width-relative:page;mso-height-relative:page;" fillcolor="#000000 [3213]" filled="t" stroked="t" coordsize="21600,21600" o:gfxdata="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ZlKY0NkA&#10;AAALAQAADwAAAAAAAAABACAAAAAiAAAAZHJzL2Rvd25yZXYueG1sUEsBAhQAFAAAAAgAh07iQG3b&#10;LFSQAgAAJQUAAA4AAAAAAAAAAQAgAAAAKAEAAGRycy9lMm9Eb2MueG1sUEsFBgAAAAAGAAYAWQEA&#10;ACoGAAAAAA==&#10;">
                      <v:fill on="t" focussize="0,0"/>
                      <v:stroke weight="1pt" color="#2E54A1 [2404]" miterlimit="8" joinstyle="miter"/>
                      <v:imagedata o:title=""/>
                      <o:lock v:ext="edit" aspectratio="f"/>
                    </v:rect>
                  </w:pict>
                </mc:Fallback>
              </mc:AlternateConten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本项目的危险废物在产生、收集、贮存、运输过程中主要的风险防范措施为：建设单位应严格按照相关要求，用密封胶桶统一收集，定期检查储存桶是否损坏，确保不发生泄漏，然后定期交有资质单位处理，运输过程落实防渗、防漏措施，则本项目危险废物通过采取相应的风险防范措施，可以将项目的危险废物的环境风险水平降到较低的水平，因此本项目的危险废物环境风险水平在可接受的范围，不会对周围环境造成影响。</w:t>
            </w:r>
          </w:p>
          <w:p w14:paraId="27016A7C">
            <w:pPr>
              <w:spacing w:line="360" w:lineRule="auto"/>
              <w:ind w:firstLine="480" w:firstLineChars="200"/>
              <w:rPr>
                <w:rFonts w:hint="default" w:ascii="黑体" w:hAnsi="黑体" w:eastAsia="黑体" w:cs="黑体"/>
                <w:b w:val="0"/>
                <w:bCs w:val="0"/>
                <w:color w:val="000000" w:themeColor="text1"/>
                <w:sz w:val="24"/>
                <w:szCs w:val="22"/>
                <w:u w:val="single"/>
                <w:lang w:val="en-US"/>
                <w14:textFill>
                  <w14:solidFill>
                    <w14:schemeClr w14:val="tx1"/>
                  </w14:solidFill>
                </w14:textFill>
              </w:rPr>
            </w:pPr>
            <w:r>
              <w:rPr>
                <w:rFonts w:hint="eastAsia" w:ascii="Times New Roman" w:hAnsi="Times New Roman" w:eastAsia="黑体" w:cs="Times New Roman"/>
                <w:b w:val="0"/>
                <w:bCs w:val="0"/>
                <w:color w:val="000000" w:themeColor="text1"/>
                <w:sz w:val="24"/>
                <w:szCs w:val="24"/>
                <w:u w:val="single"/>
                <w:lang w:val="en-US" w:eastAsia="zh-CN"/>
                <w14:textFill>
                  <w14:solidFill>
                    <w14:schemeClr w14:val="tx1"/>
                  </w14:solidFill>
                </w14:textFill>
              </w:rPr>
              <w:t>5.</w:t>
            </w:r>
            <w:r>
              <w:rPr>
                <w:rFonts w:hint="eastAsia" w:ascii="黑体" w:hAnsi="黑体" w:eastAsia="黑体" w:cs="黑体"/>
                <w:b w:val="0"/>
                <w:bCs w:val="0"/>
                <w:color w:val="000000" w:themeColor="text1"/>
                <w:sz w:val="24"/>
                <w:szCs w:val="22"/>
                <w:u w:val="single"/>
                <w:lang w:val="en-US" w:eastAsia="zh-CN"/>
                <w14:textFill>
                  <w14:solidFill>
                    <w14:schemeClr w14:val="tx1"/>
                  </w14:solidFill>
                </w14:textFill>
              </w:rPr>
              <w:t>项目汇总情况</w:t>
            </w:r>
          </w:p>
          <w:p w14:paraId="609BDF66">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黑体" w:cs="Times New Roman"/>
                <w:bCs/>
                <w:color w:val="000000" w:themeColor="text1"/>
                <w:spacing w:val="-10"/>
                <w:sz w:val="24"/>
                <w:u w:val="singl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4"/>
                <w:u w:val="single"/>
                <w:lang w:val="en-US" w:eastAsia="zh-CN"/>
                <w14:textFill>
                  <w14:solidFill>
                    <w14:schemeClr w14:val="tx1"/>
                  </w14:solidFill>
                </w14:textFill>
              </w:rPr>
              <w:t>5.1项目扩建前后“三本账”汇总</w:t>
            </w:r>
          </w:p>
          <w:p w14:paraId="0434F28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bCs/>
                <w:color w:val="000000" w:themeColor="text1"/>
                <w:spacing w:val="-10"/>
                <w:sz w:val="24"/>
                <w:u w:val="single"/>
                <w:lang w:val="en-US" w:eastAsia="zh-CN"/>
                <w14:textFill>
                  <w14:solidFill>
                    <w14:schemeClr w14:val="tx1"/>
                  </w14:solidFill>
                </w14:textFill>
              </w:rPr>
            </w:pPr>
            <w:r>
              <w:rPr>
                <w:rFonts w:hint="default" w:ascii="Times New Roman" w:hAnsi="Times New Roman" w:eastAsia="宋体" w:cs="Times New Roman"/>
                <w:bCs/>
                <w:color w:val="000000" w:themeColor="text1"/>
                <w:spacing w:val="-10"/>
                <w:sz w:val="24"/>
                <w:u w:val="single"/>
                <w:lang w:val="en-US" w:eastAsia="zh-CN"/>
                <w14:textFill>
                  <w14:solidFill>
                    <w14:schemeClr w14:val="tx1"/>
                  </w14:solidFill>
                </w14:textFill>
              </w:rPr>
              <w:t>项目扩建前后“三本账”汇总详见下表4-1</w:t>
            </w:r>
            <w:r>
              <w:rPr>
                <w:rFonts w:hint="eastAsia" w:ascii="Times New Roman" w:hAnsi="Times New Roman" w:eastAsia="宋体" w:cs="Times New Roman"/>
                <w:bCs/>
                <w:color w:val="000000" w:themeColor="text1"/>
                <w:spacing w:val="-10"/>
                <w:sz w:val="24"/>
                <w:u w:val="single"/>
                <w:lang w:val="en-US" w:eastAsia="zh-CN"/>
                <w14:textFill>
                  <w14:solidFill>
                    <w14:schemeClr w14:val="tx1"/>
                  </w14:solidFill>
                </w14:textFill>
              </w:rPr>
              <w:t>5</w:t>
            </w:r>
            <w:r>
              <w:rPr>
                <w:rFonts w:hint="default" w:ascii="Times New Roman" w:hAnsi="Times New Roman" w:eastAsia="宋体" w:cs="Times New Roman"/>
                <w:bCs/>
                <w:color w:val="000000" w:themeColor="text1"/>
                <w:spacing w:val="-10"/>
                <w:sz w:val="24"/>
                <w:u w:val="single"/>
                <w:lang w:val="en-US" w:eastAsia="zh-CN"/>
                <w14:textFill>
                  <w14:solidFill>
                    <w14:schemeClr w14:val="tx1"/>
                  </w14:solidFill>
                </w14:textFill>
              </w:rPr>
              <w:t>。</w:t>
            </w:r>
          </w:p>
          <w:p w14:paraId="28142F8C">
            <w:pPr>
              <w:spacing w:line="360" w:lineRule="auto"/>
              <w:jc w:val="center"/>
              <w:rPr>
                <w:rFonts w:hint="default" w:ascii="Times New Roman" w:hAnsi="Times New Roman" w:eastAsia="黑体" w:cs="Times New Roman"/>
                <w:b w:val="0"/>
                <w:bCs/>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14:textFill>
                  <w14:solidFill>
                    <w14:schemeClr w14:val="tx1"/>
                  </w14:solidFill>
                </w14:textFill>
              </w:rPr>
              <w:t>表</w:t>
            </w:r>
            <w:r>
              <w:rPr>
                <w:rFonts w:hint="default" w:ascii="Times New Roman" w:hAnsi="Times New Roman" w:eastAsia="黑体" w:cs="Times New Roman"/>
                <w:b w:val="0"/>
                <w:bCs/>
                <w:color w:val="000000" w:themeColor="text1"/>
                <w:sz w:val="20"/>
                <w:szCs w:val="20"/>
                <w:u w:val="single"/>
                <w:lang w:val="en-US" w:eastAsia="zh-CN"/>
                <w14:textFill>
                  <w14:solidFill>
                    <w14:schemeClr w14:val="tx1"/>
                  </w14:solidFill>
                </w14:textFill>
              </w:rPr>
              <w:t>4-15</w:t>
            </w:r>
            <w:r>
              <w:rPr>
                <w:rFonts w:hint="default" w:ascii="Times New Roman" w:hAnsi="Times New Roman" w:eastAsia="黑体" w:cs="Times New Roman"/>
                <w:b w:val="0"/>
                <w:bCs/>
                <w:color w:val="000000" w:themeColor="text1"/>
                <w:sz w:val="20"/>
                <w:szCs w:val="20"/>
                <w:u w:val="single"/>
                <w14:textFill>
                  <w14:solidFill>
                    <w14:schemeClr w14:val="tx1"/>
                  </w14:solidFill>
                </w14:textFill>
              </w:rPr>
              <w:t xml:space="preserve"> 项目</w:t>
            </w:r>
            <w:r>
              <w:rPr>
                <w:rFonts w:hint="default" w:ascii="Times New Roman" w:hAnsi="Times New Roman" w:eastAsia="黑体" w:cs="Times New Roman"/>
                <w:b w:val="0"/>
                <w:bCs/>
                <w:color w:val="000000" w:themeColor="text1"/>
                <w:sz w:val="20"/>
                <w:szCs w:val="20"/>
                <w:u w:val="single"/>
                <w:lang w:val="en-US" w:eastAsia="zh-CN"/>
                <w14:textFill>
                  <w14:solidFill>
                    <w14:schemeClr w14:val="tx1"/>
                  </w14:solidFill>
                </w14:textFill>
              </w:rPr>
              <w:t>扩建前后“三本账”汇总一览表</w:t>
            </w:r>
          </w:p>
          <w:tbl>
            <w:tblPr>
              <w:tblStyle w:val="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257"/>
              <w:gridCol w:w="1186"/>
              <w:gridCol w:w="1186"/>
              <w:gridCol w:w="1186"/>
              <w:gridCol w:w="1341"/>
              <w:gridCol w:w="1031"/>
            </w:tblGrid>
            <w:tr w14:paraId="6A93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72FB0077">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污染种类</w:t>
                  </w:r>
                </w:p>
              </w:tc>
              <w:tc>
                <w:tcPr>
                  <w:tcW w:w="1257" w:type="dxa"/>
                  <w:vAlign w:val="center"/>
                </w:tcPr>
                <w:p w14:paraId="47FB82A5">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污染物名称</w:t>
                  </w:r>
                </w:p>
              </w:tc>
              <w:tc>
                <w:tcPr>
                  <w:tcW w:w="1186" w:type="dxa"/>
                  <w:vAlign w:val="center"/>
                </w:tcPr>
                <w:p w14:paraId="41114C0F">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扩建前项目排放量（固废产生量）（t/a）</w:t>
                  </w:r>
                </w:p>
              </w:tc>
              <w:tc>
                <w:tcPr>
                  <w:tcW w:w="1186" w:type="dxa"/>
                  <w:vAlign w:val="center"/>
                </w:tcPr>
                <w:p w14:paraId="30118C85">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扩建项目排放量（固废产生量）（t/a）</w:t>
                  </w:r>
                </w:p>
              </w:tc>
              <w:tc>
                <w:tcPr>
                  <w:tcW w:w="1186" w:type="dxa"/>
                  <w:vAlign w:val="center"/>
                </w:tcPr>
                <w:p w14:paraId="49632498">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以新带老削减量（t/a）</w:t>
                  </w:r>
                </w:p>
              </w:tc>
              <w:tc>
                <w:tcPr>
                  <w:tcW w:w="1341" w:type="dxa"/>
                  <w:vAlign w:val="center"/>
                </w:tcPr>
                <w:p w14:paraId="72F0DCF2">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扩建后全厂项目排放总量（固废产生量）（t/a）</w:t>
                  </w:r>
                </w:p>
              </w:tc>
              <w:tc>
                <w:tcPr>
                  <w:tcW w:w="1031" w:type="dxa"/>
                  <w:vAlign w:val="center"/>
                </w:tcPr>
                <w:p w14:paraId="725470D6">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排放增减量（t/a）</w:t>
                  </w:r>
                </w:p>
              </w:tc>
            </w:tr>
            <w:tr w14:paraId="4E73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3CC65E4B">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焊接烟尘</w:t>
                  </w:r>
                </w:p>
              </w:tc>
              <w:tc>
                <w:tcPr>
                  <w:tcW w:w="1257" w:type="dxa"/>
                  <w:vAlign w:val="center"/>
                </w:tcPr>
                <w:p w14:paraId="53F45932">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烟尘</w:t>
                  </w:r>
                </w:p>
              </w:tc>
              <w:tc>
                <w:tcPr>
                  <w:tcW w:w="1186" w:type="dxa"/>
                  <w:vAlign w:val="center"/>
                </w:tcPr>
                <w:p w14:paraId="1D1939DC">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0.35</w:t>
                  </w:r>
                </w:p>
              </w:tc>
              <w:tc>
                <w:tcPr>
                  <w:tcW w:w="1186" w:type="dxa"/>
                  <w:vAlign w:val="center"/>
                </w:tcPr>
                <w:p w14:paraId="72DD24D8">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34F8B814">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296B199E">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0.35</w:t>
                  </w:r>
                </w:p>
              </w:tc>
              <w:tc>
                <w:tcPr>
                  <w:tcW w:w="1031" w:type="dxa"/>
                  <w:vAlign w:val="center"/>
                </w:tcPr>
                <w:p w14:paraId="53E74056">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17C3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3538DB38">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食堂油烟</w:t>
                  </w:r>
                </w:p>
              </w:tc>
              <w:tc>
                <w:tcPr>
                  <w:tcW w:w="1257" w:type="dxa"/>
                  <w:vAlign w:val="center"/>
                </w:tcPr>
                <w:p w14:paraId="04D243B9">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油烟</w:t>
                  </w:r>
                </w:p>
              </w:tc>
              <w:tc>
                <w:tcPr>
                  <w:tcW w:w="1186" w:type="dxa"/>
                  <w:vAlign w:val="center"/>
                </w:tcPr>
                <w:p w14:paraId="76BF1AC3">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0.009</w:t>
                  </w:r>
                </w:p>
              </w:tc>
              <w:tc>
                <w:tcPr>
                  <w:tcW w:w="1186" w:type="dxa"/>
                  <w:vAlign w:val="center"/>
                </w:tcPr>
                <w:p w14:paraId="678007FD">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23E9CCAA">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6B64C51E">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0.009</w:t>
                  </w:r>
                </w:p>
              </w:tc>
              <w:tc>
                <w:tcPr>
                  <w:tcW w:w="1031" w:type="dxa"/>
                  <w:vAlign w:val="center"/>
                </w:tcPr>
                <w:p w14:paraId="11F42FA8">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445A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14" w:type="dxa"/>
                  <w:vMerge w:val="restart"/>
                  <w:vAlign w:val="center"/>
                </w:tcPr>
                <w:p w14:paraId="07500572">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调漆、上漆、晾干废气</w:t>
                  </w:r>
                </w:p>
              </w:tc>
              <w:tc>
                <w:tcPr>
                  <w:tcW w:w="1257" w:type="dxa"/>
                  <w:vAlign w:val="center"/>
                </w:tcPr>
                <w:p w14:paraId="7C65680C">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非甲烷总烃</w:t>
                  </w:r>
                </w:p>
              </w:tc>
              <w:tc>
                <w:tcPr>
                  <w:tcW w:w="1186" w:type="dxa"/>
                  <w:vAlign w:val="center"/>
                </w:tcPr>
                <w:p w14:paraId="22C92A54">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4E4F557E">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0.049</w:t>
                  </w:r>
                </w:p>
              </w:tc>
              <w:tc>
                <w:tcPr>
                  <w:tcW w:w="1186" w:type="dxa"/>
                  <w:vAlign w:val="center"/>
                </w:tcPr>
                <w:p w14:paraId="2A19C0DE">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540C48D7">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0.049</w:t>
                  </w:r>
                </w:p>
              </w:tc>
              <w:tc>
                <w:tcPr>
                  <w:tcW w:w="1031" w:type="dxa"/>
                  <w:vAlign w:val="center"/>
                </w:tcPr>
                <w:p w14:paraId="78BD8856">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+0.049</w:t>
                  </w:r>
                </w:p>
              </w:tc>
            </w:tr>
            <w:tr w14:paraId="1F0C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vAlign w:val="center"/>
                </w:tcPr>
                <w:p w14:paraId="7D1AA908">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715E2D28">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二甲苯</w:t>
                  </w:r>
                </w:p>
              </w:tc>
              <w:tc>
                <w:tcPr>
                  <w:tcW w:w="1186" w:type="dxa"/>
                  <w:vAlign w:val="center"/>
                </w:tcPr>
                <w:p w14:paraId="01F8748D">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6050ECEB">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0.063</w:t>
                  </w:r>
                </w:p>
              </w:tc>
              <w:tc>
                <w:tcPr>
                  <w:tcW w:w="1186" w:type="dxa"/>
                  <w:vAlign w:val="center"/>
                </w:tcPr>
                <w:p w14:paraId="5289E591">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439F778A">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0.063</w:t>
                  </w:r>
                </w:p>
              </w:tc>
              <w:tc>
                <w:tcPr>
                  <w:tcW w:w="1031" w:type="dxa"/>
                  <w:vAlign w:val="center"/>
                </w:tcPr>
                <w:p w14:paraId="28FAFF2F">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+0.063</w:t>
                  </w:r>
                </w:p>
              </w:tc>
            </w:tr>
            <w:tr w14:paraId="72A9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restart"/>
                  <w:vAlign w:val="center"/>
                </w:tcPr>
                <w:p w14:paraId="5065FBDA">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生活污水</w:t>
                  </w:r>
                </w:p>
              </w:tc>
              <w:tc>
                <w:tcPr>
                  <w:tcW w:w="1257" w:type="dxa"/>
                  <w:vAlign w:val="center"/>
                </w:tcPr>
                <w:p w14:paraId="0A11A8AE">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废水量</w:t>
                  </w:r>
                </w:p>
              </w:tc>
              <w:tc>
                <w:tcPr>
                  <w:tcW w:w="1186" w:type="dxa"/>
                  <w:vAlign w:val="center"/>
                </w:tcPr>
                <w:p w14:paraId="61877220">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6480</w:t>
                  </w:r>
                </w:p>
              </w:tc>
              <w:tc>
                <w:tcPr>
                  <w:tcW w:w="1186" w:type="dxa"/>
                  <w:vAlign w:val="center"/>
                </w:tcPr>
                <w:p w14:paraId="474AA080">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564A0DE2">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0700EB7F">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6480</w:t>
                  </w:r>
                </w:p>
              </w:tc>
              <w:tc>
                <w:tcPr>
                  <w:tcW w:w="1031" w:type="dxa"/>
                  <w:vAlign w:val="center"/>
                </w:tcPr>
                <w:p w14:paraId="252B5E54">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1761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vAlign w:val="center"/>
                </w:tcPr>
                <w:p w14:paraId="1EA8EF9E">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4C6CEA53">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SS</w:t>
                  </w:r>
                </w:p>
              </w:tc>
              <w:tc>
                <w:tcPr>
                  <w:tcW w:w="1186" w:type="dxa"/>
                  <w:vAlign w:val="center"/>
                </w:tcPr>
                <w:p w14:paraId="56ECFF73">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0.45</w:t>
                  </w:r>
                </w:p>
              </w:tc>
              <w:tc>
                <w:tcPr>
                  <w:tcW w:w="1186" w:type="dxa"/>
                  <w:vAlign w:val="center"/>
                </w:tcPr>
                <w:p w14:paraId="470CBBFB">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028E072E">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13A632FD">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0.45</w:t>
                  </w:r>
                </w:p>
              </w:tc>
              <w:tc>
                <w:tcPr>
                  <w:tcW w:w="1031" w:type="dxa"/>
                  <w:vAlign w:val="center"/>
                </w:tcPr>
                <w:p w14:paraId="7F311ABB">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6692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vAlign w:val="center"/>
                </w:tcPr>
                <w:p w14:paraId="12AB1189">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0E65E853">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CODcr</w:t>
                  </w:r>
                </w:p>
              </w:tc>
              <w:tc>
                <w:tcPr>
                  <w:tcW w:w="1186" w:type="dxa"/>
                  <w:vAlign w:val="center"/>
                </w:tcPr>
                <w:p w14:paraId="0F52F77F">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0.65</w:t>
                  </w:r>
                </w:p>
              </w:tc>
              <w:tc>
                <w:tcPr>
                  <w:tcW w:w="1186" w:type="dxa"/>
                  <w:vAlign w:val="center"/>
                </w:tcPr>
                <w:p w14:paraId="220CD0D8">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728F592E">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112E17D1">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0.65</w:t>
                  </w:r>
                </w:p>
              </w:tc>
              <w:tc>
                <w:tcPr>
                  <w:tcW w:w="1031" w:type="dxa"/>
                  <w:vAlign w:val="center"/>
                </w:tcPr>
                <w:p w14:paraId="77335764">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067B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vAlign w:val="center"/>
                </w:tcPr>
                <w:p w14:paraId="2114EC98">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5C287485">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BOD</w:t>
                  </w:r>
                  <w:r>
                    <w:rPr>
                      <w:rFonts w:hint="default" w:ascii="Times New Roman" w:hAnsi="Times New Roman" w:eastAsia="黑体" w:cs="Times New Roman"/>
                      <w:b w:val="0"/>
                      <w:bCs/>
                      <w:color w:val="000000" w:themeColor="text1"/>
                      <w:sz w:val="20"/>
                      <w:szCs w:val="20"/>
                      <w:u w:val="single"/>
                      <w:vertAlign w:val="subscript"/>
                      <w:lang w:val="en-US" w:eastAsia="zh-CN"/>
                      <w14:textFill>
                        <w14:solidFill>
                          <w14:schemeClr w14:val="tx1"/>
                        </w14:solidFill>
                      </w14:textFill>
                    </w:rPr>
                    <w:t>5</w:t>
                  </w:r>
                </w:p>
              </w:tc>
              <w:tc>
                <w:tcPr>
                  <w:tcW w:w="1186" w:type="dxa"/>
                  <w:vAlign w:val="center"/>
                </w:tcPr>
                <w:p w14:paraId="7AC54872">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w:t>
                  </w:r>
                </w:p>
              </w:tc>
              <w:tc>
                <w:tcPr>
                  <w:tcW w:w="1186" w:type="dxa"/>
                  <w:vAlign w:val="center"/>
                </w:tcPr>
                <w:p w14:paraId="575AC948">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1E652519">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77C51308">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w:t>
                  </w:r>
                </w:p>
              </w:tc>
              <w:tc>
                <w:tcPr>
                  <w:tcW w:w="1031" w:type="dxa"/>
                  <w:vAlign w:val="center"/>
                </w:tcPr>
                <w:p w14:paraId="032392A4">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3A4A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vAlign w:val="center"/>
                </w:tcPr>
                <w:p w14:paraId="5E8CEF52">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78CED509">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NH</w:t>
                  </w:r>
                  <w:r>
                    <w:rPr>
                      <w:rFonts w:hint="default" w:ascii="Times New Roman" w:hAnsi="Times New Roman" w:eastAsia="黑体" w:cs="Times New Roman"/>
                      <w:b w:val="0"/>
                      <w:bCs/>
                      <w:color w:val="000000" w:themeColor="text1"/>
                      <w:sz w:val="20"/>
                      <w:szCs w:val="20"/>
                      <w:u w:val="single"/>
                      <w:vertAlign w:val="subscript"/>
                      <w:lang w:val="en-US" w:eastAsia="zh-CN"/>
                      <w14:textFill>
                        <w14:solidFill>
                          <w14:schemeClr w14:val="tx1"/>
                        </w14:solidFill>
                      </w14:textFill>
                    </w:rPr>
                    <w:t>3</w:t>
                  </w: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-N</w:t>
                  </w:r>
                </w:p>
              </w:tc>
              <w:tc>
                <w:tcPr>
                  <w:tcW w:w="1186" w:type="dxa"/>
                  <w:vAlign w:val="center"/>
                </w:tcPr>
                <w:p w14:paraId="2B28899E">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w:t>
                  </w:r>
                </w:p>
              </w:tc>
              <w:tc>
                <w:tcPr>
                  <w:tcW w:w="1186" w:type="dxa"/>
                  <w:vAlign w:val="center"/>
                </w:tcPr>
                <w:p w14:paraId="14971C73">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32D1FF7D">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164EBDC7">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w:t>
                  </w:r>
                </w:p>
              </w:tc>
              <w:tc>
                <w:tcPr>
                  <w:tcW w:w="1031" w:type="dxa"/>
                  <w:vAlign w:val="center"/>
                </w:tcPr>
                <w:p w14:paraId="62827676">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67AF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2FB54FE7">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生活垃圾</w:t>
                  </w:r>
                </w:p>
              </w:tc>
              <w:tc>
                <w:tcPr>
                  <w:tcW w:w="1257" w:type="dxa"/>
                  <w:vAlign w:val="center"/>
                </w:tcPr>
                <w:p w14:paraId="1D23AD93">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生活垃圾</w:t>
                  </w:r>
                </w:p>
              </w:tc>
              <w:tc>
                <w:tcPr>
                  <w:tcW w:w="1186" w:type="dxa"/>
                  <w:vAlign w:val="center"/>
                </w:tcPr>
                <w:p w14:paraId="0A2B3B74">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26.4</w:t>
                  </w:r>
                </w:p>
              </w:tc>
              <w:tc>
                <w:tcPr>
                  <w:tcW w:w="1186" w:type="dxa"/>
                  <w:vAlign w:val="center"/>
                </w:tcPr>
                <w:p w14:paraId="021296B2">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5B243FD9">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04249590">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26.4</w:t>
                  </w:r>
                </w:p>
              </w:tc>
              <w:tc>
                <w:tcPr>
                  <w:tcW w:w="1031" w:type="dxa"/>
                  <w:vAlign w:val="center"/>
                </w:tcPr>
                <w:p w14:paraId="6B251E26">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75C8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76226C79">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一般工业固废</w:t>
                  </w:r>
                </w:p>
              </w:tc>
              <w:tc>
                <w:tcPr>
                  <w:tcW w:w="1257" w:type="dxa"/>
                  <w:vAlign w:val="center"/>
                </w:tcPr>
                <w:p w14:paraId="5F2EFD1A">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金属废料</w:t>
                  </w:r>
                </w:p>
              </w:tc>
              <w:tc>
                <w:tcPr>
                  <w:tcW w:w="1186" w:type="dxa"/>
                  <w:vAlign w:val="center"/>
                </w:tcPr>
                <w:p w14:paraId="1C87B6F9">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5</w:t>
                  </w:r>
                </w:p>
              </w:tc>
              <w:tc>
                <w:tcPr>
                  <w:tcW w:w="1186" w:type="dxa"/>
                  <w:vAlign w:val="center"/>
                </w:tcPr>
                <w:p w14:paraId="71F4DC28">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52101CBC">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396ECF48">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5</w:t>
                  </w:r>
                </w:p>
              </w:tc>
              <w:tc>
                <w:tcPr>
                  <w:tcW w:w="1031" w:type="dxa"/>
                  <w:vAlign w:val="center"/>
                </w:tcPr>
                <w:p w14:paraId="2C4897D5">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0D83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05AE6B92">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563F347F">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焊接残渣</w:t>
                  </w:r>
                </w:p>
              </w:tc>
              <w:tc>
                <w:tcPr>
                  <w:tcW w:w="1186" w:type="dxa"/>
                  <w:vAlign w:val="center"/>
                </w:tcPr>
                <w:p w14:paraId="2CA93ED5">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5</w:t>
                  </w:r>
                </w:p>
              </w:tc>
              <w:tc>
                <w:tcPr>
                  <w:tcW w:w="1186" w:type="dxa"/>
                  <w:vAlign w:val="center"/>
                </w:tcPr>
                <w:p w14:paraId="77F715B5">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440A0F1D">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0C941479">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5</w:t>
                  </w:r>
                </w:p>
              </w:tc>
              <w:tc>
                <w:tcPr>
                  <w:tcW w:w="1031" w:type="dxa"/>
                  <w:vAlign w:val="center"/>
                </w:tcPr>
                <w:p w14:paraId="1F972C7E">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0E5C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552131B6">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6F38525D">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废弃包装物</w:t>
                  </w:r>
                </w:p>
              </w:tc>
              <w:tc>
                <w:tcPr>
                  <w:tcW w:w="1186" w:type="dxa"/>
                  <w:vAlign w:val="center"/>
                </w:tcPr>
                <w:p w14:paraId="591218A1">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2</w:t>
                  </w:r>
                </w:p>
              </w:tc>
              <w:tc>
                <w:tcPr>
                  <w:tcW w:w="1186" w:type="dxa"/>
                  <w:vAlign w:val="center"/>
                </w:tcPr>
                <w:p w14:paraId="7F18060B">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072DC883">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3DC4B526">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2</w:t>
                  </w:r>
                </w:p>
              </w:tc>
              <w:tc>
                <w:tcPr>
                  <w:tcW w:w="1031" w:type="dxa"/>
                  <w:vAlign w:val="center"/>
                </w:tcPr>
                <w:p w14:paraId="7DA040F8">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713F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restart"/>
                  <w:vAlign w:val="center"/>
                </w:tcPr>
                <w:p w14:paraId="3F374B1F">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危险废物</w:t>
                  </w:r>
                </w:p>
              </w:tc>
              <w:tc>
                <w:tcPr>
                  <w:tcW w:w="1257" w:type="dxa"/>
                  <w:vAlign w:val="center"/>
                </w:tcPr>
                <w:p w14:paraId="48EB00A5">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废机油</w:t>
                  </w:r>
                </w:p>
              </w:tc>
              <w:tc>
                <w:tcPr>
                  <w:tcW w:w="1186" w:type="dxa"/>
                  <w:vAlign w:val="center"/>
                </w:tcPr>
                <w:p w14:paraId="113CC721">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0.5</w:t>
                  </w:r>
                </w:p>
              </w:tc>
              <w:tc>
                <w:tcPr>
                  <w:tcW w:w="1186" w:type="dxa"/>
                  <w:vAlign w:val="center"/>
                </w:tcPr>
                <w:p w14:paraId="4AF374C3">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5209345A">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43E76C06">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0.5</w:t>
                  </w:r>
                </w:p>
              </w:tc>
              <w:tc>
                <w:tcPr>
                  <w:tcW w:w="1031" w:type="dxa"/>
                  <w:vAlign w:val="center"/>
                </w:tcPr>
                <w:p w14:paraId="26343781">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6C6C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vAlign w:val="center"/>
                </w:tcPr>
                <w:p w14:paraId="3E5CB97E">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7761B02D">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废乳化液含油废棉纱、废油布</w:t>
                  </w:r>
                </w:p>
              </w:tc>
              <w:tc>
                <w:tcPr>
                  <w:tcW w:w="1186" w:type="dxa"/>
                  <w:vAlign w:val="center"/>
                </w:tcPr>
                <w:p w14:paraId="3EE19ECC">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w:t>
                  </w:r>
                </w:p>
              </w:tc>
              <w:tc>
                <w:tcPr>
                  <w:tcW w:w="1186" w:type="dxa"/>
                  <w:vAlign w:val="center"/>
                </w:tcPr>
                <w:p w14:paraId="7294FF47">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7D1CB88A">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2BEAE99D">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w:t>
                  </w:r>
                </w:p>
              </w:tc>
              <w:tc>
                <w:tcPr>
                  <w:tcW w:w="1031" w:type="dxa"/>
                  <w:vAlign w:val="center"/>
                </w:tcPr>
                <w:p w14:paraId="0183B009">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r>
            <w:tr w14:paraId="6AF3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vAlign w:val="center"/>
                </w:tcPr>
                <w:p w14:paraId="57C03D3F">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566F3A92">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废溶剂桶</w:t>
                  </w:r>
                </w:p>
              </w:tc>
              <w:tc>
                <w:tcPr>
                  <w:tcW w:w="1186" w:type="dxa"/>
                  <w:vAlign w:val="center"/>
                </w:tcPr>
                <w:p w14:paraId="03DECB69">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788A7FB5">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0.15</w:t>
                  </w:r>
                </w:p>
              </w:tc>
              <w:tc>
                <w:tcPr>
                  <w:tcW w:w="1186" w:type="dxa"/>
                  <w:vAlign w:val="center"/>
                </w:tcPr>
                <w:p w14:paraId="2E074526">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2D7A9ECD">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0.15</w:t>
                  </w:r>
                </w:p>
              </w:tc>
              <w:tc>
                <w:tcPr>
                  <w:tcW w:w="1031" w:type="dxa"/>
                  <w:vAlign w:val="center"/>
                </w:tcPr>
                <w:p w14:paraId="36D51897">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+0.15</w:t>
                  </w:r>
                </w:p>
              </w:tc>
            </w:tr>
            <w:tr w14:paraId="5262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vAlign w:val="center"/>
                </w:tcPr>
                <w:p w14:paraId="5A0F9315">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p>
              </w:tc>
              <w:tc>
                <w:tcPr>
                  <w:tcW w:w="1257" w:type="dxa"/>
                  <w:vAlign w:val="center"/>
                </w:tcPr>
                <w:p w14:paraId="186D07F8">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废活性炭</w:t>
                  </w:r>
                </w:p>
              </w:tc>
              <w:tc>
                <w:tcPr>
                  <w:tcW w:w="1186" w:type="dxa"/>
                  <w:vAlign w:val="center"/>
                </w:tcPr>
                <w:p w14:paraId="6F91077C">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186" w:type="dxa"/>
                  <w:vAlign w:val="center"/>
                </w:tcPr>
                <w:p w14:paraId="163F9C16">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2.067</w:t>
                  </w:r>
                </w:p>
              </w:tc>
              <w:tc>
                <w:tcPr>
                  <w:tcW w:w="1186" w:type="dxa"/>
                  <w:vAlign w:val="center"/>
                </w:tcPr>
                <w:p w14:paraId="2402CA29">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0</w:t>
                  </w:r>
                </w:p>
              </w:tc>
              <w:tc>
                <w:tcPr>
                  <w:tcW w:w="1341" w:type="dxa"/>
                  <w:vAlign w:val="center"/>
                </w:tcPr>
                <w:p w14:paraId="30C93526">
                  <w:pPr>
                    <w:spacing w:line="240" w:lineRule="auto"/>
                    <w:ind w:firstLine="0" w:firstLineChars="0"/>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2.067</w:t>
                  </w:r>
                </w:p>
              </w:tc>
              <w:tc>
                <w:tcPr>
                  <w:tcW w:w="1031" w:type="dxa"/>
                  <w:vAlign w:val="center"/>
                </w:tcPr>
                <w:p w14:paraId="1FF7E96A">
                  <w:pPr>
                    <w:spacing w:line="240" w:lineRule="auto"/>
                    <w:jc w:val="cente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vertAlign w:val="baseline"/>
                      <w:lang w:val="en-US" w:eastAsia="zh-CN"/>
                      <w14:textFill>
                        <w14:solidFill>
                          <w14:schemeClr w14:val="tx1"/>
                        </w14:solidFill>
                      </w14:textFill>
                    </w:rPr>
                    <w:t>+2.067</w:t>
                  </w:r>
                </w:p>
              </w:tc>
            </w:tr>
          </w:tbl>
          <w:p w14:paraId="00FB0B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Cs/>
                <w:color w:val="000000" w:themeColor="text1"/>
                <w:spacing w:val="-10"/>
                <w:sz w:val="24"/>
                <w:u w:val="single"/>
                <w:lang w:val="en-US" w:eastAsia="zh-CN"/>
                <w14:textFill>
                  <w14:solidFill>
                    <w14:schemeClr w14:val="tx1"/>
                  </w14:solidFill>
                </w14:textFill>
              </w:rPr>
            </w:pPr>
            <w:r>
              <w:rPr>
                <w:sz w:val="24"/>
              </w:rPr>
              <mc:AlternateContent>
                <mc:Choice Requires="wps">
                  <w:drawing>
                    <wp:anchor distT="0" distB="0" distL="114300" distR="114300" simplePos="0" relativeHeight="251671552" behindDoc="0" locked="0" layoutInCell="1" allowOverlap="1">
                      <wp:simplePos x="0" y="0"/>
                      <wp:positionH relativeFrom="column">
                        <wp:posOffset>133350</wp:posOffset>
                      </wp:positionH>
                      <wp:positionV relativeFrom="paragraph">
                        <wp:posOffset>44450</wp:posOffset>
                      </wp:positionV>
                      <wp:extent cx="5000625" cy="6405880"/>
                      <wp:effectExtent l="6350" t="6350" r="22225" b="7620"/>
                      <wp:wrapNone/>
                      <wp:docPr id="83" name="矩形 83"/>
                      <wp:cNvGraphicFramePr/>
                      <a:graphic xmlns:a="http://schemas.openxmlformats.org/drawingml/2006/main">
                        <a:graphicData uri="http://schemas.microsoft.com/office/word/2010/wordprocessingShape">
                          <wps:wsp>
                            <wps:cNvSpPr/>
                            <wps:spPr>
                              <a:xfrm>
                                <a:off x="1452880" y="2594610"/>
                                <a:ext cx="5000625" cy="6405880"/>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3.5pt;height:504.4pt;width:393.75pt;z-index:251671552;v-text-anchor:middle;mso-width-relative:page;mso-height-relative:page;" fillcolor="#000000 [3213]" filled="t" stroked="t" coordsize="21600,21600" o:gfxdata="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S1s8PXAAAACQEA&#10;AA8AAAAAAAAAAQAgAAAAIgAAAGRycy9kb3ducmV2LnhtbFBLAQIUABQAAAAIAIdO4kAmOsOojQIA&#10;ACUFAAAOAAAAAAAAAAEAIAAAACYBAABkcnMvZTJvRG9jLnhtbFBLBQYAAAAABgAGAFkBAAAlBgAA&#10;AAA=&#10;">
                      <v:fill on="t" focussize="0,0"/>
                      <v:stroke weight="1pt" color="#2E54A1 [2404]" miterlimit="8" joinstyle="miter"/>
                      <v:imagedata o:title=""/>
                      <o:lock v:ext="edit" aspectratio="f"/>
                    </v:rect>
                  </w:pict>
                </mc:Fallback>
              </mc:AlternateContent>
            </w:r>
            <w:r>
              <w:rPr>
                <w:rFonts w:hint="eastAsia" w:ascii="Times New Roman" w:hAnsi="Times New Roman" w:eastAsia="黑体" w:cs="Times New Roman"/>
                <w:bCs/>
                <w:color w:val="000000" w:themeColor="text1"/>
                <w:spacing w:val="-10"/>
                <w:sz w:val="24"/>
                <w:u w:val="single"/>
                <w:lang w:val="en-US" w:eastAsia="zh-CN"/>
                <w14:textFill>
                  <w14:solidFill>
                    <w14:schemeClr w14:val="tx1"/>
                  </w14:solidFill>
                </w14:textFill>
              </w:rPr>
              <w:t>5.2</w:t>
            </w:r>
            <w:r>
              <w:rPr>
                <w:rFonts w:hint="default" w:ascii="Times New Roman" w:hAnsi="Times New Roman" w:eastAsia="黑体" w:cs="Times New Roman"/>
                <w:bCs/>
                <w:color w:val="000000" w:themeColor="text1"/>
                <w:spacing w:val="-10"/>
                <w:sz w:val="24"/>
                <w:u w:val="single"/>
                <w:lang w:val="en-US" w:eastAsia="zh-CN"/>
                <w14:textFill>
                  <w14:solidFill>
                    <w14:schemeClr w14:val="tx1"/>
                  </w14:solidFill>
                </w14:textFill>
              </w:rPr>
              <w:t>项目</w:t>
            </w:r>
            <w:r>
              <w:rPr>
                <w:rFonts w:hint="eastAsia" w:ascii="Times New Roman" w:hAnsi="Times New Roman" w:eastAsia="黑体" w:cs="Times New Roman"/>
                <w:bCs/>
                <w:color w:val="000000" w:themeColor="text1"/>
                <w:spacing w:val="-10"/>
                <w:sz w:val="24"/>
                <w:u w:val="single"/>
                <w:lang w:val="en-US" w:eastAsia="zh-CN"/>
                <w14:textFill>
                  <w14:solidFill>
                    <w14:schemeClr w14:val="tx1"/>
                  </w14:solidFill>
                </w14:textFill>
              </w:rPr>
              <w:t>环境监测计划</w:t>
            </w:r>
            <w:r>
              <w:rPr>
                <w:rFonts w:hint="default" w:ascii="Times New Roman" w:hAnsi="Times New Roman" w:eastAsia="黑体" w:cs="Times New Roman"/>
                <w:bCs/>
                <w:color w:val="000000" w:themeColor="text1"/>
                <w:spacing w:val="-10"/>
                <w:sz w:val="24"/>
                <w:u w:val="single"/>
                <w:lang w:val="en-US" w:eastAsia="zh-CN"/>
                <w14:textFill>
                  <w14:solidFill>
                    <w14:schemeClr w14:val="tx1"/>
                  </w14:solidFill>
                </w14:textFill>
              </w:rPr>
              <w:t>汇总</w:t>
            </w:r>
          </w:p>
          <w:p w14:paraId="41A106B2">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黑体" w:cs="Times New Roman"/>
                <w:b w:val="0"/>
                <w:bCs/>
                <w:color w:val="000000" w:themeColor="text1"/>
                <w:sz w:val="20"/>
                <w:szCs w:val="20"/>
                <w:u w:val="single"/>
                <w14:textFill>
                  <w14:solidFill>
                    <w14:schemeClr w14:val="tx1"/>
                  </w14:solidFill>
                </w14:textFill>
              </w:rPr>
            </w:pPr>
            <w:r>
              <w:rPr>
                <w:rFonts w:hint="default" w:ascii="Times New Roman" w:hAnsi="Times New Roman" w:eastAsia="宋体" w:cs="Times New Roman"/>
                <w:bCs/>
                <w:color w:val="000000" w:themeColor="text1"/>
                <w:spacing w:val="-10"/>
                <w:sz w:val="24"/>
                <w:u w:val="single"/>
                <w:lang w:val="en-US" w:eastAsia="zh-CN"/>
                <w14:textFill>
                  <w14:solidFill>
                    <w14:schemeClr w14:val="tx1"/>
                  </w14:solidFill>
                </w14:textFill>
              </w:rPr>
              <w:t>项目</w:t>
            </w:r>
            <w:r>
              <w:rPr>
                <w:rFonts w:hint="eastAsia" w:ascii="Times New Roman" w:hAnsi="Times New Roman" w:eastAsia="宋体" w:cs="Times New Roman"/>
                <w:bCs/>
                <w:color w:val="000000" w:themeColor="text1"/>
                <w:spacing w:val="-10"/>
                <w:sz w:val="24"/>
                <w:u w:val="single"/>
                <w:lang w:val="en-US" w:eastAsia="zh-CN"/>
                <w14:textFill>
                  <w14:solidFill>
                    <w14:schemeClr w14:val="tx1"/>
                  </w14:solidFill>
                </w14:textFill>
              </w:rPr>
              <w:t>环境监测计划</w:t>
            </w:r>
            <w:r>
              <w:rPr>
                <w:rFonts w:hint="default" w:ascii="Times New Roman" w:hAnsi="Times New Roman" w:eastAsia="宋体" w:cs="Times New Roman"/>
                <w:bCs/>
                <w:color w:val="000000" w:themeColor="text1"/>
                <w:spacing w:val="-10"/>
                <w:sz w:val="24"/>
                <w:u w:val="single"/>
                <w:lang w:val="en-US" w:eastAsia="zh-CN"/>
                <w14:textFill>
                  <w14:solidFill>
                    <w14:schemeClr w14:val="tx1"/>
                  </w14:solidFill>
                </w14:textFill>
              </w:rPr>
              <w:t>汇总详见下表4-1</w:t>
            </w:r>
            <w:r>
              <w:rPr>
                <w:rFonts w:hint="eastAsia" w:ascii="Times New Roman" w:hAnsi="Times New Roman" w:eastAsia="宋体" w:cs="Times New Roman"/>
                <w:bCs/>
                <w:color w:val="000000" w:themeColor="text1"/>
                <w:spacing w:val="-10"/>
                <w:sz w:val="24"/>
                <w:u w:val="single"/>
                <w:lang w:val="en-US" w:eastAsia="zh-CN"/>
                <w14:textFill>
                  <w14:solidFill>
                    <w14:schemeClr w14:val="tx1"/>
                  </w14:solidFill>
                </w14:textFill>
              </w:rPr>
              <w:t>6</w:t>
            </w:r>
            <w:r>
              <w:rPr>
                <w:rFonts w:hint="default" w:ascii="Times New Roman" w:hAnsi="Times New Roman" w:eastAsia="宋体" w:cs="Times New Roman"/>
                <w:bCs/>
                <w:color w:val="000000" w:themeColor="text1"/>
                <w:spacing w:val="-10"/>
                <w:sz w:val="24"/>
                <w:u w:val="single"/>
                <w:lang w:val="en-US" w:eastAsia="zh-CN"/>
                <w14:textFill>
                  <w14:solidFill>
                    <w14:schemeClr w14:val="tx1"/>
                  </w14:solidFill>
                </w14:textFill>
              </w:rPr>
              <w:t>。</w:t>
            </w:r>
          </w:p>
          <w:p w14:paraId="16A19D25">
            <w:pPr>
              <w:spacing w:line="360" w:lineRule="auto"/>
              <w:jc w:val="center"/>
              <w:rPr>
                <w:rFonts w:hint="eastAsia" w:ascii="Times New Roman" w:hAnsi="Times New Roman" w:eastAsia="黑体" w:cs="Times New Roman"/>
                <w:b w:val="0"/>
                <w:bCs/>
                <w:color w:val="000000" w:themeColor="text1"/>
                <w:sz w:val="20"/>
                <w:szCs w:val="20"/>
                <w:u w:val="singl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0"/>
                <w:szCs w:val="20"/>
                <w:u w:val="single"/>
                <w14:textFill>
                  <w14:solidFill>
                    <w14:schemeClr w14:val="tx1"/>
                  </w14:solidFill>
                </w14:textFill>
              </w:rPr>
              <w:t>表</w:t>
            </w:r>
            <w:r>
              <w:rPr>
                <w:rFonts w:hint="eastAsia" w:ascii="Times New Roman" w:hAnsi="Times New Roman" w:eastAsia="黑体" w:cs="Times New Roman"/>
                <w:b w:val="0"/>
                <w:bCs/>
                <w:color w:val="000000" w:themeColor="text1"/>
                <w:sz w:val="20"/>
                <w:szCs w:val="20"/>
                <w:u w:val="single"/>
                <w:lang w:val="en-US" w:eastAsia="zh-CN"/>
                <w14:textFill>
                  <w14:solidFill>
                    <w14:schemeClr w14:val="tx1"/>
                  </w14:solidFill>
                </w14:textFill>
              </w:rPr>
              <w:t>4-16</w:t>
            </w:r>
            <w:r>
              <w:rPr>
                <w:rFonts w:hint="default" w:ascii="Times New Roman" w:hAnsi="Times New Roman" w:eastAsia="黑体" w:cs="Times New Roman"/>
                <w:b w:val="0"/>
                <w:bCs/>
                <w:color w:val="000000" w:themeColor="text1"/>
                <w:sz w:val="20"/>
                <w:szCs w:val="20"/>
                <w:u w:val="single"/>
                <w14:textFill>
                  <w14:solidFill>
                    <w14:schemeClr w14:val="tx1"/>
                  </w14:solidFill>
                </w14:textFill>
              </w:rPr>
              <w:t xml:space="preserve"> 项目</w:t>
            </w:r>
            <w:r>
              <w:rPr>
                <w:rFonts w:hint="eastAsia" w:ascii="Times New Roman" w:hAnsi="Times New Roman" w:eastAsia="黑体" w:cs="Times New Roman"/>
                <w:b w:val="0"/>
                <w:bCs/>
                <w:color w:val="000000" w:themeColor="text1"/>
                <w:sz w:val="20"/>
                <w:szCs w:val="20"/>
                <w:u w:val="single"/>
                <w:lang w:val="en-US" w:eastAsia="zh-CN"/>
                <w14:textFill>
                  <w14:solidFill>
                    <w14:schemeClr w14:val="tx1"/>
                  </w14:solidFill>
                </w14:textFill>
              </w:rPr>
              <w:t>环境监测计划汇总一览表</w:t>
            </w:r>
          </w:p>
          <w:tbl>
            <w:tblPr>
              <w:tblStyle w:val="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764"/>
              <w:gridCol w:w="2052"/>
              <w:gridCol w:w="1200"/>
              <w:gridCol w:w="2403"/>
            </w:tblGrid>
            <w:tr w14:paraId="5E10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23ED0145">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t>类别</w:t>
                  </w:r>
                </w:p>
              </w:tc>
              <w:tc>
                <w:tcPr>
                  <w:tcW w:w="1764" w:type="dxa"/>
                  <w:vAlign w:val="center"/>
                </w:tcPr>
                <w:p w14:paraId="318E31A5">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t>监测点位</w:t>
                  </w:r>
                </w:p>
              </w:tc>
              <w:tc>
                <w:tcPr>
                  <w:tcW w:w="2052" w:type="dxa"/>
                  <w:vAlign w:val="center"/>
                </w:tcPr>
                <w:p w14:paraId="5B7BF22F">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t>监测指标</w:t>
                  </w:r>
                </w:p>
              </w:tc>
              <w:tc>
                <w:tcPr>
                  <w:tcW w:w="1200" w:type="dxa"/>
                  <w:vAlign w:val="center"/>
                </w:tcPr>
                <w:p w14:paraId="36F4570E">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t>监测频次</w:t>
                  </w:r>
                </w:p>
              </w:tc>
              <w:tc>
                <w:tcPr>
                  <w:tcW w:w="2403" w:type="dxa"/>
                  <w:vAlign w:val="center"/>
                </w:tcPr>
                <w:p w14:paraId="785813B0">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t>执行标准</w:t>
                  </w:r>
                </w:p>
              </w:tc>
            </w:tr>
            <w:tr w14:paraId="4426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447B34D1">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t>有组织废气</w:t>
                  </w:r>
                </w:p>
              </w:tc>
              <w:tc>
                <w:tcPr>
                  <w:tcW w:w="1764" w:type="dxa"/>
                  <w:vAlign w:val="center"/>
                </w:tcPr>
                <w:p w14:paraId="7375B7F9">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DA001</w:t>
                  </w:r>
                </w:p>
                <w:p w14:paraId="623E612B">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废气排放口</w:t>
                  </w:r>
                </w:p>
              </w:tc>
              <w:tc>
                <w:tcPr>
                  <w:tcW w:w="2052" w:type="dxa"/>
                  <w:vAlign w:val="center"/>
                </w:tcPr>
                <w:p w14:paraId="6FF06D8C">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二甲苯、非甲烷总烃</w:t>
                  </w:r>
                </w:p>
              </w:tc>
              <w:tc>
                <w:tcPr>
                  <w:tcW w:w="1200" w:type="dxa"/>
                  <w:vAlign w:val="center"/>
                </w:tcPr>
                <w:p w14:paraId="0033F280">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1次/年</w:t>
                  </w:r>
                </w:p>
              </w:tc>
              <w:tc>
                <w:tcPr>
                  <w:tcW w:w="2403" w:type="dxa"/>
                  <w:vAlign w:val="center"/>
                </w:tcPr>
                <w:p w14:paraId="1C94E02C">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《表面涂装（汽车制造及维修）挥发性有机物、镍排放标准》（DB43/1356-2017）表1中标准限值</w:t>
                  </w:r>
                </w:p>
              </w:tc>
            </w:tr>
            <w:tr w14:paraId="6B04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restart"/>
                  <w:vAlign w:val="center"/>
                </w:tcPr>
                <w:p w14:paraId="5B119C91">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t>无组织废气</w:t>
                  </w:r>
                </w:p>
              </w:tc>
              <w:tc>
                <w:tcPr>
                  <w:tcW w:w="1764" w:type="dxa"/>
                  <w:vAlign w:val="center"/>
                </w:tcPr>
                <w:p w14:paraId="284AA5B4">
                  <w:pPr>
                    <w:spacing w:line="240" w:lineRule="auto"/>
                    <w:jc w:val="cente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厂界</w:t>
                  </w:r>
                </w:p>
                <w:p w14:paraId="17A43A5F">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（上风向设1个参照点，下风向设3个监控点）</w:t>
                  </w:r>
                </w:p>
              </w:tc>
              <w:tc>
                <w:tcPr>
                  <w:tcW w:w="2052" w:type="dxa"/>
                  <w:vAlign w:val="center"/>
                </w:tcPr>
                <w:p w14:paraId="791790BB">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二甲苯、非甲烷总烃</w:t>
                  </w:r>
                </w:p>
              </w:tc>
              <w:tc>
                <w:tcPr>
                  <w:tcW w:w="1200" w:type="dxa"/>
                  <w:vAlign w:val="center"/>
                </w:tcPr>
                <w:p w14:paraId="12F152D9">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1次/年</w:t>
                  </w:r>
                </w:p>
              </w:tc>
              <w:tc>
                <w:tcPr>
                  <w:tcW w:w="2403" w:type="dxa"/>
                  <w:vAlign w:val="center"/>
                </w:tcPr>
                <w:p w14:paraId="3B644FBD">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《大气污染物排放综合排放标准》（GB16297-1996）表2中无组织排放浓度监控限值</w:t>
                  </w:r>
                </w:p>
              </w:tc>
            </w:tr>
            <w:tr w14:paraId="64C2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vAlign w:val="center"/>
                </w:tcPr>
                <w:p w14:paraId="2138DC39">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p>
              </w:tc>
              <w:tc>
                <w:tcPr>
                  <w:tcW w:w="1764" w:type="dxa"/>
                  <w:vAlign w:val="center"/>
                </w:tcPr>
                <w:p w14:paraId="27BEE1A5">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厂区内</w:t>
                  </w:r>
                </w:p>
              </w:tc>
              <w:tc>
                <w:tcPr>
                  <w:tcW w:w="2052" w:type="dxa"/>
                  <w:vAlign w:val="center"/>
                </w:tcPr>
                <w:p w14:paraId="5F762105">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非甲烷总烃</w:t>
                  </w:r>
                </w:p>
              </w:tc>
              <w:tc>
                <w:tcPr>
                  <w:tcW w:w="1200" w:type="dxa"/>
                  <w:vAlign w:val="center"/>
                </w:tcPr>
                <w:p w14:paraId="584ED6C8">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1次/年</w:t>
                  </w:r>
                </w:p>
              </w:tc>
              <w:tc>
                <w:tcPr>
                  <w:tcW w:w="2403" w:type="dxa"/>
                  <w:vAlign w:val="center"/>
                </w:tcPr>
                <w:p w14:paraId="0080CCE3">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厂区内非甲烷总烃无组织排放执行《挥发性有机物无组织排放控制标准》（GB37822-2019）附录A中“厂区内NMHC无组织排放限值”</w:t>
                  </w:r>
                </w:p>
              </w:tc>
            </w:tr>
            <w:tr w14:paraId="6DEC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3955351A">
                  <w:pPr>
                    <w:spacing w:line="240" w:lineRule="auto"/>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t>噪声</w:t>
                  </w:r>
                </w:p>
              </w:tc>
              <w:tc>
                <w:tcPr>
                  <w:tcW w:w="1764" w:type="dxa"/>
                  <w:vAlign w:val="center"/>
                </w:tcPr>
                <w:p w14:paraId="307D3925">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各厂界1m处布设1个监测点</w:t>
                  </w:r>
                </w:p>
              </w:tc>
              <w:tc>
                <w:tcPr>
                  <w:tcW w:w="2052" w:type="dxa"/>
                  <w:vAlign w:val="center"/>
                </w:tcPr>
                <w:p w14:paraId="09471716">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昼间噪声</w:t>
                  </w:r>
                </w:p>
              </w:tc>
              <w:tc>
                <w:tcPr>
                  <w:tcW w:w="1200" w:type="dxa"/>
                  <w:vAlign w:val="center"/>
                </w:tcPr>
                <w:p w14:paraId="37D10496">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1次/季度</w:t>
                  </w:r>
                </w:p>
              </w:tc>
              <w:tc>
                <w:tcPr>
                  <w:tcW w:w="2403" w:type="dxa"/>
                  <w:vAlign w:val="center"/>
                </w:tcPr>
                <w:p w14:paraId="16393188">
                  <w:pPr>
                    <w:spacing w:line="240" w:lineRule="auto"/>
                    <w:ind w:firstLine="0" w:firstLineChars="0"/>
                    <w:jc w:val="center"/>
                    <w:rPr>
                      <w:rFonts w:hint="default" w:ascii="Times New Roman" w:hAnsi="Times New Roman" w:eastAsia="黑体" w:cs="Times New Roman"/>
                      <w:bCs/>
                      <w:color w:val="000000" w:themeColor="text1"/>
                      <w:spacing w:val="-10"/>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《工业企业厂界环境噪声排放标准》（GB12348-2008）3类标准</w:t>
                  </w:r>
                </w:p>
              </w:tc>
            </w:tr>
          </w:tbl>
          <w:p w14:paraId="27C19916">
            <w:pPr>
              <w:spacing w:line="360" w:lineRule="auto"/>
              <w:ind w:firstLine="480" w:firstLineChars="200"/>
              <w:rPr>
                <w:rFonts w:hint="eastAsia" w:ascii="黑体" w:hAnsi="黑体" w:eastAsia="黑体" w:cs="黑体"/>
                <w:b w:val="0"/>
                <w:bCs w:val="0"/>
                <w:color w:val="000000" w:themeColor="text1"/>
                <w:sz w:val="24"/>
                <w:szCs w:val="22"/>
                <w14:textFill>
                  <w14:solidFill>
                    <w14:schemeClr w14:val="tx1"/>
                  </w14:solidFill>
                </w14:textFill>
              </w:rPr>
            </w:pPr>
            <w:r>
              <w:rPr>
                <w:rFonts w:hint="eastAsia" w:eastAsia="黑体" w:cs="Times New Roman"/>
                <w:b w:val="0"/>
                <w:bCs w:val="0"/>
                <w:color w:val="000000" w:themeColor="text1"/>
                <w:sz w:val="24"/>
                <w:szCs w:val="24"/>
                <w:lang w:val="en-US" w:eastAsia="zh-CN"/>
                <w14:textFill>
                  <w14:solidFill>
                    <w14:schemeClr w14:val="tx1"/>
                  </w14:solidFill>
                </w14:textFill>
              </w:rPr>
              <w:t>6</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w:t>
            </w:r>
            <w:r>
              <w:rPr>
                <w:rFonts w:hint="eastAsia" w:ascii="黑体" w:hAnsi="黑体" w:eastAsia="黑体" w:cs="黑体"/>
                <w:b w:val="0"/>
                <w:bCs w:val="0"/>
                <w:color w:val="000000" w:themeColor="text1"/>
                <w:sz w:val="24"/>
                <w:szCs w:val="22"/>
                <w:lang w:val="en-US" w:eastAsia="zh-CN"/>
                <w14:textFill>
                  <w14:solidFill>
                    <w14:schemeClr w14:val="tx1"/>
                  </w14:solidFill>
                </w14:textFill>
              </w:rPr>
              <w:t>土壤及地下水污染防治措施</w:t>
            </w:r>
          </w:p>
          <w:p w14:paraId="2438D31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eastAsia="黑体"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lang w:val="en-US" w:eastAsia="zh-CN"/>
                <w14:textFill>
                  <w14:solidFill>
                    <w14:schemeClr w14:val="tx1"/>
                  </w14:solidFill>
                </w14:textFill>
              </w:rPr>
              <w:t>.1环境影响分析及评价</w:t>
            </w:r>
          </w:p>
          <w:p w14:paraId="2E1C0F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根据场地实际勘察，建设项目用地范围已全部硬底化，不具备风险物质泄漏的土壤污染传播途径，本项目建设运营期间可能迁移进入地下水、土壤环境的影响主要为大气沉降影响。</w:t>
            </w:r>
          </w:p>
          <w:p w14:paraId="3126D7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eastAsia="黑体"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lang w:val="en-US" w:eastAsia="zh-CN"/>
                <w14:textFill>
                  <w14:solidFill>
                    <w14:schemeClr w14:val="tx1"/>
                  </w14:solidFill>
                </w14:textFill>
              </w:rPr>
              <w:t>.2环境污染防控措施</w:t>
            </w:r>
          </w:p>
          <w:p w14:paraId="1926607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项目建设运营期间可能迁移进入地下水、土壤环境的影响主要为大气沉降影响，针对上述迁移方式，本项目源头控制和过程防控措施主要为：配套建设污染处理设施并保持正常运转，定期巡查生产及环境保护设施设备的运行情况，确保各类污染物达标排放，防止产生的废气、固废等对土壤及地下水造成污染和危害；实行分区防控，项目防渗分区分为重点防渗区、一般防渗区和简易防渗区，各区地面的防腐防渗层需定期检查修复。项目分区防渗设计</w:t>
            </w:r>
            <w:r>
              <w:rPr>
                <w:rFonts w:hint="eastAsia"/>
                <w:color w:val="000000" w:themeColor="text1"/>
                <w:lang w:eastAsia="zh-CN"/>
                <w14:textFill>
                  <w14:solidFill>
                    <w14:schemeClr w14:val="tx1"/>
                  </w14:solidFill>
                </w14:textFill>
              </w:rPr>
              <w:t>参数</w:t>
            </w:r>
            <w:r>
              <w:rPr>
                <w:rFonts w:hint="eastAsia"/>
                <w:color w:val="000000" w:themeColor="text1"/>
                <w14:textFill>
                  <w14:solidFill>
                    <w14:schemeClr w14:val="tx1"/>
                  </w14:solidFill>
                </w14:textFill>
              </w:rPr>
              <w:t>详见</w:t>
            </w:r>
            <w:r>
              <w:rPr>
                <w:rFonts w:hint="eastAsia"/>
                <w:color w:val="000000" w:themeColor="text1"/>
                <w:lang w:eastAsia="zh-CN"/>
                <w14:textFill>
                  <w14:solidFill>
                    <w14:schemeClr w14:val="tx1"/>
                  </w14:solidFill>
                </w14:textFill>
              </w:rPr>
              <w:t>下</w:t>
            </w: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4-17</w:t>
            </w:r>
            <w:r>
              <w:rPr>
                <w:rFonts w:hint="eastAsia"/>
                <w:color w:val="000000" w:themeColor="text1"/>
                <w14:textFill>
                  <w14:solidFill>
                    <w14:schemeClr w14:val="tx1"/>
                  </w14:solidFill>
                </w14:textFill>
              </w:rPr>
              <w:t>。</w:t>
            </w:r>
          </w:p>
          <w:p w14:paraId="64797FD7">
            <w:pPr>
              <w:bidi w:val="0"/>
              <w:spacing w:line="36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表4-</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7</w:t>
            </w:r>
            <w:r>
              <w:rPr>
                <w:rFonts w:hint="default" w:ascii="Times New Roman" w:hAnsi="Times New Roman" w:eastAsia="黑体" w:cs="Times New Roman"/>
                <w:color w:val="000000" w:themeColor="text1"/>
                <w:sz w:val="21"/>
                <w:szCs w:val="21"/>
                <w14:textFill>
                  <w14:solidFill>
                    <w14:schemeClr w14:val="tx1"/>
                  </w14:solidFill>
                </w14:textFill>
              </w:rPr>
              <w:t xml:space="preserve"> 项目污染防治区防渗设计</w:t>
            </w:r>
            <w:r>
              <w:rPr>
                <w:rFonts w:hint="default" w:ascii="Times New Roman" w:hAnsi="Times New Roman" w:eastAsia="黑体" w:cs="Times New Roman"/>
                <w:color w:val="000000" w:themeColor="text1"/>
                <w:sz w:val="21"/>
                <w:szCs w:val="21"/>
                <w:lang w:eastAsia="zh-CN"/>
                <w14:textFill>
                  <w14:solidFill>
                    <w14:schemeClr w14:val="tx1"/>
                  </w14:solidFill>
                </w14:textFill>
              </w:rPr>
              <w:t>参数一览表</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706"/>
              <w:gridCol w:w="5294"/>
            </w:tblGrid>
            <w:tr w14:paraId="599C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noWrap w:val="0"/>
                  <w:vAlign w:val="center"/>
                </w:tcPr>
                <w:p w14:paraId="280B8CF2">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分区类别</w:t>
                  </w:r>
                </w:p>
              </w:tc>
              <w:tc>
                <w:tcPr>
                  <w:tcW w:w="1029" w:type="pct"/>
                  <w:noWrap w:val="0"/>
                  <w:vAlign w:val="center"/>
                </w:tcPr>
                <w:p w14:paraId="10F723C9">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工程内容</w:t>
                  </w:r>
                </w:p>
              </w:tc>
              <w:tc>
                <w:tcPr>
                  <w:tcW w:w="3193" w:type="pct"/>
                  <w:noWrap w:val="0"/>
                  <w:vAlign w:val="center"/>
                </w:tcPr>
                <w:p w14:paraId="7F41F779">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防渗措施及要求</w:t>
                  </w:r>
                </w:p>
              </w:tc>
            </w:tr>
            <w:tr w14:paraId="5294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noWrap w:val="0"/>
                  <w:vAlign w:val="center"/>
                </w:tcPr>
                <w:p w14:paraId="040E8D9F">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重点防渗区</w:t>
                  </w:r>
                </w:p>
              </w:tc>
              <w:tc>
                <w:tcPr>
                  <w:tcW w:w="1029" w:type="pct"/>
                  <w:noWrap w:val="0"/>
                  <w:vAlign w:val="center"/>
                </w:tcPr>
                <w:p w14:paraId="6FED29BD">
                  <w:pPr>
                    <w:bidi w:val="0"/>
                    <w:spacing w:line="240" w:lineRule="auto"/>
                    <w:jc w:val="center"/>
                    <w:rPr>
                      <w:rFonts w:hint="default" w:ascii="Times New Roman" w:hAnsi="Times New Roman" w:eastAsia="黑体" w:cs="Times New Roman"/>
                      <w:color w:val="000000" w:themeColor="text1"/>
                      <w:sz w:val="21"/>
                      <w:szCs w:val="21"/>
                      <w:lang w:val="en-US"/>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危废暂存间</w:t>
                  </w:r>
                </w:p>
              </w:tc>
              <w:tc>
                <w:tcPr>
                  <w:tcW w:w="3193" w:type="pct"/>
                  <w:noWrap w:val="0"/>
                  <w:vAlign w:val="center"/>
                </w:tcPr>
                <w:p w14:paraId="161EC665">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防渗层为2mm厚高密度聚乙烯，或至少2mm厚的其他人工材料，渗透系数应≤1×10</w:t>
                  </w:r>
                  <w:r>
                    <w:rPr>
                      <w:rFonts w:hint="default" w:ascii="Times New Roman" w:hAnsi="Times New Roman" w:eastAsia="黑体" w:cs="Times New Roman"/>
                      <w:color w:val="000000" w:themeColor="text1"/>
                      <w:sz w:val="21"/>
                      <w:szCs w:val="21"/>
                      <w:vertAlign w:val="superscript"/>
                      <w14:textFill>
                        <w14:solidFill>
                          <w14:schemeClr w14:val="tx1"/>
                        </w14:solidFill>
                      </w14:textFill>
                    </w:rPr>
                    <w:t>-10</w:t>
                  </w:r>
                  <w:r>
                    <w:rPr>
                      <w:rFonts w:hint="default" w:ascii="Times New Roman" w:hAnsi="Times New Roman" w:eastAsia="黑体" w:cs="Times New Roman"/>
                      <w:color w:val="000000" w:themeColor="text1"/>
                      <w:sz w:val="21"/>
                      <w:szCs w:val="21"/>
                      <w14:textFill>
                        <w14:solidFill>
                          <w14:schemeClr w14:val="tx1"/>
                        </w14:solidFill>
                      </w14:textFill>
                    </w:rPr>
                    <w:t>cm/s</w:t>
                  </w:r>
                </w:p>
              </w:tc>
            </w:tr>
            <w:tr w14:paraId="54A6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noWrap w:val="0"/>
                  <w:vAlign w:val="center"/>
                </w:tcPr>
                <w:p w14:paraId="2143D631">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一般防渗区</w:t>
                  </w:r>
                </w:p>
              </w:tc>
              <w:tc>
                <w:tcPr>
                  <w:tcW w:w="1029" w:type="pct"/>
                  <w:noWrap w:val="0"/>
                  <w:vAlign w:val="center"/>
                </w:tcPr>
                <w:p w14:paraId="5365BF9D">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生产车间</w:t>
                  </w:r>
                </w:p>
              </w:tc>
              <w:tc>
                <w:tcPr>
                  <w:tcW w:w="3193" w:type="pct"/>
                  <w:noWrap w:val="0"/>
                  <w:vAlign w:val="center"/>
                </w:tcPr>
                <w:p w14:paraId="43964614">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一般固废暂存区防渗层采用抗渗混凝土，其他防渗性能应至少相当于渗透系数为1×10</w:t>
                  </w:r>
                  <w:r>
                    <w:rPr>
                      <w:rFonts w:hint="default" w:ascii="Times New Roman" w:hAnsi="Times New Roman" w:eastAsia="黑体" w:cs="Times New Roman"/>
                      <w:color w:val="000000" w:themeColor="text1"/>
                      <w:sz w:val="21"/>
                      <w:szCs w:val="21"/>
                      <w:vertAlign w:val="superscript"/>
                      <w14:textFill>
                        <w14:solidFill>
                          <w14:schemeClr w14:val="tx1"/>
                        </w14:solidFill>
                      </w14:textFill>
                    </w:rPr>
                    <w:t>-5</w:t>
                  </w:r>
                  <w:r>
                    <w:rPr>
                      <w:rFonts w:hint="default" w:ascii="Times New Roman" w:hAnsi="Times New Roman" w:eastAsia="黑体" w:cs="Times New Roman"/>
                      <w:color w:val="000000" w:themeColor="text1"/>
                      <w:sz w:val="21"/>
                      <w:szCs w:val="21"/>
                      <w14:textFill>
                        <w14:solidFill>
                          <w14:schemeClr w14:val="tx1"/>
                        </w14:solidFill>
                      </w14:textFill>
                    </w:rPr>
                    <w:t>cm/s且厚度为0.75m的天然基础层；污水处理设施的混凝土强度等级不低于C30，抗渗等级不低于P8；地下污水管道采取高密度聚乙烯防渗</w:t>
                  </w:r>
                </w:p>
              </w:tc>
            </w:tr>
            <w:tr w14:paraId="6227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noWrap w:val="0"/>
                  <w:vAlign w:val="center"/>
                </w:tcPr>
                <w:p w14:paraId="245CA6A3">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简易防渗区</w:t>
                  </w:r>
                </w:p>
              </w:tc>
              <w:tc>
                <w:tcPr>
                  <w:tcW w:w="1029" w:type="pct"/>
                  <w:noWrap w:val="0"/>
                  <w:vAlign w:val="center"/>
                </w:tcPr>
                <w:p w14:paraId="40A8240F">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其他非污染区域</w:t>
                  </w:r>
                </w:p>
              </w:tc>
              <w:tc>
                <w:tcPr>
                  <w:tcW w:w="3193" w:type="pct"/>
                  <w:noWrap w:val="0"/>
                  <w:vAlign w:val="center"/>
                </w:tcPr>
                <w:p w14:paraId="10005B37">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水泥混凝土进行一般地面硬化</w:t>
                  </w:r>
                </w:p>
              </w:tc>
            </w:tr>
          </w:tbl>
          <w:p w14:paraId="1B06F19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本项目运营期间主要污</w:t>
            </w:r>
            <w:r>
              <w:rPr>
                <w:rFonts w:hint="default" w:ascii="Times New Roman" w:hAnsi="Times New Roman" w:eastAsia="宋体" w:cs="Times New Roman"/>
                <w:color w:val="000000" w:themeColor="text1"/>
                <w:lang w:eastAsia="zh-CN"/>
                <w14:textFill>
                  <w14:solidFill>
                    <w14:schemeClr w14:val="tx1"/>
                  </w14:solidFill>
                </w14:textFill>
              </w:rPr>
              <w:t>染物产生及处理措施</w:t>
            </w:r>
            <w:r>
              <w:rPr>
                <w:rFonts w:hint="default" w:ascii="Times New Roman" w:hAnsi="Times New Roman" w:eastAsia="宋体" w:cs="Times New Roman"/>
                <w:color w:val="000000" w:themeColor="text1"/>
                <w:lang w:val="en-US" w:eastAsia="zh-CN"/>
                <w14:textFill>
                  <w14:solidFill>
                    <w14:schemeClr w14:val="tx1"/>
                  </w14:solidFill>
                </w14:textFill>
              </w:rPr>
              <w:t>为</w:t>
            </w:r>
            <w:r>
              <w:rPr>
                <w:rFonts w:hint="default" w:ascii="Times New Roman" w:hAnsi="Times New Roman" w:eastAsia="宋体" w:cs="Times New Roman"/>
                <w:color w:val="000000" w:themeColor="text1"/>
                <w:lang w:eastAsia="zh-CN"/>
                <w14:textFill>
                  <w14:solidFill>
                    <w14:schemeClr w14:val="tx1"/>
                  </w14:solidFill>
                </w14:textFill>
              </w:rPr>
              <w:t>：</w:t>
            </w:r>
          </w:p>
          <w:p w14:paraId="5E41A5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调漆、</w:t>
            </w:r>
            <w:r>
              <w:rPr>
                <w:rFonts w:hint="eastAsia" w:cs="Times New Roman"/>
                <w:color w:val="000000" w:themeColor="text1"/>
                <w:lang w:val="en-US" w:eastAsia="zh-CN"/>
                <w14:textFill>
                  <w14:solidFill>
                    <w14:schemeClr w14:val="tx1"/>
                  </w14:solidFill>
                </w14:textFill>
              </w:rPr>
              <w:t>上漆</w:t>
            </w:r>
            <w:r>
              <w:rPr>
                <w:rFonts w:hint="eastAsia" w:ascii="Times New Roman" w:hAnsi="Times New Roman" w:eastAsia="宋体" w:cs="Times New Roman"/>
                <w:color w:val="000000" w:themeColor="text1"/>
                <w:lang w:val="en-US" w:eastAsia="zh-CN"/>
                <w14:textFill>
                  <w14:solidFill>
                    <w14:schemeClr w14:val="tx1"/>
                  </w14:solidFill>
                </w14:textFill>
              </w:rPr>
              <w:t>、晾干废气收集后经“</w:t>
            </w:r>
            <w:r>
              <w:rPr>
                <w:rFonts w:hint="eastAsia" w:cs="Times New Roman"/>
                <w:color w:val="000000" w:themeColor="text1"/>
                <w:lang w:val="en-US" w:eastAsia="zh-CN"/>
                <w14:textFill>
                  <w14:solidFill>
                    <w14:schemeClr w14:val="tx1"/>
                  </w14:solidFill>
                </w14:textFill>
              </w:rPr>
              <w:t>二级活性炭吸附</w:t>
            </w:r>
            <w:r>
              <w:rPr>
                <w:rFonts w:hint="eastAsia" w:ascii="Times New Roman" w:hAnsi="Times New Roman" w:eastAsia="宋体" w:cs="Times New Roman"/>
                <w:color w:val="000000" w:themeColor="text1"/>
                <w:lang w:val="en-US" w:eastAsia="zh-CN"/>
                <w14:textFill>
                  <w14:solidFill>
                    <w14:schemeClr w14:val="tx1"/>
                  </w14:solidFill>
                </w14:textFill>
              </w:rPr>
              <w:t>”装置处理</w:t>
            </w:r>
            <w:r>
              <w:rPr>
                <w:rFonts w:hint="eastAsia" w:cs="Times New Roman"/>
                <w:color w:val="000000" w:themeColor="text1"/>
                <w:lang w:val="en-US" w:eastAsia="zh-CN"/>
                <w14:textFill>
                  <w14:solidFill>
                    <w14:schemeClr w14:val="tx1"/>
                  </w14:solidFill>
                </w14:textFill>
              </w:rPr>
              <w:t>达标</w:t>
            </w:r>
            <w:r>
              <w:rPr>
                <w:rFonts w:hint="eastAsia" w:ascii="Times New Roman" w:hAnsi="Times New Roman" w:eastAsia="宋体" w:cs="Times New Roman"/>
                <w:color w:val="000000" w:themeColor="text1"/>
                <w:lang w:val="en-US" w:eastAsia="zh-CN"/>
                <w14:textFill>
                  <w14:solidFill>
                    <w14:schemeClr w14:val="tx1"/>
                  </w14:solidFill>
                </w14:textFill>
              </w:rPr>
              <w:t>后通过15m排气筒（DA001）排放。</w:t>
            </w:r>
          </w:p>
          <w:p w14:paraId="481971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w:t>
            </w:r>
            <w:r>
              <w:rPr>
                <w:rFonts w:hint="eastAsia" w:cs="Times New Roman"/>
                <w:color w:val="000000" w:themeColor="text1"/>
                <w:lang w:eastAsia="zh-CN"/>
                <w14:textFill>
                  <w14:solidFill>
                    <w14:schemeClr w14:val="tx1"/>
                  </w14:solidFill>
                </w14:textFill>
              </w:rPr>
              <w:t>辊筒</w:t>
            </w:r>
            <w:r>
              <w:rPr>
                <w:rFonts w:hint="default" w:ascii="Times New Roman" w:hAnsi="Times New Roman" w:eastAsia="宋体" w:cs="Times New Roman"/>
                <w:color w:val="000000" w:themeColor="text1"/>
                <w:lang w:eastAsia="zh-CN"/>
                <w14:textFill>
                  <w14:solidFill>
                    <w14:schemeClr w14:val="tx1"/>
                  </w14:solidFill>
                </w14:textFill>
              </w:rPr>
              <w:t>清洗废水</w:t>
            </w:r>
            <w:r>
              <w:rPr>
                <w:rFonts w:hint="eastAsia" w:ascii="Times New Roman" w:hAnsi="Times New Roman" w:eastAsia="宋体" w:cs="Times New Roman"/>
                <w:color w:val="000000" w:themeColor="text1"/>
                <w:lang w:val="en-US" w:eastAsia="zh-CN"/>
                <w14:textFill>
                  <w14:solidFill>
                    <w14:schemeClr w14:val="tx1"/>
                  </w14:solidFill>
                </w14:textFill>
              </w:rPr>
              <w:t>回用于调漆，不外排</w:t>
            </w:r>
            <w:r>
              <w:rPr>
                <w:rFonts w:hint="default" w:ascii="Times New Roman" w:hAnsi="Times New Roman" w:eastAsia="宋体" w:cs="Times New Roman"/>
                <w:color w:val="000000" w:themeColor="text1"/>
                <w:lang w:eastAsia="zh-CN"/>
                <w14:textFill>
                  <w14:solidFill>
                    <w14:schemeClr w14:val="tx1"/>
                  </w14:solidFill>
                </w14:textFill>
              </w:rPr>
              <w:t>。</w:t>
            </w:r>
          </w:p>
          <w:p w14:paraId="03D74B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项目危险废物</w:t>
            </w:r>
            <w:r>
              <w:rPr>
                <w:rFonts w:hint="eastAsia" w:cs="Times New Roman"/>
                <w:color w:val="000000" w:themeColor="text1"/>
                <w:lang w:val="en-US" w:eastAsia="zh-CN"/>
                <w14:textFill>
                  <w14:solidFill>
                    <w14:schemeClr w14:val="tx1"/>
                  </w14:solidFill>
                </w14:textFill>
              </w:rPr>
              <w:t>暂存于危废暂存间，分类收集后定期交由有危险废物处理资质的单位进行处理。危废暂存间地面已经进行硬化和防渗</w:t>
            </w:r>
            <w:r>
              <w:rPr>
                <w:rFonts w:hint="default" w:ascii="Times New Roman" w:hAnsi="Times New Roman" w:eastAsia="宋体" w:cs="Times New Roman"/>
                <w:color w:val="000000" w:themeColor="text1"/>
                <w14:textFill>
                  <w14:solidFill>
                    <w14:schemeClr w14:val="tx1"/>
                  </w14:solidFill>
                </w14:textFill>
              </w:rPr>
              <w:t>。</w:t>
            </w:r>
          </w:p>
          <w:p w14:paraId="7B4203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项目可能迁移进入地下水、土壤环境的影响主要为大气沉降影响，项目不涉及有毒有害和重金属化学品，运营期大气污染源主要为有机废气，不排放《有毒有害大气污染物名录》中的有毒有害污染物，经采取相关污染源头控制措施和过程防控措施后，项目地下水、土壤环境影响较小。</w:t>
            </w:r>
          </w:p>
          <w:p w14:paraId="74FCECE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eastAsia="黑体" w:cs="Times New Roman"/>
                <w:color w:val="000000" w:themeColor="text1"/>
                <w:lang w:val="en-US" w:eastAsia="zh-CN"/>
                <w14:textFill>
                  <w14:solidFill>
                    <w14:schemeClr w14:val="tx1"/>
                  </w14:solidFill>
                </w14:textFill>
              </w:rPr>
              <w:t>6</w:t>
            </w:r>
            <w:r>
              <w:rPr>
                <w:rFonts w:hint="default" w:ascii="Times New Roman" w:hAnsi="Times New Roman" w:eastAsia="黑体" w:cs="Times New Roman"/>
                <w:color w:val="000000" w:themeColor="text1"/>
                <w:lang w:val="en-US" w:eastAsia="zh-CN"/>
                <w14:textFill>
                  <w14:solidFill>
                    <w14:schemeClr w14:val="tx1"/>
                  </w14:solidFill>
                </w14:textFill>
              </w:rPr>
              <w:t>.</w:t>
            </w:r>
            <w:r>
              <w:rPr>
                <w:rFonts w:hint="eastAsia" w:eastAsia="黑体" w:cs="Times New Roman"/>
                <w:color w:val="000000" w:themeColor="text1"/>
                <w:lang w:val="en-US" w:eastAsia="zh-CN"/>
                <w14:textFill>
                  <w14:solidFill>
                    <w14:schemeClr w14:val="tx1"/>
                  </w14:solidFill>
                </w14:textFill>
              </w:rPr>
              <w:t>3</w:t>
            </w:r>
            <w:r>
              <w:rPr>
                <w:rFonts w:hint="eastAsia" w:ascii="Times New Roman" w:hAnsi="Times New Roman" w:eastAsia="黑体" w:cs="Times New Roman"/>
                <w:color w:val="000000" w:themeColor="text1"/>
                <w:lang w:val="en-US" w:eastAsia="zh-CN"/>
                <w14:textFill>
                  <w14:solidFill>
                    <w14:schemeClr w14:val="tx1"/>
                  </w14:solidFill>
                </w14:textFill>
              </w:rPr>
              <w:t>跟踪检测要求</w:t>
            </w:r>
          </w:p>
          <w:p w14:paraId="33611A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参照《排污单位自行监测技术指南 总则》（HJ 819-2017），涉重金属、难降解类有机污染物等重点排污单位厂界周边的土壤、地下水每年至少监测一次。根据《环境影响评价技术导则土壤环境（试行）》（HJ 964-2018），评价工作等级为一级的建设项目一般每3年内开展1次监测工作，二级的每5年内开展1次，三级的必要时可开展跟踪监测。</w:t>
            </w:r>
          </w:p>
          <w:p w14:paraId="0A72B0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本项目为非重点排污单位，亦不涉及重金属、难降解类有机污染物等污染物的排放，因此，本项目不开展土壤、地下水跟踪监测</w:t>
            </w:r>
            <w:r>
              <w:rPr>
                <w:rFonts w:hint="default" w:ascii="Times New Roman" w:hAnsi="Times New Roman" w:eastAsia="宋体" w:cs="Times New Roman"/>
                <w:color w:val="000000" w:themeColor="text1"/>
                <w:lang w:eastAsia="zh-CN"/>
                <w14:textFill>
                  <w14:solidFill>
                    <w14:schemeClr w14:val="tx1"/>
                  </w14:solidFill>
                </w14:textFill>
              </w:rPr>
              <w:t>。</w:t>
            </w:r>
          </w:p>
          <w:p w14:paraId="2C1CA3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eastAsia="黑体" w:cs="Times New Roman"/>
                <w:color w:val="000000" w:themeColor="text1"/>
                <w:lang w:val="en-US" w:eastAsia="zh-CN"/>
                <w14:textFill>
                  <w14:solidFill>
                    <w14:schemeClr w14:val="tx1"/>
                  </w14:solidFill>
                </w14:textFill>
              </w:rPr>
              <w:t>7</w:t>
            </w:r>
            <w:r>
              <w:rPr>
                <w:rFonts w:hint="eastAsia" w:ascii="Times New Roman" w:hAnsi="Times New Roman" w:eastAsia="黑体" w:cs="Times New Roman"/>
                <w:color w:val="000000" w:themeColor="text1"/>
                <w:lang w:val="en-US" w:eastAsia="zh-CN"/>
                <w14:textFill>
                  <w14:solidFill>
                    <w14:schemeClr w14:val="tx1"/>
                  </w14:solidFill>
                </w14:textFill>
              </w:rPr>
              <w:t>.生态环境影响</w:t>
            </w:r>
          </w:p>
          <w:p w14:paraId="07592747">
            <w:pPr>
              <w:spacing w:line="360" w:lineRule="auto"/>
              <w:ind w:firstLine="440" w:firstLineChars="200"/>
              <w:rPr>
                <w:rFonts w:hint="eastAsia" w:ascii="宋体" w:hAnsi="宋体" w:cs="宋体"/>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本项目用地范围内无生态环境保护目标，项目不需开展生态环境影响评价。</w:t>
            </w:r>
          </w:p>
          <w:p w14:paraId="29C7EB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eastAsia="黑体" w:cs="Times New Roman"/>
                <w:color w:val="000000" w:themeColor="text1"/>
                <w:lang w:val="en-US" w:eastAsia="zh-CN"/>
                <w14:textFill>
                  <w14:solidFill>
                    <w14:schemeClr w14:val="tx1"/>
                  </w14:solidFill>
                </w14:textFill>
              </w:rPr>
              <w:t>8</w:t>
            </w:r>
            <w:r>
              <w:rPr>
                <w:rFonts w:hint="eastAsia" w:ascii="Times New Roman" w:hAnsi="Times New Roman" w:eastAsia="黑体" w:cs="Times New Roman"/>
                <w:color w:val="000000" w:themeColor="text1"/>
                <w:lang w:val="en-US" w:eastAsia="zh-CN"/>
                <w14:textFill>
                  <w14:solidFill>
                    <w14:schemeClr w14:val="tx1"/>
                  </w14:solidFill>
                </w14:textFill>
              </w:rPr>
              <w:t>.环境影响分析</w:t>
            </w:r>
          </w:p>
          <w:p w14:paraId="04621B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根据《关于防范环境风险加强环境影响评价管理的通知》（环发﹝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2005</w:t>
            </w:r>
            <w:r>
              <w:rPr>
                <w:rFonts w:hint="default" w:ascii="Times New Roman" w:hAnsi="Times New Roman" w:eastAsia="宋体" w:cs="Times New Roman"/>
                <w:color w:val="000000" w:themeColor="text1"/>
                <w:sz w:val="24"/>
                <w:szCs w:val="24"/>
                <w14:textFill>
                  <w14:solidFill>
                    <w14:schemeClr w14:val="tx1"/>
                  </w14:solidFill>
                </w14:textFill>
              </w:rPr>
              <w:t>﹞152号）文件的精神，本次风险评价拟通过分析拟建项目中主要物料的危险性和毒性，并识别主要危险单元，分析风险事故原因及环境影响，从而提出防治措施，达到降低风险性、降低危害程度、保护环境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目的。</w:t>
            </w:r>
          </w:p>
          <w:p w14:paraId="7E13E71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eastAsia="黑体" w:cs="Times New Roman"/>
                <w:color w:val="000000" w:themeColor="text1"/>
                <w:lang w:val="en-US" w:eastAsia="zh-CN"/>
                <w14:textFill>
                  <w14:solidFill>
                    <w14:schemeClr w14:val="tx1"/>
                  </w14:solidFill>
                </w14:textFill>
              </w:rPr>
              <w:t>8</w:t>
            </w:r>
            <w:r>
              <w:rPr>
                <w:rFonts w:hint="eastAsia" w:ascii="Times New Roman" w:hAnsi="Times New Roman" w:eastAsia="黑体" w:cs="Times New Roman"/>
                <w:color w:val="000000" w:themeColor="text1"/>
                <w:lang w:val="en-US" w:eastAsia="zh-CN"/>
                <w14:textFill>
                  <w14:solidFill>
                    <w14:schemeClr w14:val="tx1"/>
                  </w14:solidFill>
                </w14:textFill>
              </w:rPr>
              <w:t>.1风险调查</w:t>
            </w:r>
          </w:p>
          <w:p w14:paraId="47B249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本项目使用的主要原辅材料主要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油性漆、水性漆及各类危废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14:textFill>
                  <w14:solidFill>
                    <w14:schemeClr w14:val="tx1"/>
                  </w14:solidFill>
                </w14:textFill>
              </w:rPr>
              <w:t>，对照《建设项目环境风险评价技术导则》（HJ169-2018）附录B和《危险化学品重大危险源辨识》（GB18218-2018），本项目原辅材材料属于危险化学品。</w:t>
            </w:r>
          </w:p>
          <w:p w14:paraId="76E2FF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eastAsia="黑体" w:cs="Times New Roman"/>
                <w:color w:val="000000" w:themeColor="text1"/>
                <w:lang w:val="en-US" w:eastAsia="zh-CN"/>
                <w14:textFill>
                  <w14:solidFill>
                    <w14:schemeClr w14:val="tx1"/>
                  </w14:solidFill>
                </w14:textFill>
              </w:rPr>
              <w:t>8</w:t>
            </w:r>
            <w:r>
              <w:rPr>
                <w:rFonts w:hint="eastAsia" w:ascii="Times New Roman" w:hAnsi="Times New Roman" w:eastAsia="黑体" w:cs="Times New Roman"/>
                <w:color w:val="000000" w:themeColor="text1"/>
                <w:lang w:val="en-US" w:eastAsia="zh-CN"/>
                <w14:textFill>
                  <w14:solidFill>
                    <w14:schemeClr w14:val="tx1"/>
                  </w14:solidFill>
                </w14:textFill>
              </w:rPr>
              <w:t>.2风险潜势初判</w:t>
            </w:r>
          </w:p>
          <w:p w14:paraId="63B04E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eastAsia"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1</w:t>
            </w:r>
            <w:r>
              <w:rPr>
                <w:rFonts w:hint="eastAsia"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14:textFill>
                  <w14:solidFill>
                    <w14:schemeClr w14:val="tx1"/>
                  </w14:solidFill>
                </w14:textFill>
              </w:rPr>
              <w:t>危险物质数量与临界量比值（Q）</w:t>
            </w:r>
          </w:p>
          <w:p w14:paraId="51B34F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计算所涉及的每种危险物质在厂界内的最大存在总量与其在HJ 169－2018附录B 中对应临界量的比值Q。在不同厂区的同一种物质，按其在厂界内的最大存在总量计算。对于长输管线项目，按照两个截断阀室之间管段危险物质最大存在总量计算。</w:t>
            </w:r>
          </w:p>
          <w:p w14:paraId="0FEA00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当只涉及一种危险物质时，计算该物质的总量与其临界量比值，即为Q；当存在多种危险物质时，则按式（C.1）计算物质总量与其临界量比值（Q）：</w:t>
            </w:r>
          </w:p>
          <w:p w14:paraId="1C8A8B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1467485" cy="370205"/>
                  <wp:effectExtent l="0" t="0" r="10795" b="1079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9"/>
                          <a:stretch>
                            <a:fillRect/>
                          </a:stretch>
                        </pic:blipFill>
                        <pic:spPr>
                          <a:xfrm>
                            <a:off x="0" y="0"/>
                            <a:ext cx="1467485" cy="370205"/>
                          </a:xfrm>
                          <a:prstGeom prst="rect">
                            <a:avLst/>
                          </a:prstGeom>
                          <a:noFill/>
                          <a:ln>
                            <a:noFill/>
                          </a:ln>
                        </pic:spPr>
                      </pic:pic>
                    </a:graphicData>
                  </a:graphic>
                </wp:inline>
              </w:drawing>
            </w:r>
          </w:p>
          <w:p w14:paraId="035133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式中：q1，q2，...，qn——每种危险物质的最大存在总量，t；</w:t>
            </w:r>
          </w:p>
          <w:p w14:paraId="2217B7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Q1, Q2, ..., Qn——每种危险物质的临界量，t。</w:t>
            </w:r>
          </w:p>
          <w:p w14:paraId="3E67B7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当Q＜1 时，该项目环境风险潜势为Ⅰ。</w:t>
            </w:r>
          </w:p>
          <w:p w14:paraId="7B0707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当Q≥1 时，将Q 值划分为：（1）1≤Q＜10；（2）10≤Q＜100；（3）Q≥100。</w:t>
            </w:r>
          </w:p>
          <w:p w14:paraId="68AF8D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根据《建设项目环境影响评价报告表编制技术指南（污染影响类）试行》中对临 界量判定说明： 临界量及其计算方法参考《建设项目环境风险评价技术导则》（HJ/T169-2018）附录B、附录C。本项目危险物质风险识别结果与危险物质数量与临界量比值（Q）如下。</w:t>
            </w:r>
          </w:p>
          <w:p w14:paraId="18C4CF4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pPr>
            <w:r>
              <w:rPr>
                <w:sz w:val="21"/>
              </w:rPr>
              <mc:AlternateContent>
                <mc:Choice Requires="wps">
                  <w:drawing>
                    <wp:anchor distT="0" distB="0" distL="114300" distR="114300" simplePos="0" relativeHeight="251672576" behindDoc="0" locked="0" layoutInCell="1" allowOverlap="1">
                      <wp:simplePos x="0" y="0"/>
                      <wp:positionH relativeFrom="column">
                        <wp:posOffset>36830</wp:posOffset>
                      </wp:positionH>
                      <wp:positionV relativeFrom="paragraph">
                        <wp:posOffset>38100</wp:posOffset>
                      </wp:positionV>
                      <wp:extent cx="5155565" cy="2547620"/>
                      <wp:effectExtent l="6350" t="6350" r="19685" b="17780"/>
                      <wp:wrapNone/>
                      <wp:docPr id="84" name="矩形 84"/>
                      <wp:cNvGraphicFramePr/>
                      <a:graphic xmlns:a="http://schemas.openxmlformats.org/drawingml/2006/main">
                        <a:graphicData uri="http://schemas.microsoft.com/office/word/2010/wordprocessingShape">
                          <wps:wsp>
                            <wps:cNvSpPr/>
                            <wps:spPr>
                              <a:xfrm>
                                <a:off x="1356360" y="958850"/>
                                <a:ext cx="5155565" cy="2547620"/>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pt;margin-top:3pt;height:200.6pt;width:405.95pt;z-index:251672576;v-text-anchor:middle;mso-width-relative:page;mso-height-relative:page;" fillcolor="#000000 [3213]" filled="t" stroked="t" coordsize="21600,21600" o:gfxdata="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BkpTXAAAA&#10;BwEAAA8AAAAAAAAAAQAgAAAAIgAAAGRycy9kb3ducmV2LnhtbFBLAQIUABQAAAAIAIdO4kBtRC/b&#10;kAIAACQFAAAOAAAAAAAAAAEAIAAAACYBAABkcnMvZTJvRG9jLnhtbFBLBQYAAAAABgAGAFkBAAAo&#10;BgAAAAA=&#10;">
                      <v:fill on="t" focussize="0,0"/>
                      <v:stroke weight="1pt" color="#2E54A1 [2404]" miterlimit="8" joinstyle="miter"/>
                      <v:imagedata o:title=""/>
                      <o:lock v:ext="edit" aspectratio="f"/>
                    </v:rect>
                  </w:pict>
                </mc:Fallback>
              </mc:AlternateContent>
            </w:r>
            <w:r>
              <w:rPr>
                <w:rFonts w:hint="default" w:ascii="Times New Roman" w:hAnsi="Times New Roman" w:eastAsia="黑体" w:cs="Times New Roman"/>
                <w:b w:val="0"/>
                <w:bCs w:val="0"/>
                <w:color w:val="000000" w:themeColor="text1"/>
                <w:sz w:val="21"/>
                <w:szCs w:val="21"/>
                <w:u w:val="single"/>
                <w:lang w:val="en-US" w:eastAsia="zh-CN"/>
                <w14:textFill>
                  <w14:solidFill>
                    <w14:schemeClr w14:val="tx1"/>
                  </w14:solidFill>
                </w14:textFill>
              </w:rPr>
              <w:t>表4-18 危险物质数量与临界量比值（Q）</w:t>
            </w:r>
          </w:p>
          <w:tbl>
            <w:tblPr>
              <w:tblStyle w:val="8"/>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032"/>
              <w:gridCol w:w="1381"/>
              <w:gridCol w:w="1008"/>
              <w:gridCol w:w="1452"/>
              <w:gridCol w:w="1056"/>
              <w:gridCol w:w="1066"/>
            </w:tblGrid>
            <w:tr w14:paraId="5F20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14:paraId="6EA02C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风险物质</w:t>
                  </w:r>
                </w:p>
              </w:tc>
              <w:tc>
                <w:tcPr>
                  <w:tcW w:w="1032" w:type="dxa"/>
                  <w:vAlign w:val="center"/>
                </w:tcPr>
                <w:p w14:paraId="7C6652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年使用量t</w:t>
                  </w:r>
                </w:p>
              </w:tc>
              <w:tc>
                <w:tcPr>
                  <w:tcW w:w="1381" w:type="dxa"/>
                  <w:vAlign w:val="center"/>
                </w:tcPr>
                <w:p w14:paraId="271162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最大储存量t</w:t>
                  </w:r>
                </w:p>
              </w:tc>
              <w:tc>
                <w:tcPr>
                  <w:tcW w:w="1008" w:type="dxa"/>
                  <w:vAlign w:val="center"/>
                </w:tcPr>
                <w:p w14:paraId="75AE9D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在线量t</w:t>
                  </w:r>
                </w:p>
              </w:tc>
              <w:tc>
                <w:tcPr>
                  <w:tcW w:w="1452" w:type="dxa"/>
                  <w:vAlign w:val="center"/>
                </w:tcPr>
                <w:p w14:paraId="6FF69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最大储存量t+在线量t</w:t>
                  </w:r>
                </w:p>
              </w:tc>
              <w:tc>
                <w:tcPr>
                  <w:tcW w:w="1056" w:type="dxa"/>
                  <w:vAlign w:val="center"/>
                </w:tcPr>
                <w:p w14:paraId="5E93EC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临界量t</w:t>
                  </w:r>
                </w:p>
              </w:tc>
              <w:tc>
                <w:tcPr>
                  <w:tcW w:w="1066" w:type="dxa"/>
                  <w:vAlign w:val="center"/>
                </w:tcPr>
                <w:p w14:paraId="1C22C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q/Q</w:t>
                  </w:r>
                </w:p>
              </w:tc>
            </w:tr>
            <w:tr w14:paraId="0937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14:paraId="639F21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油性漆</w:t>
                  </w:r>
                </w:p>
              </w:tc>
              <w:tc>
                <w:tcPr>
                  <w:tcW w:w="1032" w:type="dxa"/>
                  <w:vAlign w:val="center"/>
                </w:tcPr>
                <w:p w14:paraId="2AA3C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1.4</w:t>
                  </w:r>
                </w:p>
              </w:tc>
              <w:tc>
                <w:tcPr>
                  <w:tcW w:w="1381" w:type="dxa"/>
                  <w:vAlign w:val="center"/>
                </w:tcPr>
                <w:p w14:paraId="7F3967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0.05</w:t>
                  </w:r>
                </w:p>
              </w:tc>
              <w:tc>
                <w:tcPr>
                  <w:tcW w:w="1008" w:type="dxa"/>
                  <w:vAlign w:val="center"/>
                </w:tcPr>
                <w:p w14:paraId="4ACDC1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0.005</w:t>
                  </w:r>
                </w:p>
              </w:tc>
              <w:tc>
                <w:tcPr>
                  <w:tcW w:w="1452" w:type="dxa"/>
                  <w:vAlign w:val="center"/>
                </w:tcPr>
                <w:p w14:paraId="660F76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0.055</w:t>
                  </w:r>
                </w:p>
              </w:tc>
              <w:tc>
                <w:tcPr>
                  <w:tcW w:w="1056" w:type="dxa"/>
                  <w:vAlign w:val="center"/>
                </w:tcPr>
                <w:p w14:paraId="3DD0D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50</w:t>
                  </w:r>
                </w:p>
              </w:tc>
              <w:tc>
                <w:tcPr>
                  <w:tcW w:w="1066" w:type="dxa"/>
                  <w:vAlign w:val="center"/>
                </w:tcPr>
                <w:p w14:paraId="51F04B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0.0011</w:t>
                  </w:r>
                </w:p>
              </w:tc>
            </w:tr>
            <w:tr w14:paraId="3EAF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14:paraId="3CBF6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稀释剂</w:t>
                  </w:r>
                </w:p>
              </w:tc>
              <w:tc>
                <w:tcPr>
                  <w:tcW w:w="1032" w:type="dxa"/>
                  <w:vAlign w:val="center"/>
                </w:tcPr>
                <w:p w14:paraId="32B86A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0.2</w:t>
                  </w:r>
                </w:p>
              </w:tc>
              <w:tc>
                <w:tcPr>
                  <w:tcW w:w="1381" w:type="dxa"/>
                  <w:vAlign w:val="center"/>
                </w:tcPr>
                <w:p w14:paraId="6A1118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w:t>
                  </w:r>
                </w:p>
              </w:tc>
              <w:tc>
                <w:tcPr>
                  <w:tcW w:w="1008" w:type="dxa"/>
                  <w:vAlign w:val="center"/>
                </w:tcPr>
                <w:p w14:paraId="43D648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0.005</w:t>
                  </w:r>
                </w:p>
              </w:tc>
              <w:tc>
                <w:tcPr>
                  <w:tcW w:w="1452" w:type="dxa"/>
                  <w:vAlign w:val="center"/>
                </w:tcPr>
                <w:p w14:paraId="1DDE7E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0.015</w:t>
                  </w:r>
                </w:p>
              </w:tc>
              <w:tc>
                <w:tcPr>
                  <w:tcW w:w="1056" w:type="dxa"/>
                  <w:vAlign w:val="center"/>
                </w:tcPr>
                <w:p w14:paraId="26183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50</w:t>
                  </w:r>
                </w:p>
              </w:tc>
              <w:tc>
                <w:tcPr>
                  <w:tcW w:w="1066" w:type="dxa"/>
                  <w:vAlign w:val="center"/>
                </w:tcPr>
                <w:p w14:paraId="5379F8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0.0003</w:t>
                  </w:r>
                </w:p>
              </w:tc>
            </w:tr>
            <w:tr w14:paraId="0790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14:paraId="761950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固化剂</w:t>
                  </w:r>
                </w:p>
              </w:tc>
              <w:tc>
                <w:tcPr>
                  <w:tcW w:w="1032" w:type="dxa"/>
                  <w:vAlign w:val="center"/>
                </w:tcPr>
                <w:p w14:paraId="5AFBA3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0.3</w:t>
                  </w:r>
                </w:p>
              </w:tc>
              <w:tc>
                <w:tcPr>
                  <w:tcW w:w="1381" w:type="dxa"/>
                  <w:vAlign w:val="center"/>
                </w:tcPr>
                <w:p w14:paraId="4417BC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w:t>
                  </w:r>
                </w:p>
              </w:tc>
              <w:tc>
                <w:tcPr>
                  <w:tcW w:w="1008" w:type="dxa"/>
                  <w:vAlign w:val="center"/>
                </w:tcPr>
                <w:p w14:paraId="36182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0.005</w:t>
                  </w:r>
                </w:p>
              </w:tc>
              <w:tc>
                <w:tcPr>
                  <w:tcW w:w="1452" w:type="dxa"/>
                  <w:vAlign w:val="center"/>
                </w:tcPr>
                <w:p w14:paraId="2ABF60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0.015</w:t>
                  </w:r>
                </w:p>
              </w:tc>
              <w:tc>
                <w:tcPr>
                  <w:tcW w:w="1056" w:type="dxa"/>
                  <w:vAlign w:val="center"/>
                </w:tcPr>
                <w:p w14:paraId="23F1A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50</w:t>
                  </w:r>
                </w:p>
              </w:tc>
              <w:tc>
                <w:tcPr>
                  <w:tcW w:w="1066" w:type="dxa"/>
                  <w:vAlign w:val="center"/>
                </w:tcPr>
                <w:p w14:paraId="09E401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0.0003</w:t>
                  </w:r>
                </w:p>
              </w:tc>
            </w:tr>
            <w:tr w14:paraId="086D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14:paraId="7AF900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水性漆</w:t>
                  </w:r>
                </w:p>
              </w:tc>
              <w:tc>
                <w:tcPr>
                  <w:tcW w:w="1032" w:type="dxa"/>
                  <w:vAlign w:val="center"/>
                </w:tcPr>
                <w:p w14:paraId="7D7DFE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1</w:t>
                  </w:r>
                </w:p>
              </w:tc>
              <w:tc>
                <w:tcPr>
                  <w:tcW w:w="1381" w:type="dxa"/>
                  <w:vAlign w:val="center"/>
                </w:tcPr>
                <w:p w14:paraId="45191F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w:t>
                  </w:r>
                </w:p>
              </w:tc>
              <w:tc>
                <w:tcPr>
                  <w:tcW w:w="1008" w:type="dxa"/>
                  <w:vAlign w:val="center"/>
                </w:tcPr>
                <w:p w14:paraId="5852A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0.005</w:t>
                  </w:r>
                </w:p>
              </w:tc>
              <w:tc>
                <w:tcPr>
                  <w:tcW w:w="1452" w:type="dxa"/>
                  <w:vAlign w:val="center"/>
                </w:tcPr>
                <w:p w14:paraId="292B0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0.015</w:t>
                  </w:r>
                </w:p>
              </w:tc>
              <w:tc>
                <w:tcPr>
                  <w:tcW w:w="1056" w:type="dxa"/>
                  <w:vAlign w:val="center"/>
                </w:tcPr>
                <w:p w14:paraId="73215A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50</w:t>
                  </w:r>
                </w:p>
              </w:tc>
              <w:tc>
                <w:tcPr>
                  <w:tcW w:w="1066" w:type="dxa"/>
                  <w:vAlign w:val="center"/>
                </w:tcPr>
                <w:p w14:paraId="20ED96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0.0003</w:t>
                  </w:r>
                </w:p>
              </w:tc>
            </w:tr>
            <w:tr w14:paraId="0D5D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14:paraId="7103EC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水性环氧固化剂</w:t>
                  </w:r>
                </w:p>
              </w:tc>
              <w:tc>
                <w:tcPr>
                  <w:tcW w:w="1032" w:type="dxa"/>
                  <w:vAlign w:val="center"/>
                </w:tcPr>
                <w:p w14:paraId="2A21C6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0.1</w:t>
                  </w:r>
                </w:p>
              </w:tc>
              <w:tc>
                <w:tcPr>
                  <w:tcW w:w="1381" w:type="dxa"/>
                  <w:vAlign w:val="center"/>
                </w:tcPr>
                <w:p w14:paraId="282064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w:t>
                  </w:r>
                </w:p>
              </w:tc>
              <w:tc>
                <w:tcPr>
                  <w:tcW w:w="1008" w:type="dxa"/>
                  <w:vAlign w:val="center"/>
                </w:tcPr>
                <w:p w14:paraId="4D10C5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0.005</w:t>
                  </w:r>
                </w:p>
              </w:tc>
              <w:tc>
                <w:tcPr>
                  <w:tcW w:w="1452" w:type="dxa"/>
                  <w:vAlign w:val="center"/>
                </w:tcPr>
                <w:p w14:paraId="1415F4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0.015</w:t>
                  </w:r>
                </w:p>
              </w:tc>
              <w:tc>
                <w:tcPr>
                  <w:tcW w:w="1056" w:type="dxa"/>
                  <w:vAlign w:val="center"/>
                </w:tcPr>
                <w:p w14:paraId="2C815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50</w:t>
                  </w:r>
                </w:p>
              </w:tc>
              <w:tc>
                <w:tcPr>
                  <w:tcW w:w="1066" w:type="dxa"/>
                  <w:vAlign w:val="center"/>
                </w:tcPr>
                <w:p w14:paraId="3C3C8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0.0003</w:t>
                  </w:r>
                </w:p>
              </w:tc>
            </w:tr>
            <w:tr w14:paraId="41DB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14:paraId="5B2B9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各类危废</w:t>
                  </w:r>
                </w:p>
              </w:tc>
              <w:tc>
                <w:tcPr>
                  <w:tcW w:w="1032" w:type="dxa"/>
                  <w:vAlign w:val="center"/>
                </w:tcPr>
                <w:p w14:paraId="049DE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381" w:type="dxa"/>
                  <w:vAlign w:val="center"/>
                </w:tcPr>
                <w:p w14:paraId="70E1E5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2.217</w:t>
                  </w:r>
                </w:p>
              </w:tc>
              <w:tc>
                <w:tcPr>
                  <w:tcW w:w="1008" w:type="dxa"/>
                  <w:vAlign w:val="center"/>
                </w:tcPr>
                <w:p w14:paraId="46FCC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w:t>
                  </w:r>
                </w:p>
              </w:tc>
              <w:tc>
                <w:tcPr>
                  <w:tcW w:w="1452" w:type="dxa"/>
                  <w:vAlign w:val="center"/>
                </w:tcPr>
                <w:p w14:paraId="095572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2.217</w:t>
                  </w:r>
                </w:p>
              </w:tc>
              <w:tc>
                <w:tcPr>
                  <w:tcW w:w="1056" w:type="dxa"/>
                  <w:vAlign w:val="center"/>
                </w:tcPr>
                <w:p w14:paraId="364930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200</w:t>
                  </w:r>
                </w:p>
              </w:tc>
              <w:tc>
                <w:tcPr>
                  <w:tcW w:w="1066" w:type="dxa"/>
                  <w:vAlign w:val="center"/>
                </w:tcPr>
                <w:p w14:paraId="4BFB4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0.011</w:t>
                  </w:r>
                </w:p>
              </w:tc>
            </w:tr>
            <w:tr w14:paraId="7189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8" w:type="dxa"/>
                  <w:gridSpan w:val="6"/>
                  <w:vAlign w:val="center"/>
                </w:tcPr>
                <w:p w14:paraId="31959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合计</w:t>
                  </w:r>
                </w:p>
              </w:tc>
              <w:tc>
                <w:tcPr>
                  <w:tcW w:w="1066" w:type="dxa"/>
                  <w:vAlign w:val="center"/>
                </w:tcPr>
                <w:p w14:paraId="42249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u w:val="single"/>
                      <w:vertAlign w:val="baseline"/>
                      <w:lang w:val="en-US" w:eastAsia="zh-CN"/>
                      <w14:textFill>
                        <w14:solidFill>
                          <w14:schemeClr w14:val="tx1"/>
                        </w14:solidFill>
                      </w14:textFill>
                    </w:rPr>
                    <w:t>0.0133</w:t>
                  </w:r>
                </w:p>
              </w:tc>
            </w:tr>
          </w:tbl>
          <w:p w14:paraId="5EB3E8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根据上表计算，项目危险物质数量与临界量比值Q=</w:t>
            </w:r>
            <w:r>
              <w:rPr>
                <w:rFonts w:hint="eastAsia" w:cs="Times New Roman"/>
                <w:color w:val="000000" w:themeColor="text1"/>
                <w:sz w:val="24"/>
                <w:szCs w:val="24"/>
                <w:u w:val="single"/>
                <w:lang w:val="en-US" w:eastAsia="zh-CN"/>
                <w14:textFill>
                  <w14:solidFill>
                    <w14:schemeClr w14:val="tx1"/>
                  </w14:solidFill>
                </w14:textFill>
              </w:rPr>
              <w:t>0.0133</w:t>
            </w:r>
            <w:r>
              <w:rPr>
                <w:rFonts w:hint="default" w:ascii="Times New Roman" w:hAnsi="Times New Roman" w:eastAsia="宋体" w:cs="Times New Roman"/>
                <w:color w:val="000000" w:themeColor="text1"/>
                <w:sz w:val="24"/>
                <w:szCs w:val="24"/>
                <w:u w:val="single"/>
                <w14:textFill>
                  <w14:solidFill>
                    <w14:schemeClr w14:val="tx1"/>
                  </w14:solidFill>
                </w14:textFill>
              </w:rPr>
              <w:t>＜1。</w:t>
            </w:r>
          </w:p>
          <w:p w14:paraId="23AE5C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14:textFill>
                  <w14:solidFill>
                    <w14:schemeClr w14:val="tx1"/>
                  </w14:solidFill>
                </w14:textFill>
              </w:rPr>
              <w:t>环境风险潜势初判</w:t>
            </w:r>
          </w:p>
          <w:p w14:paraId="1E86AE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根据HJ 169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2018，当Q＜1时，该项目环境风险潜势为Ⅰ。本项目Q=</w:t>
            </w:r>
            <w:r>
              <w:rPr>
                <w:rFonts w:hint="eastAsia" w:cs="Times New Roman"/>
                <w:color w:val="000000" w:themeColor="text1"/>
                <w:sz w:val="24"/>
                <w:szCs w:val="24"/>
                <w:lang w:val="en-US" w:eastAsia="zh-CN"/>
                <w14:textFill>
                  <w14:solidFill>
                    <w14:schemeClr w14:val="tx1"/>
                  </w14:solidFill>
                </w14:textFill>
              </w:rPr>
              <w:t>0.0133</w:t>
            </w:r>
            <w:r>
              <w:rPr>
                <w:rFonts w:hint="default" w:ascii="Times New Roman" w:hAnsi="Times New Roman" w:eastAsia="宋体" w:cs="Times New Roman"/>
                <w:color w:val="000000" w:themeColor="text1"/>
                <w:sz w:val="24"/>
                <w:szCs w:val="24"/>
                <w14:textFill>
                  <w14:solidFill>
                    <w14:schemeClr w14:val="tx1"/>
                  </w14:solidFill>
                </w14:textFill>
              </w:rPr>
              <w:t>＜1，因此，本项目环境风险潜势为Ⅰ。</w:t>
            </w:r>
          </w:p>
          <w:p w14:paraId="185745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14:textFill>
                  <w14:solidFill>
                    <w14:schemeClr w14:val="tx1"/>
                  </w14:solidFill>
                </w14:textFill>
              </w:rPr>
              <w:t>评价等级</w:t>
            </w:r>
          </w:p>
          <w:p w14:paraId="3A3E50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14:paraId="2230B89E">
            <w:pPr>
              <w:bidi w:val="0"/>
              <w:spacing w:line="360" w:lineRule="auto"/>
              <w:jc w:val="center"/>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4-19</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评价工作等级划分</w:t>
            </w:r>
          </w:p>
          <w:tbl>
            <w:tblPr>
              <w:tblStyle w:val="7"/>
              <w:tblW w:w="4997" w:type="pct"/>
              <w:jc w:val="center"/>
              <w:tblLayout w:type="fixed"/>
              <w:tblCellMar>
                <w:top w:w="0" w:type="dxa"/>
                <w:left w:w="108" w:type="dxa"/>
                <w:bottom w:w="0" w:type="dxa"/>
                <w:right w:w="108" w:type="dxa"/>
              </w:tblCellMar>
            </w:tblPr>
            <w:tblGrid>
              <w:gridCol w:w="1657"/>
              <w:gridCol w:w="1657"/>
              <w:gridCol w:w="1659"/>
              <w:gridCol w:w="1659"/>
              <w:gridCol w:w="1662"/>
            </w:tblGrid>
            <w:tr w14:paraId="554900D2">
              <w:tblPrEx>
                <w:tblCellMar>
                  <w:top w:w="0" w:type="dxa"/>
                  <w:left w:w="108" w:type="dxa"/>
                  <w:bottom w:w="0" w:type="dxa"/>
                  <w:right w:w="108" w:type="dxa"/>
                </w:tblCellMar>
              </w:tblPrEx>
              <w:trPr>
                <w:trHeight w:val="31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14:paraId="136C06A1">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环境风险潜势</w:t>
                  </w:r>
                </w:p>
              </w:tc>
              <w:tc>
                <w:tcPr>
                  <w:tcW w:w="999" w:type="pct"/>
                  <w:tcBorders>
                    <w:top w:val="single" w:color="auto" w:sz="4" w:space="0"/>
                    <w:left w:val="single" w:color="auto" w:sz="4" w:space="0"/>
                    <w:bottom w:val="single" w:color="auto" w:sz="4" w:space="0"/>
                    <w:right w:val="single" w:color="auto" w:sz="4" w:space="0"/>
                  </w:tcBorders>
                  <w:noWrap w:val="0"/>
                  <w:vAlign w:val="center"/>
                </w:tcPr>
                <w:p w14:paraId="0B1A6D7B">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Ⅳ、Ⅳ+</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0A0DC9FE">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Ⅲ</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1AB48F80">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Ⅱ</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0A729B6D">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Ⅰ</w:t>
                  </w:r>
                </w:p>
              </w:tc>
            </w:tr>
            <w:tr w14:paraId="19091CC5">
              <w:tblPrEx>
                <w:tblCellMar>
                  <w:top w:w="0" w:type="dxa"/>
                  <w:left w:w="108" w:type="dxa"/>
                  <w:bottom w:w="0" w:type="dxa"/>
                  <w:right w:w="108" w:type="dxa"/>
                </w:tblCellMar>
              </w:tblPrEx>
              <w:trPr>
                <w:trHeight w:val="31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14:paraId="6950E8BF">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评价工作等级</w:t>
                  </w:r>
                </w:p>
              </w:tc>
              <w:tc>
                <w:tcPr>
                  <w:tcW w:w="999" w:type="pct"/>
                  <w:tcBorders>
                    <w:top w:val="single" w:color="auto" w:sz="4" w:space="0"/>
                    <w:left w:val="single" w:color="auto" w:sz="4" w:space="0"/>
                    <w:bottom w:val="single" w:color="auto" w:sz="4" w:space="0"/>
                    <w:right w:val="single" w:color="auto" w:sz="4" w:space="0"/>
                  </w:tcBorders>
                  <w:noWrap w:val="0"/>
                  <w:vAlign w:val="center"/>
                </w:tcPr>
                <w:p w14:paraId="3194AD3C">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一</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00504490">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二</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10EE0781">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三</w:t>
                  </w:r>
                </w:p>
              </w:tc>
              <w:tc>
                <w:tcPr>
                  <w:tcW w:w="1000" w:type="pct"/>
                  <w:tcBorders>
                    <w:top w:val="single" w:color="auto" w:sz="4" w:space="0"/>
                    <w:left w:val="single" w:color="auto" w:sz="4" w:space="0"/>
                    <w:bottom w:val="single" w:color="auto" w:sz="4" w:space="0"/>
                    <w:right w:val="single" w:color="auto" w:sz="4" w:space="0"/>
                  </w:tcBorders>
                  <w:noWrap w:val="0"/>
                  <w:vAlign w:val="center"/>
                </w:tcPr>
                <w:p w14:paraId="42647103">
                  <w:pPr>
                    <w:bidi w:val="0"/>
                    <w:spacing w:line="240" w:lineRule="auto"/>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简单分析</w:t>
                  </w:r>
                </w:p>
              </w:tc>
            </w:tr>
            <w:tr w14:paraId="0A9F41EB">
              <w:tblPrEx>
                <w:tblCellMar>
                  <w:top w:w="0" w:type="dxa"/>
                  <w:left w:w="108" w:type="dxa"/>
                  <w:bottom w:w="0" w:type="dxa"/>
                  <w:right w:w="108" w:type="dxa"/>
                </w:tblCellMar>
              </w:tblPrEx>
              <w:trPr>
                <w:trHeight w:val="619"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3EB99A89">
                  <w:pPr>
                    <w:bidi w:val="0"/>
                    <w:spacing w:line="240" w:lineRule="auto"/>
                    <w:jc w:val="both"/>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a 是相对于详细评价工作内容而言，在描述危险物质、环境影响途径、环境危害后果、风险防范措施等方面给出定性的说明。见附录A。</w:t>
                  </w:r>
                </w:p>
              </w:tc>
            </w:tr>
          </w:tbl>
          <w:p w14:paraId="26806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根据前文分析，项目风险潜势为Ⅰ，开展简单分析；</w:t>
            </w:r>
          </w:p>
          <w:p w14:paraId="3CC56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黑体"/>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8.3危险源项及影响分析</w:t>
            </w:r>
          </w:p>
          <w:p w14:paraId="748012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（1）事故类型</w:t>
            </w:r>
          </w:p>
          <w:p w14:paraId="092E8E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通过前面物质风险识别和重大危险源识别，本项目主要的事故类型为火灾、爆炸，化学原辅料、危险废物泄漏，废气处理系统故障导致车间及周围大气环境的污染。</w:t>
            </w:r>
          </w:p>
          <w:p w14:paraId="1F484E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（2）火灾、爆炸事故引起次生污染分析</w:t>
            </w:r>
          </w:p>
          <w:p w14:paraId="3265C6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项目油漆、稀释剂等若遇到明火、火星和静电等可能引起火灾、爆炸的危险。燃烧过程中会产生 CO，还会挥发出有毒物质，可能会对大气环境、水环境和人群健康产生影响。此外，消防灭火过程所产生的消防废水可能会直接溢流入雨水或污水管网，从而对水环境产生不利影响。</w:t>
            </w:r>
          </w:p>
          <w:p w14:paraId="45BD29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（3）废气收集处理系统泄漏、故障引起次生污染分析</w:t>
            </w:r>
          </w:p>
          <w:p w14:paraId="3165A8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项目</w:t>
            </w:r>
            <w:r>
              <w:rPr>
                <w:rFonts w:hint="eastAsia"/>
                <w:color w:val="000000" w:themeColor="text1"/>
                <w:sz w:val="24"/>
                <w:szCs w:val="24"/>
                <w:lang w:val="en-US" w:eastAsia="zh-CN"/>
                <w14:textFill>
                  <w14:solidFill>
                    <w14:schemeClr w14:val="tx1"/>
                  </w14:solidFill>
                </w14:textFill>
              </w:rPr>
              <w:t>调漆、上漆、晾干</w:t>
            </w:r>
            <w:r>
              <w:rPr>
                <w:rFonts w:hint="default"/>
                <w:color w:val="000000" w:themeColor="text1"/>
                <w:sz w:val="24"/>
                <w:szCs w:val="24"/>
                <w14:textFill>
                  <w14:solidFill>
                    <w14:schemeClr w14:val="tx1"/>
                  </w14:solidFill>
                </w14:textFill>
              </w:rPr>
              <w:t>废气</w:t>
            </w:r>
            <w:r>
              <w:rPr>
                <w:rFonts w:hint="eastAsia"/>
                <w:color w:val="000000" w:themeColor="text1"/>
                <w:sz w:val="24"/>
                <w:szCs w:val="24"/>
                <w:lang w:val="en-US" w:eastAsia="zh-CN"/>
                <w14:textFill>
                  <w14:solidFill>
                    <w14:schemeClr w14:val="tx1"/>
                  </w14:solidFill>
                </w14:textFill>
              </w:rPr>
              <w:t>负</w:t>
            </w:r>
            <w:r>
              <w:rPr>
                <w:rFonts w:hint="default"/>
                <w:color w:val="000000" w:themeColor="text1"/>
                <w:sz w:val="24"/>
                <w:szCs w:val="24"/>
                <w14:textFill>
                  <w14:solidFill>
                    <w14:schemeClr w14:val="tx1"/>
                  </w14:solidFill>
                </w14:textFill>
              </w:rPr>
              <w:t>压收集后一同引至“活性炭吸附”装置处理后达标排放；如收集处理系统在运行过程中出现泄漏、故障，则</w:t>
            </w:r>
            <w:r>
              <w:rPr>
                <w:rFonts w:hint="eastAsia"/>
                <w:color w:val="000000" w:themeColor="text1"/>
                <w:sz w:val="24"/>
                <w:szCs w:val="24"/>
                <w:lang w:val="en-US" w:eastAsia="zh-CN"/>
                <w14:textFill>
                  <w14:solidFill>
                    <w14:schemeClr w14:val="tx1"/>
                  </w14:solidFill>
                </w14:textFill>
              </w:rPr>
              <w:t>调漆、上漆、晾干</w:t>
            </w:r>
            <w:r>
              <w:rPr>
                <w:rFonts w:hint="default"/>
                <w:color w:val="000000" w:themeColor="text1"/>
                <w:sz w:val="24"/>
                <w:szCs w:val="24"/>
                <w14:textFill>
                  <w14:solidFill>
                    <w14:schemeClr w14:val="tx1"/>
                  </w14:solidFill>
                </w14:textFill>
              </w:rPr>
              <w:t>等工序产生的废气直接排放到周围大气中，造成一定程度的大气环境污染，如没有及时处理，项目车间工作人员吸入该废气对身体也会造成一定程度的影响。</w:t>
            </w:r>
          </w:p>
          <w:p w14:paraId="3DBA74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default"/>
                <w:color w:val="000000" w:themeColor="text1"/>
                <w:sz w:val="24"/>
                <w:szCs w:val="24"/>
                <w14:textFill>
                  <w14:solidFill>
                    <w14:schemeClr w14:val="tx1"/>
                  </w14:solidFill>
                </w14:textFill>
              </w:rPr>
              <w:t>）化学原辅料、危险废物泄漏引起次生污染分析</w:t>
            </w:r>
          </w:p>
          <w:p w14:paraId="04D698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本项目使用油漆、稀释剂等液态化学原辅材料存放于</w:t>
            </w:r>
            <w:r>
              <w:rPr>
                <w:rFonts w:hint="eastAsia"/>
                <w:color w:val="000000" w:themeColor="text1"/>
                <w:sz w:val="24"/>
                <w:szCs w:val="24"/>
                <w:lang w:val="en-US" w:eastAsia="zh-CN"/>
                <w14:textFill>
                  <w14:solidFill>
                    <w14:schemeClr w14:val="tx1"/>
                  </w14:solidFill>
                </w14:textFill>
              </w:rPr>
              <w:t>化学品</w:t>
            </w:r>
            <w:r>
              <w:rPr>
                <w:rFonts w:hint="default"/>
                <w:color w:val="000000" w:themeColor="text1"/>
                <w:sz w:val="24"/>
                <w:szCs w:val="24"/>
                <w14:textFill>
                  <w14:solidFill>
                    <w14:schemeClr w14:val="tx1"/>
                  </w14:solidFill>
                </w14:textFill>
              </w:rPr>
              <w:t>仓库，危险废物经收集后暂存于危险暂存间，如化学原辅材料、危险废物由于材料缺陷、操作失误等运输、存储、使用过程出现泄漏情况，会渗漏、泄漏至地表，会对该区域大气、地表水水质、土壤造成污染。发生火灾爆炸事故时，化学原辅材料、危险废物可能随消防废水直接溢流入雨水或污水管网，从而对水环境产生不利影响。</w:t>
            </w:r>
          </w:p>
          <w:p w14:paraId="03A0CC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eastAsia" w:ascii="Times New Roman" w:hAnsi="Times New Roman" w:eastAsia="黑体" w:cs="Times New Roman"/>
                <w:color w:val="000000" w:themeColor="text1"/>
                <w:sz w:val="24"/>
                <w:szCs w:val="24"/>
                <w:lang w:val="en-US" w:eastAsia="zh-CN"/>
                <w14:textFill>
                  <w14:solidFill>
                    <w14:schemeClr w14:val="tx1"/>
                  </w14:solidFill>
                </w14:textFill>
              </w:rPr>
              <w:t>8.4</w:t>
            </w:r>
            <w:r>
              <w:rPr>
                <w:rFonts w:hint="default" w:ascii="Times New Roman" w:hAnsi="Times New Roman" w:eastAsia="黑体" w:cs="Times New Roman"/>
                <w:color w:val="000000" w:themeColor="text1"/>
                <w:sz w:val="24"/>
                <w:szCs w:val="24"/>
                <w14:textFill>
                  <w14:solidFill>
                    <w14:schemeClr w14:val="tx1"/>
                  </w14:solidFill>
                </w14:textFill>
              </w:rPr>
              <w:t>风险事故预防和处理措施</w:t>
            </w:r>
          </w:p>
          <w:p w14:paraId="06970E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（1）风险事故发生时的废气应急处理措施：</w:t>
            </w:r>
          </w:p>
          <w:p w14:paraId="0E0F0F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A.事故发生时，救援人员必须佩戴理性的防毒过滤面具，同时穿好工作服，迅速判明事故当时的风向，向上风向撤离，尽可能向侧、逆风向转移。</w:t>
            </w:r>
          </w:p>
          <w:p w14:paraId="06933A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B.发生火灾时，应及时采取相应的灭火措施并疏散厂内员工，必要时启动突发事故应急预案，及时疏散周围的居民，应急救援后产生的废物委托有资质的单位处理。</w:t>
            </w:r>
          </w:p>
          <w:p w14:paraId="3EB032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C.事故发生后，相关部门要制定污染监测计划，对可能污染进行监测，根据现场监测结果，确定被转移、疏散群众返回时间，直至无异常方可停止监测工作。</w:t>
            </w:r>
          </w:p>
          <w:p w14:paraId="0119CE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（2）火灾爆炸风险防范措施</w:t>
            </w:r>
          </w:p>
          <w:p w14:paraId="70ED08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本项目发生燃烧后主要次生污染物为燃烧废气、消防废水等，建议采取如下措施：</w:t>
            </w:r>
          </w:p>
          <w:p w14:paraId="6DB0EE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A.在厂区周围及各附属建筑物内配置一定数量的手提式干粉灭火器等消防设施，以扑灭初起零星火灾；</w:t>
            </w:r>
          </w:p>
          <w:p w14:paraId="575095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B.在车间和原料间的明显位置张贴禁用明火的告示</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油漆仓库和车间内应设置移动式泡沫灭火器；</w:t>
            </w:r>
          </w:p>
          <w:p w14:paraId="5EBEFC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C.油漆、稀释剂等化学原辅料密封储存，并在桶上注明物质的名称、危险特性、安全使用说明以及事故应对措施等内容，加强监督巡查，搬运和装卸时，应轻拿轻放，防止撞击溢出。</w:t>
            </w:r>
          </w:p>
          <w:p w14:paraId="7F0F2A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（3）风险事故发生时的废水应急处理措施：</w:t>
            </w:r>
          </w:p>
          <w:p w14:paraId="716A73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A.设立相关突发环境事故应急处理组织机构，建立健全的公司突发环境事故应急组织机构。</w:t>
            </w:r>
          </w:p>
          <w:p w14:paraId="16BD24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B.事故发生后，及时转移、撤离或者疏散可能受到危害的人员，并进行妥善安置。</w:t>
            </w:r>
          </w:p>
          <w:p w14:paraId="751A89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C.车间地面、油漆仓库必须作水泥硬底化防渗处理，厂区内设有事故应急池，可以收集事故状态下泄漏的物料，危废暂存间应做好防渗措施，发生火灾时，事故废水不会通过地面渗入地下而污染地下水。</w:t>
            </w:r>
          </w:p>
          <w:p w14:paraId="675ABA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（4）危废暂存间风险防范措施</w:t>
            </w:r>
          </w:p>
          <w:p w14:paraId="1D560C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危险废物应密封储存，加强监督巡查，定期检查危险废物包装、储存等安全状态；危废暂存间地面应作防腐、防渗、防漏处理，并在危废暂存间存放危险废物的位置周围设置截流沟或围堰，确保发生事故时，泄漏的危险废物及清洗时产生的废水能完全被收集。</w:t>
            </w:r>
          </w:p>
          <w:p w14:paraId="45FBEB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eastAsia" w:ascii="Times New Roman" w:hAnsi="Times New Roman" w:eastAsia="黑体" w:cs="Times New Roman"/>
                <w:color w:val="000000" w:themeColor="text1"/>
                <w:sz w:val="24"/>
                <w:szCs w:val="24"/>
                <w:lang w:val="en-US" w:eastAsia="zh-CN"/>
                <w14:textFill>
                  <w14:solidFill>
                    <w14:schemeClr w14:val="tx1"/>
                  </w14:solidFill>
                </w14:textFill>
              </w:rPr>
              <w:t>8.5</w:t>
            </w:r>
            <w:r>
              <w:rPr>
                <w:rFonts w:hint="default" w:ascii="Times New Roman" w:hAnsi="Times New Roman" w:eastAsia="黑体" w:cs="Times New Roman"/>
                <w:color w:val="000000" w:themeColor="text1"/>
                <w:sz w:val="24"/>
                <w:szCs w:val="24"/>
                <w14:textFill>
                  <w14:solidFill>
                    <w14:schemeClr w14:val="tx1"/>
                  </w14:solidFill>
                </w14:textFill>
              </w:rPr>
              <w:t xml:space="preserve"> 分析结论</w:t>
            </w:r>
          </w:p>
          <w:p w14:paraId="1B96A5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综上所述，项目应严格落实上述措施，做好防火和消防措施。同时，项目应制定应急预案，配备必备的消防应急工具和卫生防护急救设备，加强防火安全教育，以便采取更有效的措施来监测灾情及防护火灾事故的进一步扩散。在采取有效的风险防范措施后，项目环境风险水平可以接受。</w:t>
            </w:r>
          </w:p>
          <w:p w14:paraId="6953D2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u w:val="single"/>
                <w:vertAlign w:val="baseline"/>
                <w14:textFill>
                  <w14:solidFill>
                    <w14:schemeClr w14:val="tx1"/>
                  </w14:solidFill>
                </w14:textFill>
              </w:rPr>
            </w:pPr>
            <w:r>
              <w:rPr>
                <w:rFonts w:hint="eastAsia" w:eastAsia="黑体" w:cs="Times New Roman"/>
                <w:b w:val="0"/>
                <w:bCs w:val="0"/>
                <w:color w:val="000000" w:themeColor="text1"/>
                <w:u w:val="single"/>
                <w:vertAlign w:val="baseline"/>
                <w:lang w:val="en-US" w:eastAsia="zh-CN"/>
                <w14:textFill>
                  <w14:solidFill>
                    <w14:schemeClr w14:val="tx1"/>
                  </w14:solidFill>
                </w14:textFill>
              </w:rPr>
              <w:t>9.</w:t>
            </w:r>
            <w:r>
              <w:rPr>
                <w:rFonts w:hint="default" w:ascii="Times New Roman" w:hAnsi="Times New Roman" w:eastAsia="黑体" w:cs="Times New Roman"/>
                <w:b w:val="0"/>
                <w:bCs w:val="0"/>
                <w:color w:val="000000" w:themeColor="text1"/>
                <w:u w:val="single"/>
                <w:vertAlign w:val="baseline"/>
                <w14:textFill>
                  <w14:solidFill>
                    <w14:schemeClr w14:val="tx1"/>
                  </w14:solidFill>
                </w14:textFill>
              </w:rPr>
              <w:t>环境管理制度</w:t>
            </w:r>
          </w:p>
          <w:p w14:paraId="705A77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环境管理是企业管理的重要内容之一，在企业环境保护工作中有着举足轻重的地位。加大环境监督和管理力度是企业实现环境、生产、经济协调发展的重要措施，也是企业实现可持续发展的重要保障。环境监测是工业污染防治的依据和环境管理的基础，加强污染监控是企业及时了解和掌握排污特征，研究污染发展趋势，开展环境保护技术研究、综合利用能源和及时了解污染控制措施的效果的重要途径，是监督企业环保设施正常运行的基础，也是确保污染物排放达标的可靠保证。</w:t>
            </w:r>
          </w:p>
          <w:p w14:paraId="2E759C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企业除了确保并维持建设配套的末端污染治理措施正常运行外，还应将清洁生产的指导思想贯穿整个生产过程之中，并注意各个生产环节的环境管理，减轻末端治理的压力。因此，建设单位应更好的监控环保设施的运行情况，通过制定全面的企业环境管理计划，尽可能削减项目生产运行期对环境造成的不良影响，以确保企业环境保护的制度化和系统化，确保企业可持续发展。</w:t>
            </w:r>
          </w:p>
          <w:p w14:paraId="2DB87F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（1）环境管理机构</w:t>
            </w:r>
          </w:p>
          <w:p w14:paraId="7C5CDB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项目需成立安环部。设置2～3名专职环保管理人员。负责公司的环境管理以及对外的环保协调工作，履行环境管理职责和环境监控职责。具体职责如下：</w:t>
            </w:r>
          </w:p>
          <w:p w14:paraId="6718CC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a.贯彻执行环境保护法规和标准；</w:t>
            </w:r>
          </w:p>
          <w:p w14:paraId="4AC3B4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b.建立各种环境管理制度，并经常检查监督；</w:t>
            </w:r>
          </w:p>
          <w:p w14:paraId="25666E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c.编制项目环境保护规划并组织实施；</w:t>
            </w:r>
          </w:p>
          <w:p w14:paraId="48DA15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d.领导并组织实施项目的环境监测工作，建立监控档案；</w:t>
            </w:r>
          </w:p>
          <w:p w14:paraId="25999B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e.抓好环境教育和技术培训工作，提高员工素质；</w:t>
            </w:r>
          </w:p>
          <w:p w14:paraId="1082E1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f.建立项目有关污染物排放和环保设施运转的规章制度；</w:t>
            </w:r>
          </w:p>
          <w:p w14:paraId="7308D5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g.负责日常环境管理工作，并配合环保管理部门做好与其他社会各界有关环保问题的协调工作；</w:t>
            </w:r>
          </w:p>
          <w:p w14:paraId="5BC843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h.制定突发性事故的应急处理方案并参与突发性事故的应急处理工作；</w:t>
            </w:r>
          </w:p>
          <w:p w14:paraId="07E3FF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i.定期检查监督环保法规执行情况，及时和有关部门联系落实各方面的环保措施，使之正常运行。</w:t>
            </w:r>
          </w:p>
          <w:p w14:paraId="00C9F7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（2）环境管理制度</w:t>
            </w:r>
          </w:p>
          <w:p w14:paraId="5EC313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a.在项目筹备、实施和建设阶段，应严格执行“三同时”，确保各三废处理等环保设施能够和生产工艺“同时设计、同时施工、同时投产使用”。</w:t>
            </w:r>
          </w:p>
          <w:p w14:paraId="3DEFE8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b.要定期向当地环保部门报告污染治理设施运行情况，污染物排放情况以及污染事故、污染纠纷等情况。企业排污发生重大变化、污染治理设施改变或企业改、扩建等都必须向当地环保部门申报，改、扩建项目必须按《建设项目环境保护管理条例》，报请有审批权限的环保部门审批，经审批同意后方可实施。</w:t>
            </w:r>
          </w:p>
          <w:p w14:paraId="028E2A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c.本项目建成后，必须确保污染处理设施长期、稳定、有效地运行，不得擅自拆除或者闲置污染处理设施，不得故意不正常使用污染处理设施。</w:t>
            </w:r>
          </w:p>
          <w:p w14:paraId="6B9E84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污染处理设施的管理必须与生产经营活动一起纳入企事业单位日常管理工作的范畴，落实责任人、操作人员、维修人员、运行经费、设备的备品备件、化学药品和其他原辅材料。同时要建立岗位责任制、操作规程和管理台账， 设置专门的管理人员并建立规范的台账记录，要求有纸质和电子台账，并保留三年。企业应制定并逐步完善对各类生产和消防安全事故的环保处置预案、建设环保应急处置设施。报当地环保局备案，并定期组织演练。</w:t>
            </w:r>
          </w:p>
          <w:p w14:paraId="40B96D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d.企业应加强宣传教育，提高员工的污染隐患意识和环境风险意识；制定员工参与环保技术培训的计划，提高员工技术素质水平；设立岗位负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00305E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e.建设单位应将固废的实际产生、贮存、利用、处置等情况纳入生产记录，建立固废管理台账和企业内部产生和收集、贮存、转移等部门固废交接制度。</w:t>
            </w:r>
          </w:p>
          <w:p w14:paraId="2D3DB6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（3）固废交接管理制度</w:t>
            </w:r>
          </w:p>
          <w:p w14:paraId="66BF1F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a.运输司机回厂称重后，及时将称重单交予库管员。</w:t>
            </w:r>
          </w:p>
          <w:p w14:paraId="3FA775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b.库管员收到固废称重单后，核对固废种类、数量。</w:t>
            </w:r>
          </w:p>
          <w:p w14:paraId="46B8F8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c.每天进</w:t>
            </w:r>
            <w:r>
              <w:rPr>
                <w:rFonts w:hint="eastAsia"/>
                <w:color w:val="000000" w:themeColor="text1"/>
                <w:u w:val="single"/>
                <w:vertAlign w:val="baseline"/>
                <w:lang w:val="en-US" w:eastAsia="zh-CN"/>
                <w14:textFill>
                  <w14:solidFill>
                    <w14:schemeClr w14:val="tx1"/>
                  </w14:solidFill>
                </w14:textFill>
              </w:rPr>
              <w:t>库</w:t>
            </w:r>
            <w:r>
              <w:rPr>
                <w:rFonts w:hint="eastAsia"/>
                <w:color w:val="000000" w:themeColor="text1"/>
                <w:u w:val="single"/>
                <w:vertAlign w:val="baseline"/>
                <w14:textFill>
                  <w14:solidFill>
                    <w14:schemeClr w14:val="tx1"/>
                  </w14:solidFill>
                </w14:textFill>
              </w:rPr>
              <w:t>的废弃物，库管员将称重单于第二日早上交与财务部对账人员；将当天的处理量及进厂量的统计数据于第二日早上报与财务部对账人员。</w:t>
            </w:r>
          </w:p>
          <w:p w14:paraId="44AC4D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d.库管员根据与市场部人员核对后的数量对固废入库登记，填写固废的台账。</w:t>
            </w:r>
          </w:p>
          <w:p w14:paraId="53BCAC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e.库管员和转运人员应该在出库单上签字。</w:t>
            </w:r>
          </w:p>
          <w:p w14:paraId="35A842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f.对当天出库的固废做好出库记录，定期对库区内存放的固废进行统计：数量、种类、运输日期、产废单位。</w:t>
            </w:r>
          </w:p>
          <w:p w14:paraId="2B9578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u w:val="single"/>
                <w:vertAlign w:val="baseline"/>
                <w14:textFill>
                  <w14:solidFill>
                    <w14:schemeClr w14:val="tx1"/>
                  </w14:solidFill>
                </w14:textFill>
              </w:rPr>
            </w:pPr>
            <w:r>
              <w:rPr>
                <w:rFonts w:hint="eastAsia"/>
                <w:color w:val="000000" w:themeColor="text1"/>
                <w:u w:val="single"/>
                <w:vertAlign w:val="baseline"/>
                <w14:textFill>
                  <w14:solidFill>
                    <w14:schemeClr w14:val="tx1"/>
                  </w14:solidFill>
                </w14:textFill>
              </w:rPr>
              <w:t>g.严禁将不明成分物质废物入库储存。</w:t>
            </w:r>
          </w:p>
          <w:p w14:paraId="01AD9D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pPr>
            <w:r>
              <w:rPr>
                <w:rFonts w:hint="eastAsia" w:eastAsia="黑体" w:cs="Times New Roman"/>
                <w:b w:val="0"/>
                <w:bCs w:val="0"/>
                <w:color w:val="000000" w:themeColor="text1"/>
                <w:u w:val="single"/>
                <w:vertAlign w:val="baseline"/>
                <w:lang w:val="en-US" w:eastAsia="zh-CN"/>
                <w14:textFill>
                  <w14:solidFill>
                    <w14:schemeClr w14:val="tx1"/>
                  </w14:solidFill>
                </w14:textFill>
              </w:rPr>
              <w:t>10.</w:t>
            </w:r>
            <w:r>
              <w:rPr>
                <w:rFonts w:hint="eastAsia" w:ascii="Times New Roman" w:hAnsi="Times New Roman" w:eastAsia="黑体" w:cs="Times New Roman"/>
                <w:b w:val="0"/>
                <w:bCs w:val="0"/>
                <w:color w:val="000000" w:themeColor="text1"/>
                <w:u w:val="single"/>
                <w:vertAlign w:val="baseline"/>
                <w:lang w:val="en-US" w:eastAsia="zh-CN"/>
                <w14:textFill>
                  <w14:solidFill>
                    <w14:schemeClr w14:val="tx1"/>
                  </w14:solidFill>
                </w14:textFill>
              </w:rPr>
              <w:t>项目环保投资及“三同时”</w:t>
            </w:r>
          </w:p>
          <w:p w14:paraId="6284F7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本项目总投资100万元，其中环保投资约20万元，约占总投资的20%，在建设单位可承受范围内，同时有效降低对环境的影响，产生较好经济效益本项目环保治理措施在经济上是可行的。</w:t>
            </w:r>
          </w:p>
          <w:p w14:paraId="10A775B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本项目环保投资及“三同时”环境保护验收情况见下表4-20。</w:t>
            </w:r>
          </w:p>
          <w:p w14:paraId="6CFDD5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p>
          <w:p w14:paraId="405B6E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表4-</w:t>
            </w:r>
            <w:r>
              <w:rPr>
                <w:rFonts w:hint="eastAsia" w:eastAsia="黑体" w:cs="Times New Roman"/>
                <w:color w:val="000000" w:themeColor="text1"/>
                <w:sz w:val="21"/>
                <w:szCs w:val="21"/>
                <w:u w:val="single"/>
                <w:lang w:val="en-US" w:eastAsia="zh-CN"/>
                <w14:textFill>
                  <w14:solidFill>
                    <w14:schemeClr w14:val="tx1"/>
                  </w14:solidFill>
                </w14:textFill>
              </w:rPr>
              <w:t>20</w:t>
            </w: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 xml:space="preserve"> 本项目环保投资及“三同时”环境保护验收内容一览表</w:t>
            </w:r>
          </w:p>
          <w:tbl>
            <w:tblPr>
              <w:tblStyle w:val="7"/>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431"/>
              <w:gridCol w:w="1984"/>
              <w:gridCol w:w="1027"/>
              <w:gridCol w:w="3162"/>
            </w:tblGrid>
            <w:tr w14:paraId="729E8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shd w:val="clear" w:color="auto" w:fill="auto"/>
                  <w:noWrap w:val="0"/>
                  <w:vAlign w:val="center"/>
                </w:tcPr>
                <w:p w14:paraId="382C36B3">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项目</w:t>
                  </w:r>
                </w:p>
              </w:tc>
              <w:tc>
                <w:tcPr>
                  <w:tcW w:w="865" w:type="pct"/>
                  <w:tcBorders>
                    <w:tl2br w:val="nil"/>
                    <w:tr2bl w:val="nil"/>
                  </w:tcBorders>
                  <w:shd w:val="clear" w:color="auto" w:fill="auto"/>
                  <w:noWrap w:val="0"/>
                  <w:vAlign w:val="center"/>
                </w:tcPr>
                <w:p w14:paraId="05854653">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内容</w:t>
                  </w:r>
                </w:p>
              </w:tc>
              <w:tc>
                <w:tcPr>
                  <w:tcW w:w="1199" w:type="pct"/>
                  <w:tcBorders>
                    <w:tl2br w:val="nil"/>
                    <w:tr2bl w:val="nil"/>
                  </w:tcBorders>
                  <w:shd w:val="clear" w:color="auto" w:fill="auto"/>
                  <w:noWrap w:val="0"/>
                  <w:vAlign w:val="center"/>
                </w:tcPr>
                <w:p w14:paraId="16A6D146">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防治措施</w:t>
                  </w:r>
                </w:p>
              </w:tc>
              <w:tc>
                <w:tcPr>
                  <w:tcW w:w="620" w:type="pct"/>
                  <w:tcBorders>
                    <w:tl2br w:val="nil"/>
                    <w:tr2bl w:val="nil"/>
                  </w:tcBorders>
                  <w:shd w:val="clear" w:color="auto" w:fill="auto"/>
                  <w:noWrap w:val="0"/>
                  <w:vAlign w:val="center"/>
                </w:tcPr>
                <w:p w14:paraId="4E12CD69">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投资</w:t>
                  </w:r>
                </w:p>
                <w:p w14:paraId="41024BEF">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（万元）</w:t>
                  </w:r>
                </w:p>
              </w:tc>
              <w:tc>
                <w:tcPr>
                  <w:tcW w:w="1911" w:type="pct"/>
                  <w:tcBorders>
                    <w:tl2br w:val="nil"/>
                    <w:tr2bl w:val="nil"/>
                  </w:tcBorders>
                  <w:shd w:val="clear" w:color="auto" w:fill="auto"/>
                  <w:noWrap w:val="0"/>
                  <w:vAlign w:val="center"/>
                </w:tcPr>
                <w:p w14:paraId="2B6243F8">
                  <w:pPr>
                    <w:bidi w:val="0"/>
                    <w:spacing w:line="240" w:lineRule="auto"/>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验收</w:t>
                  </w: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要求</w:t>
                  </w:r>
                </w:p>
              </w:tc>
            </w:tr>
            <w:tr w14:paraId="65E77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2" w:type="pct"/>
                  <w:tcBorders>
                    <w:tl2br w:val="nil"/>
                    <w:tr2bl w:val="nil"/>
                  </w:tcBorders>
                  <w:noWrap w:val="0"/>
                  <w:vAlign w:val="center"/>
                </w:tcPr>
                <w:p w14:paraId="2AE4F090">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废气</w:t>
                  </w:r>
                </w:p>
              </w:tc>
              <w:tc>
                <w:tcPr>
                  <w:tcW w:w="865" w:type="pct"/>
                  <w:tcBorders>
                    <w:tl2br w:val="nil"/>
                    <w:tr2bl w:val="nil"/>
                  </w:tcBorders>
                  <w:noWrap w:val="0"/>
                  <w:vAlign w:val="center"/>
                </w:tcPr>
                <w:p w14:paraId="1E74AB5F">
                  <w:pPr>
                    <w:bidi w:val="0"/>
                    <w:spacing w:line="240" w:lineRule="auto"/>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调漆、上漆、晾干废气</w:t>
                  </w:r>
                </w:p>
              </w:tc>
              <w:tc>
                <w:tcPr>
                  <w:tcW w:w="1199" w:type="pct"/>
                  <w:tcBorders>
                    <w:tl2br w:val="nil"/>
                    <w:tr2bl w:val="nil"/>
                  </w:tcBorders>
                  <w:noWrap w:val="0"/>
                  <w:vAlign w:val="center"/>
                </w:tcPr>
                <w:p w14:paraId="6C180414">
                  <w:pPr>
                    <w:bidi w:val="0"/>
                    <w:spacing w:line="240" w:lineRule="auto"/>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上漆房密闭+负压收集+二级活性炭吸附装置</w:t>
                  </w:r>
                </w:p>
              </w:tc>
              <w:tc>
                <w:tcPr>
                  <w:tcW w:w="620" w:type="pct"/>
                  <w:tcBorders>
                    <w:tl2br w:val="nil"/>
                    <w:tr2bl w:val="nil"/>
                  </w:tcBorders>
                  <w:noWrap w:val="0"/>
                  <w:vAlign w:val="center"/>
                </w:tcPr>
                <w:p w14:paraId="688CE48F">
                  <w:pPr>
                    <w:bidi w:val="0"/>
                    <w:spacing w:line="240" w:lineRule="auto"/>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17</w:t>
                  </w:r>
                </w:p>
              </w:tc>
              <w:tc>
                <w:tcPr>
                  <w:tcW w:w="1911" w:type="pct"/>
                  <w:tcBorders>
                    <w:tl2br w:val="nil"/>
                    <w:tr2bl w:val="nil"/>
                  </w:tcBorders>
                  <w:noWrap w:val="0"/>
                  <w:vAlign w:val="center"/>
                </w:tcPr>
                <w:p w14:paraId="56ED34BF">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二甲苯、</w:t>
                  </w:r>
                  <w:r>
                    <w:rPr>
                      <w:rFonts w:hint="eastAsia" w:cs="Times New Roman"/>
                      <w:color w:val="000000" w:themeColor="text1"/>
                      <w:sz w:val="21"/>
                      <w:szCs w:val="21"/>
                      <w:u w:val="single"/>
                      <w:lang w:val="en-US" w:eastAsia="zh-CN"/>
                      <w14:textFill>
                        <w14:solidFill>
                          <w14:schemeClr w14:val="tx1"/>
                        </w14:solidFill>
                      </w14:textFill>
                    </w:rPr>
                    <w:t>非甲烷总烃有组织排放</w:t>
                  </w:r>
                  <w:r>
                    <w:rPr>
                      <w:rFonts w:hint="default" w:ascii="Times New Roman" w:hAnsi="Times New Roman" w:eastAsia="宋体" w:cs="Times New Roman"/>
                      <w:color w:val="000000" w:themeColor="text1"/>
                      <w:sz w:val="21"/>
                      <w:szCs w:val="21"/>
                      <w:u w:val="single"/>
                      <w14:textFill>
                        <w14:solidFill>
                          <w14:schemeClr w14:val="tx1"/>
                        </w14:solidFill>
                      </w14:textFill>
                    </w:rPr>
                    <w:t>执行《表面涂装（汽车制造及维修）挥发性有机物、镍排放标准》（DB43/1356-2017）表1中标准限值；厂界二甲苯、非甲烷总烃无组织排放执行《大气污染物排放综合排放标准》（GB16297-1996）表2中无组织排放浓度监控限值。</w:t>
                  </w:r>
                </w:p>
              </w:tc>
            </w:tr>
            <w:tr w14:paraId="1B8B5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2" w:type="pct"/>
                  <w:vMerge w:val="restart"/>
                  <w:tcBorders>
                    <w:tl2br w:val="nil"/>
                    <w:tr2bl w:val="nil"/>
                  </w:tcBorders>
                  <w:noWrap w:val="0"/>
                  <w:vAlign w:val="center"/>
                </w:tcPr>
                <w:p w14:paraId="08FBAF86">
                  <w:pPr>
                    <w:bidi w:val="0"/>
                    <w:spacing w:line="240" w:lineRule="auto"/>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固废</w:t>
                  </w:r>
                </w:p>
              </w:tc>
              <w:tc>
                <w:tcPr>
                  <w:tcW w:w="865" w:type="pct"/>
                  <w:tcBorders>
                    <w:tl2br w:val="nil"/>
                    <w:tr2bl w:val="nil"/>
                  </w:tcBorders>
                  <w:noWrap w:val="0"/>
                  <w:vAlign w:val="center"/>
                </w:tcPr>
                <w:p w14:paraId="2A308766">
                  <w:pPr>
                    <w:bidi w:val="0"/>
                    <w:spacing w:line="240" w:lineRule="auto"/>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废溶剂桶</w:t>
                  </w:r>
                </w:p>
              </w:tc>
              <w:tc>
                <w:tcPr>
                  <w:tcW w:w="1199" w:type="pct"/>
                  <w:vMerge w:val="restart"/>
                  <w:tcBorders>
                    <w:tl2br w:val="nil"/>
                    <w:tr2bl w:val="nil"/>
                  </w:tcBorders>
                  <w:noWrap w:val="0"/>
                  <w:vAlign w:val="center"/>
                </w:tcPr>
                <w:p w14:paraId="399B3F64">
                  <w:pPr>
                    <w:bidi w:val="0"/>
                    <w:spacing w:line="240" w:lineRule="auto"/>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经分类收集后交由有危险废物处理资质单位进行处理</w:t>
                  </w:r>
                </w:p>
              </w:tc>
              <w:tc>
                <w:tcPr>
                  <w:tcW w:w="620" w:type="pct"/>
                  <w:vMerge w:val="restart"/>
                  <w:tcBorders>
                    <w:tl2br w:val="nil"/>
                    <w:tr2bl w:val="nil"/>
                  </w:tcBorders>
                  <w:noWrap w:val="0"/>
                  <w:vAlign w:val="center"/>
                </w:tcPr>
                <w:p w14:paraId="40C6F0E6">
                  <w:pPr>
                    <w:bidi w:val="0"/>
                    <w:spacing w:line="240" w:lineRule="auto"/>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2</w:t>
                  </w:r>
                </w:p>
              </w:tc>
              <w:tc>
                <w:tcPr>
                  <w:tcW w:w="1911" w:type="pct"/>
                  <w:vMerge w:val="restart"/>
                  <w:tcBorders>
                    <w:tl2br w:val="nil"/>
                    <w:tr2bl w:val="nil"/>
                  </w:tcBorders>
                  <w:noWrap w:val="0"/>
                  <w:vAlign w:val="center"/>
                </w:tcPr>
                <w:p w14:paraId="58C63BD8">
                  <w:pPr>
                    <w:bidi w:val="0"/>
                    <w:spacing w:line="240" w:lineRule="auto"/>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符合相关环保要求</w:t>
                  </w:r>
                </w:p>
              </w:tc>
            </w:tr>
            <w:tr w14:paraId="600C8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402" w:type="pct"/>
                  <w:vMerge w:val="continue"/>
                  <w:tcBorders>
                    <w:tl2br w:val="nil"/>
                    <w:tr2bl w:val="nil"/>
                  </w:tcBorders>
                  <w:noWrap w:val="0"/>
                  <w:vAlign w:val="center"/>
                </w:tcPr>
                <w:p w14:paraId="1027D656">
                  <w:pPr>
                    <w:bidi w:val="0"/>
                    <w:spacing w:line="240" w:lineRule="auto"/>
                    <w:jc w:val="center"/>
                    <w:rPr>
                      <w:rFonts w:hint="eastAsia" w:cs="Times New Roman"/>
                      <w:color w:val="000000" w:themeColor="text1"/>
                      <w:sz w:val="21"/>
                      <w:szCs w:val="21"/>
                      <w:u w:val="single"/>
                      <w:lang w:val="en-US" w:eastAsia="zh-CN"/>
                      <w14:textFill>
                        <w14:solidFill>
                          <w14:schemeClr w14:val="tx1"/>
                        </w14:solidFill>
                      </w14:textFill>
                    </w:rPr>
                  </w:pPr>
                </w:p>
              </w:tc>
              <w:tc>
                <w:tcPr>
                  <w:tcW w:w="865" w:type="pct"/>
                  <w:tcBorders>
                    <w:tl2br w:val="nil"/>
                    <w:tr2bl w:val="nil"/>
                  </w:tcBorders>
                  <w:noWrap w:val="0"/>
                  <w:vAlign w:val="center"/>
                </w:tcPr>
                <w:p w14:paraId="2AABE949">
                  <w:pPr>
                    <w:bidi w:val="0"/>
                    <w:spacing w:line="240" w:lineRule="auto"/>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废活性炭</w:t>
                  </w:r>
                </w:p>
              </w:tc>
              <w:tc>
                <w:tcPr>
                  <w:tcW w:w="1199" w:type="pct"/>
                  <w:vMerge w:val="continue"/>
                  <w:tcBorders>
                    <w:tl2br w:val="nil"/>
                    <w:tr2bl w:val="nil"/>
                  </w:tcBorders>
                  <w:noWrap w:val="0"/>
                  <w:vAlign w:val="center"/>
                </w:tcPr>
                <w:p w14:paraId="59CC9212">
                  <w:pPr>
                    <w:bidi w:val="0"/>
                    <w:spacing w:line="240" w:lineRule="auto"/>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p>
              </w:tc>
              <w:tc>
                <w:tcPr>
                  <w:tcW w:w="620" w:type="pct"/>
                  <w:vMerge w:val="continue"/>
                  <w:tcBorders>
                    <w:tl2br w:val="nil"/>
                    <w:tr2bl w:val="nil"/>
                  </w:tcBorders>
                  <w:noWrap w:val="0"/>
                  <w:vAlign w:val="center"/>
                </w:tcPr>
                <w:p w14:paraId="41ACACA3">
                  <w:pPr>
                    <w:bidi w:val="0"/>
                    <w:spacing w:line="240" w:lineRule="auto"/>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p>
              </w:tc>
              <w:tc>
                <w:tcPr>
                  <w:tcW w:w="1911" w:type="pct"/>
                  <w:vMerge w:val="continue"/>
                  <w:tcBorders>
                    <w:tl2br w:val="nil"/>
                    <w:tr2bl w:val="nil"/>
                  </w:tcBorders>
                  <w:noWrap w:val="0"/>
                  <w:vAlign w:val="center"/>
                </w:tcPr>
                <w:p w14:paraId="2DADC316">
                  <w:pPr>
                    <w:bidi w:val="0"/>
                    <w:spacing w:line="240" w:lineRule="auto"/>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p>
              </w:tc>
            </w:tr>
            <w:tr w14:paraId="3D4E5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402" w:type="pct"/>
                  <w:tcBorders>
                    <w:tl2br w:val="nil"/>
                    <w:tr2bl w:val="nil"/>
                  </w:tcBorders>
                  <w:noWrap w:val="0"/>
                  <w:vAlign w:val="center"/>
                </w:tcPr>
                <w:p w14:paraId="335AB72E">
                  <w:pPr>
                    <w:bidi w:val="0"/>
                    <w:spacing w:line="240" w:lineRule="auto"/>
                    <w:ind w:firstLine="0" w:firstLineChars="0"/>
                    <w:jc w:val="center"/>
                    <w:rPr>
                      <w:rFonts w:hint="eastAsia"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噪声</w:t>
                  </w:r>
                </w:p>
              </w:tc>
              <w:tc>
                <w:tcPr>
                  <w:tcW w:w="865" w:type="pct"/>
                  <w:tcBorders>
                    <w:tl2br w:val="nil"/>
                    <w:tr2bl w:val="nil"/>
                  </w:tcBorders>
                  <w:noWrap w:val="0"/>
                  <w:vAlign w:val="center"/>
                </w:tcPr>
                <w:p w14:paraId="2CA35916">
                  <w:pPr>
                    <w:bidi w:val="0"/>
                    <w:spacing w:line="240" w:lineRule="auto"/>
                    <w:ind w:firstLine="0" w:firstLineChars="0"/>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设备运行</w:t>
                  </w:r>
                </w:p>
              </w:tc>
              <w:tc>
                <w:tcPr>
                  <w:tcW w:w="1199" w:type="pct"/>
                  <w:tcBorders>
                    <w:tl2br w:val="nil"/>
                    <w:tr2bl w:val="nil"/>
                  </w:tcBorders>
                  <w:noWrap w:val="0"/>
                  <w:vAlign w:val="center"/>
                </w:tcPr>
                <w:p w14:paraId="36115F6D">
                  <w:pPr>
                    <w:bidi w:val="0"/>
                    <w:spacing w:line="240" w:lineRule="auto"/>
                    <w:ind w:firstLine="0" w:firstLineChars="0"/>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合理布局、隔声、吸声、减震等措施，以及墙体隔声</w:t>
                  </w:r>
                </w:p>
              </w:tc>
              <w:tc>
                <w:tcPr>
                  <w:tcW w:w="620" w:type="pct"/>
                  <w:tcBorders>
                    <w:tl2br w:val="nil"/>
                    <w:tr2bl w:val="nil"/>
                  </w:tcBorders>
                  <w:noWrap w:val="0"/>
                  <w:vAlign w:val="center"/>
                </w:tcPr>
                <w:p w14:paraId="70D6D678">
                  <w:pPr>
                    <w:bidi w:val="0"/>
                    <w:spacing w:line="240" w:lineRule="auto"/>
                    <w:ind w:firstLine="0" w:firstLineChars="0"/>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1</w:t>
                  </w:r>
                </w:p>
              </w:tc>
              <w:tc>
                <w:tcPr>
                  <w:tcW w:w="1911" w:type="pct"/>
                  <w:tcBorders>
                    <w:tl2br w:val="nil"/>
                    <w:tr2bl w:val="nil"/>
                  </w:tcBorders>
                  <w:noWrap w:val="0"/>
                  <w:vAlign w:val="center"/>
                </w:tcPr>
                <w:p w14:paraId="6AA3438C">
                  <w:pPr>
                    <w:bidi w:val="0"/>
                    <w:spacing w:line="240" w:lineRule="auto"/>
                    <w:ind w:firstLine="0" w:firstLineChars="0"/>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《工业企业厂界环境噪声排放标准》（GB12348-2008）</w:t>
                  </w: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类标准</w:t>
                  </w:r>
                </w:p>
              </w:tc>
            </w:tr>
            <w:tr w14:paraId="6FEDF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7" w:type="pct"/>
                  <w:gridSpan w:val="3"/>
                  <w:tcBorders>
                    <w:tl2br w:val="nil"/>
                    <w:tr2bl w:val="nil"/>
                  </w:tcBorders>
                  <w:noWrap w:val="0"/>
                  <w:vAlign w:val="center"/>
                </w:tcPr>
                <w:p w14:paraId="0035400E">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合计</w:t>
                  </w:r>
                </w:p>
              </w:tc>
              <w:tc>
                <w:tcPr>
                  <w:tcW w:w="620" w:type="pct"/>
                  <w:tcBorders>
                    <w:tl2br w:val="nil"/>
                    <w:tr2bl w:val="nil"/>
                  </w:tcBorders>
                  <w:noWrap w:val="0"/>
                  <w:vAlign w:val="center"/>
                </w:tcPr>
                <w:p w14:paraId="6836A8A3">
                  <w:pPr>
                    <w:bidi w:val="0"/>
                    <w:spacing w:line="240" w:lineRule="auto"/>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t>20</w:t>
                  </w:r>
                </w:p>
              </w:tc>
              <w:tc>
                <w:tcPr>
                  <w:tcW w:w="1911" w:type="pct"/>
                  <w:tcBorders>
                    <w:tl2br w:val="nil"/>
                    <w:tr2bl w:val="nil"/>
                  </w:tcBorders>
                  <w:noWrap w:val="0"/>
                  <w:vAlign w:val="center"/>
                </w:tcPr>
                <w:p w14:paraId="608E6F80">
                  <w:pPr>
                    <w:bidi w:val="0"/>
                    <w:spacing w:line="240" w:lineRule="auto"/>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w:t>
                  </w:r>
                </w:p>
              </w:tc>
            </w:tr>
          </w:tbl>
          <w:p w14:paraId="545DA7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u w:val="single"/>
                <w14:textFill>
                  <w14:solidFill>
                    <w14:schemeClr w14:val="tx1"/>
                  </w14:solidFill>
                </w14:textFill>
              </w:rPr>
            </w:pPr>
            <w:r>
              <w:rPr>
                <w:rFonts w:hint="default"/>
                <w:color w:val="000000" w:themeColor="text1"/>
                <w:u w:val="single"/>
                <w14:textFill>
                  <w14:solidFill>
                    <w14:schemeClr w14:val="tx1"/>
                  </w14:solidFill>
                </w14:textFill>
              </w:rPr>
              <w:t>建设单位应严格按照国家“三同时”政策及时做好有关工作，保证环保工程与主体工程同时设计、同时施工、同时投入使用，切实履行本评价所提出的各项污染防治对策与建议，保证做到各污染物达标排放。</w:t>
            </w:r>
          </w:p>
          <w:p w14:paraId="330C7A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黑体" w:cs="Times New Roman"/>
                <w:color w:val="000000" w:themeColor="text1"/>
                <w:u w:val="single"/>
                <w14:textFill>
                  <w14:solidFill>
                    <w14:schemeClr w14:val="tx1"/>
                  </w14:solidFill>
                </w14:textFill>
              </w:rPr>
            </w:pPr>
            <w:r>
              <w:rPr>
                <w:rFonts w:hint="default" w:ascii="Times New Roman" w:hAnsi="Times New Roman" w:eastAsia="黑体" w:cs="Times New Roman"/>
                <w:color w:val="000000" w:themeColor="text1"/>
                <w:u w:val="single"/>
                <w:lang w:val="en-US" w:eastAsia="zh-CN"/>
                <w14:textFill>
                  <w14:solidFill>
                    <w14:schemeClr w14:val="tx1"/>
                  </w14:solidFill>
                </w14:textFill>
              </w:rPr>
              <w:t>11.</w:t>
            </w:r>
            <w:r>
              <w:rPr>
                <w:rFonts w:hint="default" w:ascii="Times New Roman" w:hAnsi="Times New Roman" w:eastAsia="黑体" w:cs="Times New Roman"/>
                <w:color w:val="000000" w:themeColor="text1"/>
                <w:u w:val="single"/>
                <w14:textFill>
                  <w14:solidFill>
                    <w14:schemeClr w14:val="tx1"/>
                  </w14:solidFill>
                </w14:textFill>
              </w:rPr>
              <w:t>与排污许可证管理制度的衔接</w:t>
            </w:r>
          </w:p>
          <w:p w14:paraId="1DFA39AE">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000000" w:themeColor="text1"/>
                <w:u w:val="single"/>
                <w14:textFill>
                  <w14:solidFill>
                    <w14:schemeClr w14:val="tx1"/>
                  </w14:solidFill>
                </w14:textFill>
              </w:rPr>
            </w:pPr>
            <w:r>
              <w:rPr>
                <w:color w:val="000000" w:themeColor="text1"/>
                <w:u w:val="single"/>
                <w14:textFill>
                  <w14:solidFill>
                    <w14:schemeClr w14:val="tx1"/>
                  </w14:solidFill>
                </w14:textFill>
              </w:rPr>
              <w:t>（1）本项目竣工后建设单位应依据《建设项目环境保护管理条例》（2017年10月1日起施行）和《建设项目竣工环境保护验收暂行办法》（国环规环评</w:t>
            </w:r>
            <w:r>
              <w:rPr>
                <w:rFonts w:hint="eastAsia"/>
                <w:color w:val="000000" w:themeColor="text1"/>
                <w:u w:val="single"/>
                <w14:textFill>
                  <w14:solidFill>
                    <w14:schemeClr w14:val="tx1"/>
                  </w14:solidFill>
                </w14:textFill>
              </w:rPr>
              <w:t>﹝</w:t>
            </w:r>
            <w:r>
              <w:rPr>
                <w:rFonts w:hint="eastAsia"/>
                <w:color w:val="000000" w:themeColor="text1"/>
                <w:u w:val="single"/>
                <w:lang w:val="en-US" w:eastAsia="zh-CN"/>
                <w14:textFill>
                  <w14:solidFill>
                    <w14:schemeClr w14:val="tx1"/>
                  </w14:solidFill>
                </w14:textFill>
              </w:rPr>
              <w:t>2017</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4号，2017年11月22日发布）、《建设项目竣工环境保护验收技术指南污染影响类》（公告2018年第9号，2018年5月16日印发），对配套建设的环境保护设施进行验收，编制验收报告。</w:t>
            </w:r>
          </w:p>
          <w:p w14:paraId="69C8537C">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000000" w:themeColor="text1"/>
                <w:u w:val="single"/>
                <w14:textFill>
                  <w14:solidFill>
                    <w14:schemeClr w14:val="tx1"/>
                  </w14:solidFill>
                </w14:textFill>
              </w:rPr>
            </w:pPr>
            <w:r>
              <w:rPr>
                <w:color w:val="000000" w:themeColor="text1"/>
                <w:u w:val="single"/>
                <w14:textFill>
                  <w14:solidFill>
                    <w14:schemeClr w14:val="tx1"/>
                  </w14:solidFill>
                </w14:textFill>
              </w:rPr>
              <w:t>（2）根据《排污许可管理条例》（中华人民共和国国务院令第736号）、《排污许可管理办法（试行）》（部令第48号）、环境保护部办公厅《关于做好环境影响评价制度与排污许可制衔接相关工作的通知》（环办环评</w:t>
            </w:r>
            <w:r>
              <w:rPr>
                <w:rFonts w:hint="eastAsia"/>
                <w:color w:val="000000" w:themeColor="text1"/>
                <w:u w:val="single"/>
                <w14:textFill>
                  <w14:solidFill>
                    <w14:schemeClr w14:val="tx1"/>
                  </w14:solidFill>
                </w14:textFill>
              </w:rPr>
              <w:t>﹝</w:t>
            </w:r>
            <w:r>
              <w:rPr>
                <w:rFonts w:hint="eastAsia"/>
                <w:color w:val="000000" w:themeColor="text1"/>
                <w:u w:val="single"/>
                <w:lang w:val="en-US" w:eastAsia="zh-CN"/>
                <w14:textFill>
                  <w14:solidFill>
                    <w14:schemeClr w14:val="tx1"/>
                  </w14:solidFill>
                </w14:textFill>
              </w:rPr>
              <w:t>2017</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84号），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p>
          <w:p w14:paraId="155D5A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sz w:val="24"/>
                <w:szCs w:val="24"/>
                <w:u w:val="single"/>
                <w14:textFill>
                  <w14:solidFill>
                    <w14:schemeClr w14:val="tx1"/>
                  </w14:solidFill>
                </w14:textFill>
              </w:rPr>
            </w:pPr>
            <w:r>
              <w:rPr>
                <w:rFonts w:hint="default" w:ascii="Times New Roman" w:hAnsi="Times New Roman" w:cs="Times New Roman"/>
                <w:color w:val="000000" w:themeColor="text1"/>
                <w:sz w:val="24"/>
                <w:szCs w:val="24"/>
                <w:u w:val="single"/>
                <w:lang w:eastAsia="zh-CN"/>
                <w14:textFill>
                  <w14:solidFill>
                    <w14:schemeClr w14:val="tx1"/>
                  </w14:solidFill>
                </w14:textFill>
              </w:rPr>
              <w:t>（</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3</w:t>
            </w:r>
            <w:r>
              <w:rPr>
                <w:rFonts w:hint="default" w:ascii="Times New Roman" w:hAnsi="Times New Roman" w:cs="Times New Roman"/>
                <w:color w:val="000000" w:themeColor="text1"/>
                <w:sz w:val="24"/>
                <w:szCs w:val="24"/>
                <w:u w:val="single"/>
                <w:lang w:eastAsia="zh-CN"/>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根据《固定污染源排污许可分类管理名录》（2019 年版），本项目属于“三十、专用设备制造业35 ”，排污管理详见下表：</w:t>
            </w:r>
          </w:p>
          <w:p w14:paraId="54BDDCC1">
            <w:pPr>
              <w:bidi w:val="0"/>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表</w:t>
            </w:r>
            <w:r>
              <w:rPr>
                <w:rFonts w:hint="default" w:ascii="Times New Roman" w:hAnsi="Times New Roman" w:eastAsia="黑体" w:cs="Times New Roman"/>
                <w:color w:val="000000" w:themeColor="text1"/>
                <w:sz w:val="21"/>
                <w:szCs w:val="21"/>
                <w:u w:val="single"/>
                <w:lang w:val="en-US" w:eastAsia="zh-CN"/>
                <w14:textFill>
                  <w14:solidFill>
                    <w14:schemeClr w14:val="tx1"/>
                  </w14:solidFill>
                </w14:textFill>
              </w:rPr>
              <w:t xml:space="preserve">4-21 </w:t>
            </w:r>
            <w:r>
              <w:rPr>
                <w:rFonts w:hint="default" w:ascii="Times New Roman" w:hAnsi="Times New Roman" w:eastAsia="黑体" w:cs="Times New Roman"/>
                <w:color w:val="000000" w:themeColor="text1"/>
                <w:sz w:val="21"/>
                <w:szCs w:val="21"/>
                <w:u w:val="single"/>
                <w14:textFill>
                  <w14:solidFill>
                    <w14:schemeClr w14:val="tx1"/>
                  </w14:solidFill>
                </w14:textFill>
              </w:rPr>
              <w:t>排污许可分类管理名录（摘录）</w:t>
            </w:r>
          </w:p>
          <w:tbl>
            <w:tblPr>
              <w:tblStyle w:val="10"/>
              <w:tblW w:w="83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2360"/>
              <w:gridCol w:w="2142"/>
              <w:gridCol w:w="1908"/>
              <w:gridCol w:w="1284"/>
            </w:tblGrid>
            <w:tr w14:paraId="73DAF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 w:hRule="atLeast"/>
                <w:jc w:val="center"/>
              </w:trPr>
              <w:tc>
                <w:tcPr>
                  <w:tcW w:w="636" w:type="dxa"/>
                  <w:vAlign w:val="center"/>
                </w:tcPr>
                <w:p w14:paraId="54A4CC23">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序号</w:t>
                  </w:r>
                </w:p>
              </w:tc>
              <w:tc>
                <w:tcPr>
                  <w:tcW w:w="2360" w:type="dxa"/>
                  <w:vAlign w:val="center"/>
                </w:tcPr>
                <w:p w14:paraId="04E43C9B">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行业类别</w:t>
                  </w:r>
                </w:p>
              </w:tc>
              <w:tc>
                <w:tcPr>
                  <w:tcW w:w="2142" w:type="dxa"/>
                  <w:vAlign w:val="center"/>
                </w:tcPr>
                <w:p w14:paraId="0207C87A">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重点管理</w:t>
                  </w:r>
                </w:p>
              </w:tc>
              <w:tc>
                <w:tcPr>
                  <w:tcW w:w="1908" w:type="dxa"/>
                  <w:vAlign w:val="center"/>
                </w:tcPr>
                <w:p w14:paraId="3951592C">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简化管理</w:t>
                  </w:r>
                </w:p>
              </w:tc>
              <w:tc>
                <w:tcPr>
                  <w:tcW w:w="1284" w:type="dxa"/>
                  <w:vAlign w:val="center"/>
                </w:tcPr>
                <w:p w14:paraId="1F2B6D92">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登记管理</w:t>
                  </w:r>
                </w:p>
              </w:tc>
            </w:tr>
            <w:tr w14:paraId="0076A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330" w:type="dxa"/>
                  <w:gridSpan w:val="5"/>
                  <w:vAlign w:val="center"/>
                </w:tcPr>
                <w:p w14:paraId="695D0CAA">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三十、专用设备制造业 35</w:t>
                  </w:r>
                </w:p>
              </w:tc>
            </w:tr>
            <w:tr w14:paraId="59C64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636" w:type="dxa"/>
                  <w:vAlign w:val="center"/>
                </w:tcPr>
                <w:p w14:paraId="4A6A4C8B">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84</w:t>
                  </w:r>
                </w:p>
              </w:tc>
              <w:tc>
                <w:tcPr>
                  <w:tcW w:w="2360" w:type="dxa"/>
                  <w:vAlign w:val="center"/>
                </w:tcPr>
                <w:p w14:paraId="678F08DB">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环保、邮政、社会公共服 务及其他专用设备制造</w:t>
                  </w:r>
                </w:p>
                <w:p w14:paraId="2A318E7E">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359</w:t>
                  </w:r>
                </w:p>
              </w:tc>
              <w:tc>
                <w:tcPr>
                  <w:tcW w:w="2142" w:type="dxa"/>
                  <w:vAlign w:val="center"/>
                </w:tcPr>
                <w:p w14:paraId="10DE2AD6">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涉及通用工序重点管理的</w:t>
                  </w:r>
                </w:p>
              </w:tc>
              <w:tc>
                <w:tcPr>
                  <w:tcW w:w="1908" w:type="dxa"/>
                  <w:vAlign w:val="center"/>
                </w:tcPr>
                <w:p w14:paraId="513FD6DA">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涉及通用工序简化管理的</w:t>
                  </w:r>
                </w:p>
              </w:tc>
              <w:tc>
                <w:tcPr>
                  <w:tcW w:w="1284" w:type="dxa"/>
                  <w:vAlign w:val="center"/>
                </w:tcPr>
                <w:p w14:paraId="190AD081">
                  <w:pPr>
                    <w:bidi w:val="0"/>
                    <w:spacing w:line="240" w:lineRule="auto"/>
                    <w:jc w:val="center"/>
                    <w:rPr>
                      <w:rFonts w:hint="default" w:ascii="Times New Roman" w:hAnsi="Times New Roman" w:eastAsia="黑体" w:cs="Times New Roman"/>
                      <w:color w:val="000000" w:themeColor="text1"/>
                      <w:sz w:val="21"/>
                      <w:szCs w:val="21"/>
                      <w:u w:val="single"/>
                      <w14:textFill>
                        <w14:solidFill>
                          <w14:schemeClr w14:val="tx1"/>
                        </w14:solidFill>
                      </w14:textFill>
                    </w:rPr>
                  </w:pPr>
                  <w:r>
                    <w:rPr>
                      <w:rFonts w:hint="default" w:ascii="Times New Roman" w:hAnsi="Times New Roman" w:eastAsia="黑体" w:cs="Times New Roman"/>
                      <w:color w:val="000000" w:themeColor="text1"/>
                      <w:sz w:val="21"/>
                      <w:szCs w:val="21"/>
                      <w:u w:val="single"/>
                      <w14:textFill>
                        <w14:solidFill>
                          <w14:schemeClr w14:val="tx1"/>
                        </w14:solidFill>
                      </w14:textFill>
                    </w:rPr>
                    <w:t>其他</w:t>
                  </w:r>
                </w:p>
              </w:tc>
            </w:tr>
          </w:tbl>
          <w:p w14:paraId="45A3A1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由上表可知，本项目未涉及通用工序重点管理和简化管理，属于其他类，企业在排污前应申领排污许可登记管理。</w:t>
            </w:r>
          </w:p>
          <w:p w14:paraId="65DD6DF4">
            <w:pPr>
              <w:keepNext w:val="0"/>
              <w:keepLines w:val="0"/>
              <w:pageBreakBefore w:val="0"/>
              <w:widowControl w:val="0"/>
              <w:kinsoku/>
              <w:wordWrap/>
              <w:overflowPunct/>
              <w:topLinePunct w:val="0"/>
              <w:autoSpaceDE/>
              <w:autoSpaceDN/>
              <w:bidi w:val="0"/>
              <w:adjustRightInd/>
              <w:snapToGrid/>
              <w:textAlignment w:val="auto"/>
              <w:rPr>
                <w:color w:val="000000" w:themeColor="text1"/>
                <w:u w:val="single"/>
                <w14:textFill>
                  <w14:solidFill>
                    <w14:schemeClr w14:val="tx1"/>
                  </w14:solidFill>
                </w14:textFill>
              </w:rPr>
            </w:pPr>
          </w:p>
          <w:p w14:paraId="423956BF">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224D6B45">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27E66A8C">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7E2B4AC4">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3D9476FE">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7DCC3E52">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35221E4F">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3E392172">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66FFDA19">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14B4CCC1">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6937932B">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1E59AF8C">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3D3B271E">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00E99F76">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55AFBDBF">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05D99110">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012A0BE6">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40148980">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p w14:paraId="20FC31CB">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p>
        </w:tc>
      </w:tr>
    </w:tbl>
    <w:p w14:paraId="080164AC">
      <w:pPr>
        <w:jc w:val="both"/>
        <w:rPr>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57526C66">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bCs/>
          <w:color w:val="000000" w:themeColor="text1"/>
          <w:sz w:val="24"/>
          <w:szCs w:val="24"/>
          <w:lang w:val="en-US" w:eastAsia="zh-CN"/>
          <w14:textFill>
            <w14:solidFill>
              <w14:schemeClr w14:val="tx1"/>
            </w14:solidFill>
          </w14:textFill>
        </w:rPr>
      </w:pPr>
      <w:bookmarkStart w:id="24" w:name="_Toc25758"/>
      <w:bookmarkStart w:id="25" w:name="_Toc5719"/>
      <w:bookmarkStart w:id="26" w:name="_Toc19550"/>
      <w:r>
        <w:rPr>
          <w:rFonts w:hint="default" w:ascii="Times New Roman" w:hAnsi="Times New Roman" w:eastAsia="黑体" w:cs="Times New Roman"/>
          <w:b w:val="0"/>
          <w:bCs/>
          <w:color w:val="000000" w:themeColor="text1"/>
          <w:sz w:val="24"/>
          <w:szCs w:val="24"/>
          <w:lang w:val="en-US" w:eastAsia="zh-CN"/>
          <w14:textFill>
            <w14:solidFill>
              <w14:schemeClr w14:val="tx1"/>
            </w14:solidFill>
          </w14:textFill>
        </w:rPr>
        <w:t>五、环境保护措施监督检查清单</w:t>
      </w:r>
      <w:bookmarkEnd w:id="24"/>
      <w:bookmarkEnd w:id="25"/>
      <w:bookmarkEnd w:id="26"/>
    </w:p>
    <w:tbl>
      <w:tblPr>
        <w:tblStyle w:val="8"/>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212"/>
        <w:gridCol w:w="1332"/>
        <w:gridCol w:w="2568"/>
        <w:gridCol w:w="2850"/>
      </w:tblGrid>
      <w:tr w14:paraId="0DB9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tcBorders>
              <w:tl2br w:val="single" w:color="auto" w:sz="6" w:space="0"/>
            </w:tcBorders>
          </w:tcPr>
          <w:p w14:paraId="20E6524A">
            <w:pPr>
              <w:spacing w:line="240" w:lineRule="auto"/>
              <w:jc w:val="right"/>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内容</w:t>
            </w:r>
          </w:p>
          <w:p w14:paraId="00D52D49">
            <w:pPr>
              <w:spacing w:line="240" w:lineRule="auto"/>
              <w:jc w:val="left"/>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要素</w:t>
            </w:r>
          </w:p>
        </w:tc>
        <w:tc>
          <w:tcPr>
            <w:tcW w:w="1212" w:type="dxa"/>
            <w:vAlign w:val="center"/>
          </w:tcPr>
          <w:p w14:paraId="2D891367">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排放口（编号、名称）</w:t>
            </w:r>
          </w:p>
        </w:tc>
        <w:tc>
          <w:tcPr>
            <w:tcW w:w="1332" w:type="dxa"/>
            <w:vAlign w:val="center"/>
          </w:tcPr>
          <w:p w14:paraId="2D0D9468">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污染物项目</w:t>
            </w:r>
          </w:p>
        </w:tc>
        <w:tc>
          <w:tcPr>
            <w:tcW w:w="2568" w:type="dxa"/>
            <w:vAlign w:val="center"/>
          </w:tcPr>
          <w:p w14:paraId="7AF152C6">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环境保护措施</w:t>
            </w:r>
          </w:p>
        </w:tc>
        <w:tc>
          <w:tcPr>
            <w:tcW w:w="2850" w:type="dxa"/>
            <w:vAlign w:val="center"/>
          </w:tcPr>
          <w:p w14:paraId="3911A78C">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执行标准</w:t>
            </w:r>
          </w:p>
        </w:tc>
      </w:tr>
      <w:tr w14:paraId="61E2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Merge w:val="restart"/>
            <w:vAlign w:val="center"/>
          </w:tcPr>
          <w:p w14:paraId="32AB0D11">
            <w:pPr>
              <w:spacing w:line="240" w:lineRule="auto"/>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大气</w:t>
            </w:r>
          </w:p>
          <w:p w14:paraId="44607833">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环境</w:t>
            </w:r>
          </w:p>
        </w:tc>
        <w:tc>
          <w:tcPr>
            <w:tcW w:w="1212" w:type="dxa"/>
            <w:vAlign w:val="center"/>
          </w:tcPr>
          <w:p w14:paraId="363E1BE0">
            <w:pPr>
              <w:spacing w:line="240" w:lineRule="auto"/>
              <w:jc w:val="cente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DA001</w:t>
            </w:r>
          </w:p>
        </w:tc>
        <w:tc>
          <w:tcPr>
            <w:tcW w:w="1332" w:type="dxa"/>
            <w:vAlign w:val="center"/>
          </w:tcPr>
          <w:p w14:paraId="0B855AD5">
            <w:pPr>
              <w:spacing w:line="240" w:lineRule="auto"/>
              <w:jc w:val="cente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非甲烷总烃、二甲苯</w:t>
            </w:r>
          </w:p>
        </w:tc>
        <w:tc>
          <w:tcPr>
            <w:tcW w:w="2568" w:type="dxa"/>
            <w:vAlign w:val="center"/>
          </w:tcPr>
          <w:p w14:paraId="6FB0B55F">
            <w:pPr>
              <w:spacing w:line="240" w:lineRule="auto"/>
              <w:jc w:val="cente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调漆、</w:t>
            </w:r>
            <w:r>
              <w:rPr>
                <w:rFonts w:hint="eastAsia" w:cs="Times New Roman"/>
                <w:color w:val="000000" w:themeColor="text1"/>
                <w:sz w:val="21"/>
                <w:szCs w:val="21"/>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、晾干、清洗</w:t>
            </w:r>
            <w:r>
              <w:rPr>
                <w:rFonts w:hint="eastAsia" w:cs="Times New Roman"/>
                <w:color w:val="000000" w:themeColor="text1"/>
                <w:sz w:val="21"/>
                <w:szCs w:val="21"/>
                <w:u w:val="single"/>
                <w:vertAlign w:val="baseline"/>
                <w:lang w:val="en-US" w:eastAsia="zh-CN"/>
                <w14:textFill>
                  <w14:solidFill>
                    <w14:schemeClr w14:val="tx1"/>
                  </w14:solidFill>
                </w14:textFill>
              </w:rPr>
              <w:t>辊筒</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工序均设置在封闭</w:t>
            </w:r>
            <w:r>
              <w:rPr>
                <w:rFonts w:hint="eastAsia" w:cs="Times New Roman"/>
                <w:color w:val="000000" w:themeColor="text1"/>
                <w:sz w:val="21"/>
                <w:szCs w:val="21"/>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间内，废气经</w:t>
            </w:r>
            <w:r>
              <w:rPr>
                <w:rFonts w:hint="eastAsia" w:cs="Times New Roman"/>
                <w:color w:val="000000" w:themeColor="text1"/>
                <w:sz w:val="21"/>
                <w:szCs w:val="21"/>
                <w:u w:val="single"/>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房封闭+微负压收集后经过一套</w:t>
            </w:r>
            <w:r>
              <w:rPr>
                <w:rFonts w:hint="eastAsia"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w:t>
            </w:r>
            <w:r>
              <w:rPr>
                <w:rFonts w:hint="eastAsia" w:cs="Times New Roman"/>
                <w:color w:val="000000" w:themeColor="text1"/>
                <w:sz w:val="21"/>
                <w:szCs w:val="21"/>
                <w:u w:val="single"/>
                <w:vertAlign w:val="baseline"/>
                <w:lang w:val="en-US" w:eastAsia="zh-CN"/>
                <w14:textFill>
                  <w14:solidFill>
                    <w14:schemeClr w14:val="tx1"/>
                  </w14:solidFill>
                </w14:textFill>
              </w:rPr>
              <w:t>二级活性炭吸附</w:t>
            </w:r>
            <w:r>
              <w:rPr>
                <w:rFonts w:hint="eastAsia"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处理，通过</w:t>
            </w:r>
            <w:r>
              <w:rPr>
                <w:rFonts w:hint="eastAsia"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m高排气筒（DA</w:t>
            </w:r>
            <w:r>
              <w:rPr>
                <w:rFonts w:hint="eastAsia"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）排放</w:t>
            </w:r>
          </w:p>
        </w:tc>
        <w:tc>
          <w:tcPr>
            <w:tcW w:w="2850" w:type="dxa"/>
            <w:vAlign w:val="center"/>
          </w:tcPr>
          <w:p w14:paraId="5C6F8F6A">
            <w:pPr>
              <w:spacing w:line="240" w:lineRule="auto"/>
              <w:jc w:val="cente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二甲苯、</w:t>
            </w:r>
            <w:r>
              <w:rPr>
                <w:rFonts w:hint="eastAsia" w:cs="Times New Roman"/>
                <w:color w:val="000000" w:themeColor="text1"/>
                <w:sz w:val="21"/>
                <w:szCs w:val="21"/>
                <w:u w:val="single"/>
                <w:lang w:val="en-US" w:eastAsia="zh-CN"/>
                <w14:textFill>
                  <w14:solidFill>
                    <w14:schemeClr w14:val="tx1"/>
                  </w14:solidFill>
                </w14:textFill>
              </w:rPr>
              <w:t>非甲烷总烃有组织排放</w:t>
            </w:r>
            <w:r>
              <w:rPr>
                <w:rFonts w:hint="default" w:ascii="Times New Roman" w:hAnsi="Times New Roman" w:eastAsia="宋体" w:cs="Times New Roman"/>
                <w:color w:val="000000" w:themeColor="text1"/>
                <w:sz w:val="21"/>
                <w:szCs w:val="21"/>
                <w:u w:val="single"/>
                <w14:textFill>
                  <w14:solidFill>
                    <w14:schemeClr w14:val="tx1"/>
                  </w14:solidFill>
                </w14:textFill>
              </w:rPr>
              <w:t>执行《表面涂装（汽车制造及维修）挥发性有机物、镍排放标准》（DB43/1356-2017）表1中标准限值</w:t>
            </w:r>
          </w:p>
        </w:tc>
      </w:tr>
      <w:tr w14:paraId="4F7B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Merge w:val="continue"/>
            <w:vAlign w:val="center"/>
          </w:tcPr>
          <w:p w14:paraId="02D5B59E">
            <w:pPr>
              <w:spacing w:line="240" w:lineRule="auto"/>
              <w:jc w:val="center"/>
              <w:rPr>
                <w:rFonts w:hint="default"/>
                <w:color w:val="000000" w:themeColor="text1"/>
                <w:sz w:val="21"/>
                <w:szCs w:val="21"/>
                <w:vertAlign w:val="baseline"/>
                <w:lang w:val="en-US" w:eastAsia="zh-CN"/>
                <w14:textFill>
                  <w14:solidFill>
                    <w14:schemeClr w14:val="tx1"/>
                  </w14:solidFill>
                </w14:textFill>
              </w:rPr>
            </w:pPr>
          </w:p>
        </w:tc>
        <w:tc>
          <w:tcPr>
            <w:tcW w:w="1212" w:type="dxa"/>
            <w:vAlign w:val="center"/>
          </w:tcPr>
          <w:p w14:paraId="2EC6C460">
            <w:pPr>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无组织</w:t>
            </w:r>
          </w:p>
          <w:p w14:paraId="4FA2583E">
            <w:pPr>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排放</w:t>
            </w:r>
          </w:p>
          <w:p w14:paraId="5A4F852D">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（厂界）</w:t>
            </w:r>
          </w:p>
        </w:tc>
        <w:tc>
          <w:tcPr>
            <w:tcW w:w="1332" w:type="dxa"/>
            <w:vAlign w:val="center"/>
          </w:tcPr>
          <w:p w14:paraId="607709CC">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非甲烷总烃、二甲苯</w:t>
            </w:r>
          </w:p>
        </w:tc>
        <w:tc>
          <w:tcPr>
            <w:tcW w:w="2568" w:type="dxa"/>
            <w:vAlign w:val="center"/>
          </w:tcPr>
          <w:p w14:paraId="68B77391">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加强工段的封闭收集措施、</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加强车间的通风措施</w:t>
            </w:r>
          </w:p>
        </w:tc>
        <w:tc>
          <w:tcPr>
            <w:tcW w:w="2850" w:type="dxa"/>
            <w:vAlign w:val="center"/>
          </w:tcPr>
          <w:p w14:paraId="7484BE35">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厂界二甲苯、非甲烷总烃无组织排放执行《大气污染物排放综合排放标准》（GB16297-1996）表2中无组织排放浓度监控限值</w:t>
            </w:r>
          </w:p>
        </w:tc>
      </w:tr>
      <w:tr w14:paraId="072D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03" w:type="dxa"/>
            <w:vMerge w:val="continue"/>
            <w:vAlign w:val="center"/>
          </w:tcPr>
          <w:p w14:paraId="2EF16910">
            <w:pPr>
              <w:spacing w:line="240" w:lineRule="auto"/>
              <w:jc w:val="center"/>
              <w:rPr>
                <w:rFonts w:hint="default"/>
                <w:color w:val="000000" w:themeColor="text1"/>
                <w:sz w:val="21"/>
                <w:szCs w:val="21"/>
                <w:vertAlign w:val="baseline"/>
                <w:lang w:val="en-US" w:eastAsia="zh-CN"/>
                <w14:textFill>
                  <w14:solidFill>
                    <w14:schemeClr w14:val="tx1"/>
                  </w14:solidFill>
                </w14:textFill>
              </w:rPr>
            </w:pPr>
          </w:p>
        </w:tc>
        <w:tc>
          <w:tcPr>
            <w:tcW w:w="1212" w:type="dxa"/>
            <w:vAlign w:val="center"/>
          </w:tcPr>
          <w:p w14:paraId="6F99D0C2">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厂区</w:t>
            </w:r>
          </w:p>
        </w:tc>
        <w:tc>
          <w:tcPr>
            <w:tcW w:w="1332" w:type="dxa"/>
            <w:vAlign w:val="center"/>
          </w:tcPr>
          <w:p w14:paraId="642A11F4">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非甲烷总烃</w:t>
            </w:r>
          </w:p>
        </w:tc>
        <w:tc>
          <w:tcPr>
            <w:tcW w:w="2568" w:type="dxa"/>
            <w:vAlign w:val="center"/>
          </w:tcPr>
          <w:p w14:paraId="5DB901EB">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加强厂区绿化</w:t>
            </w:r>
          </w:p>
        </w:tc>
        <w:tc>
          <w:tcPr>
            <w:tcW w:w="2850" w:type="dxa"/>
            <w:vAlign w:val="center"/>
          </w:tcPr>
          <w:p w14:paraId="4AD191A1">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厂区内非甲烷总烃无组织排放执行《挥发性有机物无组织排放控制标准》（GB37822-2019）附录A中“厂区内NMHC无组织排放限值”</w:t>
            </w:r>
          </w:p>
        </w:tc>
      </w:tr>
      <w:tr w14:paraId="71AB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Align w:val="center"/>
          </w:tcPr>
          <w:p w14:paraId="2CA941AA">
            <w:pPr>
              <w:spacing w:line="240" w:lineRule="auto"/>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地表水</w:t>
            </w:r>
          </w:p>
          <w:p w14:paraId="0FCB829C">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环境</w:t>
            </w:r>
          </w:p>
        </w:tc>
        <w:tc>
          <w:tcPr>
            <w:tcW w:w="1212" w:type="dxa"/>
            <w:vAlign w:val="center"/>
          </w:tcPr>
          <w:p w14:paraId="4DAEE2A0">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332" w:type="dxa"/>
            <w:shd w:val="clear" w:color="auto" w:fill="auto"/>
            <w:vAlign w:val="center"/>
          </w:tcPr>
          <w:p w14:paraId="216306C6">
            <w:pPr>
              <w:spacing w:line="240" w:lineRule="auto"/>
              <w:ind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568" w:type="dxa"/>
            <w:shd w:val="clear" w:color="auto" w:fill="auto"/>
            <w:vAlign w:val="center"/>
          </w:tcPr>
          <w:p w14:paraId="7DE9134D">
            <w:pPr>
              <w:spacing w:line="240" w:lineRule="auto"/>
              <w:ind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50" w:type="dxa"/>
            <w:shd w:val="clear" w:color="auto" w:fill="auto"/>
            <w:vAlign w:val="center"/>
          </w:tcPr>
          <w:p w14:paraId="3F35E6EA">
            <w:pPr>
              <w:spacing w:line="240" w:lineRule="auto"/>
              <w:ind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1297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003" w:type="dxa"/>
            <w:vAlign w:val="center"/>
          </w:tcPr>
          <w:p w14:paraId="21C22177">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声环境</w:t>
            </w:r>
          </w:p>
        </w:tc>
        <w:tc>
          <w:tcPr>
            <w:tcW w:w="1212" w:type="dxa"/>
            <w:vAlign w:val="center"/>
          </w:tcPr>
          <w:p w14:paraId="0304F351">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生产工序</w:t>
            </w:r>
          </w:p>
        </w:tc>
        <w:tc>
          <w:tcPr>
            <w:tcW w:w="1332" w:type="dxa"/>
            <w:vAlign w:val="center"/>
          </w:tcPr>
          <w:p w14:paraId="600448AC">
            <w:pPr>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普通加</w:t>
            </w:r>
          </w:p>
          <w:p w14:paraId="59121587">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工机械，通风机噪声</w:t>
            </w:r>
          </w:p>
        </w:tc>
        <w:tc>
          <w:tcPr>
            <w:tcW w:w="2568" w:type="dxa"/>
            <w:vAlign w:val="center"/>
          </w:tcPr>
          <w:p w14:paraId="0977D85F">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合理布局、隔声、吸声、减震等措施，以及墙体隔声、专用机房</w:t>
            </w:r>
          </w:p>
        </w:tc>
        <w:tc>
          <w:tcPr>
            <w:tcW w:w="2850" w:type="dxa"/>
            <w:vAlign w:val="center"/>
          </w:tcPr>
          <w:p w14:paraId="52DF6B5B">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达到《工业企业厂界环境噪声排放标准》（GB12348-2008）中</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类标准</w:t>
            </w:r>
          </w:p>
        </w:tc>
      </w:tr>
      <w:tr w14:paraId="2E73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Align w:val="center"/>
          </w:tcPr>
          <w:p w14:paraId="33DBFC10">
            <w:pPr>
              <w:spacing w:line="240" w:lineRule="auto"/>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电磁</w:t>
            </w:r>
          </w:p>
          <w:p w14:paraId="1767E004">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辐射</w:t>
            </w:r>
          </w:p>
        </w:tc>
        <w:tc>
          <w:tcPr>
            <w:tcW w:w="7962" w:type="dxa"/>
            <w:gridSpan w:val="4"/>
            <w:vAlign w:val="center"/>
          </w:tcPr>
          <w:p w14:paraId="6C50227F">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377D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Align w:val="center"/>
          </w:tcPr>
          <w:p w14:paraId="6A8481F3">
            <w:pPr>
              <w:spacing w:line="240" w:lineRule="auto"/>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固体</w:t>
            </w:r>
          </w:p>
          <w:p w14:paraId="4D5497A2">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废物</w:t>
            </w:r>
          </w:p>
        </w:tc>
        <w:tc>
          <w:tcPr>
            <w:tcW w:w="7962" w:type="dxa"/>
            <w:gridSpan w:val="4"/>
            <w:vAlign w:val="center"/>
          </w:tcPr>
          <w:p w14:paraId="252417B9">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项目产生的危险废物交有资质单位处理，执行危险废物转移联单。</w:t>
            </w:r>
          </w:p>
        </w:tc>
      </w:tr>
      <w:tr w14:paraId="1478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Align w:val="center"/>
          </w:tcPr>
          <w:p w14:paraId="6B5C9E33">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土壤及地下水污染防治措施</w:t>
            </w:r>
          </w:p>
        </w:tc>
        <w:tc>
          <w:tcPr>
            <w:tcW w:w="7962" w:type="dxa"/>
            <w:gridSpan w:val="4"/>
            <w:vAlign w:val="center"/>
          </w:tcPr>
          <w:p w14:paraId="695FA09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原料、产品在储存、装卸、运输、生产全过程采取污染防治设施，阻止污染物进入地下水、土壤环境中，且经过硬化处理的地面能有效防治污染物下渗；采取分区防护措施，各环节得到良好控制，不会对土壤和地下水环境造成明显影响。因此，本项目的建设可行的</w:t>
            </w:r>
          </w:p>
        </w:tc>
      </w:tr>
      <w:tr w14:paraId="70C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Align w:val="center"/>
          </w:tcPr>
          <w:p w14:paraId="594063D0">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生态保护措施</w:t>
            </w:r>
          </w:p>
        </w:tc>
        <w:tc>
          <w:tcPr>
            <w:tcW w:w="7962" w:type="dxa"/>
            <w:gridSpan w:val="4"/>
            <w:vAlign w:val="center"/>
          </w:tcPr>
          <w:p w14:paraId="6323D615">
            <w:p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不涉及</w:t>
            </w:r>
          </w:p>
        </w:tc>
      </w:tr>
      <w:tr w14:paraId="0E20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Align w:val="center"/>
          </w:tcPr>
          <w:p w14:paraId="2D1E247B">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环境风险防范措施</w:t>
            </w:r>
          </w:p>
        </w:tc>
        <w:tc>
          <w:tcPr>
            <w:tcW w:w="7962" w:type="dxa"/>
            <w:gridSpan w:val="4"/>
          </w:tcPr>
          <w:p w14:paraId="1DF07B0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危废暂存间、</w:t>
            </w:r>
            <w:r>
              <w:rPr>
                <w:rFonts w:hint="eastAsia" w:cs="Times New Roman"/>
                <w:color w:val="000000" w:themeColor="text1"/>
                <w:sz w:val="21"/>
                <w:szCs w:val="21"/>
                <w:vertAlign w:val="baseline"/>
                <w:lang w:val="en-US" w:eastAsia="zh-CN"/>
                <w14:textFill>
                  <w14:solidFill>
                    <w14:schemeClr w14:val="tx1"/>
                  </w14:solidFill>
                </w14:textFill>
              </w:rPr>
              <w:t>上漆</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间等重污染区应做好防腐防渗等措施；危险品运输要遵守相关法律法规等</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194D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Align w:val="center"/>
          </w:tcPr>
          <w:p w14:paraId="30988D28">
            <w:pPr>
              <w:spacing w:line="240" w:lineRule="auto"/>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其他环境管理要求</w:t>
            </w:r>
          </w:p>
        </w:tc>
        <w:tc>
          <w:tcPr>
            <w:tcW w:w="7962" w:type="dxa"/>
            <w:gridSpan w:val="4"/>
          </w:tcPr>
          <w:p w14:paraId="42235D5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1</w:t>
            </w:r>
            <w:r>
              <w:rPr>
                <w:rFonts w:hint="default" w:ascii="Times New Roman" w:hAnsi="Times New Roman" w:cs="Times New Roman"/>
                <w:color w:val="000000" w:themeColor="text1"/>
                <w:sz w:val="21"/>
                <w:szCs w:val="21"/>
                <w:u w:val="single"/>
                <w14:textFill>
                  <w14:solidFill>
                    <w14:schemeClr w14:val="tx1"/>
                  </w14:solidFill>
                </w14:textFill>
              </w:rPr>
              <w:t>）依据《环境保护图形标志</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w:t>
            </w:r>
            <w:r>
              <w:rPr>
                <w:rFonts w:hint="default" w:ascii="Times New Roman" w:hAnsi="Times New Roman" w:cs="Times New Roman"/>
                <w:color w:val="000000" w:themeColor="text1"/>
                <w:sz w:val="21"/>
                <w:szCs w:val="21"/>
                <w:u w:val="single"/>
                <w14:textFill>
                  <w14:solidFill>
                    <w14:schemeClr w14:val="tx1"/>
                  </w14:solidFill>
                </w14:textFill>
              </w:rPr>
              <w:t>排放口（源）》和《排污口规范化整治要求（试行）》的技术要求，所有排污口（包括水、渣、气、声），必须按照“便于采样、便于计量监测、便于日常现场监督检查” 的原则和规范化要求，设置与之相适应的环境保护图形标志牌，绘制企业排污口分布图。同时在污水排放口安置流量计，对治理设施安装运行监控装置。</w:t>
            </w:r>
          </w:p>
          <w:p w14:paraId="5237434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2</w:t>
            </w:r>
            <w:r>
              <w:rPr>
                <w:rFonts w:hint="default" w:ascii="Times New Roman" w:hAnsi="Times New Roman" w:cs="Times New Roman"/>
                <w:color w:val="000000" w:themeColor="text1"/>
                <w:sz w:val="21"/>
                <w:szCs w:val="21"/>
                <w:u w:val="single"/>
                <w14:textFill>
                  <w14:solidFill>
                    <w14:schemeClr w14:val="tx1"/>
                  </w14:solidFill>
                </w14:textFill>
              </w:rPr>
              <w:t>）建设单位应严格按照国家“三同时”政策及时做好有关工作，保证环保工程与主体工程同时设计、同时施工、同时投入使用，切实履行本评价所提出的各项污染防治对策与建议，保证做到各污染物达标排放。</w:t>
            </w:r>
          </w:p>
          <w:p w14:paraId="13B40D9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3</w:t>
            </w:r>
            <w:r>
              <w:rPr>
                <w:rFonts w:hint="default" w:ascii="Times New Roman" w:hAnsi="Times New Roman" w:cs="Times New Roman"/>
                <w:color w:val="000000" w:themeColor="text1"/>
                <w:sz w:val="21"/>
                <w:szCs w:val="21"/>
                <w:u w:val="single"/>
                <w14:textFill>
                  <w14:solidFill>
                    <w14:schemeClr w14:val="tx1"/>
                  </w14:solidFill>
                </w14:textFill>
              </w:rPr>
              <w:t>）项目拟委托有相关资质的单位实施环境污染第三方治理，第三方治理单位主要负责治理方案的设计，环保设施的运行、维护、检修以及耗材更换，并负责保存整理环保设施的运行台账和污染物排放削减记录，使其满足环保部门核定的排放和总量控制的要求。</w:t>
            </w:r>
          </w:p>
          <w:p w14:paraId="510A031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4</w:t>
            </w:r>
            <w:r>
              <w:rPr>
                <w:rFonts w:hint="default" w:ascii="Times New Roman" w:hAnsi="Times New Roman" w:cs="Times New Roman"/>
                <w:color w:val="000000" w:themeColor="text1"/>
                <w:sz w:val="21"/>
                <w:szCs w:val="21"/>
                <w:u w:val="single"/>
                <w:lang w:eastAsia="zh-CN"/>
                <w14:textFill>
                  <w14:solidFill>
                    <w14:schemeClr w14:val="tx1"/>
                  </w14:solidFill>
                </w14:textFill>
              </w:rPr>
              <w:t>）</w:t>
            </w:r>
            <w:r>
              <w:rPr>
                <w:rFonts w:hint="default" w:ascii="Times New Roman" w:hAnsi="Times New Roman" w:cs="Times New Roman"/>
                <w:color w:val="000000" w:themeColor="text1"/>
                <w:sz w:val="21"/>
                <w:szCs w:val="21"/>
                <w:u w:val="single"/>
                <w14:textFill>
                  <w14:solidFill>
                    <w14:schemeClr w14:val="tx1"/>
                  </w14:solidFill>
                </w14:textFill>
              </w:rPr>
              <w:t>根据《固定污染源排污许可分类管理名录（2019年版）》，本项目不属于重点排污单位，属于一般排放口，无需安装污染物排放自动监测设施。如后续生态环境部门要求安装监控设施，则需安装VOCs全过程智能监控设施并实施联网监控，确保污染物的达标排放。企业要定期或不定期委托具有监测能力和资格单位对项目的有组织或无组织排放情况进行监测，以便掌握项目污染及达标排放情况，一旦出现有投诉影响人体健康或污染物排放超过国家和地方有关环保标准，应及时停产并对环保设施进行检修。</w:t>
            </w:r>
          </w:p>
          <w:p w14:paraId="291D87AA">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DF4E4F6">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2C3F4379">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5CCBA8C0">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1E170E0B">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182CD4A">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23601EAC">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CADEFDA">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26D825E8">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B2B3ACF">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38C885E">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3631936">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90356F1">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34C5BF2">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33D1B50">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4BAB0A35">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33F0498">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BC60828">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53AC0E33">
            <w:pPr>
              <w:spacing w:line="240" w:lineRule="auto"/>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bl>
    <w:p w14:paraId="52FAA3E0">
      <w:pPr>
        <w:jc w:val="left"/>
        <w:rPr>
          <w:rFonts w:hint="default"/>
          <w:color w:val="000000" w:themeColor="text1"/>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64ECF00">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pPr>
      <w:bookmarkStart w:id="27" w:name="_Toc17137"/>
      <w:bookmarkStart w:id="28" w:name="_Toc18201"/>
      <w:bookmarkStart w:id="29" w:name="_Toc23725"/>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六、结论</w:t>
      </w:r>
      <w:bookmarkEnd w:id="27"/>
      <w:bookmarkEnd w:id="28"/>
      <w:bookmarkEnd w:id="29"/>
    </w:p>
    <w:tbl>
      <w:tblPr>
        <w:tblStyle w:val="8"/>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8"/>
      </w:tblGrid>
      <w:tr w14:paraId="767A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8" w:type="dxa"/>
          </w:tcPr>
          <w:p w14:paraId="79F716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本项目为扩建项目，项目选址于湖南省怀化市溆浦县卢峰镇（</w:t>
            </w:r>
            <w:r>
              <w:rPr>
                <w:rFonts w:hint="eastAsia" w:cs="Times New Roman"/>
                <w:color w:val="000000" w:themeColor="text1"/>
                <w:sz w:val="24"/>
                <w:szCs w:val="24"/>
                <w:vertAlign w:val="baseline"/>
                <w:lang w:val="en-US" w:eastAsia="zh-CN"/>
                <w14:textFill>
                  <w14:solidFill>
                    <w14:schemeClr w14:val="tx1"/>
                  </w14:solidFill>
                </w14:textFill>
              </w:rPr>
              <w:t>原仲夏乡</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太坪村一组，项目符合溆浦县总体发展规划要求，选址合理；建设内容及规模符合国家、地方有关环境保护法律法规、规范、政策要求，符合“三线一单”要求；生产过程中采用低污染的原辅材料，工艺和设备先进；废气、废水、噪声、固体废物处理措施可行，项目污染物排放可实现最大程度地削减，能够实现达标排放和总量控制要求，不会降低区域环境功能质量要求。</w:t>
            </w:r>
          </w:p>
          <w:p w14:paraId="726D2E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从环境影响角度考虑，该项目建设可行。</w:t>
            </w:r>
          </w:p>
          <w:p w14:paraId="611C3CD7">
            <w:pPr>
              <w:bidi w:val="0"/>
              <w:rPr>
                <w:rFonts w:hint="default"/>
                <w:color w:val="000000" w:themeColor="text1"/>
                <w:lang w:val="en-US" w:eastAsia="zh-CN"/>
                <w14:textFill>
                  <w14:solidFill>
                    <w14:schemeClr w14:val="tx1"/>
                  </w14:solidFill>
                </w14:textFill>
              </w:rPr>
            </w:pPr>
          </w:p>
          <w:p w14:paraId="5E4EECD1">
            <w:pPr>
              <w:bidi w:val="0"/>
              <w:rPr>
                <w:rFonts w:hint="default"/>
                <w:color w:val="000000" w:themeColor="text1"/>
                <w:lang w:val="en-US" w:eastAsia="zh-CN"/>
                <w14:textFill>
                  <w14:solidFill>
                    <w14:schemeClr w14:val="tx1"/>
                  </w14:solidFill>
                </w14:textFill>
              </w:rPr>
            </w:pPr>
          </w:p>
          <w:p w14:paraId="5A7D6381">
            <w:pPr>
              <w:bidi w:val="0"/>
              <w:rPr>
                <w:rFonts w:hint="default"/>
                <w:color w:val="000000" w:themeColor="text1"/>
                <w:lang w:val="en-US" w:eastAsia="zh-CN"/>
                <w14:textFill>
                  <w14:solidFill>
                    <w14:schemeClr w14:val="tx1"/>
                  </w14:solidFill>
                </w14:textFill>
              </w:rPr>
            </w:pPr>
          </w:p>
          <w:p w14:paraId="4392C0F7">
            <w:pPr>
              <w:bidi w:val="0"/>
              <w:rPr>
                <w:rFonts w:hint="default"/>
                <w:color w:val="000000" w:themeColor="text1"/>
                <w:lang w:val="en-US" w:eastAsia="zh-CN"/>
                <w14:textFill>
                  <w14:solidFill>
                    <w14:schemeClr w14:val="tx1"/>
                  </w14:solidFill>
                </w14:textFill>
              </w:rPr>
            </w:pPr>
          </w:p>
          <w:p w14:paraId="1A54DD50">
            <w:pPr>
              <w:bidi w:val="0"/>
              <w:rPr>
                <w:rFonts w:hint="default"/>
                <w:color w:val="000000" w:themeColor="text1"/>
                <w:lang w:val="en-US" w:eastAsia="zh-CN"/>
                <w14:textFill>
                  <w14:solidFill>
                    <w14:schemeClr w14:val="tx1"/>
                  </w14:solidFill>
                </w14:textFill>
              </w:rPr>
            </w:pPr>
          </w:p>
          <w:p w14:paraId="0E1C69F4">
            <w:pPr>
              <w:bidi w:val="0"/>
              <w:rPr>
                <w:rFonts w:hint="default"/>
                <w:color w:val="000000" w:themeColor="text1"/>
                <w:lang w:val="en-US" w:eastAsia="zh-CN"/>
                <w14:textFill>
                  <w14:solidFill>
                    <w14:schemeClr w14:val="tx1"/>
                  </w14:solidFill>
                </w14:textFill>
              </w:rPr>
            </w:pPr>
          </w:p>
          <w:p w14:paraId="64D049A8">
            <w:pPr>
              <w:bidi w:val="0"/>
              <w:rPr>
                <w:rFonts w:hint="default"/>
                <w:color w:val="000000" w:themeColor="text1"/>
                <w:lang w:val="en-US" w:eastAsia="zh-CN"/>
                <w14:textFill>
                  <w14:solidFill>
                    <w14:schemeClr w14:val="tx1"/>
                  </w14:solidFill>
                </w14:textFill>
              </w:rPr>
            </w:pPr>
          </w:p>
          <w:p w14:paraId="06D4EC25">
            <w:pPr>
              <w:bidi w:val="0"/>
              <w:rPr>
                <w:rFonts w:hint="default"/>
                <w:color w:val="000000" w:themeColor="text1"/>
                <w:lang w:val="en-US" w:eastAsia="zh-CN"/>
                <w14:textFill>
                  <w14:solidFill>
                    <w14:schemeClr w14:val="tx1"/>
                  </w14:solidFill>
                </w14:textFill>
              </w:rPr>
            </w:pPr>
          </w:p>
          <w:p w14:paraId="49F0A5ED">
            <w:pPr>
              <w:bidi w:val="0"/>
              <w:rPr>
                <w:rFonts w:hint="default"/>
                <w:color w:val="000000" w:themeColor="text1"/>
                <w:lang w:val="en-US" w:eastAsia="zh-CN"/>
                <w14:textFill>
                  <w14:solidFill>
                    <w14:schemeClr w14:val="tx1"/>
                  </w14:solidFill>
                </w14:textFill>
              </w:rPr>
            </w:pPr>
          </w:p>
          <w:p w14:paraId="2E5143B5">
            <w:pPr>
              <w:bidi w:val="0"/>
              <w:rPr>
                <w:rFonts w:hint="default"/>
                <w:color w:val="000000" w:themeColor="text1"/>
                <w:lang w:val="en-US" w:eastAsia="zh-CN"/>
                <w14:textFill>
                  <w14:solidFill>
                    <w14:schemeClr w14:val="tx1"/>
                  </w14:solidFill>
                </w14:textFill>
              </w:rPr>
            </w:pPr>
          </w:p>
          <w:p w14:paraId="7452D418">
            <w:pPr>
              <w:bidi w:val="0"/>
              <w:rPr>
                <w:rFonts w:hint="default"/>
                <w:color w:val="000000" w:themeColor="text1"/>
                <w:lang w:val="en-US" w:eastAsia="zh-CN"/>
                <w14:textFill>
                  <w14:solidFill>
                    <w14:schemeClr w14:val="tx1"/>
                  </w14:solidFill>
                </w14:textFill>
              </w:rPr>
            </w:pPr>
          </w:p>
          <w:p w14:paraId="48D663EE">
            <w:pPr>
              <w:bidi w:val="0"/>
              <w:rPr>
                <w:rFonts w:hint="default"/>
                <w:color w:val="000000" w:themeColor="text1"/>
                <w:lang w:val="en-US" w:eastAsia="zh-CN"/>
                <w14:textFill>
                  <w14:solidFill>
                    <w14:schemeClr w14:val="tx1"/>
                  </w14:solidFill>
                </w14:textFill>
              </w:rPr>
            </w:pPr>
          </w:p>
          <w:p w14:paraId="75CDF3F1">
            <w:pPr>
              <w:bidi w:val="0"/>
              <w:rPr>
                <w:rFonts w:hint="default"/>
                <w:color w:val="000000" w:themeColor="text1"/>
                <w:lang w:val="en-US" w:eastAsia="zh-CN"/>
                <w14:textFill>
                  <w14:solidFill>
                    <w14:schemeClr w14:val="tx1"/>
                  </w14:solidFill>
                </w14:textFill>
              </w:rPr>
            </w:pPr>
          </w:p>
          <w:p w14:paraId="1696E4E1">
            <w:pPr>
              <w:bidi w:val="0"/>
              <w:rPr>
                <w:rFonts w:hint="default"/>
                <w:color w:val="000000" w:themeColor="text1"/>
                <w:lang w:val="en-US" w:eastAsia="zh-CN"/>
                <w14:textFill>
                  <w14:solidFill>
                    <w14:schemeClr w14:val="tx1"/>
                  </w14:solidFill>
                </w14:textFill>
              </w:rPr>
            </w:pPr>
          </w:p>
          <w:p w14:paraId="5E6F4434">
            <w:pPr>
              <w:bidi w:val="0"/>
              <w:rPr>
                <w:rFonts w:hint="default"/>
                <w:color w:val="000000" w:themeColor="text1"/>
                <w:lang w:val="en-US" w:eastAsia="zh-CN"/>
                <w14:textFill>
                  <w14:solidFill>
                    <w14:schemeClr w14:val="tx1"/>
                  </w14:solidFill>
                </w14:textFill>
              </w:rPr>
            </w:pPr>
          </w:p>
          <w:p w14:paraId="50E535CD">
            <w:pPr>
              <w:bidi w:val="0"/>
              <w:rPr>
                <w:rFonts w:hint="default"/>
                <w:color w:val="000000" w:themeColor="text1"/>
                <w:lang w:val="en-US" w:eastAsia="zh-CN"/>
                <w14:textFill>
                  <w14:solidFill>
                    <w14:schemeClr w14:val="tx1"/>
                  </w14:solidFill>
                </w14:textFill>
              </w:rPr>
            </w:pPr>
          </w:p>
          <w:p w14:paraId="23A1DA9F">
            <w:pPr>
              <w:bidi w:val="0"/>
              <w:rPr>
                <w:rFonts w:hint="default"/>
                <w:color w:val="000000" w:themeColor="text1"/>
                <w:lang w:val="en-US" w:eastAsia="zh-CN"/>
                <w14:textFill>
                  <w14:solidFill>
                    <w14:schemeClr w14:val="tx1"/>
                  </w14:solidFill>
                </w14:textFill>
              </w:rPr>
            </w:pPr>
          </w:p>
          <w:p w14:paraId="26D916A8">
            <w:pPr>
              <w:bidi w:val="0"/>
              <w:rPr>
                <w:rFonts w:hint="default"/>
                <w:color w:val="000000" w:themeColor="text1"/>
                <w:lang w:val="en-US" w:eastAsia="zh-CN"/>
                <w14:textFill>
                  <w14:solidFill>
                    <w14:schemeClr w14:val="tx1"/>
                  </w14:solidFill>
                </w14:textFill>
              </w:rPr>
            </w:pPr>
          </w:p>
          <w:p w14:paraId="65F6C00D">
            <w:pPr>
              <w:bidi w:val="0"/>
              <w:rPr>
                <w:rFonts w:hint="default"/>
                <w:color w:val="000000" w:themeColor="text1"/>
                <w:lang w:val="en-US" w:eastAsia="zh-CN"/>
                <w14:textFill>
                  <w14:solidFill>
                    <w14:schemeClr w14:val="tx1"/>
                  </w14:solidFill>
                </w14:textFill>
              </w:rPr>
            </w:pPr>
          </w:p>
          <w:p w14:paraId="6E82A8B6">
            <w:pPr>
              <w:bidi w:val="0"/>
              <w:rPr>
                <w:rFonts w:hint="default"/>
                <w:color w:val="000000" w:themeColor="text1"/>
                <w:lang w:val="en-US" w:eastAsia="zh-CN"/>
                <w14:textFill>
                  <w14:solidFill>
                    <w14:schemeClr w14:val="tx1"/>
                  </w14:solidFill>
                </w14:textFill>
              </w:rPr>
            </w:pPr>
          </w:p>
        </w:tc>
      </w:tr>
    </w:tbl>
    <w:p w14:paraId="5D02DF65">
      <w:pPr>
        <w:jc w:val="both"/>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3E11219">
      <w:pPr>
        <w:pStyle w:val="2"/>
        <w:keepNext/>
        <w:keepLines/>
        <w:pageBreakBefore w:val="0"/>
        <w:widowControl w:val="0"/>
        <w:tabs>
          <w:tab w:val="left" w:pos="309"/>
        </w:tabs>
        <w:kinsoku/>
        <w:wordWrap/>
        <w:overflowPunct/>
        <w:topLinePunct w:val="0"/>
        <w:autoSpaceDE/>
        <w:autoSpaceDN/>
        <w:bidi w:val="0"/>
        <w:adjustRightInd/>
        <w:snapToGrid/>
        <w:spacing w:before="0" w:after="0" w:line="360" w:lineRule="auto"/>
        <w:jc w:val="both"/>
        <w:textAlignment w:val="auto"/>
        <w:rPr>
          <w:rFonts w:hint="eastAsia" w:eastAsia="黑体" w:cs="Times New Roman"/>
          <w:color w:val="000000" w:themeColor="text1"/>
          <w:sz w:val="24"/>
          <w:szCs w:val="24"/>
          <w:lang w:val="en-US" w:eastAsia="zh-CN"/>
          <w14:textFill>
            <w14:solidFill>
              <w14:schemeClr w14:val="tx1"/>
            </w14:solidFill>
          </w14:textFill>
        </w:rPr>
      </w:pPr>
      <w:bookmarkStart w:id="30" w:name="_Toc10919"/>
      <w:bookmarkStart w:id="31" w:name="_Toc6592"/>
      <w:bookmarkStart w:id="32" w:name="_Toc7287"/>
      <w:bookmarkStart w:id="33" w:name="_Toc21664"/>
      <w:bookmarkStart w:id="34" w:name="_Toc3352"/>
      <w:bookmarkStart w:id="35" w:name="_Toc22449"/>
      <w:bookmarkStart w:id="36" w:name="_Toc28203"/>
      <w:bookmarkStart w:id="37" w:name="_Toc27203"/>
      <w:bookmarkStart w:id="38" w:name="_Toc12485"/>
      <w:r>
        <w:rPr>
          <w:rFonts w:hint="eastAsia" w:eastAsia="黑体" w:cs="Times New Roman"/>
          <w:color w:val="000000" w:themeColor="text1"/>
          <w:sz w:val="24"/>
          <w:szCs w:val="24"/>
          <w:lang w:val="en-US" w:eastAsia="zh-CN"/>
          <w14:textFill>
            <w14:solidFill>
              <w14:schemeClr w14:val="tx1"/>
            </w14:solidFill>
          </w14:textFill>
        </w:rPr>
        <w:t>附表</w:t>
      </w:r>
      <w:bookmarkEnd w:id="30"/>
      <w:bookmarkEnd w:id="31"/>
      <w:bookmarkEnd w:id="32"/>
      <w:bookmarkEnd w:id="33"/>
      <w:bookmarkEnd w:id="34"/>
      <w:bookmarkEnd w:id="35"/>
      <w:bookmarkEnd w:id="36"/>
      <w:bookmarkEnd w:id="37"/>
      <w:bookmarkEnd w:id="38"/>
    </w:p>
    <w:p w14:paraId="6515EBCD">
      <w:pPr>
        <w:spacing w:line="360" w:lineRule="auto"/>
        <w:jc w:val="center"/>
        <w:rPr>
          <w:rFonts w:hint="eastAsia" w:eastAsia="黑体" w:cs="Times New Roman"/>
          <w:b/>
          <w:bCs/>
          <w:color w:val="000000" w:themeColor="text1"/>
          <w:sz w:val="24"/>
          <w:szCs w:val="24"/>
          <w:lang w:val="en-US" w:eastAsia="zh-CN"/>
          <w14:textFill>
            <w14:solidFill>
              <w14:schemeClr w14:val="tx1"/>
            </w14:solidFill>
          </w14:textFill>
        </w:rPr>
      </w:pPr>
      <w:r>
        <w:rPr>
          <w:rFonts w:hint="eastAsia" w:eastAsia="黑体" w:cs="Times New Roman"/>
          <w:b/>
          <w:bCs/>
          <w:color w:val="000000" w:themeColor="text1"/>
          <w:sz w:val="24"/>
          <w:szCs w:val="24"/>
          <w:lang w:val="en-US" w:eastAsia="zh-CN"/>
          <w14:textFill>
            <w14:solidFill>
              <w14:schemeClr w14:val="tx1"/>
            </w14:solidFill>
          </w14:textFill>
        </w:rPr>
        <w:t>建设项目污染物排放量汇总表</w:t>
      </w:r>
    </w:p>
    <w:tbl>
      <w:tblPr>
        <w:tblStyle w:val="8"/>
        <w:tblW w:w="13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013"/>
        <w:gridCol w:w="1387"/>
        <w:gridCol w:w="1595"/>
        <w:gridCol w:w="1514"/>
        <w:gridCol w:w="1680"/>
        <w:gridCol w:w="1400"/>
        <w:gridCol w:w="1850"/>
        <w:gridCol w:w="1332"/>
      </w:tblGrid>
      <w:tr w14:paraId="44E2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tcBorders>
              <w:tl2br w:val="single" w:color="auto" w:sz="4" w:space="0"/>
            </w:tcBorders>
            <w:noWrap w:val="0"/>
            <w:vAlign w:val="center"/>
          </w:tcPr>
          <w:p w14:paraId="6145C1B7">
            <w:pPr>
              <w:bidi w:val="0"/>
              <w:spacing w:line="240" w:lineRule="auto"/>
              <w:jc w:val="right"/>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项目</w:t>
            </w:r>
          </w:p>
          <w:p w14:paraId="0D4EF6EA">
            <w:pPr>
              <w:bidi w:val="0"/>
              <w:spacing w:line="240" w:lineRule="auto"/>
              <w:jc w:val="both"/>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t>分类</w:t>
            </w:r>
          </w:p>
        </w:tc>
        <w:tc>
          <w:tcPr>
            <w:tcW w:w="2013" w:type="dxa"/>
            <w:noWrap w:val="0"/>
            <w:vAlign w:val="center"/>
          </w:tcPr>
          <w:p w14:paraId="2F16AF09">
            <w:pPr>
              <w:bidi w:val="0"/>
              <w:spacing w:line="240" w:lineRule="auto"/>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vertAlign w:val="baseline"/>
                <w:lang w:val="en-US" w:eastAsia="zh-CN"/>
                <w14:textFill>
                  <w14:solidFill>
                    <w14:schemeClr w14:val="tx1"/>
                  </w14:solidFill>
                </w14:textFill>
              </w:rPr>
              <w:t>污染物名称</w:t>
            </w:r>
          </w:p>
        </w:tc>
        <w:tc>
          <w:tcPr>
            <w:tcW w:w="1387" w:type="dxa"/>
            <w:noWrap w:val="0"/>
            <w:vAlign w:val="center"/>
          </w:tcPr>
          <w:p w14:paraId="6DBFBF51">
            <w:pPr>
              <w:bidi w:val="0"/>
              <w:spacing w:line="240" w:lineRule="auto"/>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vertAlign w:val="baseline"/>
                <w:lang w:val="en-US" w:eastAsia="zh-CN"/>
                <w14:textFill>
                  <w14:solidFill>
                    <w14:schemeClr w14:val="tx1"/>
                  </w14:solidFill>
                </w14:textFill>
              </w:rPr>
              <w:t>现有工程排放量（固体废物产生量）</w:t>
            </w:r>
            <w:r>
              <w:rPr>
                <w:rFonts w:hint="default" w:ascii="Calibri" w:hAnsi="Calibri" w:eastAsia="黑体" w:cs="Calibri"/>
                <w:color w:val="000000" w:themeColor="text1"/>
                <w:sz w:val="21"/>
                <w:szCs w:val="21"/>
                <w:vertAlign w:val="superscript"/>
                <w:lang w:val="en-US" w:eastAsia="zh-CN"/>
                <w14:textFill>
                  <w14:solidFill>
                    <w14:schemeClr w14:val="tx1"/>
                  </w14:solidFill>
                </w14:textFill>
              </w:rPr>
              <w:t>①</w:t>
            </w:r>
          </w:p>
        </w:tc>
        <w:tc>
          <w:tcPr>
            <w:tcW w:w="1595" w:type="dxa"/>
            <w:noWrap w:val="0"/>
            <w:vAlign w:val="center"/>
          </w:tcPr>
          <w:p w14:paraId="11B10E2E">
            <w:pPr>
              <w:bidi w:val="0"/>
              <w:spacing w:line="240" w:lineRule="auto"/>
              <w:jc w:val="center"/>
              <w:rPr>
                <w:rFonts w:hint="default" w:ascii="Times New Roman" w:hAnsi="Times New Roman" w:eastAsia="黑体" w:cs="Times New Roman"/>
                <w:color w:val="000000" w:themeColor="text1"/>
                <w:sz w:val="21"/>
                <w:szCs w:val="21"/>
                <w:vertAlign w:val="superscript"/>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vertAlign w:val="baseline"/>
                <w:lang w:val="en-US" w:eastAsia="zh-CN"/>
                <w14:textFill>
                  <w14:solidFill>
                    <w14:schemeClr w14:val="tx1"/>
                  </w14:solidFill>
                </w14:textFill>
              </w:rPr>
              <w:t>现有工程许可排放量</w:t>
            </w:r>
            <w:r>
              <w:rPr>
                <w:rFonts w:hint="default" w:ascii="Calibri" w:hAnsi="Calibri" w:eastAsia="黑体" w:cs="Calibri"/>
                <w:color w:val="000000" w:themeColor="text1"/>
                <w:sz w:val="21"/>
                <w:szCs w:val="21"/>
                <w:vertAlign w:val="superscript"/>
                <w:lang w:val="en-US" w:eastAsia="zh-CN"/>
                <w14:textFill>
                  <w14:solidFill>
                    <w14:schemeClr w14:val="tx1"/>
                  </w14:solidFill>
                </w14:textFill>
              </w:rPr>
              <w:t>②</w:t>
            </w:r>
          </w:p>
        </w:tc>
        <w:tc>
          <w:tcPr>
            <w:tcW w:w="1514" w:type="dxa"/>
            <w:noWrap w:val="0"/>
            <w:vAlign w:val="center"/>
          </w:tcPr>
          <w:p w14:paraId="50BAFAB8">
            <w:pPr>
              <w:bidi w:val="0"/>
              <w:spacing w:line="240" w:lineRule="auto"/>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eastAsia" w:eastAsia="黑体" w:cs="Times New Roman"/>
                <w:color w:val="000000" w:themeColor="text1"/>
                <w:sz w:val="21"/>
                <w:szCs w:val="21"/>
                <w:vertAlign w:val="baseline"/>
                <w:lang w:val="en-US" w:eastAsia="zh-CN"/>
                <w14:textFill>
                  <w14:solidFill>
                    <w14:schemeClr w14:val="tx1"/>
                  </w14:solidFill>
                </w14:textFill>
              </w:rPr>
              <w:t>在建</w:t>
            </w:r>
            <w:r>
              <w:rPr>
                <w:rFonts w:hint="eastAsia" w:ascii="Times New Roman" w:hAnsi="Times New Roman" w:eastAsia="黑体" w:cs="Times New Roman"/>
                <w:color w:val="000000" w:themeColor="text1"/>
                <w:sz w:val="21"/>
                <w:szCs w:val="21"/>
                <w:vertAlign w:val="baseline"/>
                <w:lang w:val="en-US" w:eastAsia="zh-CN"/>
                <w14:textFill>
                  <w14:solidFill>
                    <w14:schemeClr w14:val="tx1"/>
                  </w14:solidFill>
                </w14:textFill>
              </w:rPr>
              <w:t>工程排放量（固体废物产生量）</w:t>
            </w:r>
            <w:r>
              <w:rPr>
                <w:rFonts w:hint="default" w:ascii="Calibri" w:hAnsi="Calibri" w:eastAsia="黑体" w:cs="Calibri"/>
                <w:color w:val="000000" w:themeColor="text1"/>
                <w:sz w:val="21"/>
                <w:szCs w:val="21"/>
                <w:vertAlign w:val="superscript"/>
                <w:lang w:val="en-US" w:eastAsia="zh-CN"/>
                <w14:textFill>
                  <w14:solidFill>
                    <w14:schemeClr w14:val="tx1"/>
                  </w14:solidFill>
                </w14:textFill>
              </w:rPr>
              <w:t>③</w:t>
            </w:r>
          </w:p>
        </w:tc>
        <w:tc>
          <w:tcPr>
            <w:tcW w:w="1680" w:type="dxa"/>
            <w:noWrap w:val="0"/>
            <w:vAlign w:val="center"/>
          </w:tcPr>
          <w:p w14:paraId="28E365CD">
            <w:pPr>
              <w:bidi w:val="0"/>
              <w:spacing w:line="240" w:lineRule="auto"/>
              <w:jc w:val="center"/>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eastAsia="黑体" w:cs="Times New Roman"/>
                <w:color w:val="000000" w:themeColor="text1"/>
                <w:sz w:val="21"/>
                <w:szCs w:val="21"/>
                <w:vertAlign w:val="baseline"/>
                <w:lang w:val="en-US" w:eastAsia="zh-CN"/>
                <w14:textFill>
                  <w14:solidFill>
                    <w14:schemeClr w14:val="tx1"/>
                  </w14:solidFill>
                </w14:textFill>
              </w:rPr>
              <w:t>本项目</w:t>
            </w:r>
            <w:r>
              <w:rPr>
                <w:rFonts w:hint="eastAsia" w:ascii="Times New Roman" w:hAnsi="Times New Roman" w:eastAsia="黑体" w:cs="Times New Roman"/>
                <w:color w:val="000000" w:themeColor="text1"/>
                <w:sz w:val="21"/>
                <w:szCs w:val="21"/>
                <w:vertAlign w:val="baseline"/>
                <w:lang w:val="en-US" w:eastAsia="zh-CN"/>
                <w14:textFill>
                  <w14:solidFill>
                    <w14:schemeClr w14:val="tx1"/>
                  </w14:solidFill>
                </w14:textFill>
              </w:rPr>
              <w:t>排放量（固体废物产生量）</w:t>
            </w:r>
            <w:r>
              <w:rPr>
                <w:rFonts w:hint="default" w:ascii="Calibri" w:hAnsi="Calibri" w:eastAsia="黑体" w:cs="黑体"/>
                <w:color w:val="000000" w:themeColor="text1"/>
                <w:sz w:val="21"/>
                <w:szCs w:val="21"/>
                <w:vertAlign w:val="superscript"/>
                <w:lang w:val="en-US" w:eastAsia="zh-CN"/>
                <w14:textFill>
                  <w14:solidFill>
                    <w14:schemeClr w14:val="tx1"/>
                  </w14:solidFill>
                </w14:textFill>
              </w:rPr>
              <w:t>④</w:t>
            </w:r>
          </w:p>
        </w:tc>
        <w:tc>
          <w:tcPr>
            <w:tcW w:w="1400" w:type="dxa"/>
            <w:noWrap w:val="0"/>
            <w:vAlign w:val="center"/>
          </w:tcPr>
          <w:p w14:paraId="742644A8">
            <w:pPr>
              <w:bidi w:val="0"/>
              <w:spacing w:line="240" w:lineRule="auto"/>
              <w:jc w:val="center"/>
              <w:rPr>
                <w:rFonts w:hint="default" w:ascii="Calibri" w:hAnsi="Calibri" w:eastAsia="黑体" w:cs="Calibri"/>
                <w:color w:val="000000" w:themeColor="text1"/>
                <w:sz w:val="21"/>
                <w:szCs w:val="21"/>
                <w:vertAlign w:val="baseline"/>
                <w:lang w:val="en-US" w:eastAsia="zh-CN"/>
                <w14:textFill>
                  <w14:solidFill>
                    <w14:schemeClr w14:val="tx1"/>
                  </w14:solidFill>
                </w14:textFill>
              </w:rPr>
            </w:pPr>
            <w:r>
              <w:rPr>
                <w:rFonts w:hint="eastAsia" w:eastAsia="黑体" w:cs="Times New Roman"/>
                <w:color w:val="000000" w:themeColor="text1"/>
                <w:sz w:val="21"/>
                <w:szCs w:val="21"/>
                <w:vertAlign w:val="baseline"/>
                <w:lang w:val="en-US" w:eastAsia="zh-CN"/>
                <w14:textFill>
                  <w14:solidFill>
                    <w14:schemeClr w14:val="tx1"/>
                  </w14:solidFill>
                </w14:textFill>
              </w:rPr>
              <w:t>以新带老削减量</w:t>
            </w:r>
            <w:r>
              <w:rPr>
                <w:rFonts w:hint="eastAsia" w:ascii="Times New Roman" w:hAnsi="Times New Roman" w:eastAsia="黑体" w:cs="Times New Roman"/>
                <w:color w:val="000000" w:themeColor="text1"/>
                <w:sz w:val="21"/>
                <w:szCs w:val="21"/>
                <w:vertAlign w:val="baseline"/>
                <w:lang w:val="en-US" w:eastAsia="zh-CN"/>
                <w14:textFill>
                  <w14:solidFill>
                    <w14:schemeClr w14:val="tx1"/>
                  </w14:solidFill>
                </w14:textFill>
              </w:rPr>
              <w:t>（</w:t>
            </w:r>
            <w:r>
              <w:rPr>
                <w:rFonts w:hint="eastAsia" w:eastAsia="黑体" w:cs="Times New Roman"/>
                <w:color w:val="000000" w:themeColor="text1"/>
                <w:sz w:val="21"/>
                <w:szCs w:val="21"/>
                <w:vertAlign w:val="baseline"/>
                <w:lang w:val="en-US" w:eastAsia="zh-CN"/>
                <w14:textFill>
                  <w14:solidFill>
                    <w14:schemeClr w14:val="tx1"/>
                  </w14:solidFill>
                </w14:textFill>
              </w:rPr>
              <w:t>新建项目不填</w:t>
            </w:r>
            <w:r>
              <w:rPr>
                <w:rFonts w:hint="default" w:ascii="Calibri" w:hAnsi="Calibri" w:eastAsia="黑体" w:cs="Calibri"/>
                <w:color w:val="000000" w:themeColor="text1"/>
                <w:sz w:val="21"/>
                <w:szCs w:val="21"/>
                <w:vertAlign w:val="superscript"/>
                <w:lang w:val="en-US" w:eastAsia="zh-CN"/>
                <w14:textFill>
                  <w14:solidFill>
                    <w14:schemeClr w14:val="tx1"/>
                  </w14:solidFill>
                </w14:textFill>
              </w:rPr>
              <w:t>⑤</w:t>
            </w:r>
          </w:p>
        </w:tc>
        <w:tc>
          <w:tcPr>
            <w:tcW w:w="1850" w:type="dxa"/>
            <w:noWrap w:val="0"/>
            <w:vAlign w:val="center"/>
          </w:tcPr>
          <w:p w14:paraId="25E7EDF3">
            <w:pPr>
              <w:bidi w:val="0"/>
              <w:spacing w:line="240" w:lineRule="auto"/>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vertAlign w:val="baseline"/>
                <w:lang w:val="en-US" w:eastAsia="zh-CN"/>
                <w14:textFill>
                  <w14:solidFill>
                    <w14:schemeClr w14:val="tx1"/>
                  </w14:solidFill>
                </w14:textFill>
              </w:rPr>
              <w:t>本项目建成后全场排放量（固体废物产生量）</w:t>
            </w:r>
            <w:r>
              <w:rPr>
                <w:rFonts w:hint="default" w:ascii="Calibri" w:hAnsi="Calibri" w:eastAsia="黑体" w:cs="Calibri"/>
                <w:color w:val="000000" w:themeColor="text1"/>
                <w:sz w:val="21"/>
                <w:szCs w:val="21"/>
                <w:vertAlign w:val="superscript"/>
                <w:lang w:val="en-US" w:eastAsia="zh-CN"/>
                <w14:textFill>
                  <w14:solidFill>
                    <w14:schemeClr w14:val="tx1"/>
                  </w14:solidFill>
                </w14:textFill>
              </w:rPr>
              <w:t>⑥</w:t>
            </w:r>
          </w:p>
        </w:tc>
        <w:tc>
          <w:tcPr>
            <w:tcW w:w="1332" w:type="dxa"/>
            <w:noWrap w:val="0"/>
            <w:vAlign w:val="center"/>
          </w:tcPr>
          <w:p w14:paraId="05FD6794">
            <w:pPr>
              <w:bidi w:val="0"/>
              <w:spacing w:line="240" w:lineRule="auto"/>
              <w:jc w:val="center"/>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vertAlign w:val="baseline"/>
                <w:lang w:val="en-US" w:eastAsia="zh-CN"/>
                <w14:textFill>
                  <w14:solidFill>
                    <w14:schemeClr w14:val="tx1"/>
                  </w14:solidFill>
                </w14:textFill>
              </w:rPr>
              <w:t>变化量</w:t>
            </w:r>
            <w:r>
              <w:rPr>
                <w:rFonts w:hint="default" w:ascii="Calibri" w:hAnsi="Calibri" w:eastAsia="黑体" w:cs="Calibri"/>
                <w:color w:val="000000" w:themeColor="text1"/>
                <w:sz w:val="21"/>
                <w:szCs w:val="21"/>
                <w:vertAlign w:val="superscript"/>
                <w:lang w:val="en-US" w:eastAsia="zh-CN"/>
                <w14:textFill>
                  <w14:solidFill>
                    <w14:schemeClr w14:val="tx1"/>
                  </w14:solidFill>
                </w14:textFill>
              </w:rPr>
              <w:t>⑦</w:t>
            </w:r>
          </w:p>
        </w:tc>
      </w:tr>
      <w:tr w14:paraId="277E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14:paraId="1CD456C3">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废气</w:t>
            </w:r>
          </w:p>
        </w:tc>
        <w:tc>
          <w:tcPr>
            <w:tcW w:w="2013" w:type="dxa"/>
            <w:noWrap w:val="0"/>
            <w:vAlign w:val="center"/>
          </w:tcPr>
          <w:p w14:paraId="76C63F11">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焊接</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烟尘</w:t>
            </w:r>
          </w:p>
        </w:tc>
        <w:tc>
          <w:tcPr>
            <w:tcW w:w="1387" w:type="dxa"/>
            <w:noWrap w:val="0"/>
            <w:vAlign w:val="center"/>
          </w:tcPr>
          <w:p w14:paraId="1DB790E7">
            <w:pPr>
              <w:bidi w:val="0"/>
              <w:spacing w:line="240" w:lineRule="auto"/>
              <w:ind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0.35t/a</w:t>
            </w:r>
          </w:p>
        </w:tc>
        <w:tc>
          <w:tcPr>
            <w:tcW w:w="1595" w:type="dxa"/>
            <w:noWrap w:val="0"/>
            <w:vAlign w:val="center"/>
          </w:tcPr>
          <w:p w14:paraId="40D1882B">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1694ABAE">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05046E62">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7CACDCFD">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374C637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0.35t/a</w:t>
            </w:r>
          </w:p>
        </w:tc>
        <w:tc>
          <w:tcPr>
            <w:tcW w:w="1332" w:type="dxa"/>
            <w:noWrap w:val="0"/>
            <w:vAlign w:val="center"/>
          </w:tcPr>
          <w:p w14:paraId="5C2BDECB">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16F3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tcBorders>
              <w:bottom w:val="single" w:color="000000" w:sz="8" w:space="0"/>
            </w:tcBorders>
            <w:noWrap w:val="0"/>
            <w:vAlign w:val="center"/>
          </w:tcPr>
          <w:p w14:paraId="0947E1F5">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tcBorders>
              <w:bottom w:val="single" w:color="000000" w:sz="8" w:space="0"/>
            </w:tcBorders>
            <w:noWrap w:val="0"/>
            <w:vAlign w:val="center"/>
          </w:tcPr>
          <w:p w14:paraId="0D92CF81">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食堂油烟</w:t>
            </w:r>
          </w:p>
        </w:tc>
        <w:tc>
          <w:tcPr>
            <w:tcW w:w="1387" w:type="dxa"/>
            <w:noWrap w:val="0"/>
            <w:vAlign w:val="center"/>
          </w:tcPr>
          <w:p w14:paraId="66C2C6E5">
            <w:pPr>
              <w:bidi w:val="0"/>
              <w:spacing w:line="240" w:lineRule="auto"/>
              <w:ind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0.009t/a</w:t>
            </w:r>
          </w:p>
        </w:tc>
        <w:tc>
          <w:tcPr>
            <w:tcW w:w="1595" w:type="dxa"/>
            <w:noWrap w:val="0"/>
            <w:vAlign w:val="center"/>
          </w:tcPr>
          <w:p w14:paraId="0C8093A3">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504D9667">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19A93802">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0D7A2B80">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058DE8C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0.009t/a</w:t>
            </w:r>
          </w:p>
        </w:tc>
        <w:tc>
          <w:tcPr>
            <w:tcW w:w="1332" w:type="dxa"/>
            <w:noWrap w:val="0"/>
            <w:vAlign w:val="center"/>
          </w:tcPr>
          <w:p w14:paraId="64FE66FC">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6F65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tcBorders>
              <w:top w:val="single" w:color="000000" w:sz="8" w:space="0"/>
            </w:tcBorders>
            <w:noWrap w:val="0"/>
            <w:vAlign w:val="center"/>
          </w:tcPr>
          <w:p w14:paraId="090ABFD8">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tcBorders>
              <w:top w:val="single" w:color="000000" w:sz="8" w:space="0"/>
            </w:tcBorders>
            <w:noWrap w:val="0"/>
            <w:vAlign w:val="center"/>
          </w:tcPr>
          <w:p w14:paraId="2917448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非甲烷总烃</w:t>
            </w:r>
          </w:p>
        </w:tc>
        <w:tc>
          <w:tcPr>
            <w:tcW w:w="1387" w:type="dxa"/>
            <w:noWrap w:val="0"/>
            <w:vAlign w:val="center"/>
          </w:tcPr>
          <w:p w14:paraId="53CC5CFB">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595" w:type="dxa"/>
            <w:noWrap w:val="0"/>
            <w:vAlign w:val="center"/>
          </w:tcPr>
          <w:p w14:paraId="79A3DA78">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330A9E17">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69A71302">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0.049</w:t>
            </w:r>
            <w:r>
              <w:rPr>
                <w:rFonts w:hint="eastAsia" w:cs="Times New Roman"/>
                <w:i w:val="0"/>
                <w:iCs w:val="0"/>
                <w:color w:val="000000" w:themeColor="text1"/>
                <w:kern w:val="0"/>
                <w:sz w:val="21"/>
                <w:szCs w:val="21"/>
                <w:u w:val="none"/>
                <w:lang w:val="en-US" w:eastAsia="zh-CN" w:bidi="ar"/>
                <w14:textFill>
                  <w14:solidFill>
                    <w14:schemeClr w14:val="tx1"/>
                  </w14:solidFill>
                </w14:textFill>
              </w:rPr>
              <w:t>t/a</w:t>
            </w:r>
          </w:p>
        </w:tc>
        <w:tc>
          <w:tcPr>
            <w:tcW w:w="1400" w:type="dxa"/>
            <w:noWrap w:val="0"/>
            <w:vAlign w:val="center"/>
          </w:tcPr>
          <w:p w14:paraId="41AA48E4">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2A794E22">
            <w:pPr>
              <w:bidi w:val="0"/>
              <w:spacing w:line="240" w:lineRule="auto"/>
              <w:ind w:firstLine="0" w:firstLineChars="0"/>
              <w:jc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0.049t/a</w:t>
            </w:r>
          </w:p>
        </w:tc>
        <w:tc>
          <w:tcPr>
            <w:tcW w:w="1332" w:type="dxa"/>
            <w:noWrap w:val="0"/>
            <w:vAlign w:val="center"/>
          </w:tcPr>
          <w:p w14:paraId="44666502">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+0.049</w:t>
            </w:r>
            <w:r>
              <w:rPr>
                <w:rFonts w:hint="eastAsia" w:cs="Times New Roman"/>
                <w:i w:val="0"/>
                <w:iCs w:val="0"/>
                <w:color w:val="000000" w:themeColor="text1"/>
                <w:kern w:val="0"/>
                <w:sz w:val="21"/>
                <w:szCs w:val="21"/>
                <w:u w:val="none"/>
                <w:lang w:val="en-US" w:eastAsia="zh-CN" w:bidi="ar"/>
                <w14:textFill>
                  <w14:solidFill>
                    <w14:schemeClr w14:val="tx1"/>
                  </w14:solidFill>
                </w14:textFill>
              </w:rPr>
              <w:t>t/a</w:t>
            </w:r>
          </w:p>
        </w:tc>
      </w:tr>
      <w:tr w14:paraId="3EF6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66D91982">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47F8B8F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二甲苯</w:t>
            </w:r>
          </w:p>
        </w:tc>
        <w:tc>
          <w:tcPr>
            <w:tcW w:w="1387" w:type="dxa"/>
            <w:noWrap w:val="0"/>
            <w:vAlign w:val="center"/>
          </w:tcPr>
          <w:p w14:paraId="51B1A796">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595" w:type="dxa"/>
            <w:noWrap w:val="0"/>
            <w:vAlign w:val="center"/>
          </w:tcPr>
          <w:p w14:paraId="4D6BA659">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632F92F8">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37FA2ACA">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0.063</w:t>
            </w:r>
            <w:r>
              <w:rPr>
                <w:rFonts w:hint="eastAsia" w:cs="Times New Roman"/>
                <w:i w:val="0"/>
                <w:iCs w:val="0"/>
                <w:color w:val="000000" w:themeColor="text1"/>
                <w:kern w:val="0"/>
                <w:sz w:val="21"/>
                <w:szCs w:val="21"/>
                <w:u w:val="none"/>
                <w:lang w:val="en-US" w:eastAsia="zh-CN" w:bidi="ar"/>
                <w14:textFill>
                  <w14:solidFill>
                    <w14:schemeClr w14:val="tx1"/>
                  </w14:solidFill>
                </w14:textFill>
              </w:rPr>
              <w:t>t/a</w:t>
            </w:r>
          </w:p>
        </w:tc>
        <w:tc>
          <w:tcPr>
            <w:tcW w:w="1400" w:type="dxa"/>
            <w:noWrap w:val="0"/>
            <w:vAlign w:val="center"/>
          </w:tcPr>
          <w:p w14:paraId="72092520">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119AF6E8">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0.063t/a</w:t>
            </w:r>
          </w:p>
        </w:tc>
        <w:tc>
          <w:tcPr>
            <w:tcW w:w="1332" w:type="dxa"/>
            <w:noWrap w:val="0"/>
            <w:vAlign w:val="center"/>
          </w:tcPr>
          <w:p w14:paraId="18A5BB27">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+0.063</w:t>
            </w:r>
            <w:r>
              <w:rPr>
                <w:rFonts w:hint="eastAsia" w:cs="Times New Roman"/>
                <w:i w:val="0"/>
                <w:iCs w:val="0"/>
                <w:color w:val="000000" w:themeColor="text1"/>
                <w:kern w:val="0"/>
                <w:sz w:val="21"/>
                <w:szCs w:val="21"/>
                <w:u w:val="none"/>
                <w:lang w:val="en-US" w:eastAsia="zh-CN" w:bidi="ar"/>
                <w14:textFill>
                  <w14:solidFill>
                    <w14:schemeClr w14:val="tx1"/>
                  </w14:solidFill>
                </w14:textFill>
              </w:rPr>
              <w:t>t/a</w:t>
            </w:r>
          </w:p>
        </w:tc>
      </w:tr>
      <w:tr w14:paraId="5687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14:paraId="1AE347BD">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废水</w:t>
            </w:r>
          </w:p>
        </w:tc>
        <w:tc>
          <w:tcPr>
            <w:tcW w:w="2013" w:type="dxa"/>
            <w:noWrap w:val="0"/>
            <w:vAlign w:val="center"/>
          </w:tcPr>
          <w:p w14:paraId="3D0D7A7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废水量</w:t>
            </w:r>
          </w:p>
        </w:tc>
        <w:tc>
          <w:tcPr>
            <w:tcW w:w="1387" w:type="dxa"/>
            <w:noWrap w:val="0"/>
            <w:vAlign w:val="center"/>
          </w:tcPr>
          <w:p w14:paraId="451344AC">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6480</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1595" w:type="dxa"/>
            <w:noWrap w:val="0"/>
            <w:vAlign w:val="center"/>
          </w:tcPr>
          <w:p w14:paraId="54053E6F">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2DE00D3C">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43F3C530">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4B649366">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231F0132">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6480</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1332" w:type="dxa"/>
            <w:noWrap w:val="0"/>
            <w:vAlign w:val="center"/>
          </w:tcPr>
          <w:p w14:paraId="5B5B0379">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24FF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5079C29C">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02571BC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1387" w:type="dxa"/>
            <w:noWrap w:val="0"/>
            <w:vAlign w:val="center"/>
          </w:tcPr>
          <w:p w14:paraId="171B4689">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0.45t/a</w:t>
            </w:r>
          </w:p>
        </w:tc>
        <w:tc>
          <w:tcPr>
            <w:tcW w:w="1595" w:type="dxa"/>
            <w:noWrap w:val="0"/>
            <w:vAlign w:val="center"/>
          </w:tcPr>
          <w:p w14:paraId="6D165A59">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79B33FBA">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1F6AA5BD">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17891325">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473443F1">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0.45t/a</w:t>
            </w:r>
          </w:p>
        </w:tc>
        <w:tc>
          <w:tcPr>
            <w:tcW w:w="1332" w:type="dxa"/>
            <w:noWrap w:val="0"/>
            <w:vAlign w:val="center"/>
          </w:tcPr>
          <w:p w14:paraId="4B9C9742">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3E77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0DEC227B">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252464E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CODcr</w:t>
            </w:r>
          </w:p>
        </w:tc>
        <w:tc>
          <w:tcPr>
            <w:tcW w:w="1387" w:type="dxa"/>
            <w:noWrap w:val="0"/>
            <w:vAlign w:val="center"/>
          </w:tcPr>
          <w:p w14:paraId="5F6F71A7">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0.65t/a</w:t>
            </w:r>
          </w:p>
        </w:tc>
        <w:tc>
          <w:tcPr>
            <w:tcW w:w="1595" w:type="dxa"/>
            <w:noWrap w:val="0"/>
            <w:vAlign w:val="center"/>
          </w:tcPr>
          <w:p w14:paraId="3270A334">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0.65t/a</w:t>
            </w:r>
          </w:p>
        </w:tc>
        <w:tc>
          <w:tcPr>
            <w:tcW w:w="1514" w:type="dxa"/>
            <w:noWrap w:val="0"/>
            <w:vAlign w:val="center"/>
          </w:tcPr>
          <w:p w14:paraId="3582F33C">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2C5F6F4E">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4336B943">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20E9DA54">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0.65t/a</w:t>
            </w:r>
          </w:p>
        </w:tc>
        <w:tc>
          <w:tcPr>
            <w:tcW w:w="1332" w:type="dxa"/>
            <w:noWrap w:val="0"/>
            <w:vAlign w:val="center"/>
          </w:tcPr>
          <w:p w14:paraId="2C293698">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4127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584EA1AB">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5F388B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BOD</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5</w:t>
            </w:r>
          </w:p>
        </w:tc>
        <w:tc>
          <w:tcPr>
            <w:tcW w:w="1387" w:type="dxa"/>
            <w:noWrap w:val="0"/>
            <w:vAlign w:val="center"/>
          </w:tcPr>
          <w:p w14:paraId="19567F52">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0.1t/a</w:t>
            </w:r>
          </w:p>
        </w:tc>
        <w:tc>
          <w:tcPr>
            <w:tcW w:w="1595" w:type="dxa"/>
            <w:noWrap w:val="0"/>
            <w:vAlign w:val="center"/>
          </w:tcPr>
          <w:p w14:paraId="715CA64B">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1CE2E3EC">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3C5ABD8A">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3C8CFCD5">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30C7BF49">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0.1t/a</w:t>
            </w:r>
          </w:p>
        </w:tc>
        <w:tc>
          <w:tcPr>
            <w:tcW w:w="1332" w:type="dxa"/>
            <w:noWrap w:val="0"/>
            <w:vAlign w:val="center"/>
          </w:tcPr>
          <w:p w14:paraId="58BD3B1C">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299E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07660ED2">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3E41A01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eastAsia"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w:t>
            </w:r>
          </w:p>
        </w:tc>
        <w:tc>
          <w:tcPr>
            <w:tcW w:w="1387" w:type="dxa"/>
            <w:noWrap w:val="0"/>
            <w:vAlign w:val="center"/>
          </w:tcPr>
          <w:p w14:paraId="5C974930">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0.1t/a</w:t>
            </w:r>
          </w:p>
        </w:tc>
        <w:tc>
          <w:tcPr>
            <w:tcW w:w="1595" w:type="dxa"/>
            <w:noWrap w:val="0"/>
            <w:vAlign w:val="center"/>
          </w:tcPr>
          <w:p w14:paraId="1CEF24C8">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0.1t/a</w:t>
            </w:r>
          </w:p>
        </w:tc>
        <w:tc>
          <w:tcPr>
            <w:tcW w:w="1514" w:type="dxa"/>
            <w:noWrap w:val="0"/>
            <w:vAlign w:val="center"/>
          </w:tcPr>
          <w:p w14:paraId="03AD29BF">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6EC17B50">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3AD8E2B7">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0DA5550A">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0.1t/a</w:t>
            </w:r>
          </w:p>
        </w:tc>
        <w:tc>
          <w:tcPr>
            <w:tcW w:w="1332" w:type="dxa"/>
            <w:noWrap w:val="0"/>
            <w:vAlign w:val="center"/>
          </w:tcPr>
          <w:p w14:paraId="68ED1027">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27EC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noWrap w:val="0"/>
            <w:vAlign w:val="center"/>
          </w:tcPr>
          <w:p w14:paraId="5FF4D6D1">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生活垃圾</w:t>
            </w:r>
          </w:p>
        </w:tc>
        <w:tc>
          <w:tcPr>
            <w:tcW w:w="2013" w:type="dxa"/>
            <w:noWrap w:val="0"/>
            <w:vAlign w:val="center"/>
          </w:tcPr>
          <w:p w14:paraId="128D56C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生活垃圾</w:t>
            </w:r>
          </w:p>
        </w:tc>
        <w:tc>
          <w:tcPr>
            <w:tcW w:w="1387" w:type="dxa"/>
            <w:noWrap w:val="0"/>
            <w:vAlign w:val="center"/>
          </w:tcPr>
          <w:p w14:paraId="7631A6BA">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26.4t/a</w:t>
            </w:r>
          </w:p>
        </w:tc>
        <w:tc>
          <w:tcPr>
            <w:tcW w:w="1595" w:type="dxa"/>
            <w:noWrap w:val="0"/>
            <w:vAlign w:val="center"/>
          </w:tcPr>
          <w:p w14:paraId="304E1C1B">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4F59B601">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34861830">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67F5AFF1">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45D814BC">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26.4t/a</w:t>
            </w:r>
          </w:p>
        </w:tc>
        <w:tc>
          <w:tcPr>
            <w:tcW w:w="1332" w:type="dxa"/>
            <w:noWrap w:val="0"/>
            <w:vAlign w:val="center"/>
          </w:tcPr>
          <w:p w14:paraId="5BA73684">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429B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14:paraId="4654CA2E">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一般工业固体废物</w:t>
            </w:r>
          </w:p>
        </w:tc>
        <w:tc>
          <w:tcPr>
            <w:tcW w:w="2013" w:type="dxa"/>
            <w:noWrap w:val="0"/>
            <w:vAlign w:val="center"/>
          </w:tcPr>
          <w:p w14:paraId="1F6A14F6">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金属废料</w:t>
            </w:r>
          </w:p>
        </w:tc>
        <w:tc>
          <w:tcPr>
            <w:tcW w:w="1387" w:type="dxa"/>
            <w:noWrap w:val="0"/>
            <w:vAlign w:val="center"/>
          </w:tcPr>
          <w:p w14:paraId="6B7DD3CE">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5t/a</w:t>
            </w:r>
          </w:p>
        </w:tc>
        <w:tc>
          <w:tcPr>
            <w:tcW w:w="1595" w:type="dxa"/>
            <w:noWrap w:val="0"/>
            <w:vAlign w:val="center"/>
          </w:tcPr>
          <w:p w14:paraId="339EBA6F">
            <w:pPr>
              <w:bidi w:val="0"/>
              <w:spacing w:line="240" w:lineRule="auto"/>
              <w:ind w:firstLine="0" w:firstLineChars="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59CE2CCA">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3E285640">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5C67FBB9">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2FF04245">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5t/a</w:t>
            </w:r>
          </w:p>
        </w:tc>
        <w:tc>
          <w:tcPr>
            <w:tcW w:w="1332" w:type="dxa"/>
            <w:noWrap w:val="0"/>
            <w:vAlign w:val="center"/>
          </w:tcPr>
          <w:p w14:paraId="64BB2654">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1D3D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25BF3FE8">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5A1F8972">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焊接残渣</w:t>
            </w:r>
          </w:p>
        </w:tc>
        <w:tc>
          <w:tcPr>
            <w:tcW w:w="1387" w:type="dxa"/>
            <w:noWrap w:val="0"/>
            <w:vAlign w:val="center"/>
          </w:tcPr>
          <w:p w14:paraId="14398A21">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5t/a</w:t>
            </w:r>
          </w:p>
        </w:tc>
        <w:tc>
          <w:tcPr>
            <w:tcW w:w="1595" w:type="dxa"/>
            <w:noWrap w:val="0"/>
            <w:vAlign w:val="center"/>
          </w:tcPr>
          <w:p w14:paraId="65976A67">
            <w:pPr>
              <w:bidi w:val="0"/>
              <w:spacing w:line="240" w:lineRule="auto"/>
              <w:ind w:firstLine="0" w:firstLineChars="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1CF53D65">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6A6F729E">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6A8C4877">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1CE5BF64">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5t/a</w:t>
            </w:r>
          </w:p>
        </w:tc>
        <w:tc>
          <w:tcPr>
            <w:tcW w:w="1332" w:type="dxa"/>
            <w:noWrap w:val="0"/>
            <w:vAlign w:val="center"/>
          </w:tcPr>
          <w:p w14:paraId="4AA31477">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643D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65774C7A">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0F1AA75D">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废弃包装物</w:t>
            </w:r>
          </w:p>
        </w:tc>
        <w:tc>
          <w:tcPr>
            <w:tcW w:w="1387" w:type="dxa"/>
            <w:noWrap w:val="0"/>
            <w:vAlign w:val="center"/>
          </w:tcPr>
          <w:p w14:paraId="7CE8CDBA">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2t/a</w:t>
            </w:r>
          </w:p>
        </w:tc>
        <w:tc>
          <w:tcPr>
            <w:tcW w:w="1595" w:type="dxa"/>
            <w:noWrap w:val="0"/>
            <w:vAlign w:val="center"/>
          </w:tcPr>
          <w:p w14:paraId="02236D7E">
            <w:pPr>
              <w:bidi w:val="0"/>
              <w:spacing w:line="240" w:lineRule="auto"/>
              <w:ind w:firstLine="0" w:firstLineChars="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42E707D0">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6EBDCDA2">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3CC60984">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3DA859F7">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2t/a</w:t>
            </w:r>
          </w:p>
        </w:tc>
        <w:tc>
          <w:tcPr>
            <w:tcW w:w="1332" w:type="dxa"/>
            <w:noWrap w:val="0"/>
            <w:vAlign w:val="center"/>
          </w:tcPr>
          <w:p w14:paraId="719C33C7">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2D7B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14:paraId="647D4407">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危险废物</w:t>
            </w:r>
          </w:p>
        </w:tc>
        <w:tc>
          <w:tcPr>
            <w:tcW w:w="2013" w:type="dxa"/>
            <w:noWrap w:val="0"/>
            <w:vAlign w:val="center"/>
          </w:tcPr>
          <w:p w14:paraId="7319358E">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废机油</w:t>
            </w:r>
          </w:p>
        </w:tc>
        <w:tc>
          <w:tcPr>
            <w:tcW w:w="1387" w:type="dxa"/>
            <w:noWrap w:val="0"/>
            <w:vAlign w:val="center"/>
          </w:tcPr>
          <w:p w14:paraId="174022E0">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0.5t/a</w:t>
            </w:r>
          </w:p>
        </w:tc>
        <w:tc>
          <w:tcPr>
            <w:tcW w:w="1595" w:type="dxa"/>
            <w:noWrap w:val="0"/>
            <w:vAlign w:val="center"/>
          </w:tcPr>
          <w:p w14:paraId="599DFE68">
            <w:pPr>
              <w:bidi w:val="0"/>
              <w:spacing w:line="240" w:lineRule="auto"/>
              <w:ind w:firstLine="0" w:firstLineChars="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642B89E6">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6810CE4D">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7A547447">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18D42E0C">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0.5t/a</w:t>
            </w:r>
          </w:p>
        </w:tc>
        <w:tc>
          <w:tcPr>
            <w:tcW w:w="1332" w:type="dxa"/>
            <w:noWrap w:val="0"/>
            <w:vAlign w:val="center"/>
          </w:tcPr>
          <w:p w14:paraId="5CC8DDFD">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2602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00021E92">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02F7030D">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废乳化液</w:t>
            </w:r>
          </w:p>
        </w:tc>
        <w:tc>
          <w:tcPr>
            <w:tcW w:w="1387" w:type="dxa"/>
            <w:noWrap w:val="0"/>
            <w:vAlign w:val="center"/>
          </w:tcPr>
          <w:p w14:paraId="0E56D79B">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0.1t/a</w:t>
            </w:r>
          </w:p>
        </w:tc>
        <w:tc>
          <w:tcPr>
            <w:tcW w:w="1595" w:type="dxa"/>
            <w:noWrap w:val="0"/>
            <w:vAlign w:val="center"/>
          </w:tcPr>
          <w:p w14:paraId="323D31D7">
            <w:pPr>
              <w:bidi w:val="0"/>
              <w:spacing w:line="240" w:lineRule="auto"/>
              <w:ind w:firstLine="0" w:firstLineChars="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4527575C">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2AF24B8A">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2DC02F94">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770F7552">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0.1t/a</w:t>
            </w:r>
          </w:p>
        </w:tc>
        <w:tc>
          <w:tcPr>
            <w:tcW w:w="1332" w:type="dxa"/>
            <w:noWrap w:val="0"/>
            <w:vAlign w:val="center"/>
          </w:tcPr>
          <w:p w14:paraId="679702A7">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233C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14:paraId="66BE75E2">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737FF87C">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含油废棉纱、废油布</w:t>
            </w:r>
          </w:p>
        </w:tc>
        <w:tc>
          <w:tcPr>
            <w:tcW w:w="1387" w:type="dxa"/>
            <w:noWrap w:val="0"/>
            <w:vAlign w:val="center"/>
          </w:tcPr>
          <w:p w14:paraId="2E449230">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0.1t/a</w:t>
            </w:r>
          </w:p>
        </w:tc>
        <w:tc>
          <w:tcPr>
            <w:tcW w:w="1595" w:type="dxa"/>
            <w:noWrap w:val="0"/>
            <w:vAlign w:val="center"/>
          </w:tcPr>
          <w:p w14:paraId="58868AA3">
            <w:pPr>
              <w:bidi w:val="0"/>
              <w:spacing w:line="240" w:lineRule="auto"/>
              <w:ind w:firstLine="0" w:firstLineChars="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18FD523D">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70F5E8DF">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400" w:type="dxa"/>
            <w:noWrap w:val="0"/>
            <w:vAlign w:val="center"/>
          </w:tcPr>
          <w:p w14:paraId="5D51836F">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5F46FACF">
            <w:pPr>
              <w:bidi w:val="0"/>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0.1t/a</w:t>
            </w:r>
          </w:p>
        </w:tc>
        <w:tc>
          <w:tcPr>
            <w:tcW w:w="1332" w:type="dxa"/>
            <w:noWrap w:val="0"/>
            <w:vAlign w:val="center"/>
          </w:tcPr>
          <w:p w14:paraId="7F4C9E23">
            <w:pPr>
              <w:bidi w:val="0"/>
              <w:spacing w:line="240" w:lineRule="auto"/>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r>
      <w:tr w14:paraId="2E59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127" w:type="dxa"/>
            <w:vMerge w:val="continue"/>
            <w:noWrap w:val="0"/>
            <w:vAlign w:val="center"/>
          </w:tcPr>
          <w:p w14:paraId="317DF6A5">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noWrap w:val="0"/>
            <w:vAlign w:val="center"/>
          </w:tcPr>
          <w:p w14:paraId="6902D470">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废容器桶</w:t>
            </w:r>
          </w:p>
        </w:tc>
        <w:tc>
          <w:tcPr>
            <w:tcW w:w="1387" w:type="dxa"/>
            <w:noWrap w:val="0"/>
            <w:vAlign w:val="center"/>
          </w:tcPr>
          <w:p w14:paraId="7B200702">
            <w:pPr>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595" w:type="dxa"/>
            <w:noWrap w:val="0"/>
            <w:vAlign w:val="center"/>
          </w:tcPr>
          <w:p w14:paraId="181B3F76">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42805BCF">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2F162125">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b w:val="0"/>
                <w:bCs/>
                <w:color w:val="000000" w:themeColor="text1"/>
                <w:sz w:val="20"/>
                <w:szCs w:val="20"/>
                <w:vertAlign w:val="baseline"/>
                <w:lang w:val="en-US" w:eastAsia="zh-CN"/>
                <w14:textFill>
                  <w14:solidFill>
                    <w14:schemeClr w14:val="tx1"/>
                  </w14:solidFill>
                </w14:textFill>
              </w:rPr>
              <w:t>0.15</w:t>
            </w:r>
          </w:p>
        </w:tc>
        <w:tc>
          <w:tcPr>
            <w:tcW w:w="1400" w:type="dxa"/>
            <w:noWrap w:val="0"/>
            <w:vAlign w:val="center"/>
          </w:tcPr>
          <w:p w14:paraId="5E56DAE5">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2B22E960">
            <w:pPr>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黑体" w:cs="Times New Roman"/>
                <w:b w:val="0"/>
                <w:bCs/>
                <w:color w:val="000000" w:themeColor="text1"/>
                <w:sz w:val="20"/>
                <w:szCs w:val="20"/>
                <w:vertAlign w:val="baseline"/>
                <w:lang w:val="en-US" w:eastAsia="zh-CN"/>
                <w14:textFill>
                  <w14:solidFill>
                    <w14:schemeClr w14:val="tx1"/>
                  </w14:solidFill>
                </w14:textFill>
              </w:rPr>
              <w:t>0.15</w:t>
            </w:r>
          </w:p>
        </w:tc>
        <w:tc>
          <w:tcPr>
            <w:tcW w:w="1332" w:type="dxa"/>
            <w:noWrap w:val="0"/>
            <w:vAlign w:val="center"/>
          </w:tcPr>
          <w:p w14:paraId="3C8CA83E">
            <w:pPr>
              <w:spacing w:line="240" w:lineRule="auto"/>
              <w:ind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b w:val="0"/>
                <w:bCs/>
                <w:color w:val="000000" w:themeColor="text1"/>
                <w:sz w:val="20"/>
                <w:szCs w:val="20"/>
                <w:vertAlign w:val="baseline"/>
                <w:lang w:val="en-US" w:eastAsia="zh-CN"/>
                <w14:textFill>
                  <w14:solidFill>
                    <w14:schemeClr w14:val="tx1"/>
                  </w14:solidFill>
                </w14:textFill>
              </w:rPr>
              <w:t>0.15</w:t>
            </w:r>
          </w:p>
        </w:tc>
      </w:tr>
      <w:tr w14:paraId="5FB0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tcBorders>
              <w:bottom w:val="single" w:color="000000" w:sz="8" w:space="0"/>
            </w:tcBorders>
            <w:noWrap w:val="0"/>
            <w:vAlign w:val="center"/>
          </w:tcPr>
          <w:p w14:paraId="7EAE0403">
            <w:pPr>
              <w:bidi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013" w:type="dxa"/>
            <w:tcBorders>
              <w:bottom w:val="single" w:color="000000" w:sz="8" w:space="0"/>
            </w:tcBorders>
            <w:noWrap w:val="0"/>
            <w:vAlign w:val="center"/>
          </w:tcPr>
          <w:p w14:paraId="5B41D221">
            <w:pPr>
              <w:bidi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废活性炭</w:t>
            </w:r>
          </w:p>
        </w:tc>
        <w:tc>
          <w:tcPr>
            <w:tcW w:w="1387" w:type="dxa"/>
            <w:noWrap w:val="0"/>
            <w:vAlign w:val="center"/>
          </w:tcPr>
          <w:p w14:paraId="3115B799">
            <w:pPr>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595" w:type="dxa"/>
            <w:noWrap w:val="0"/>
            <w:vAlign w:val="center"/>
          </w:tcPr>
          <w:p w14:paraId="2575796A">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514" w:type="dxa"/>
            <w:noWrap w:val="0"/>
            <w:vAlign w:val="center"/>
          </w:tcPr>
          <w:p w14:paraId="064C969E">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1680" w:type="dxa"/>
            <w:noWrap w:val="0"/>
            <w:vAlign w:val="center"/>
          </w:tcPr>
          <w:p w14:paraId="046B5673">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b w:val="0"/>
                <w:bCs/>
                <w:color w:val="000000" w:themeColor="text1"/>
                <w:sz w:val="20"/>
                <w:szCs w:val="20"/>
                <w:vertAlign w:val="baseline"/>
                <w:lang w:val="en-US" w:eastAsia="zh-CN"/>
                <w14:textFill>
                  <w14:solidFill>
                    <w14:schemeClr w14:val="tx1"/>
                  </w14:solidFill>
                </w14:textFill>
              </w:rPr>
              <w:t>2.067</w:t>
            </w:r>
          </w:p>
        </w:tc>
        <w:tc>
          <w:tcPr>
            <w:tcW w:w="1400" w:type="dxa"/>
            <w:noWrap w:val="0"/>
            <w:vAlign w:val="center"/>
          </w:tcPr>
          <w:p w14:paraId="67144FCC">
            <w:pPr>
              <w:bidi w:val="0"/>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1850" w:type="dxa"/>
            <w:noWrap w:val="0"/>
            <w:vAlign w:val="center"/>
          </w:tcPr>
          <w:p w14:paraId="5D2A84F2">
            <w:pPr>
              <w:spacing w:line="240" w:lineRule="auto"/>
              <w:ind w:firstLine="0" w:firstLine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黑体" w:cs="Times New Roman"/>
                <w:b w:val="0"/>
                <w:bCs/>
                <w:color w:val="000000" w:themeColor="text1"/>
                <w:sz w:val="20"/>
                <w:szCs w:val="20"/>
                <w:vertAlign w:val="baseline"/>
                <w:lang w:val="en-US" w:eastAsia="zh-CN"/>
                <w14:textFill>
                  <w14:solidFill>
                    <w14:schemeClr w14:val="tx1"/>
                  </w14:solidFill>
                </w14:textFill>
              </w:rPr>
              <w:t>2.067</w:t>
            </w:r>
          </w:p>
        </w:tc>
        <w:tc>
          <w:tcPr>
            <w:tcW w:w="1332" w:type="dxa"/>
            <w:noWrap w:val="0"/>
            <w:vAlign w:val="center"/>
          </w:tcPr>
          <w:p w14:paraId="06D68120">
            <w:pPr>
              <w:spacing w:line="240" w:lineRule="auto"/>
              <w:ind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黑体" w:cs="Times New Roman"/>
                <w:b w:val="0"/>
                <w:bCs/>
                <w:color w:val="000000" w:themeColor="text1"/>
                <w:sz w:val="20"/>
                <w:szCs w:val="20"/>
                <w:vertAlign w:val="baseline"/>
                <w:lang w:val="en-US" w:eastAsia="zh-CN"/>
                <w14:textFill>
                  <w14:solidFill>
                    <w14:schemeClr w14:val="tx1"/>
                  </w14:solidFill>
                </w14:textFill>
              </w:rPr>
              <w:t>2.067</w:t>
            </w:r>
          </w:p>
        </w:tc>
      </w:tr>
    </w:tbl>
    <w:p w14:paraId="53A82BE7">
      <w:pPr>
        <w:bidi w:val="0"/>
        <w:rPr>
          <w:rFonts w:hint="default"/>
          <w:color w:val="000000" w:themeColor="text1"/>
          <w:lang w:val="en-US" w:eastAsia="zh-CN"/>
          <w14:textFill>
            <w14:solidFill>
              <w14:schemeClr w14:val="tx1"/>
            </w14:solidFill>
          </w14:textFill>
        </w:rPr>
        <w:sectPr>
          <w:pgSz w:w="16838" w:h="11906" w:orient="landscape"/>
          <w:pgMar w:top="1213" w:right="1803" w:bottom="1213" w:left="1803" w:header="851" w:footer="794"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color w:val="000000" w:themeColor="text1"/>
          <w:lang w:val="en-US" w:eastAsia="zh-CN"/>
          <w14:textFill>
            <w14:solidFill>
              <w14:schemeClr w14:val="tx1"/>
            </w14:solidFill>
          </w14:textFill>
        </w:rPr>
        <w:t>注1：⑥=①+③+④-⑤；⑦=⑥-①</w:t>
      </w:r>
    </w:p>
    <w:p w14:paraId="22FDBAA5">
      <w:pPr>
        <w:pStyle w:val="2"/>
        <w:tabs>
          <w:tab w:val="left" w:pos="309"/>
        </w:tabs>
        <w:spacing w:before="0" w:after="0" w:line="360" w:lineRule="auto"/>
        <w:jc w:val="left"/>
        <w:rPr>
          <w:rFonts w:hint="eastAsia" w:cs="Times New Roman"/>
          <w:color w:val="000000" w:themeColor="text1"/>
          <w:sz w:val="24"/>
          <w:szCs w:val="24"/>
          <w:lang w:val="en-US" w:eastAsia="zh-CN"/>
          <w14:textFill>
            <w14:solidFill>
              <w14:schemeClr w14:val="tx1"/>
            </w14:solidFill>
          </w14:textFill>
        </w:rPr>
      </w:pPr>
      <w:bookmarkStart w:id="39" w:name="_Toc16002"/>
      <w:bookmarkStart w:id="40" w:name="_GoBack"/>
      <w:bookmarkEnd w:id="40"/>
      <w:r>
        <w:rPr>
          <w:rFonts w:hint="default" w:ascii="Times New Roman" w:hAnsi="Times New Roman"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12技术评审会专家评审意见</w:t>
      </w:r>
      <w:bookmarkEnd w:id="39"/>
    </w:p>
    <w:p w14:paraId="3C044A98">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273675" cy="7463790"/>
            <wp:effectExtent l="0" t="0" r="14605" b="3810"/>
            <wp:docPr id="73" name="图片 73" descr="益能环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益能环保_00"/>
                    <pic:cNvPicPr>
                      <a:picLocks noChangeAspect="1"/>
                    </pic:cNvPicPr>
                  </pic:nvPicPr>
                  <pic:blipFill>
                    <a:blip r:embed="rId30"/>
                    <a:stretch>
                      <a:fillRect/>
                    </a:stretch>
                  </pic:blipFill>
                  <pic:spPr>
                    <a:xfrm>
                      <a:off x="0" y="0"/>
                      <a:ext cx="5273675" cy="7463790"/>
                    </a:xfrm>
                    <a:prstGeom prst="rect">
                      <a:avLst/>
                    </a:prstGeom>
                  </pic:spPr>
                </pic:pic>
              </a:graphicData>
            </a:graphic>
          </wp:inline>
        </w:drawing>
      </w:r>
    </w:p>
    <w:p w14:paraId="0672D3B3">
      <w:pPr>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273675" cy="7463790"/>
            <wp:effectExtent l="0" t="0" r="14605" b="3810"/>
            <wp:docPr id="74" name="图片 74" descr="益能环保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益能环保_01"/>
                    <pic:cNvPicPr>
                      <a:picLocks noChangeAspect="1"/>
                    </pic:cNvPicPr>
                  </pic:nvPicPr>
                  <pic:blipFill>
                    <a:blip r:embed="rId31"/>
                    <a:stretch>
                      <a:fillRect/>
                    </a:stretch>
                  </pic:blipFill>
                  <pic:spPr>
                    <a:xfrm>
                      <a:off x="0" y="0"/>
                      <a:ext cx="5273675" cy="7463790"/>
                    </a:xfrm>
                    <a:prstGeom prst="rect">
                      <a:avLst/>
                    </a:prstGeom>
                  </pic:spPr>
                </pic:pic>
              </a:graphicData>
            </a:graphic>
          </wp:inline>
        </w:drawing>
      </w:r>
    </w:p>
    <w:p w14:paraId="090BA6FA">
      <w:pPr>
        <w:jc w:val="center"/>
        <w:rPr>
          <w:rFonts w:hint="eastAsia" w:eastAsia="宋体"/>
          <w:color w:val="000000" w:themeColor="text1"/>
          <w:lang w:eastAsia="zh-CN"/>
          <w14:textFill>
            <w14:solidFill>
              <w14:schemeClr w14:val="tx1"/>
            </w14:solidFill>
          </w14:textFill>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71E8A">
    <w:pPr>
      <w:tabs>
        <w:tab w:val="center" w:pos="4153"/>
        <w:tab w:val="right" w:pos="8306"/>
      </w:tabs>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7685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667685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886BB9"/>
    <w:rsid w:val="00225378"/>
    <w:rsid w:val="01477CF2"/>
    <w:rsid w:val="016025FC"/>
    <w:rsid w:val="01880E09"/>
    <w:rsid w:val="0337738D"/>
    <w:rsid w:val="03685798"/>
    <w:rsid w:val="039667A9"/>
    <w:rsid w:val="041476CE"/>
    <w:rsid w:val="04893C18"/>
    <w:rsid w:val="04D211E1"/>
    <w:rsid w:val="04FC43EA"/>
    <w:rsid w:val="05E27A84"/>
    <w:rsid w:val="064E336B"/>
    <w:rsid w:val="065344DE"/>
    <w:rsid w:val="06B66F93"/>
    <w:rsid w:val="0703310E"/>
    <w:rsid w:val="070B3D9D"/>
    <w:rsid w:val="070C28DE"/>
    <w:rsid w:val="07322345"/>
    <w:rsid w:val="090221EB"/>
    <w:rsid w:val="092B5729"/>
    <w:rsid w:val="098552F6"/>
    <w:rsid w:val="09D37A0C"/>
    <w:rsid w:val="09D93C30"/>
    <w:rsid w:val="0ADF0A36"/>
    <w:rsid w:val="0C0D512F"/>
    <w:rsid w:val="0D9C49BC"/>
    <w:rsid w:val="0DA73361"/>
    <w:rsid w:val="0DFF319D"/>
    <w:rsid w:val="0E4D215A"/>
    <w:rsid w:val="0E4F7C80"/>
    <w:rsid w:val="0F346E76"/>
    <w:rsid w:val="0F360E40"/>
    <w:rsid w:val="0F4A3168"/>
    <w:rsid w:val="0F5117D6"/>
    <w:rsid w:val="0F566DED"/>
    <w:rsid w:val="0FE91A0F"/>
    <w:rsid w:val="101031DA"/>
    <w:rsid w:val="10757746"/>
    <w:rsid w:val="108228B3"/>
    <w:rsid w:val="10D91F63"/>
    <w:rsid w:val="1109680C"/>
    <w:rsid w:val="12152F8F"/>
    <w:rsid w:val="121A67F7"/>
    <w:rsid w:val="12865C3B"/>
    <w:rsid w:val="12996BD2"/>
    <w:rsid w:val="129E11D6"/>
    <w:rsid w:val="12A762DD"/>
    <w:rsid w:val="12CB18A0"/>
    <w:rsid w:val="12ED6F41"/>
    <w:rsid w:val="139E0D62"/>
    <w:rsid w:val="1444190A"/>
    <w:rsid w:val="14BC1DE8"/>
    <w:rsid w:val="15107A3E"/>
    <w:rsid w:val="155B3298"/>
    <w:rsid w:val="15E01F98"/>
    <w:rsid w:val="16951D1B"/>
    <w:rsid w:val="18C43019"/>
    <w:rsid w:val="1A886BB9"/>
    <w:rsid w:val="1AB64BE3"/>
    <w:rsid w:val="1ACF1EB6"/>
    <w:rsid w:val="1BE7599C"/>
    <w:rsid w:val="1BEA0FE8"/>
    <w:rsid w:val="1C623275"/>
    <w:rsid w:val="1CDB4ADE"/>
    <w:rsid w:val="1D2D3883"/>
    <w:rsid w:val="1D9A07EC"/>
    <w:rsid w:val="1DE877AA"/>
    <w:rsid w:val="1DFD14A7"/>
    <w:rsid w:val="1E330DF6"/>
    <w:rsid w:val="1EE937D9"/>
    <w:rsid w:val="1F5570C1"/>
    <w:rsid w:val="1FDA1374"/>
    <w:rsid w:val="20052895"/>
    <w:rsid w:val="201719F3"/>
    <w:rsid w:val="204C4020"/>
    <w:rsid w:val="21294361"/>
    <w:rsid w:val="212C5BFF"/>
    <w:rsid w:val="215A451A"/>
    <w:rsid w:val="215D04AF"/>
    <w:rsid w:val="21C978F2"/>
    <w:rsid w:val="21D544E9"/>
    <w:rsid w:val="228757E3"/>
    <w:rsid w:val="22877591"/>
    <w:rsid w:val="22BB36DF"/>
    <w:rsid w:val="22D327D6"/>
    <w:rsid w:val="23E9602A"/>
    <w:rsid w:val="24134E54"/>
    <w:rsid w:val="24FA2BA5"/>
    <w:rsid w:val="25585215"/>
    <w:rsid w:val="261849A4"/>
    <w:rsid w:val="263A491A"/>
    <w:rsid w:val="2856592A"/>
    <w:rsid w:val="285D2B42"/>
    <w:rsid w:val="288F53F1"/>
    <w:rsid w:val="28AD3ACA"/>
    <w:rsid w:val="291B1930"/>
    <w:rsid w:val="29253660"/>
    <w:rsid w:val="29286271"/>
    <w:rsid w:val="298011DE"/>
    <w:rsid w:val="29826D04"/>
    <w:rsid w:val="2B2636BF"/>
    <w:rsid w:val="2D0A67F8"/>
    <w:rsid w:val="2D1139FF"/>
    <w:rsid w:val="2D46629B"/>
    <w:rsid w:val="302F1268"/>
    <w:rsid w:val="304C5976"/>
    <w:rsid w:val="30F06C49"/>
    <w:rsid w:val="310A7299"/>
    <w:rsid w:val="31E06CBE"/>
    <w:rsid w:val="32472899"/>
    <w:rsid w:val="32521A71"/>
    <w:rsid w:val="32891103"/>
    <w:rsid w:val="32EE0F67"/>
    <w:rsid w:val="33613E2E"/>
    <w:rsid w:val="342033A2"/>
    <w:rsid w:val="35423CDA"/>
    <w:rsid w:val="35BB5A78"/>
    <w:rsid w:val="364D41F6"/>
    <w:rsid w:val="36EB413B"/>
    <w:rsid w:val="372F1B4E"/>
    <w:rsid w:val="374B2E2B"/>
    <w:rsid w:val="379320DC"/>
    <w:rsid w:val="37CE2EF0"/>
    <w:rsid w:val="37D20E57"/>
    <w:rsid w:val="38C05153"/>
    <w:rsid w:val="38DD5D05"/>
    <w:rsid w:val="38E2156D"/>
    <w:rsid w:val="3982065B"/>
    <w:rsid w:val="3A7B3A28"/>
    <w:rsid w:val="3B334F0C"/>
    <w:rsid w:val="3BBF0D15"/>
    <w:rsid w:val="3BD4282C"/>
    <w:rsid w:val="3C4542ED"/>
    <w:rsid w:val="3CA24091"/>
    <w:rsid w:val="3E436647"/>
    <w:rsid w:val="3E573E64"/>
    <w:rsid w:val="3E786B8F"/>
    <w:rsid w:val="3F5900B0"/>
    <w:rsid w:val="3F6727CC"/>
    <w:rsid w:val="3FA07DB7"/>
    <w:rsid w:val="3FF04570"/>
    <w:rsid w:val="40493C80"/>
    <w:rsid w:val="40CA7159"/>
    <w:rsid w:val="41C2018E"/>
    <w:rsid w:val="41EA1493"/>
    <w:rsid w:val="421309EA"/>
    <w:rsid w:val="4265277D"/>
    <w:rsid w:val="428E1E1E"/>
    <w:rsid w:val="429D6505"/>
    <w:rsid w:val="43B458B4"/>
    <w:rsid w:val="447830E2"/>
    <w:rsid w:val="45BE2A1A"/>
    <w:rsid w:val="47F26294"/>
    <w:rsid w:val="48D72771"/>
    <w:rsid w:val="49075D5C"/>
    <w:rsid w:val="490C5860"/>
    <w:rsid w:val="491D5CAA"/>
    <w:rsid w:val="49B06B1E"/>
    <w:rsid w:val="49E862B8"/>
    <w:rsid w:val="4A786848"/>
    <w:rsid w:val="4AEB3076"/>
    <w:rsid w:val="4B3D0885"/>
    <w:rsid w:val="4B9761E7"/>
    <w:rsid w:val="4C0D2006"/>
    <w:rsid w:val="4C115F9A"/>
    <w:rsid w:val="4C285091"/>
    <w:rsid w:val="4C5D1420"/>
    <w:rsid w:val="4C673E0C"/>
    <w:rsid w:val="4CB701C3"/>
    <w:rsid w:val="4D267823"/>
    <w:rsid w:val="4D3C7046"/>
    <w:rsid w:val="4D41465D"/>
    <w:rsid w:val="4DAE15C6"/>
    <w:rsid w:val="4E5D0A0C"/>
    <w:rsid w:val="4F84638B"/>
    <w:rsid w:val="4FB43616"/>
    <w:rsid w:val="4FEC63D6"/>
    <w:rsid w:val="506D39BB"/>
    <w:rsid w:val="50C23D07"/>
    <w:rsid w:val="51452242"/>
    <w:rsid w:val="524E5126"/>
    <w:rsid w:val="531B5950"/>
    <w:rsid w:val="537D5CC3"/>
    <w:rsid w:val="53BB67EB"/>
    <w:rsid w:val="544762D1"/>
    <w:rsid w:val="54F55D2D"/>
    <w:rsid w:val="55A822EA"/>
    <w:rsid w:val="55C0633B"/>
    <w:rsid w:val="56DC0F52"/>
    <w:rsid w:val="57052952"/>
    <w:rsid w:val="579161E1"/>
    <w:rsid w:val="57D60097"/>
    <w:rsid w:val="587578B0"/>
    <w:rsid w:val="58CF5213"/>
    <w:rsid w:val="59372DB8"/>
    <w:rsid w:val="59EA1BD8"/>
    <w:rsid w:val="59F40CA9"/>
    <w:rsid w:val="5A8C5871"/>
    <w:rsid w:val="5A9658BC"/>
    <w:rsid w:val="5AC25F93"/>
    <w:rsid w:val="5AC97A40"/>
    <w:rsid w:val="5AFE1DDF"/>
    <w:rsid w:val="5B1E70B8"/>
    <w:rsid w:val="5B5828EC"/>
    <w:rsid w:val="5C2515ED"/>
    <w:rsid w:val="5C877BB2"/>
    <w:rsid w:val="5CCE57E1"/>
    <w:rsid w:val="5DAA1DAA"/>
    <w:rsid w:val="5E4E4E2C"/>
    <w:rsid w:val="5E532442"/>
    <w:rsid w:val="5FB92779"/>
    <w:rsid w:val="610C4B2A"/>
    <w:rsid w:val="61916F4F"/>
    <w:rsid w:val="62035F2D"/>
    <w:rsid w:val="620C3034"/>
    <w:rsid w:val="62685D90"/>
    <w:rsid w:val="629B7F14"/>
    <w:rsid w:val="63495BC1"/>
    <w:rsid w:val="636C18B0"/>
    <w:rsid w:val="640F0BB9"/>
    <w:rsid w:val="644017A3"/>
    <w:rsid w:val="6470717E"/>
    <w:rsid w:val="64746C6E"/>
    <w:rsid w:val="6488096B"/>
    <w:rsid w:val="64FD6C64"/>
    <w:rsid w:val="651C4271"/>
    <w:rsid w:val="659155FE"/>
    <w:rsid w:val="65E971E8"/>
    <w:rsid w:val="66682C0E"/>
    <w:rsid w:val="6716225F"/>
    <w:rsid w:val="672F50CE"/>
    <w:rsid w:val="67931B01"/>
    <w:rsid w:val="67AE693B"/>
    <w:rsid w:val="67B37AAD"/>
    <w:rsid w:val="68103152"/>
    <w:rsid w:val="683C7424"/>
    <w:rsid w:val="6853303E"/>
    <w:rsid w:val="68752FB5"/>
    <w:rsid w:val="687C6E78"/>
    <w:rsid w:val="6C1943D9"/>
    <w:rsid w:val="6CDA5ADC"/>
    <w:rsid w:val="6D1014FE"/>
    <w:rsid w:val="6D2F5E28"/>
    <w:rsid w:val="6D413DAD"/>
    <w:rsid w:val="6E0E3C8F"/>
    <w:rsid w:val="6E8403F6"/>
    <w:rsid w:val="6E8D72AA"/>
    <w:rsid w:val="6ED053E9"/>
    <w:rsid w:val="6F593630"/>
    <w:rsid w:val="7040659E"/>
    <w:rsid w:val="718C1396"/>
    <w:rsid w:val="71F8388A"/>
    <w:rsid w:val="7359474B"/>
    <w:rsid w:val="73B01345"/>
    <w:rsid w:val="744F6DB0"/>
    <w:rsid w:val="745B2BE8"/>
    <w:rsid w:val="750F66CA"/>
    <w:rsid w:val="767E572A"/>
    <w:rsid w:val="76C7316E"/>
    <w:rsid w:val="77664B3C"/>
    <w:rsid w:val="77996CC0"/>
    <w:rsid w:val="78FB3062"/>
    <w:rsid w:val="7A9751C2"/>
    <w:rsid w:val="7A9B68AB"/>
    <w:rsid w:val="7B024B7C"/>
    <w:rsid w:val="7B357CFA"/>
    <w:rsid w:val="7B8C08E9"/>
    <w:rsid w:val="7BF0679B"/>
    <w:rsid w:val="7CCB71F0"/>
    <w:rsid w:val="7CF6426C"/>
    <w:rsid w:val="7D11554A"/>
    <w:rsid w:val="7D1D5C9D"/>
    <w:rsid w:val="7D284642"/>
    <w:rsid w:val="7D2D1262"/>
    <w:rsid w:val="7D342FE7"/>
    <w:rsid w:val="7E7E276B"/>
    <w:rsid w:val="7EE66563"/>
    <w:rsid w:val="7F17671C"/>
    <w:rsid w:val="7F21759B"/>
    <w:rsid w:val="7F565496"/>
    <w:rsid w:val="7F853FCE"/>
    <w:rsid w:val="7FDB3BED"/>
    <w:rsid w:val="7FF62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0" w:firstLineChars="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ind w:firstLine="0" w:firstLineChars="0"/>
      <w:outlineLvl w:val="0"/>
    </w:pPr>
    <w:rPr>
      <w:rFonts w:ascii="Times New Roman" w:hAnsi="Times New Roman" w:eastAsia="黑体" w:cs="Times New Roman"/>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wmf"/><Relationship Id="rId27" Type="http://schemas.openxmlformats.org/officeDocument/2006/relationships/oleObject" Target="embeddings/oleObject8.bin"/><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wmf"/><Relationship Id="rId23" Type="http://schemas.openxmlformats.org/officeDocument/2006/relationships/oleObject" Target="embeddings/oleObject6.bin"/><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5ODU2MjcwODE2IiwKCSJHcm91cElkIiA6ICIzMDUwMTUzMjYiLAoJIkltYWdlIiA6ICJpVkJPUncwS0dnb0FBQUFOU1VoRVVnQUFCUFVBQUFEaUNBWUFBQUFtdS9MRUFBQUFBWE5TUjBJQXJzNGM2UUFBSUFCSlJFRlVlSnpzM1hsNFRHZjdCL0R2bVpuc2V5U0VFTEZHRUJLa1FxdlcwZ1V0clZwK1ZDMUJvMTZVMm5sdHNWWHR1OUxTU0MydHRaYWs5a2hmbWlaa1FSQVJFaEZpeVNicnpKemZIK21jWmpLVDFSTGgrN211WEdhZWM4NXpubk9xY3VhZSs3a2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UTy93TVU5eTlCZjV2N2VnQUFBQUJKUlU1RXJrSmdnZz09IiwKCSJUaGVtZSIgOiAiIiwKCSJUeXBlIiA6ICJmbG93IiwKCSJVc2VySWQiIDogIjMzMjQ3MjcyMi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3713</Words>
  <Characters>3987</Characters>
  <Lines>0</Lines>
  <Paragraphs>0</Paragraphs>
  <TotalTime>2603</TotalTime>
  <ScaleCrop>false</ScaleCrop>
  <LinksUpToDate>false</LinksUpToDate>
  <CharactersWithSpaces>4246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2025-03-25T06:57:00Z</dcterms:created>
  <dc:creator>WPS_332472722</dc:creator>
  <cp:lastModifiedBy>阳彦博</cp:lastModifiedBy>
  <cp:lastPrinted>2025-06-10T05:53:00Z</cp:lastPrinted>
  <dcterms:modified xsi:type="dcterms:W3CDTF">2025-06-12T06:59:32Z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97D97672D0164F14A68E38C0CC152E40_13</vt:lpwstr>
  </property>
  <property fmtid="{D5CDD505-2E9C-101B-9397-08002B2CF9AE}" pid="4" name="KSOTemplateDocerSaveRecord">
    <vt:lpwstr>eyJoZGlkIjoiNWI5N2NiYjZmZTIyYTdjYjExZmUwZTdkZWY5YmY2ZmEiLCJ1c2VySWQiOiIzMTIzOTY4NjcifQ==</vt:lpwstr>
  </property>
</Properties>
</file>