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3"/>
        <w:gridCol w:w="1302"/>
        <w:gridCol w:w="1380"/>
        <w:gridCol w:w="1795"/>
        <w:gridCol w:w="722"/>
        <w:gridCol w:w="714"/>
        <w:gridCol w:w="861"/>
        <w:gridCol w:w="2037"/>
        <w:gridCol w:w="992"/>
        <w:gridCol w:w="812"/>
        <w:gridCol w:w="828"/>
        <w:gridCol w:w="3520"/>
        <w:gridCol w:w="499"/>
      </w:tblGrid>
      <w:tr w14:paraId="5A38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13"/>
            <w:tcBorders>
              <w:top w:val="nil"/>
              <w:left w:val="nil"/>
              <w:bottom w:val="nil"/>
              <w:right w:val="nil"/>
            </w:tcBorders>
            <w:shd w:val="clear" w:color="auto" w:fill="auto"/>
            <w:noWrap/>
            <w:vAlign w:val="center"/>
          </w:tcPr>
          <w:p w14:paraId="1E9C5B8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溆浦县行政审批中介服务事项指导目录（2023年版）（47项）</w:t>
            </w:r>
          </w:p>
        </w:tc>
      </w:tr>
      <w:tr w14:paraId="37F4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F0035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24C06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中介服务事项名称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6D7B5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对应行政审批事项名称</w:t>
            </w:r>
          </w:p>
        </w:tc>
        <w:tc>
          <w:tcPr>
            <w:tcW w:w="17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F61C0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对应行政审批</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事项编码</w:t>
            </w:r>
          </w:p>
        </w:tc>
        <w:tc>
          <w:tcPr>
            <w:tcW w:w="72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63F8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行政审批事项类型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8D307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中介服务层级</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5977D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对应行政审批实施机关</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E56C2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实施要求</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4E2C5E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提供中介服务的机构</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01F4C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中介服务事项的收费性质</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4513A8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中介机构提供的服务类型</w:t>
            </w:r>
          </w:p>
        </w:tc>
        <w:tc>
          <w:tcPr>
            <w:tcW w:w="0" w:type="auto"/>
            <w:tcBorders>
              <w:top w:val="single" w:color="000000" w:sz="8" w:space="0"/>
              <w:left w:val="single" w:color="000000" w:sz="8" w:space="0"/>
              <w:bottom w:val="single" w:color="000000" w:sz="8" w:space="0"/>
              <w:right w:val="nil"/>
            </w:tcBorders>
            <w:shd w:val="clear" w:color="auto" w:fill="auto"/>
            <w:vAlign w:val="center"/>
          </w:tcPr>
          <w:p w14:paraId="30E52E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设置中介服务事项的依据</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55F39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1A4E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07D21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nil"/>
              <w:left w:val="nil"/>
              <w:bottom w:val="single" w:color="000000" w:sz="8" w:space="0"/>
              <w:right w:val="single" w:color="000000" w:sz="8" w:space="0"/>
            </w:tcBorders>
            <w:shd w:val="clear" w:color="auto" w:fill="auto"/>
            <w:vAlign w:val="center"/>
          </w:tcPr>
          <w:p w14:paraId="14CFF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项目申请报告编制</w:t>
            </w:r>
          </w:p>
        </w:tc>
        <w:tc>
          <w:tcPr>
            <w:tcW w:w="0" w:type="auto"/>
            <w:tcBorders>
              <w:top w:val="nil"/>
              <w:left w:val="nil"/>
              <w:bottom w:val="single" w:color="000000" w:sz="8" w:space="0"/>
              <w:right w:val="single" w:color="000000" w:sz="8" w:space="0"/>
            </w:tcBorders>
            <w:shd w:val="clear" w:color="auto" w:fill="auto"/>
            <w:vAlign w:val="center"/>
          </w:tcPr>
          <w:p w14:paraId="2DB199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其他内河航运项目</w:t>
            </w:r>
          </w:p>
        </w:tc>
        <w:tc>
          <w:tcPr>
            <w:tcW w:w="1795" w:type="dxa"/>
            <w:tcBorders>
              <w:top w:val="nil"/>
              <w:left w:val="nil"/>
              <w:bottom w:val="single" w:color="000000" w:sz="8" w:space="0"/>
              <w:right w:val="single" w:color="000000" w:sz="8" w:space="0"/>
            </w:tcBorders>
            <w:shd w:val="clear" w:color="auto" w:fill="auto"/>
            <w:vAlign w:val="center"/>
          </w:tcPr>
          <w:p w14:paraId="65FCB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000104101056</w:t>
            </w:r>
          </w:p>
        </w:tc>
        <w:tc>
          <w:tcPr>
            <w:tcW w:w="722" w:type="dxa"/>
            <w:tcBorders>
              <w:top w:val="nil"/>
              <w:left w:val="nil"/>
              <w:bottom w:val="single" w:color="000000" w:sz="8" w:space="0"/>
              <w:right w:val="single" w:color="000000" w:sz="8" w:space="0"/>
            </w:tcBorders>
            <w:shd w:val="clear" w:color="auto" w:fill="auto"/>
            <w:vAlign w:val="center"/>
          </w:tcPr>
          <w:p w14:paraId="01657A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06788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26EA0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nil"/>
              <w:left w:val="nil"/>
              <w:bottom w:val="single" w:color="000000" w:sz="8" w:space="0"/>
              <w:right w:val="single" w:color="000000" w:sz="8" w:space="0"/>
            </w:tcBorders>
            <w:shd w:val="clear" w:color="auto" w:fill="auto"/>
            <w:vAlign w:val="center"/>
          </w:tcPr>
          <w:p w14:paraId="1C62525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000000" w:sz="8" w:space="0"/>
              <w:right w:val="single" w:color="000000" w:sz="8" w:space="0"/>
            </w:tcBorders>
            <w:shd w:val="clear" w:color="auto" w:fill="auto"/>
            <w:vAlign w:val="center"/>
          </w:tcPr>
          <w:p w14:paraId="574CF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nil"/>
              <w:left w:val="nil"/>
              <w:bottom w:val="single" w:color="000000" w:sz="8" w:space="0"/>
              <w:right w:val="nil"/>
            </w:tcBorders>
            <w:shd w:val="clear" w:color="auto" w:fill="auto"/>
            <w:vAlign w:val="center"/>
          </w:tcPr>
          <w:p w14:paraId="4AB94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09CE3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nil"/>
              <w:left w:val="nil"/>
              <w:bottom w:val="single" w:color="000000" w:sz="8" w:space="0"/>
              <w:right w:val="nil"/>
            </w:tcBorders>
            <w:shd w:val="clear" w:color="auto" w:fill="auto"/>
            <w:vAlign w:val="center"/>
          </w:tcPr>
          <w:p w14:paraId="2181F20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国务院关于发布政府核准的投资项目目录（2016年本）的通知》（国发〔2016〕72号）。跨省（区、市）高等级航道的千吨级及以上航电枢纽项目由省级政府按国家批准的相关规划核准，其余项目由地方政府核准。</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E1A87D9">
            <w:pPr>
              <w:jc w:val="center"/>
              <w:rPr>
                <w:rFonts w:hint="eastAsia" w:ascii="宋体" w:hAnsi="宋体" w:eastAsia="宋体" w:cs="宋体"/>
                <w:i w:val="0"/>
                <w:iCs w:val="0"/>
                <w:color w:val="000000"/>
                <w:sz w:val="20"/>
                <w:szCs w:val="20"/>
                <w:u w:val="none"/>
              </w:rPr>
            </w:pPr>
          </w:p>
        </w:tc>
      </w:tr>
      <w:tr w14:paraId="6C71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5"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3896A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nil"/>
              <w:left w:val="nil"/>
              <w:bottom w:val="single" w:color="auto" w:sz="4" w:space="0"/>
              <w:right w:val="single" w:color="000000" w:sz="8" w:space="0"/>
            </w:tcBorders>
            <w:shd w:val="clear" w:color="auto" w:fill="auto"/>
            <w:vAlign w:val="center"/>
          </w:tcPr>
          <w:p w14:paraId="56E772CB">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auto" w:sz="4" w:space="0"/>
              <w:right w:val="single" w:color="000000" w:sz="8" w:space="0"/>
            </w:tcBorders>
            <w:shd w:val="clear" w:color="auto" w:fill="auto"/>
            <w:vAlign w:val="center"/>
          </w:tcPr>
          <w:p w14:paraId="01D4F9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公路项目核准：其他公路项目</w:t>
            </w:r>
          </w:p>
        </w:tc>
        <w:tc>
          <w:tcPr>
            <w:tcW w:w="1795" w:type="dxa"/>
            <w:tcBorders>
              <w:top w:val="nil"/>
              <w:left w:val="nil"/>
              <w:bottom w:val="single" w:color="auto" w:sz="4" w:space="0"/>
              <w:right w:val="single" w:color="000000" w:sz="8" w:space="0"/>
            </w:tcBorders>
            <w:shd w:val="clear" w:color="auto" w:fill="auto"/>
            <w:vAlign w:val="center"/>
          </w:tcPr>
          <w:p w14:paraId="7D9D8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000104101068</w:t>
            </w:r>
          </w:p>
        </w:tc>
        <w:tc>
          <w:tcPr>
            <w:tcW w:w="722" w:type="dxa"/>
            <w:tcBorders>
              <w:top w:val="nil"/>
              <w:left w:val="nil"/>
              <w:bottom w:val="single" w:color="auto" w:sz="4" w:space="0"/>
              <w:right w:val="single" w:color="000000" w:sz="8" w:space="0"/>
            </w:tcBorders>
            <w:shd w:val="clear" w:color="auto" w:fill="auto"/>
            <w:vAlign w:val="center"/>
          </w:tcPr>
          <w:p w14:paraId="57CF8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auto" w:sz="4" w:space="0"/>
              <w:right w:val="single" w:color="000000" w:sz="8" w:space="0"/>
            </w:tcBorders>
            <w:shd w:val="clear" w:color="auto" w:fill="auto"/>
            <w:vAlign w:val="center"/>
          </w:tcPr>
          <w:p w14:paraId="59BC3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590A7C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nil"/>
              <w:left w:val="nil"/>
              <w:bottom w:val="single" w:color="auto" w:sz="4" w:space="0"/>
              <w:right w:val="single" w:color="000000" w:sz="8" w:space="0"/>
            </w:tcBorders>
            <w:shd w:val="clear" w:color="auto" w:fill="auto"/>
            <w:vAlign w:val="center"/>
          </w:tcPr>
          <w:p w14:paraId="19B4E0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71D02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nil"/>
              <w:left w:val="nil"/>
              <w:bottom w:val="single" w:color="auto" w:sz="4" w:space="0"/>
              <w:right w:val="nil"/>
            </w:tcBorders>
            <w:shd w:val="clear" w:color="auto" w:fill="auto"/>
            <w:vAlign w:val="center"/>
          </w:tcPr>
          <w:p w14:paraId="340E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single" w:color="000000" w:sz="8" w:space="0"/>
            </w:tcBorders>
            <w:shd w:val="clear" w:color="auto" w:fill="auto"/>
            <w:vAlign w:val="center"/>
          </w:tcPr>
          <w:p w14:paraId="3891C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nil"/>
              <w:left w:val="nil"/>
              <w:bottom w:val="single" w:color="auto" w:sz="4" w:space="0"/>
              <w:right w:val="nil"/>
            </w:tcBorders>
            <w:shd w:val="clear" w:color="auto" w:fill="auto"/>
            <w:vAlign w:val="center"/>
          </w:tcPr>
          <w:p w14:paraId="61C270B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企业投资项目核准和备案管理条例》《国务院关于发布政府核准的投资项目目录（2016年本）的通知》（国发〔2016〕72号），“公路：国家高速公路网和普通国道网项目由省级政府按照国家批准的相关规划核准，地方高速公路项目由省级政府核准，其余项目由地方政府核准。”</w:t>
            </w:r>
          </w:p>
        </w:tc>
        <w:tc>
          <w:tcPr>
            <w:tcW w:w="0" w:type="auto"/>
            <w:tcBorders>
              <w:top w:val="single" w:color="000000" w:sz="8" w:space="0"/>
              <w:left w:val="single" w:color="000000" w:sz="8" w:space="0"/>
              <w:bottom w:val="single" w:color="auto" w:sz="4" w:space="0"/>
              <w:right w:val="single" w:color="000000" w:sz="8" w:space="0"/>
            </w:tcBorders>
            <w:shd w:val="clear" w:color="auto" w:fill="auto"/>
            <w:vAlign w:val="center"/>
          </w:tcPr>
          <w:p w14:paraId="3ED71FB8">
            <w:pPr>
              <w:jc w:val="center"/>
              <w:rPr>
                <w:rFonts w:hint="eastAsia" w:ascii="宋体" w:hAnsi="宋体" w:eastAsia="宋体" w:cs="宋体"/>
                <w:i w:val="0"/>
                <w:iCs w:val="0"/>
                <w:color w:val="000000"/>
                <w:sz w:val="20"/>
                <w:szCs w:val="20"/>
                <w:u w:val="none"/>
              </w:rPr>
            </w:pPr>
          </w:p>
        </w:tc>
      </w:tr>
      <w:tr w14:paraId="4AA0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291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187192">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C07C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其余独立公（铁）路桥梁、隧道项目核准（省级权限） </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575D1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000104101070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A8464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8BD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A67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A602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7626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C13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583E6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6FA5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企业投资项目核准和备案管理条例》《国务院关于发布政府核准的投资项目目录（2016年本）的通知》（国发〔2016〕72号）“国家批准的相关规划中的项目，中国铁路总公司为主出资的由其自行决定并报国务院投资主管部门备案，其他企业投资的由省级政府核准；其余独立铁路桥梁、隧道及跨10万吨级及以上航道海域、跨大江大河（现状或规划为一级及以上通航段）的独立公路桥梁、隧道项目，由省级政府核准，其中跨长江干线航道的项目应符合国家批准的相关规划。其余项目由地方政府核准。”</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708437">
            <w:pPr>
              <w:jc w:val="center"/>
              <w:rPr>
                <w:rFonts w:hint="eastAsia" w:ascii="宋体" w:hAnsi="宋体" w:eastAsia="宋体" w:cs="宋体"/>
                <w:i w:val="0"/>
                <w:iCs w:val="0"/>
                <w:color w:val="000000"/>
                <w:sz w:val="20"/>
                <w:szCs w:val="20"/>
                <w:u w:val="none"/>
              </w:rPr>
            </w:pPr>
          </w:p>
        </w:tc>
      </w:tr>
      <w:tr w14:paraId="7A168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572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8DF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项目评估</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5AB8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政府投资项目建议书审批</w:t>
            </w:r>
          </w:p>
        </w:tc>
        <w:tc>
          <w:tcPr>
            <w:tcW w:w="1795" w:type="dxa"/>
            <w:tcBorders>
              <w:top w:val="single" w:color="auto" w:sz="4" w:space="0"/>
              <w:left w:val="single" w:color="auto" w:sz="4" w:space="0"/>
              <w:bottom w:val="single" w:color="auto" w:sz="4" w:space="0"/>
              <w:right w:val="single" w:color="000000" w:sz="8" w:space="0"/>
            </w:tcBorders>
            <w:shd w:val="clear" w:color="auto" w:fill="auto"/>
            <w:vAlign w:val="center"/>
          </w:tcPr>
          <w:p w14:paraId="69E8C7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431004129W00（主项：权限内政府投资项目审批）</w:t>
            </w:r>
          </w:p>
        </w:tc>
        <w:tc>
          <w:tcPr>
            <w:tcW w:w="722" w:type="dxa"/>
            <w:tcBorders>
              <w:top w:val="single" w:color="auto" w:sz="4" w:space="0"/>
              <w:left w:val="nil"/>
              <w:bottom w:val="single" w:color="auto" w:sz="4" w:space="0"/>
              <w:right w:val="single" w:color="000000" w:sz="8" w:space="0"/>
            </w:tcBorders>
            <w:shd w:val="clear" w:color="auto" w:fill="auto"/>
            <w:vAlign w:val="center"/>
          </w:tcPr>
          <w:p w14:paraId="3C13B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nil"/>
              <w:bottom w:val="single" w:color="auto" w:sz="4" w:space="0"/>
              <w:right w:val="single" w:color="000000" w:sz="8" w:space="0"/>
            </w:tcBorders>
            <w:shd w:val="clear" w:color="auto" w:fill="auto"/>
            <w:vAlign w:val="center"/>
          </w:tcPr>
          <w:p w14:paraId="369BA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4398C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29F6511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single" w:color="auto" w:sz="4" w:space="0"/>
              <w:left w:val="nil"/>
              <w:bottom w:val="single" w:color="auto" w:sz="4" w:space="0"/>
              <w:right w:val="single" w:color="000000" w:sz="8" w:space="0"/>
            </w:tcBorders>
            <w:shd w:val="clear" w:color="auto" w:fill="auto"/>
            <w:vAlign w:val="center"/>
          </w:tcPr>
          <w:p w14:paraId="56E77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nil"/>
              <w:bottom w:val="single" w:color="auto" w:sz="4" w:space="0"/>
              <w:right w:val="nil"/>
            </w:tcBorders>
            <w:shd w:val="clear" w:color="auto" w:fill="auto"/>
            <w:vAlign w:val="center"/>
          </w:tcPr>
          <w:p w14:paraId="31FC6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7BDFC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nil"/>
              <w:bottom w:val="single" w:color="auto" w:sz="4" w:space="0"/>
              <w:right w:val="nil"/>
            </w:tcBorders>
            <w:shd w:val="clear" w:color="auto" w:fill="auto"/>
            <w:vAlign w:val="center"/>
          </w:tcPr>
          <w:p w14:paraId="15AFE3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Style w:val="4"/>
                <w:lang w:val="en-US" w:eastAsia="zh-CN" w:bidi="ar"/>
              </w:rPr>
              <w:t>《湖南省发展和改革委员会职能配置、内设机构和人员编制规定》（湘政办发〔2004〕第31号）全文。《中共中央国务院关于深化投融资体制改革的意见》（</w:t>
            </w:r>
            <w:r>
              <w:rPr>
                <w:rStyle w:val="5"/>
                <w:lang w:val="en-US" w:eastAsia="zh-CN" w:bidi="ar"/>
              </w:rPr>
              <w:t>中发〔2016〕18号</w:t>
            </w:r>
            <w:r>
              <w:rPr>
                <w:rStyle w:val="4"/>
                <w:lang w:val="en-US" w:eastAsia="zh-CN" w:bidi="ar"/>
              </w:rPr>
              <w:t>）全文。</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51198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0EE3E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6" w:hRule="atLeast"/>
        </w:trPr>
        <w:tc>
          <w:tcPr>
            <w:tcW w:w="0" w:type="auto"/>
            <w:vMerge w:val="continue"/>
            <w:tcBorders>
              <w:top w:val="single" w:color="auto" w:sz="4" w:space="0"/>
              <w:left w:val="single" w:color="auto" w:sz="4" w:space="0"/>
              <w:bottom w:val="single" w:color="000000" w:sz="8" w:space="0"/>
              <w:right w:val="single" w:color="000000" w:sz="8" w:space="0"/>
            </w:tcBorders>
            <w:shd w:val="clear" w:color="auto" w:fill="auto"/>
            <w:vAlign w:val="center"/>
          </w:tcPr>
          <w:p w14:paraId="3A57518A">
            <w:pPr>
              <w:jc w:val="center"/>
              <w:rPr>
                <w:rFonts w:hint="eastAsia" w:ascii="宋体" w:hAnsi="宋体" w:eastAsia="宋体" w:cs="宋体"/>
                <w:i w:val="0"/>
                <w:iCs w:val="0"/>
                <w:color w:val="000000"/>
                <w:sz w:val="20"/>
                <w:szCs w:val="20"/>
                <w:u w:val="none"/>
              </w:rPr>
            </w:pPr>
          </w:p>
        </w:tc>
        <w:tc>
          <w:tcPr>
            <w:tcW w:w="0" w:type="auto"/>
            <w:vMerge w:val="continue"/>
            <w:tcBorders>
              <w:top w:val="single" w:color="auto" w:sz="4" w:space="0"/>
              <w:left w:val="nil"/>
              <w:bottom w:val="single" w:color="000000" w:sz="8" w:space="0"/>
              <w:right w:val="single" w:color="auto" w:sz="4" w:space="0"/>
            </w:tcBorders>
            <w:shd w:val="clear" w:color="auto" w:fill="auto"/>
            <w:vAlign w:val="center"/>
          </w:tcPr>
          <w:p w14:paraId="2CA32FDB">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0C34A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政府投资项目可行性研究报告审批</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0D31A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431004129W00（主项：权限内政府投资项目审批）</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88BA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9D7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46F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35B8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572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45690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595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FD68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Style w:val="4"/>
                <w:lang w:val="en-US" w:eastAsia="zh-CN" w:bidi="ar"/>
              </w:rPr>
              <w:t>《湖南省发展和改革委员会职能配置、内设机构和人员编制规定》（湘政办发〔2004〕第31号）全文。《中共中央国务院关于深化投融资体制改革的意见》（</w:t>
            </w:r>
            <w:r>
              <w:rPr>
                <w:rStyle w:val="5"/>
                <w:lang w:val="en-US" w:eastAsia="zh-CN" w:bidi="ar"/>
              </w:rPr>
              <w:t>中发〔2016〕18号</w:t>
            </w:r>
            <w:r>
              <w:rPr>
                <w:rStyle w:val="4"/>
                <w:lang w:val="en-US" w:eastAsia="zh-CN" w:bidi="ar"/>
              </w:rPr>
              <w:t>）全文。</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49D16582">
            <w:pPr>
              <w:jc w:val="center"/>
              <w:rPr>
                <w:rFonts w:hint="eastAsia" w:ascii="宋体" w:hAnsi="宋体" w:eastAsia="宋体" w:cs="宋体"/>
                <w:i w:val="0"/>
                <w:iCs w:val="0"/>
                <w:color w:val="000000"/>
                <w:sz w:val="20"/>
                <w:szCs w:val="20"/>
                <w:u w:val="none"/>
              </w:rPr>
            </w:pPr>
          </w:p>
        </w:tc>
      </w:tr>
      <w:tr w14:paraId="201C2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6BC8B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nil"/>
              <w:left w:val="nil"/>
              <w:bottom w:val="single" w:color="000000" w:sz="8" w:space="0"/>
              <w:right w:val="single" w:color="000000" w:sz="8" w:space="0"/>
            </w:tcBorders>
            <w:shd w:val="clear" w:color="auto" w:fill="auto"/>
            <w:vAlign w:val="center"/>
          </w:tcPr>
          <w:p w14:paraId="1C06A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政府投资项目可行性研究报告编制</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067A03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政府投资项目可行性研究报告审批</w:t>
            </w:r>
          </w:p>
        </w:tc>
        <w:tc>
          <w:tcPr>
            <w:tcW w:w="1795" w:type="dxa"/>
            <w:tcBorders>
              <w:top w:val="single" w:color="auto" w:sz="4" w:space="0"/>
              <w:left w:val="nil"/>
              <w:bottom w:val="single" w:color="000000" w:sz="8" w:space="0"/>
              <w:right w:val="single" w:color="000000" w:sz="8" w:space="0"/>
            </w:tcBorders>
            <w:shd w:val="clear" w:color="auto" w:fill="auto"/>
            <w:vAlign w:val="center"/>
          </w:tcPr>
          <w:p w14:paraId="66A0C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431004129W00（主项：权限内政府投资项目审批）</w:t>
            </w:r>
          </w:p>
        </w:tc>
        <w:tc>
          <w:tcPr>
            <w:tcW w:w="722" w:type="dxa"/>
            <w:tcBorders>
              <w:top w:val="single" w:color="auto" w:sz="4" w:space="0"/>
              <w:left w:val="nil"/>
              <w:bottom w:val="single" w:color="000000" w:sz="8" w:space="0"/>
              <w:right w:val="single" w:color="000000" w:sz="8" w:space="0"/>
            </w:tcBorders>
            <w:shd w:val="clear" w:color="auto" w:fill="auto"/>
            <w:vAlign w:val="center"/>
          </w:tcPr>
          <w:p w14:paraId="52AF4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36FB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4D3E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5783D9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DF9C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nil"/>
              <w:bottom w:val="single" w:color="000000" w:sz="8" w:space="0"/>
              <w:right w:val="nil"/>
            </w:tcBorders>
            <w:shd w:val="clear" w:color="auto" w:fill="auto"/>
            <w:vAlign w:val="center"/>
          </w:tcPr>
          <w:p w14:paraId="30582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2F4A5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nil"/>
              <w:bottom w:val="nil"/>
              <w:right w:val="nil"/>
            </w:tcBorders>
            <w:shd w:val="clear" w:color="auto" w:fill="auto"/>
            <w:vAlign w:val="center"/>
          </w:tcPr>
          <w:p w14:paraId="630F0E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Style w:val="4"/>
                <w:lang w:val="en-US" w:eastAsia="zh-CN" w:bidi="ar"/>
              </w:rPr>
              <w:t>《湖南省发展和改革委员会职能配置、内设机构和人员编制规定》（湘政办发〔2004〕第31号）全文。《中共中央国务院关于深化投融资体制改革的意见》（</w:t>
            </w:r>
            <w:r>
              <w:rPr>
                <w:rStyle w:val="5"/>
                <w:lang w:val="en-US" w:eastAsia="zh-CN" w:bidi="ar"/>
              </w:rPr>
              <w:t>中发〔2016〕18号</w:t>
            </w:r>
            <w:r>
              <w:rPr>
                <w:rStyle w:val="4"/>
                <w:lang w:val="en-US" w:eastAsia="zh-CN" w:bidi="ar"/>
              </w:rPr>
              <w:t>）全文。</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54AB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F67F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5"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12E7B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nil"/>
              <w:left w:val="nil"/>
              <w:bottom w:val="single" w:color="auto" w:sz="4" w:space="0"/>
              <w:right w:val="single" w:color="000000" w:sz="8" w:space="0"/>
            </w:tcBorders>
            <w:shd w:val="clear" w:color="auto" w:fill="auto"/>
            <w:vAlign w:val="center"/>
          </w:tcPr>
          <w:p w14:paraId="0CCEDE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政府投资项目概算编制</w:t>
            </w:r>
          </w:p>
        </w:tc>
        <w:tc>
          <w:tcPr>
            <w:tcW w:w="0" w:type="auto"/>
            <w:tcBorders>
              <w:top w:val="nil"/>
              <w:left w:val="nil"/>
              <w:bottom w:val="single" w:color="auto" w:sz="4" w:space="0"/>
              <w:right w:val="single" w:color="000000" w:sz="8" w:space="0"/>
            </w:tcBorders>
            <w:shd w:val="clear" w:color="auto" w:fill="auto"/>
            <w:vAlign w:val="center"/>
          </w:tcPr>
          <w:p w14:paraId="4B7384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政府投资项目初步设计概算审批</w:t>
            </w:r>
          </w:p>
        </w:tc>
        <w:tc>
          <w:tcPr>
            <w:tcW w:w="1795" w:type="dxa"/>
            <w:tcBorders>
              <w:top w:val="nil"/>
              <w:left w:val="nil"/>
              <w:bottom w:val="single" w:color="auto" w:sz="4" w:space="0"/>
              <w:right w:val="single" w:color="000000" w:sz="8" w:space="0"/>
            </w:tcBorders>
            <w:shd w:val="clear" w:color="auto" w:fill="auto"/>
            <w:vAlign w:val="center"/>
          </w:tcPr>
          <w:p w14:paraId="55B0E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431004110W00（主项：权限内政府投资项目概算审查）</w:t>
            </w:r>
          </w:p>
        </w:tc>
        <w:tc>
          <w:tcPr>
            <w:tcW w:w="722" w:type="dxa"/>
            <w:tcBorders>
              <w:top w:val="nil"/>
              <w:left w:val="nil"/>
              <w:bottom w:val="single" w:color="auto" w:sz="4" w:space="0"/>
              <w:right w:val="single" w:color="000000" w:sz="8" w:space="0"/>
            </w:tcBorders>
            <w:shd w:val="clear" w:color="auto" w:fill="auto"/>
            <w:vAlign w:val="center"/>
          </w:tcPr>
          <w:p w14:paraId="193270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nil"/>
              <w:left w:val="nil"/>
              <w:bottom w:val="single" w:color="auto" w:sz="4" w:space="0"/>
              <w:right w:val="single" w:color="000000" w:sz="8" w:space="0"/>
            </w:tcBorders>
            <w:shd w:val="clear" w:color="auto" w:fill="auto"/>
            <w:vAlign w:val="center"/>
          </w:tcPr>
          <w:p w14:paraId="3874E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465F09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发展改革部门或有关行业主管部门</w:t>
            </w:r>
          </w:p>
        </w:tc>
        <w:tc>
          <w:tcPr>
            <w:tcW w:w="0" w:type="auto"/>
            <w:tcBorders>
              <w:top w:val="nil"/>
              <w:left w:val="nil"/>
              <w:bottom w:val="single" w:color="auto" w:sz="4" w:space="0"/>
              <w:right w:val="single" w:color="000000" w:sz="8" w:space="0"/>
            </w:tcBorders>
            <w:shd w:val="clear" w:color="auto" w:fill="auto"/>
            <w:vAlign w:val="center"/>
          </w:tcPr>
          <w:p w14:paraId="14818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0236B6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nil"/>
              <w:left w:val="nil"/>
              <w:bottom w:val="single" w:color="auto" w:sz="4" w:space="0"/>
              <w:right w:val="nil"/>
            </w:tcBorders>
            <w:shd w:val="clear" w:color="auto" w:fill="auto"/>
            <w:vAlign w:val="center"/>
          </w:tcPr>
          <w:p w14:paraId="198715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nil"/>
            </w:tcBorders>
            <w:shd w:val="clear" w:color="auto" w:fill="auto"/>
            <w:vAlign w:val="center"/>
          </w:tcPr>
          <w:p w14:paraId="611965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auto" w:sz="4" w:space="0"/>
              <w:right w:val="single" w:color="000000" w:sz="8" w:space="0"/>
            </w:tcBorders>
            <w:shd w:val="clear" w:color="auto" w:fill="auto"/>
            <w:vAlign w:val="center"/>
          </w:tcPr>
          <w:p w14:paraId="542C72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《中央预算内直接投资项目管理办法》（国家发改委2014年第7号令）第二十一条 对于国家发展改革委审批项目建议书、可行性研究报告的项目，其初步设计经中央有关部门审核后，由国家发展改革委审批或者经国家发展改革委核定投资概算后由中央有关部门审批。经批准的初步设计及投资概算应当作为项目建设实施和控制投资的依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2.《湖南省人民政府办公厅关于印发湖南省发展和改革委员会主要职责内设机构和人员编制规定的通知》（湘政办发〔2014〕104号）第三大点第（六）条 固定资产投资处 ：牵头负责省本级预算内投资项目和受国家委托对中央在湘投资项目的概算审查。</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1DA7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4842E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9"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072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0274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政府投资项目概算评审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49279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政府投资项目初步设计概算审批</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1405F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431004110W00（主项：权限内政府投资项目概算审查）</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98A15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0DDF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FEB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发展改革部门或有关行业主管部门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DACA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BED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6796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35A9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1E1F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《中央预算内直接投资项目管理办法》（国家发改委2014年第7号令）第二十一条 对于国家发展改革委审批项目建议书、可行性研究报告的项目，其初步设计经中央有关部门审核后，由国家发展改革委审批或者经国家发展改革委核定投资概算后由中央有关部门审批。经批准的初步设计及投资概算应当作为项目建设实施和控制投资的依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2.《湖南省人民政府办公厅关于印发湖南省发展和改革委员会主要职责内设机构和人员编制规定的通知》（湘政办发〔2014〕104号）第三大点第（六）条 固定资产投资处：牵头负责省本级预算内投资项目和受国家委托对中央在湘投资项目的概算审查。</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1D653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1F0F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58E20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A13F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项目建议书编制</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2BC9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权限内政府投资项目审批</w:t>
            </w:r>
          </w:p>
        </w:tc>
        <w:tc>
          <w:tcPr>
            <w:tcW w:w="1795" w:type="dxa"/>
            <w:tcBorders>
              <w:top w:val="single" w:color="auto" w:sz="4" w:space="0"/>
              <w:left w:val="nil"/>
              <w:bottom w:val="single" w:color="000000" w:sz="8" w:space="0"/>
              <w:right w:val="single" w:color="000000" w:sz="8" w:space="0"/>
            </w:tcBorders>
            <w:shd w:val="clear" w:color="auto" w:fill="auto"/>
            <w:vAlign w:val="center"/>
          </w:tcPr>
          <w:p w14:paraId="4917E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431004129W00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（主项：权限内权限内政府投资项目审批）</w:t>
            </w:r>
          </w:p>
        </w:tc>
        <w:tc>
          <w:tcPr>
            <w:tcW w:w="722" w:type="dxa"/>
            <w:tcBorders>
              <w:top w:val="single" w:color="auto" w:sz="4" w:space="0"/>
              <w:left w:val="nil"/>
              <w:bottom w:val="single" w:color="000000" w:sz="8" w:space="0"/>
              <w:right w:val="single" w:color="000000" w:sz="8" w:space="0"/>
            </w:tcBorders>
            <w:shd w:val="clear" w:color="auto" w:fill="auto"/>
            <w:vAlign w:val="center"/>
          </w:tcPr>
          <w:p w14:paraId="73FC6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74A21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D8AC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0B40DA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4DEA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委托具有相应资质的工程咨询机构、勘察设计机构等。</w:t>
            </w:r>
          </w:p>
        </w:tc>
        <w:tc>
          <w:tcPr>
            <w:tcW w:w="0" w:type="auto"/>
            <w:tcBorders>
              <w:top w:val="single" w:color="auto" w:sz="4" w:space="0"/>
              <w:left w:val="nil"/>
              <w:bottom w:val="single" w:color="000000" w:sz="8" w:space="0"/>
              <w:right w:val="nil"/>
            </w:tcBorders>
            <w:shd w:val="clear" w:color="auto" w:fill="auto"/>
            <w:vAlign w:val="center"/>
          </w:tcPr>
          <w:p w14:paraId="4B35C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000000" w:sz="8" w:space="0"/>
              <w:right w:val="nil"/>
            </w:tcBorders>
            <w:shd w:val="clear" w:color="auto" w:fill="auto"/>
            <w:vAlign w:val="center"/>
          </w:tcPr>
          <w:p w14:paraId="46715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01D87A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Style w:val="4"/>
                <w:lang w:val="en-US" w:eastAsia="zh-CN" w:bidi="ar"/>
              </w:rPr>
              <w:t>《湖南省发展和改革委员会职能配置、内设机构和人员编制规定》（湘政办发〔2004〕第31号）全文。《中共中央国务院关于深化投融资体制改革的意见》（</w:t>
            </w:r>
            <w:r>
              <w:rPr>
                <w:rStyle w:val="5"/>
                <w:lang w:val="en-US" w:eastAsia="zh-CN" w:bidi="ar"/>
              </w:rPr>
              <w:t>中发〔2016〕18号</w:t>
            </w:r>
            <w:r>
              <w:rPr>
                <w:rStyle w:val="4"/>
                <w:lang w:val="en-US" w:eastAsia="zh-CN" w:bidi="ar"/>
              </w:rPr>
              <w:t>）全文。</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E8182E4">
            <w:pPr>
              <w:jc w:val="center"/>
              <w:rPr>
                <w:rFonts w:hint="eastAsia" w:ascii="宋体" w:hAnsi="宋体" w:eastAsia="宋体" w:cs="宋体"/>
                <w:i w:val="0"/>
                <w:iCs w:val="0"/>
                <w:color w:val="000000"/>
                <w:sz w:val="20"/>
                <w:szCs w:val="20"/>
                <w:u w:val="none"/>
              </w:rPr>
            </w:pPr>
          </w:p>
        </w:tc>
      </w:tr>
      <w:tr w14:paraId="0F57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00"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270EA8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nil"/>
              <w:left w:val="nil"/>
              <w:bottom w:val="single" w:color="auto" w:sz="4" w:space="0"/>
              <w:right w:val="single" w:color="000000" w:sz="8" w:space="0"/>
            </w:tcBorders>
            <w:shd w:val="clear" w:color="auto" w:fill="auto"/>
            <w:vAlign w:val="center"/>
          </w:tcPr>
          <w:p w14:paraId="6BEA0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节能报告编制</w:t>
            </w:r>
          </w:p>
        </w:tc>
        <w:tc>
          <w:tcPr>
            <w:tcW w:w="0" w:type="auto"/>
            <w:tcBorders>
              <w:top w:val="nil"/>
              <w:left w:val="nil"/>
              <w:bottom w:val="single" w:color="auto" w:sz="4" w:space="0"/>
              <w:right w:val="single" w:color="000000" w:sz="8" w:space="0"/>
            </w:tcBorders>
            <w:shd w:val="clear" w:color="auto" w:fill="auto"/>
            <w:vAlign w:val="center"/>
          </w:tcPr>
          <w:p w14:paraId="70FF6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固定资产投资项目节能审查</w:t>
            </w:r>
          </w:p>
        </w:tc>
        <w:tc>
          <w:tcPr>
            <w:tcW w:w="1795" w:type="dxa"/>
            <w:tcBorders>
              <w:top w:val="nil"/>
              <w:left w:val="nil"/>
              <w:bottom w:val="single" w:color="auto" w:sz="4" w:space="0"/>
              <w:right w:val="single" w:color="000000" w:sz="8" w:space="0"/>
            </w:tcBorders>
            <w:shd w:val="clear" w:color="auto" w:fill="auto"/>
            <w:vAlign w:val="center"/>
          </w:tcPr>
          <w:p w14:paraId="5F66D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00010410200Y</w:t>
            </w:r>
          </w:p>
        </w:tc>
        <w:tc>
          <w:tcPr>
            <w:tcW w:w="722" w:type="dxa"/>
            <w:tcBorders>
              <w:top w:val="nil"/>
              <w:left w:val="nil"/>
              <w:bottom w:val="single" w:color="auto" w:sz="4" w:space="0"/>
              <w:right w:val="single" w:color="000000" w:sz="8" w:space="0"/>
            </w:tcBorders>
            <w:shd w:val="clear" w:color="auto" w:fill="auto"/>
            <w:vAlign w:val="center"/>
          </w:tcPr>
          <w:p w14:paraId="35A5A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auto" w:sz="4" w:space="0"/>
              <w:right w:val="single" w:color="000000" w:sz="8" w:space="0"/>
            </w:tcBorders>
            <w:shd w:val="clear" w:color="auto" w:fill="auto"/>
            <w:vAlign w:val="center"/>
          </w:tcPr>
          <w:p w14:paraId="71487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2A403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nil"/>
              <w:left w:val="nil"/>
              <w:bottom w:val="single" w:color="auto" w:sz="4" w:space="0"/>
              <w:right w:val="single" w:color="000000" w:sz="8" w:space="0"/>
            </w:tcBorders>
            <w:shd w:val="clear" w:color="auto" w:fill="auto"/>
            <w:vAlign w:val="center"/>
          </w:tcPr>
          <w:p w14:paraId="21B98D3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4599D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nil"/>
              <w:left w:val="nil"/>
              <w:bottom w:val="single" w:color="auto" w:sz="4" w:space="0"/>
              <w:right w:val="nil"/>
            </w:tcBorders>
            <w:shd w:val="clear" w:color="auto" w:fill="auto"/>
            <w:vAlign w:val="center"/>
          </w:tcPr>
          <w:p w14:paraId="5CBEC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single" w:color="000000" w:sz="8" w:space="0"/>
            </w:tcBorders>
            <w:shd w:val="clear" w:color="auto" w:fill="auto"/>
            <w:vAlign w:val="center"/>
          </w:tcPr>
          <w:p w14:paraId="53EF6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nil"/>
              <w:left w:val="nil"/>
              <w:bottom w:val="single" w:color="auto" w:sz="4" w:space="0"/>
              <w:right w:val="nil"/>
            </w:tcBorders>
            <w:shd w:val="clear" w:color="auto" w:fill="auto"/>
            <w:vAlign w:val="center"/>
          </w:tcPr>
          <w:p w14:paraId="3659277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《固定资产投资项目节能审查办法》（国家发改委2016年第44号令）第七条 建设单位应编制固定资产投资项目节能报告。项目节能报告应包括下列内容：分析评价依据；项目建设方案的节能分析和比选，包括总平面布置、生产工艺、用能工艺、用能设备和能源计量器具等方面；选取节能效果好、技术经济可行的节能技术和管理措施；项目能源消费量、能源消费结构、能源效率等方面的分析；对所在地完成能源消耗总量和强度目标、煤炭消费减量替代目标的影响等方面的分析评价。《湖南省固定资产投资项目节能审查实施办法》（湘发改环资〔2018〕449号）第八条 符合单独节能审查要求的固定资产投资项目应编制节能报告，建设单位可按要求自行编制节能报告，也可委托有关机构编制。</w:t>
            </w:r>
          </w:p>
        </w:tc>
        <w:tc>
          <w:tcPr>
            <w:tcW w:w="0" w:type="auto"/>
            <w:tcBorders>
              <w:top w:val="single" w:color="000000" w:sz="8" w:space="0"/>
              <w:left w:val="single" w:color="000000" w:sz="8" w:space="0"/>
              <w:bottom w:val="single" w:color="auto" w:sz="4" w:space="0"/>
              <w:right w:val="single" w:color="000000" w:sz="8" w:space="0"/>
            </w:tcBorders>
            <w:shd w:val="clear" w:color="auto" w:fill="auto"/>
            <w:vAlign w:val="center"/>
          </w:tcPr>
          <w:p w14:paraId="27851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00BC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4"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2AD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07E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节能报告评审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D3AF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固定资产投资项目节能审查</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12885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00010410200Y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984A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9FDB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DA3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发展改革部门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787DE5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1F8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8C8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398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D6A23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《固定资产投资项目节能审查办法》（国家发改委2016年第44号令）第八条 节能审查机关受理节能报告后，应委托有关机构进行评审，形成评审意见，作为节能审查的重要依据。节能审查应依据项目是否符合节能有关法律法规、标准规范、政策；项目用能分析是否客观准确，方法是否科学，结论是否准确；节能措施是否合理可行；项目的能源消费量和能效水平是否满足本地区能源消耗总量和强度“双控”管理要求等对项目节能报告进行审查。《湖南省固定资产投资项目节能审查实施办法》（湘发改环资〔2018〕449号）第十条  节能审查机关受理节能报告后，应委托有关机构进行评审，形成评审意见，作为节能审查的重要依据。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C17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6FE2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5A9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78587E">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829B9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举办Ⅲ级（含）以下大型焰火燃放活动许可</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770D1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000109122002</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5CB324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E71D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8C37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公安部门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C411B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E9C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有资质的评估机构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32EC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C11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安全评价服务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B8653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管理条例》第三条：国家对烟花爆竹的生产、经营、运输和举办焰火晚会以及其他大型焰火燃放活动，实行许可证制度。未经许可，任何单位或者个人不得生产、经营、运输烟花爆竹，不得举办焰火晚会以及其他大型焰火燃放活动。第三十三条：申请举办焰火晚会以及其他大型焰火燃放活动，主办单位应当按照分级管理的规定，向有关人民政府公安部门提出申请……《公安部办公厅关于贯彻执行〈大型焰火燃放作业人员资格条件及管理〉和〈大型焰火燃放作业单位资质条件及管理〉有关事项的通知》（公治〔2010〕592号）规定：在《大型焰火燃放活动分级管理办法》实施前，……申请举办Ⅲ级以下（含Ⅲ级）大型焰火燃放活动的，暂由举办地县级公安机关受理、审批。《大型焰火燃放活动分级管理办法》实施后，按照新办法规定执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C5DF33">
            <w:pPr>
              <w:jc w:val="center"/>
              <w:rPr>
                <w:rFonts w:hint="eastAsia" w:ascii="宋体" w:hAnsi="宋体" w:eastAsia="宋体" w:cs="宋体"/>
                <w:i w:val="0"/>
                <w:iCs w:val="0"/>
                <w:color w:val="000000"/>
                <w:sz w:val="20"/>
                <w:szCs w:val="20"/>
                <w:u w:val="none"/>
              </w:rPr>
            </w:pPr>
          </w:p>
        </w:tc>
      </w:tr>
      <w:tr w14:paraId="41345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35"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4A075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auto" w:sz="4" w:space="0"/>
              <w:left w:val="nil"/>
              <w:bottom w:val="single" w:color="auto" w:sz="4" w:space="0"/>
              <w:right w:val="single" w:color="000000" w:sz="8" w:space="0"/>
            </w:tcBorders>
            <w:shd w:val="clear" w:color="auto" w:fill="auto"/>
            <w:vAlign w:val="center"/>
          </w:tcPr>
          <w:p w14:paraId="48F6F458">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14:paraId="4DF690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社会团体成立、变更、注销登记及修改章程核准（县级权限）</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78598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000111101004</w:t>
            </w:r>
          </w:p>
        </w:tc>
        <w:tc>
          <w:tcPr>
            <w:tcW w:w="722" w:type="dxa"/>
            <w:tcBorders>
              <w:top w:val="single" w:color="auto" w:sz="4" w:space="0"/>
              <w:left w:val="nil"/>
              <w:bottom w:val="single" w:color="auto" w:sz="4" w:space="0"/>
              <w:right w:val="single" w:color="000000" w:sz="8" w:space="0"/>
            </w:tcBorders>
            <w:shd w:val="clear" w:color="auto" w:fill="auto"/>
            <w:vAlign w:val="center"/>
          </w:tcPr>
          <w:p w14:paraId="0AE8B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5FA7A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7EC1D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民政部门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5E59FD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single" w:color="auto" w:sz="4" w:space="0"/>
              <w:left w:val="nil"/>
              <w:bottom w:val="single" w:color="auto" w:sz="4" w:space="0"/>
              <w:right w:val="single" w:color="000000" w:sz="8" w:space="0"/>
            </w:tcBorders>
            <w:shd w:val="clear" w:color="auto" w:fill="auto"/>
            <w:vAlign w:val="center"/>
          </w:tcPr>
          <w:p w14:paraId="178BC0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注册会计师事务所（登记管理机关委托）</w:t>
            </w:r>
          </w:p>
        </w:tc>
        <w:tc>
          <w:tcPr>
            <w:tcW w:w="0" w:type="auto"/>
            <w:tcBorders>
              <w:top w:val="single" w:color="auto" w:sz="4" w:space="0"/>
              <w:left w:val="nil"/>
              <w:bottom w:val="single" w:color="auto" w:sz="4" w:space="0"/>
              <w:right w:val="nil"/>
            </w:tcBorders>
            <w:shd w:val="clear" w:color="auto" w:fill="auto"/>
            <w:vAlign w:val="center"/>
          </w:tcPr>
          <w:p w14:paraId="03A60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single" w:color="auto" w:sz="4" w:space="0"/>
              <w:left w:val="single" w:color="000000" w:sz="8" w:space="0"/>
              <w:bottom w:val="single" w:color="auto" w:sz="4" w:space="0"/>
              <w:right w:val="nil"/>
            </w:tcBorders>
            <w:shd w:val="clear" w:color="auto" w:fill="auto"/>
            <w:vAlign w:val="center"/>
          </w:tcPr>
          <w:p w14:paraId="3D1CE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会计事务服务</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448A94E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  《中华人民共和国慈善法》第十条：设立慈善组织，应当向县级以上人民政府民政部门申请登记，民政部门应当自受理申请之日起三十日内作出决定。符合本法规定条件的，准予登记并向社会公告；不符合本法规定条件的，不予登记并书面说明理由。</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4ABEF625">
            <w:pPr>
              <w:jc w:val="center"/>
              <w:rPr>
                <w:rFonts w:hint="eastAsia" w:ascii="宋体" w:hAnsi="宋体" w:eastAsia="宋体" w:cs="宋体"/>
                <w:i w:val="0"/>
                <w:iCs w:val="0"/>
                <w:color w:val="000000"/>
                <w:sz w:val="20"/>
                <w:szCs w:val="20"/>
                <w:u w:val="none"/>
              </w:rPr>
            </w:pPr>
          </w:p>
        </w:tc>
      </w:tr>
      <w:tr w14:paraId="0A90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13"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0B15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2C32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修建性详细规划及建设工程设计方案涉及的日照分析、交通影响评价、经济技术指标复核等技术审查</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5554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建设工程、临时建设工程规划许可</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24BF8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00011513300Y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09EC9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A1D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C07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自然资源主管部门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C929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537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具有相应规划资质的机构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211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621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1E4AEC5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2007年10月28日第十届全国人民代表大会常务委员会第三十次会议通过根据2015年4月24日第十二届全国人民代表大会常务委员会第十四次会议《关于修改〈中华人民共和国港口法〉等七部法律的决定》修正）第四十条 建设项目规划审批机关在实施建设项目规划管理时，可以委托具有相应资质的城乡规划编制单位、建设工程勘察单位、建设工程设计单位等提供技术审查服务，其提出的审查意见应当作为建设项目规划管理的依据。城乡规划编制单位应当依据国家和省有关技术标准和规范计算规划技术经济指标，并对指标的合法性、真实性、准确性负责。《中华人民共和国道路交通安全法实施条例》（2004年4月30日国务院令第405号　根据2017年10月7日国务院令第687号《国务院关于修改部分行政法规的决定》修正）第三条　县级以上地方各级人民政府应当建立、健全道路交通安全工作协调机制，组织有关部门对城市建设项目进行交通影响评价，制定道路交通安全管理规划，确定管理目标，制定实施方案。《城市规划编制办法》（建设部令第146号）第四十三条 修建性详细规划应当包括下列内容：（四）根据交通影响分析，提出交通组织方案和设计。《湖南省实施&lt;中华人民共和国城乡规划法&gt;办法》（2015年12月4日湖南省第十二届人民代表大会常务委员会第十九次会议通过）第四十条 第一款 建设项目规划审批机关在实施建设项目规划管理时，可以委托具有相应资质的城乡规划编制单位、建设工程勘察单位、建设工程设计单位等提供技术审查服务，其提出的审查意见应当作为建设项目规划管理的依据。</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FB62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B5B3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0"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1CA62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0" w:type="auto"/>
            <w:tcBorders>
              <w:top w:val="single" w:color="auto" w:sz="4" w:space="0"/>
              <w:left w:val="nil"/>
              <w:bottom w:val="single" w:color="auto" w:sz="4" w:space="0"/>
              <w:right w:val="single" w:color="000000" w:sz="8" w:space="0"/>
            </w:tcBorders>
            <w:shd w:val="clear" w:color="auto" w:fill="auto"/>
            <w:vAlign w:val="center"/>
          </w:tcPr>
          <w:p w14:paraId="0E5A0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修建性详细规划及建设工程设计方案编制</w:t>
            </w:r>
          </w:p>
        </w:tc>
        <w:tc>
          <w:tcPr>
            <w:tcW w:w="0" w:type="auto"/>
            <w:tcBorders>
              <w:top w:val="single" w:color="auto" w:sz="4" w:space="0"/>
              <w:left w:val="nil"/>
              <w:bottom w:val="single" w:color="auto" w:sz="4" w:space="0"/>
              <w:right w:val="single" w:color="000000" w:sz="8" w:space="0"/>
            </w:tcBorders>
            <w:shd w:val="clear" w:color="auto" w:fill="auto"/>
            <w:vAlign w:val="center"/>
          </w:tcPr>
          <w:p w14:paraId="096609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建设工程、临时建设工程规划许可</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28BD8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00011513300Y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144F3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4B7BA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6778A7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自然资源主管部门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03D1A5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5AF8D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有相应合法资质的机构</w:t>
            </w:r>
          </w:p>
        </w:tc>
        <w:tc>
          <w:tcPr>
            <w:tcW w:w="0" w:type="auto"/>
            <w:tcBorders>
              <w:top w:val="single" w:color="auto" w:sz="4" w:space="0"/>
              <w:left w:val="nil"/>
              <w:bottom w:val="single" w:color="auto" w:sz="4" w:space="0"/>
              <w:right w:val="nil"/>
            </w:tcBorders>
            <w:shd w:val="clear" w:color="auto" w:fill="auto"/>
            <w:vAlign w:val="center"/>
          </w:tcPr>
          <w:p w14:paraId="002B9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nil"/>
            </w:tcBorders>
            <w:shd w:val="clear" w:color="auto" w:fill="auto"/>
            <w:vAlign w:val="center"/>
          </w:tcPr>
          <w:p w14:paraId="773CC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EFF5B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《湖南省实施&lt;中华人民共和国城乡规划法&gt;办法》（2015年12月4日湖南省第十二届人民代表大会常务委员会第十九次会议通过）  第二十六条  在国有土地上进行建设活动的建设单位或者个人，应当取得城市、县人民政府城乡规划主管部门核发的建设工程规划许可证。建设工程规划许可证应当载明建设项目位置、建设规模和使用功能等内容，并附经审定的建设工程设计方案的总平面图。建设单位或者个人申请办理建设工程规划许可证，应当持项目批准（核准、备案）文件、使用土地的有关证明文件，以及经审定的建设工程设计方案等材料，向城乡规划主管部门提出申请。需要编制修建性详细规划的，还应当提交修建性详细规划。受理申请的机关对符合控制性详细规划和建设用地规划条件的，核发建设工程规划许可证。</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BD347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7DE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40"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61A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B45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“多测合一”综合测绘报告</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9A175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建设用地、临时建设用地规划许可</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40C34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00011513100Y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317B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C5E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5E7C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自然资源主管部门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C7DAD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02B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AC51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A6E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测绘服务</w:t>
            </w:r>
          </w:p>
        </w:tc>
        <w:tc>
          <w:tcPr>
            <w:tcW w:w="0" w:type="auto"/>
            <w:tcBorders>
              <w:top w:val="single" w:color="000000" w:sz="8" w:space="0"/>
              <w:left w:val="single" w:color="auto" w:sz="4" w:space="0"/>
              <w:bottom w:val="single" w:color="auto" w:sz="4" w:space="0"/>
              <w:right w:val="single" w:color="000000" w:sz="8" w:space="0"/>
            </w:tcBorders>
            <w:shd w:val="clear" w:color="auto" w:fill="auto"/>
            <w:vAlign w:val="center"/>
          </w:tcPr>
          <w:p w14:paraId="4ABDD1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E6F5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6EC09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0" w:hRule="atLeast"/>
        </w:trPr>
        <w:tc>
          <w:tcPr>
            <w:tcW w:w="0" w:type="auto"/>
            <w:vMerge w:val="continue"/>
            <w:tcBorders>
              <w:top w:val="single" w:color="auto" w:sz="4" w:space="0"/>
              <w:left w:val="single" w:color="auto" w:sz="4" w:space="0"/>
              <w:bottom w:val="single" w:color="auto" w:sz="4" w:space="0"/>
              <w:right w:val="single" w:color="000000" w:sz="8" w:space="0"/>
            </w:tcBorders>
            <w:shd w:val="clear" w:color="auto" w:fill="auto"/>
            <w:vAlign w:val="center"/>
          </w:tcPr>
          <w:p w14:paraId="201FE1CD">
            <w:pPr>
              <w:jc w:val="center"/>
              <w:rPr>
                <w:rFonts w:hint="eastAsia" w:ascii="宋体" w:hAnsi="宋体" w:eastAsia="宋体" w:cs="宋体"/>
                <w:i w:val="0"/>
                <w:iCs w:val="0"/>
                <w:color w:val="000000"/>
                <w:sz w:val="20"/>
                <w:szCs w:val="20"/>
                <w:u w:val="none"/>
              </w:rPr>
            </w:pPr>
          </w:p>
        </w:tc>
        <w:tc>
          <w:tcPr>
            <w:tcW w:w="0" w:type="auto"/>
            <w:vMerge w:val="continue"/>
            <w:tcBorders>
              <w:top w:val="single" w:color="auto" w:sz="4" w:space="0"/>
              <w:left w:val="nil"/>
              <w:bottom w:val="single" w:color="auto" w:sz="4" w:space="0"/>
              <w:right w:val="single" w:color="000000" w:sz="8" w:space="0"/>
            </w:tcBorders>
            <w:shd w:val="clear" w:color="auto" w:fill="auto"/>
            <w:vAlign w:val="center"/>
          </w:tcPr>
          <w:p w14:paraId="5527C341">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nil"/>
              <w:bottom w:val="single" w:color="auto" w:sz="4" w:space="0"/>
              <w:right w:val="single" w:color="000000" w:sz="8" w:space="0"/>
            </w:tcBorders>
            <w:shd w:val="clear" w:color="auto" w:fill="auto"/>
            <w:vAlign w:val="center"/>
          </w:tcPr>
          <w:p w14:paraId="1AC0FE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应建防空地下室的民用建筑项目报建审批 </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605B3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00018010200Y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44CF7C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54D79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省级、市级、县级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1D13E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自然资源主管部门、国防动员主管部门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0EB463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auto" w:sz="4" w:space="0"/>
            </w:tcBorders>
            <w:shd w:val="clear" w:color="auto" w:fill="auto"/>
            <w:vAlign w:val="center"/>
          </w:tcPr>
          <w:p w14:paraId="298828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BE06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E78F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1A255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中华人民共和国主席令第七十四号）第四十五条：县级以上地方人民政府城乡规划主管部门按照国务院规定对建设工程是否符合规划条件予以核实。未经核实或者经核实不符合规划条件的，建设单位不得组织竣工验收。建设单位应当在竣工验收后六个月内向城乡规划主管部门报送有关竣工验收资料。</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5E87A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7F79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28CB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6872C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不动产测绘（地籍测绘、房产测绘）</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2098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不动产登记</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65355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000715001000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6F0A7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5DD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F34E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自然资源主管部门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DE599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申请人委托符合条件的中介机构实施。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730A3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符合条件的测绘机构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AD760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000000" w:sz="8" w:space="0"/>
              <w:right w:val="nil"/>
            </w:tcBorders>
            <w:shd w:val="clear" w:color="auto" w:fill="auto"/>
            <w:vAlign w:val="center"/>
          </w:tcPr>
          <w:p w14:paraId="226771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测绘服务</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57D9DBA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【法律】  《中华人民共和国物权法》第九条不动产物权的设立、变更、转让和消灭，经依法登记，发生效力；未经登记，不发生效力，但法律另有规定的除外。依法属于国家所有的自然资源，所有权可以不登记。第十条不动产登记，由不动产所在地的登记机构办理。国家对不动产实行统一登记制度。统一登记的范围、登记机构和登记办法，由法律、行政法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【行政法规】  《不动产登记暂行条例》（国务院令第656号）第六条国务院国土资源主管部门负责指导、监督全国不动产登记工作。县级以上地方人民政府应当确定一个部门为本行政区域的不动产登记机构，负责不动产登记工作，并接受上级人民政府不动产登记主管部门的指导、监督。第七条不动产登记由不动产所在地的县级人民政府不动产登记机构办理；直辖市、设区的市人民政府可以确定本级不动产登记机构统一办理所属各区的不动产登记。跨县级行政区域的不动产登记，由所跨县级行政区域的不动产登记机构分别办理。不能分别办理的，由所跨县级行政区域的不动产登记机构协商办理；协商不成的，由共同的上一级人民政府不动产登记主管部门指定办理。国务院确定的重点国有林区的森林、林木和林地，国务院批准项目用海、用岛，中央国家机关使用的国有土地等不动产登记，由国务院国土资源主管部门会同有关部门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【规章】  《不动产登记暂行条例实施细则》（国土资源部令63号）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C80B9C9">
            <w:pPr>
              <w:jc w:val="center"/>
              <w:rPr>
                <w:rFonts w:hint="eastAsia" w:ascii="宋体" w:hAnsi="宋体" w:eastAsia="宋体" w:cs="宋体"/>
                <w:i w:val="0"/>
                <w:iCs w:val="0"/>
                <w:color w:val="000000"/>
                <w:sz w:val="20"/>
                <w:szCs w:val="20"/>
                <w:u w:val="none"/>
              </w:rPr>
            </w:pPr>
          </w:p>
        </w:tc>
      </w:tr>
      <w:tr w14:paraId="7E69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5" w:hRule="atLeast"/>
        </w:trPr>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2B2D27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6FB10A78">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5F6AF1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一般建设项目环境影响评价审批（县级权限）</w:t>
            </w:r>
          </w:p>
        </w:tc>
        <w:tc>
          <w:tcPr>
            <w:tcW w:w="1795" w:type="dxa"/>
            <w:tcBorders>
              <w:top w:val="single" w:color="auto" w:sz="4" w:space="0"/>
              <w:left w:val="single" w:color="000000" w:sz="4" w:space="0"/>
              <w:bottom w:val="single" w:color="000000" w:sz="4" w:space="0"/>
              <w:right w:val="single" w:color="000000" w:sz="4" w:space="0"/>
            </w:tcBorders>
            <w:shd w:val="clear" w:color="auto" w:fill="auto"/>
            <w:vAlign w:val="center"/>
          </w:tcPr>
          <w:p w14:paraId="459C0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000116101004</w:t>
            </w:r>
          </w:p>
        </w:tc>
        <w:tc>
          <w:tcPr>
            <w:tcW w:w="722" w:type="dxa"/>
            <w:tcBorders>
              <w:top w:val="single" w:color="auto" w:sz="4" w:space="0"/>
              <w:left w:val="single" w:color="000000" w:sz="4" w:space="0"/>
              <w:bottom w:val="single" w:color="000000" w:sz="4" w:space="0"/>
              <w:right w:val="single" w:color="000000" w:sz="4" w:space="0"/>
            </w:tcBorders>
            <w:shd w:val="clear" w:color="auto" w:fill="auto"/>
            <w:vAlign w:val="center"/>
          </w:tcPr>
          <w:p w14:paraId="3A3928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74C90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7FFA6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生态环境部门</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60734F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4C439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环境影响评价技术单位</w:t>
            </w:r>
          </w:p>
        </w:tc>
        <w:tc>
          <w:tcPr>
            <w:tcW w:w="0" w:type="auto"/>
            <w:tcBorders>
              <w:top w:val="single" w:color="auto" w:sz="4" w:space="0"/>
              <w:left w:val="single" w:color="000000" w:sz="4" w:space="0"/>
              <w:bottom w:val="single" w:color="000000" w:sz="4" w:space="0"/>
              <w:right w:val="single" w:color="000000" w:sz="4" w:space="0"/>
            </w:tcBorders>
            <w:shd w:val="clear" w:color="auto" w:fill="auto"/>
            <w:vAlign w:val="center"/>
          </w:tcPr>
          <w:p w14:paraId="4FCE27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6E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环境影响评价技术服务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40411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中华人民共和国环境保护法》第十九条：编制有关开发利用规划，建设对环境有影响的项目，应当依法进行环境影响评价。未依法进行环境影响评价的开发利用规划，不得组织实施；未依法进行环境影响评价的建设项目，不得开工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中华人民共和国环境影响评价法》第三条：编制本法第九条所规定的范围内的规划，在中华人民共和国领域和中华人民共和国管辖的其他海域内建设对环境有影响的项目，应当依照本法进行环境影响评价。第二十二条：建设项目的环境影响报告书、报告表，由建设单位按照国务院的规定报有审批权的生态环境主管部门审批。第二十三条：国务院生态环境主管部门负责审批下列建设项目的环境影响评价文件：（一）核设施、绝密工程等特殊性质的建设项目；（二）跨省、自治区、直辖市行政区域的建设项目；（三）由国务院审批的或者由国务院授权有关部门审批的建设项目。前款规定以外的建设项目的环境影响评价文件的审批权限，由省、自治区、直辖市人民政府规定。建设项目可能造成跨行政区域的不良环境影响，有关生态环境主管部门对该项目的环境影响评价结论有争议的，其环境影响评价文件由共同的上一级生态环境主管部门审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3.《中华人民共和国水污染防治法》第十九条：新建、改建、扩建直接或者间接向水体排放污染物的建设项目和其他水上设施，应当依法进行环境影响评价。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中华人民共和国大气污染防治法》第十八条：企业事业单位和其他生产经营者建设对大气环境有影响的项目，应当依法进行环境影响评价、公开环境影响评价文件；向大气排放污染物的，应当符合大气污染物排放标准，遵守重点大气污染物排放总量控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中华人民共和国土壤污染防治法》第十八条：各类涉及土地利用的规划和可能造成土壤污染的建设项目，应当依法进行环境影响评价。环境影响评价文件应当包括对土壤可能造成的不良影响及应当采取的相应预防措施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6.《中华人民共和国固体废物污染环境防治法》第十七条：建设产生、贮存、利用、处置固体废物的项目，应当依法进行环境影响评价，并遵守国家有关建设项目环境保护管理的规定。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7.《中华人民共和国噪声污染防治法》第二十四条：新建、改建、扩建可能产生噪声污染的建设项目，应当依法进行环境影响评价。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建设项目环境保护管理条例》第六条：国家实行建设项目环境影响评价制度。第九条：依法应当编制环境影响报告书、环境影响报告表的建设项目，建设单位应当在开工建设前将环境影响报告书、环境影响报告表报有审批权的环境保护行政主管部门审批；建设项目的环境影响评价文件未依法经审批部门审查或者审查后未予批准的，建设单位不得开工建设。第十条：国务院环境保护行政主管部门负责审批下列建设项目环境影响报告书、环境影响报告表：（一）核设施、绝密工程等特殊性质的建设项目；（二）跨省、自治区、直辖市行政区域的建设项目；（三）国务院审批的或者国务院授权有关部门审批的建设项目。前款规定以外的建设项目环境影响报告书、环境影响报告表的审批权限，由省、自治区、直辖市人民政府规定。建设项目造成跨行政区域环境影响，有关环境保护行政主管部门对环境影响评价结论有争议的，其环境影响报告书或者环境影响报告表由共同上一级环境保护行政主管部门审批。</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78F6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04BBD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25981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0" w:type="auto"/>
            <w:tcBorders>
              <w:top w:val="nil"/>
              <w:left w:val="nil"/>
              <w:bottom w:val="single" w:color="auto" w:sz="4" w:space="0"/>
              <w:right w:val="single" w:color="000000" w:sz="8" w:space="0"/>
            </w:tcBorders>
            <w:shd w:val="clear" w:color="auto" w:fill="auto"/>
            <w:vAlign w:val="center"/>
          </w:tcPr>
          <w:p w14:paraId="05C07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入河排污口设置论证报告</w:t>
            </w:r>
          </w:p>
        </w:tc>
        <w:tc>
          <w:tcPr>
            <w:tcW w:w="0" w:type="auto"/>
            <w:tcBorders>
              <w:top w:val="nil"/>
              <w:left w:val="nil"/>
              <w:bottom w:val="single" w:color="000000" w:sz="8" w:space="0"/>
              <w:right w:val="single" w:color="000000" w:sz="8" w:space="0"/>
            </w:tcBorders>
            <w:shd w:val="clear" w:color="auto" w:fill="auto"/>
            <w:vAlign w:val="center"/>
          </w:tcPr>
          <w:p w14:paraId="6ED5B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江河、湖泊新建、改建或者扩大排污口审批</w:t>
            </w:r>
          </w:p>
        </w:tc>
        <w:tc>
          <w:tcPr>
            <w:tcW w:w="1795" w:type="dxa"/>
            <w:tcBorders>
              <w:top w:val="nil"/>
              <w:left w:val="nil"/>
              <w:bottom w:val="single" w:color="000000" w:sz="8" w:space="0"/>
              <w:right w:val="single" w:color="000000" w:sz="8" w:space="0"/>
            </w:tcBorders>
            <w:shd w:val="clear" w:color="auto" w:fill="auto"/>
            <w:vAlign w:val="center"/>
          </w:tcPr>
          <w:p w14:paraId="7E8E9F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00011610600Y</w:t>
            </w:r>
          </w:p>
        </w:tc>
        <w:tc>
          <w:tcPr>
            <w:tcW w:w="722" w:type="dxa"/>
            <w:tcBorders>
              <w:top w:val="nil"/>
              <w:left w:val="nil"/>
              <w:bottom w:val="single" w:color="000000" w:sz="8" w:space="0"/>
              <w:right w:val="single" w:color="000000" w:sz="8" w:space="0"/>
            </w:tcBorders>
            <w:shd w:val="clear" w:color="auto" w:fill="auto"/>
            <w:vAlign w:val="center"/>
          </w:tcPr>
          <w:p w14:paraId="2B8D9B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5EFA9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0E4B6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生态环境部门</w:t>
            </w:r>
          </w:p>
        </w:tc>
        <w:tc>
          <w:tcPr>
            <w:tcW w:w="0" w:type="auto"/>
            <w:tcBorders>
              <w:top w:val="nil"/>
              <w:left w:val="nil"/>
              <w:bottom w:val="single" w:color="000000" w:sz="8" w:space="0"/>
              <w:right w:val="single" w:color="000000" w:sz="8" w:space="0"/>
            </w:tcBorders>
            <w:shd w:val="clear" w:color="auto" w:fill="auto"/>
            <w:vAlign w:val="center"/>
          </w:tcPr>
          <w:p w14:paraId="599BE5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000000" w:sz="8" w:space="0"/>
              <w:right w:val="single" w:color="000000" w:sz="8" w:space="0"/>
            </w:tcBorders>
            <w:shd w:val="clear" w:color="auto" w:fill="auto"/>
            <w:vAlign w:val="center"/>
          </w:tcPr>
          <w:p w14:paraId="689C2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nil"/>
              <w:left w:val="nil"/>
              <w:bottom w:val="single" w:color="000000" w:sz="8" w:space="0"/>
              <w:right w:val="nil"/>
            </w:tcBorders>
            <w:shd w:val="clear" w:color="auto" w:fill="auto"/>
            <w:vAlign w:val="center"/>
          </w:tcPr>
          <w:p w14:paraId="4A03C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490D6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2CB04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《入河排污口监督管理办法》（2004年11月30日水利部令第22号公布，自2005年1月1日起施行，2015年12月16日水利部令第47号修改）第十条 排污单位应当按照有关技术要求，自行或者委托有关单位编制入河排污口设置论证报告。</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9212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0F40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9A5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822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施工图设计文件审查（含消防、人防等）</w:t>
            </w:r>
          </w:p>
        </w:tc>
        <w:tc>
          <w:tcPr>
            <w:tcW w:w="0" w:type="auto"/>
            <w:tcBorders>
              <w:top w:val="nil"/>
              <w:left w:val="single" w:color="auto" w:sz="4" w:space="0"/>
              <w:bottom w:val="single" w:color="auto" w:sz="4" w:space="0"/>
              <w:right w:val="single" w:color="000000" w:sz="8" w:space="0"/>
            </w:tcBorders>
            <w:shd w:val="clear" w:color="auto" w:fill="auto"/>
            <w:vAlign w:val="center"/>
          </w:tcPr>
          <w:p w14:paraId="731E59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房屋建筑和市政基础设施工程施工图设计文件审查情况备案</w:t>
            </w:r>
          </w:p>
        </w:tc>
        <w:tc>
          <w:tcPr>
            <w:tcW w:w="1795" w:type="dxa"/>
            <w:tcBorders>
              <w:top w:val="nil"/>
              <w:left w:val="nil"/>
              <w:bottom w:val="single" w:color="auto" w:sz="4" w:space="0"/>
              <w:right w:val="single" w:color="000000" w:sz="8" w:space="0"/>
            </w:tcBorders>
            <w:shd w:val="clear" w:color="auto" w:fill="auto"/>
            <w:vAlign w:val="center"/>
          </w:tcPr>
          <w:p w14:paraId="0BF3B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Style w:val="4"/>
                <w:lang w:val="en-US" w:eastAsia="zh-CN" w:bidi="ar"/>
              </w:rPr>
              <w:t>001017007000</w:t>
            </w:r>
            <w:r>
              <w:rPr>
                <w:rStyle w:val="6"/>
                <w:lang w:val="en-US" w:eastAsia="zh-CN" w:bidi="ar"/>
              </w:rPr>
              <w:t>(主项：施工图审查情况备案)</w:t>
            </w:r>
          </w:p>
        </w:tc>
        <w:tc>
          <w:tcPr>
            <w:tcW w:w="722" w:type="dxa"/>
            <w:tcBorders>
              <w:top w:val="nil"/>
              <w:left w:val="nil"/>
              <w:bottom w:val="single" w:color="auto" w:sz="4" w:space="0"/>
              <w:right w:val="single" w:color="000000" w:sz="8" w:space="0"/>
            </w:tcBorders>
            <w:shd w:val="clear" w:color="auto" w:fill="auto"/>
            <w:vAlign w:val="center"/>
          </w:tcPr>
          <w:p w14:paraId="7757E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nil"/>
              <w:left w:val="nil"/>
              <w:bottom w:val="single" w:color="auto" w:sz="4" w:space="0"/>
              <w:right w:val="single" w:color="000000" w:sz="8" w:space="0"/>
            </w:tcBorders>
            <w:shd w:val="clear" w:color="auto" w:fill="auto"/>
            <w:vAlign w:val="center"/>
          </w:tcPr>
          <w:p w14:paraId="40A46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6C7A8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住房城乡建设部门、国防动员管理部门</w:t>
            </w:r>
          </w:p>
        </w:tc>
        <w:tc>
          <w:tcPr>
            <w:tcW w:w="0" w:type="auto"/>
            <w:tcBorders>
              <w:top w:val="nil"/>
              <w:left w:val="nil"/>
              <w:bottom w:val="single" w:color="auto" w:sz="4" w:space="0"/>
              <w:right w:val="single" w:color="000000" w:sz="8" w:space="0"/>
            </w:tcBorders>
            <w:shd w:val="clear" w:color="auto" w:fill="auto"/>
            <w:vAlign w:val="center"/>
          </w:tcPr>
          <w:p w14:paraId="5E8B77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09A69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具有相关施工图审查资格且具备独立法人资格的审查机构</w:t>
            </w:r>
          </w:p>
        </w:tc>
        <w:tc>
          <w:tcPr>
            <w:tcW w:w="0" w:type="auto"/>
            <w:tcBorders>
              <w:top w:val="nil"/>
              <w:left w:val="nil"/>
              <w:bottom w:val="single" w:color="auto" w:sz="4" w:space="0"/>
              <w:right w:val="nil"/>
            </w:tcBorders>
            <w:shd w:val="clear" w:color="auto" w:fill="auto"/>
            <w:vAlign w:val="center"/>
          </w:tcPr>
          <w:p w14:paraId="2D8F6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single" w:color="000000" w:sz="8" w:space="0"/>
            </w:tcBorders>
            <w:shd w:val="clear" w:color="auto" w:fill="auto"/>
            <w:vAlign w:val="center"/>
          </w:tcPr>
          <w:p w14:paraId="20B61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施工图设计文件审查服务</w:t>
            </w:r>
          </w:p>
        </w:tc>
        <w:tc>
          <w:tcPr>
            <w:tcW w:w="0" w:type="auto"/>
            <w:tcBorders>
              <w:top w:val="single" w:color="000000" w:sz="8" w:space="0"/>
              <w:left w:val="single" w:color="000000" w:sz="8" w:space="0"/>
              <w:bottom w:val="single" w:color="auto" w:sz="4" w:space="0"/>
              <w:right w:val="single" w:color="000000" w:sz="8" w:space="0"/>
            </w:tcBorders>
            <w:shd w:val="clear" w:color="auto" w:fill="auto"/>
            <w:vAlign w:val="center"/>
          </w:tcPr>
          <w:p w14:paraId="3D579E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房屋建筑和市政基础设施工程施工图设计文件审查管理办法》（住房城乡建设部令13号）第十三条：审查机构应当在出具审查合格书后5个工作日内，将审查情况报工程所在地县级以上地方人民政府住房城乡建设主管部门备案。</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09FB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6E94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55" w:hRule="atLeast"/>
        </w:trPr>
        <w:tc>
          <w:tcPr>
            <w:tcW w:w="0" w:type="auto"/>
            <w:vMerge w:val="continue"/>
            <w:tcBorders>
              <w:top w:val="single" w:color="auto" w:sz="4" w:space="0"/>
              <w:left w:val="single" w:color="auto" w:sz="4" w:space="0"/>
              <w:bottom w:val="single" w:color="auto" w:sz="4" w:space="0"/>
              <w:right w:val="single" w:color="000000" w:sz="8" w:space="0"/>
            </w:tcBorders>
            <w:shd w:val="clear" w:color="auto" w:fill="auto"/>
            <w:vAlign w:val="center"/>
          </w:tcPr>
          <w:p w14:paraId="52289C76">
            <w:pPr>
              <w:jc w:val="center"/>
              <w:rPr>
                <w:rFonts w:hint="eastAsia" w:ascii="宋体" w:hAnsi="宋体" w:eastAsia="宋体" w:cs="宋体"/>
                <w:i w:val="0"/>
                <w:iCs w:val="0"/>
                <w:color w:val="000000"/>
                <w:sz w:val="20"/>
                <w:szCs w:val="20"/>
                <w:u w:val="none"/>
              </w:rPr>
            </w:pPr>
          </w:p>
        </w:tc>
        <w:tc>
          <w:tcPr>
            <w:tcW w:w="0" w:type="auto"/>
            <w:vMerge w:val="continue"/>
            <w:tcBorders>
              <w:top w:val="single" w:color="auto" w:sz="4" w:space="0"/>
              <w:left w:val="nil"/>
              <w:bottom w:val="single" w:color="auto" w:sz="4" w:space="0"/>
              <w:right w:val="single" w:color="auto" w:sz="4" w:space="0"/>
            </w:tcBorders>
            <w:shd w:val="clear" w:color="auto" w:fill="auto"/>
            <w:vAlign w:val="center"/>
          </w:tcPr>
          <w:p w14:paraId="0E2B445A">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5277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应建防空地下室的民用建筑项目报建审批 </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701D2E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00018010200Y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37950C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76F0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D30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住房城乡建设部门、国防动员管理部门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27306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93A4D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具有相关施工图审查资格且具备独立法人资格的审查机构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62CC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5EA0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施工图设计文件审查服务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D451E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《中华人民共和国建筑法》《建筑工程施工许可管理办法》（住房城乡建设部令第18号公布，住房城乡建设部令第52号修正）</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7EF9F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7ABA1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0" w:hRule="atLeast"/>
        </w:trPr>
        <w:tc>
          <w:tcPr>
            <w:tcW w:w="0" w:type="auto"/>
            <w:vMerge w:val="continue"/>
            <w:tcBorders>
              <w:top w:val="single" w:color="auto" w:sz="4" w:space="0"/>
              <w:left w:val="single" w:color="auto" w:sz="4" w:space="0"/>
              <w:bottom w:val="single" w:color="auto" w:sz="4" w:space="0"/>
              <w:right w:val="single" w:color="000000" w:sz="8" w:space="0"/>
            </w:tcBorders>
            <w:shd w:val="clear" w:color="auto" w:fill="auto"/>
            <w:vAlign w:val="center"/>
          </w:tcPr>
          <w:p w14:paraId="3082F3AF">
            <w:pPr>
              <w:jc w:val="center"/>
              <w:rPr>
                <w:rFonts w:hint="eastAsia" w:ascii="宋体" w:hAnsi="宋体" w:eastAsia="宋体" w:cs="宋体"/>
                <w:i w:val="0"/>
                <w:iCs w:val="0"/>
                <w:color w:val="000000"/>
                <w:sz w:val="20"/>
                <w:szCs w:val="20"/>
                <w:u w:val="none"/>
              </w:rPr>
            </w:pPr>
          </w:p>
        </w:tc>
        <w:tc>
          <w:tcPr>
            <w:tcW w:w="0" w:type="auto"/>
            <w:vMerge w:val="continue"/>
            <w:tcBorders>
              <w:top w:val="single" w:color="auto" w:sz="4" w:space="0"/>
              <w:left w:val="nil"/>
              <w:bottom w:val="single" w:color="auto" w:sz="4" w:space="0"/>
              <w:right w:val="single" w:color="auto" w:sz="4" w:space="0"/>
            </w:tcBorders>
            <w:shd w:val="clear" w:color="auto" w:fill="auto"/>
            <w:vAlign w:val="center"/>
          </w:tcPr>
          <w:p w14:paraId="5E2A5269">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000000" w:sz="8" w:space="0"/>
            </w:tcBorders>
            <w:shd w:val="clear" w:color="auto" w:fill="auto"/>
            <w:vAlign w:val="center"/>
          </w:tcPr>
          <w:p w14:paraId="59E1B2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建设工程消防设计审查</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53793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00011713600Y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519B7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4F68E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62CA6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住房城乡建设部门、国防动员管理部门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5E1B7A0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21AAD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具有相关施工图审查资格且具备独立法人资格的审查机构</w:t>
            </w:r>
          </w:p>
        </w:tc>
        <w:tc>
          <w:tcPr>
            <w:tcW w:w="0" w:type="auto"/>
            <w:tcBorders>
              <w:top w:val="single" w:color="auto" w:sz="4" w:space="0"/>
              <w:left w:val="nil"/>
              <w:bottom w:val="single" w:color="auto" w:sz="4" w:space="0"/>
              <w:right w:val="nil"/>
            </w:tcBorders>
            <w:shd w:val="clear" w:color="auto" w:fill="auto"/>
            <w:vAlign w:val="center"/>
          </w:tcPr>
          <w:p w14:paraId="1DD5B6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726B2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施工图设计文件审查服务</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013043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《中华人民共和国消防法》《建设工程消防设计审查验收管理暂行规定》（住房城乡建设部令第51号）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3E7E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791D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0"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71983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0" w:type="auto"/>
            <w:tcBorders>
              <w:top w:val="single" w:color="auto" w:sz="4" w:space="0"/>
              <w:left w:val="nil"/>
              <w:bottom w:val="single" w:color="000000" w:sz="8" w:space="0"/>
              <w:right w:val="single" w:color="auto" w:sz="4" w:space="0"/>
            </w:tcBorders>
            <w:shd w:val="clear" w:color="auto" w:fill="auto"/>
            <w:vAlign w:val="center"/>
          </w:tcPr>
          <w:p w14:paraId="20931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造价咨询</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864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最高投标限价（招标控制价）及其成果文件备案</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539F3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431017369W00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0AA4F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F44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18E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D82B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DC2AD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工程造价咨询公司</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AAA9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B4EBC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394F6C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1.《湖南省建设工程造价管理办法》（湖南省政府令第192号） 第十三条　发包人和承包人应当依法签订书面的《建设工程施工合同》，并不得在合同之外另行订立与合同内容不一致的其他协议。全部使用国有资金投资或者以国有资金投资为主的建设项目，承包人应当在《建设工程施工合同》签订之日起的30日内将合同副本送相应工程造价管理机构备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2.《建筑工程施工发包与承包计价管理办法》（住房和城乡建设部第16号）第六条　全部使用国有资金投资或者以国有资金投资为主的建筑工程（以下简称国有资金投资的建筑工程），应当采用工程量清单计价；非国有资金投资的建筑工程，鼓励采用工程量清单计价。国有资金投资的建筑工程招标的，应当设有最高投标限价；非国有资金投资的建筑工程招标的，可以设有最高投标限价或者招标标底。最高投标限价及其成果文件，应当由招标人报工程所在地县级以上地方人民政府住房城乡建设主管部门备案。</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160AA11">
            <w:pPr>
              <w:jc w:val="center"/>
              <w:rPr>
                <w:rFonts w:hint="eastAsia" w:ascii="宋体" w:hAnsi="宋体" w:eastAsia="宋体" w:cs="宋体"/>
                <w:i w:val="0"/>
                <w:iCs w:val="0"/>
                <w:color w:val="000000"/>
                <w:sz w:val="20"/>
                <w:szCs w:val="20"/>
                <w:u w:val="none"/>
              </w:rPr>
            </w:pPr>
          </w:p>
        </w:tc>
      </w:tr>
      <w:tr w14:paraId="2B610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15"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155D8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0" w:type="auto"/>
            <w:tcBorders>
              <w:top w:val="nil"/>
              <w:left w:val="nil"/>
              <w:bottom w:val="single" w:color="auto" w:sz="4" w:space="0"/>
              <w:right w:val="single" w:color="000000" w:sz="8" w:space="0"/>
            </w:tcBorders>
            <w:shd w:val="clear" w:color="auto" w:fill="auto"/>
            <w:vAlign w:val="center"/>
          </w:tcPr>
          <w:p w14:paraId="4525F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建设项目附属绿化工程设计</w:t>
            </w:r>
          </w:p>
        </w:tc>
        <w:tc>
          <w:tcPr>
            <w:tcW w:w="0" w:type="auto"/>
            <w:tcBorders>
              <w:top w:val="single" w:color="auto" w:sz="4" w:space="0"/>
              <w:left w:val="nil"/>
              <w:bottom w:val="single" w:color="auto" w:sz="4" w:space="0"/>
              <w:right w:val="single" w:color="000000" w:sz="8" w:space="0"/>
            </w:tcBorders>
            <w:shd w:val="clear" w:color="auto" w:fill="auto"/>
            <w:vAlign w:val="center"/>
          </w:tcPr>
          <w:p w14:paraId="0AF5F6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园林绿化工程（含工程建设项目附属绿化工程）设计方案审查</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0C8BC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431017001W00</w:t>
            </w:r>
          </w:p>
        </w:tc>
        <w:tc>
          <w:tcPr>
            <w:tcW w:w="722" w:type="dxa"/>
            <w:tcBorders>
              <w:top w:val="single" w:color="auto" w:sz="4" w:space="0"/>
              <w:left w:val="nil"/>
              <w:bottom w:val="single" w:color="auto" w:sz="4" w:space="0"/>
              <w:right w:val="single" w:color="000000" w:sz="8" w:space="0"/>
            </w:tcBorders>
            <w:shd w:val="clear" w:color="auto" w:fill="auto"/>
            <w:vAlign w:val="center"/>
          </w:tcPr>
          <w:p w14:paraId="57A1D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nil"/>
              <w:bottom w:val="single" w:color="auto" w:sz="4" w:space="0"/>
              <w:right w:val="single" w:color="000000" w:sz="8" w:space="0"/>
            </w:tcBorders>
            <w:shd w:val="clear" w:color="auto" w:fill="auto"/>
            <w:vAlign w:val="center"/>
          </w:tcPr>
          <w:p w14:paraId="64BB4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2FC4D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住房城乡建设部门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4E233A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351DE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有工程设计、工程咨询资质的机构</w:t>
            </w:r>
          </w:p>
        </w:tc>
        <w:tc>
          <w:tcPr>
            <w:tcW w:w="0" w:type="auto"/>
            <w:tcBorders>
              <w:top w:val="single" w:color="auto" w:sz="4" w:space="0"/>
              <w:left w:val="nil"/>
              <w:bottom w:val="single" w:color="auto" w:sz="4" w:space="0"/>
              <w:right w:val="nil"/>
            </w:tcBorders>
            <w:shd w:val="clear" w:color="auto" w:fill="auto"/>
            <w:vAlign w:val="center"/>
          </w:tcPr>
          <w:p w14:paraId="73226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4ECF8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工程勘察、工程设计服务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312F0D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《城市绿化条例》（国务院令〔2017〕676号）第十一条  城市绿化工程的设计，应当委托持有相应资格证书的设计单位承担。 工程建设项目的附属绿化工程设计方案，按照基本建设程序审批时，必须有城市人民政府城市绿化行政主管部门参加审查。 建设单位必须按照批准的设计方案进行施工。设计方案确需改变时，须经原批准机关审批。</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5B0C3E0">
            <w:pPr>
              <w:jc w:val="center"/>
              <w:rPr>
                <w:rFonts w:hint="eastAsia" w:ascii="宋体" w:hAnsi="宋体" w:eastAsia="宋体" w:cs="宋体"/>
                <w:i w:val="0"/>
                <w:iCs w:val="0"/>
                <w:color w:val="000000"/>
                <w:sz w:val="20"/>
                <w:szCs w:val="20"/>
                <w:u w:val="none"/>
              </w:rPr>
            </w:pPr>
          </w:p>
        </w:tc>
      </w:tr>
      <w:tr w14:paraId="710AB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18"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DA7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1FA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维修检测设备及计量设备检定合格证明</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0C32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机动车维修经营备案</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280A8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431018170W00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0C2B7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其他行政权力</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5B78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015B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交通运输部门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CFA807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0646D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具备检测资质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5D1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B1C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维修检测设备及计量设备检定服务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5912FF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《《中华人民共和国道路运输条例》》（中华人民共和国国务院令〔2019〕第709号）第三十九条  申请从事道路运输站（场）经营和机动车驾驶员培训业务的，应当在依法向工商行政管理机关办理有关登记手续后，向所在地县级道路运输管理机构提出申请，并分别附送符合本条例第三十六条、第三十八条规定条件的相关材料。县级道路运输管理机构应当自受理申请之日起15日内审查完毕，作出许可或者不予许可的决定，并书面通知申请人。 从事机动车维修经营业务的，应当在依法向工商行政管理机关办理有关登记手续后，向所在地县级道路运输管理机构进行备案，并附送符合本条例第三十七条规定条件的相关材料。《《机动车维修管理规定》》（中华人民共和国交通运输部令〔2019〕第20号）第七条  从事机动车维修经营业务的，应当在依法向市场监督管理机构办理有关登记手续后，向所在地县级道路运输管理机构进行备案。 　　道路运输管理机构应当按照《中华人民共和国道路运输条例》和本规定实施机动车维修经营备案。道路运输管理机构不得向机动车维修经营者收取备案相关费用。《国务院关于取消一批行政许可等事项的决定》》（国发〔2018〕28号）null  全文。</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C2B163E">
            <w:pPr>
              <w:jc w:val="center"/>
              <w:rPr>
                <w:rFonts w:hint="eastAsia" w:ascii="宋体" w:hAnsi="宋体" w:eastAsia="宋体" w:cs="宋体"/>
                <w:i w:val="0"/>
                <w:iCs w:val="0"/>
                <w:color w:val="000000"/>
                <w:sz w:val="20"/>
                <w:szCs w:val="20"/>
                <w:u w:val="none"/>
              </w:rPr>
            </w:pPr>
          </w:p>
        </w:tc>
      </w:tr>
      <w:tr w14:paraId="6728B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04935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3CD8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出具车辆技术等级评定结论</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D678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道路货物运输经营许可（除使用4500千克及以下普通货运车辆从事普通货运经营外）</w:t>
            </w:r>
          </w:p>
        </w:tc>
        <w:tc>
          <w:tcPr>
            <w:tcW w:w="1795" w:type="dxa"/>
            <w:tcBorders>
              <w:top w:val="single" w:color="auto" w:sz="4" w:space="0"/>
              <w:left w:val="nil"/>
              <w:bottom w:val="single" w:color="000000" w:sz="8" w:space="0"/>
              <w:right w:val="single" w:color="000000" w:sz="8" w:space="0"/>
            </w:tcBorders>
            <w:shd w:val="clear" w:color="auto" w:fill="auto"/>
            <w:vAlign w:val="center"/>
          </w:tcPr>
          <w:p w14:paraId="12834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000118216000</w:t>
            </w:r>
          </w:p>
        </w:tc>
        <w:tc>
          <w:tcPr>
            <w:tcW w:w="722" w:type="dxa"/>
            <w:tcBorders>
              <w:top w:val="single" w:color="auto" w:sz="4" w:space="0"/>
              <w:left w:val="nil"/>
              <w:bottom w:val="single" w:color="000000" w:sz="8" w:space="0"/>
              <w:right w:val="single" w:color="000000" w:sz="8" w:space="0"/>
            </w:tcBorders>
            <w:shd w:val="clear" w:color="auto" w:fill="auto"/>
            <w:vAlign w:val="center"/>
          </w:tcPr>
          <w:p w14:paraId="766CE9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6A20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8CB28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交通运输部门</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01F399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4E21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机动车综合性能检测机构</w:t>
            </w:r>
          </w:p>
        </w:tc>
        <w:tc>
          <w:tcPr>
            <w:tcW w:w="0" w:type="auto"/>
            <w:tcBorders>
              <w:top w:val="single" w:color="auto" w:sz="4" w:space="0"/>
              <w:left w:val="nil"/>
              <w:bottom w:val="single" w:color="000000" w:sz="8" w:space="0"/>
              <w:right w:val="nil"/>
            </w:tcBorders>
            <w:shd w:val="clear" w:color="auto" w:fill="auto"/>
            <w:vAlign w:val="center"/>
          </w:tcPr>
          <w:p w14:paraId="3D8CF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6BD2B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检验检测服务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9505BE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《中华人民共和国道路运输条例》《道路货物运输及站场管理规定》（交通运输部令2019年第17号）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586A0BD">
            <w:pPr>
              <w:jc w:val="center"/>
              <w:rPr>
                <w:rFonts w:hint="eastAsia" w:ascii="宋体" w:hAnsi="宋体" w:eastAsia="宋体" w:cs="宋体"/>
                <w:i w:val="0"/>
                <w:iCs w:val="0"/>
                <w:color w:val="000000"/>
                <w:sz w:val="20"/>
                <w:szCs w:val="20"/>
                <w:u w:val="none"/>
              </w:rPr>
            </w:pPr>
          </w:p>
        </w:tc>
      </w:tr>
      <w:tr w14:paraId="318F4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0"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33323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8" w:space="0"/>
              <w:right w:val="single" w:color="000000" w:sz="8" w:space="0"/>
            </w:tcBorders>
            <w:shd w:val="clear" w:color="auto" w:fill="auto"/>
            <w:vAlign w:val="center"/>
          </w:tcPr>
          <w:p w14:paraId="08BB957A">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000000" w:sz="8" w:space="0"/>
              <w:right w:val="single" w:color="000000" w:sz="8" w:space="0"/>
            </w:tcBorders>
            <w:shd w:val="clear" w:color="auto" w:fill="auto"/>
            <w:vAlign w:val="center"/>
          </w:tcPr>
          <w:p w14:paraId="2E1A4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水利基建项目初步设计文件审批（县级权限）</w:t>
            </w:r>
          </w:p>
        </w:tc>
        <w:tc>
          <w:tcPr>
            <w:tcW w:w="1795" w:type="dxa"/>
            <w:tcBorders>
              <w:top w:val="nil"/>
              <w:left w:val="nil"/>
              <w:bottom w:val="single" w:color="000000" w:sz="8" w:space="0"/>
              <w:right w:val="single" w:color="000000" w:sz="8" w:space="0"/>
            </w:tcBorders>
            <w:shd w:val="clear" w:color="auto" w:fill="auto"/>
            <w:vAlign w:val="center"/>
          </w:tcPr>
          <w:p w14:paraId="357A0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000119101004</w:t>
            </w:r>
          </w:p>
        </w:tc>
        <w:tc>
          <w:tcPr>
            <w:tcW w:w="722" w:type="dxa"/>
            <w:tcBorders>
              <w:top w:val="nil"/>
              <w:left w:val="nil"/>
              <w:bottom w:val="single" w:color="000000" w:sz="8" w:space="0"/>
              <w:right w:val="single" w:color="000000" w:sz="8" w:space="0"/>
            </w:tcBorders>
            <w:shd w:val="clear" w:color="auto" w:fill="auto"/>
            <w:vAlign w:val="center"/>
          </w:tcPr>
          <w:p w14:paraId="4A92A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14744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4E3DE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nil"/>
              <w:left w:val="nil"/>
              <w:bottom w:val="single" w:color="000000" w:sz="8" w:space="0"/>
              <w:right w:val="single" w:color="000000" w:sz="8" w:space="0"/>
            </w:tcBorders>
            <w:shd w:val="clear" w:color="auto" w:fill="auto"/>
            <w:vAlign w:val="center"/>
          </w:tcPr>
          <w:p w14:paraId="56036BA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000000" w:sz="8" w:space="0"/>
              <w:right w:val="single" w:color="000000" w:sz="8" w:space="0"/>
            </w:tcBorders>
            <w:shd w:val="clear" w:color="auto" w:fill="auto"/>
            <w:vAlign w:val="center"/>
          </w:tcPr>
          <w:p w14:paraId="730764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具有相应资质的勘察设计单位</w:t>
            </w:r>
          </w:p>
        </w:tc>
        <w:tc>
          <w:tcPr>
            <w:tcW w:w="0" w:type="auto"/>
            <w:tcBorders>
              <w:top w:val="nil"/>
              <w:left w:val="nil"/>
              <w:bottom w:val="single" w:color="000000" w:sz="8" w:space="0"/>
              <w:right w:val="nil"/>
            </w:tcBorders>
            <w:shd w:val="clear" w:color="auto" w:fill="auto"/>
            <w:vAlign w:val="center"/>
          </w:tcPr>
          <w:p w14:paraId="6BDE8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2B7E5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工程勘察、工程设计服务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0BB49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《国务院对确需保留的行政审批项目设定行政许可的决定》附件第172项：水利基建项目初步设计文件审批。实施机关：县级以上人民政府水行政主管部门。</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428E9BA">
            <w:pPr>
              <w:jc w:val="center"/>
              <w:rPr>
                <w:rFonts w:hint="eastAsia" w:ascii="宋体" w:hAnsi="宋体" w:eastAsia="宋体" w:cs="宋体"/>
                <w:i w:val="0"/>
                <w:iCs w:val="0"/>
                <w:color w:val="000000"/>
                <w:sz w:val="20"/>
                <w:szCs w:val="20"/>
                <w:u w:val="none"/>
              </w:rPr>
            </w:pPr>
          </w:p>
        </w:tc>
      </w:tr>
      <w:tr w14:paraId="78E98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5"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3B651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auto" w:sz="4" w:space="0"/>
              <w:right w:val="single" w:color="000000" w:sz="8" w:space="0"/>
            </w:tcBorders>
            <w:shd w:val="clear" w:color="auto" w:fill="auto"/>
            <w:vAlign w:val="center"/>
          </w:tcPr>
          <w:p w14:paraId="37BDE368">
            <w:pPr>
              <w:jc w:val="center"/>
              <w:rPr>
                <w:rFonts w:hint="eastAsia" w:ascii="宋体" w:hAnsi="宋体" w:eastAsia="宋体" w:cs="宋体"/>
                <w:i w:val="0"/>
                <w:iCs w:val="0"/>
                <w:color w:val="000000"/>
                <w:sz w:val="20"/>
                <w:szCs w:val="20"/>
                <w:u w:val="none"/>
              </w:rPr>
            </w:pPr>
          </w:p>
        </w:tc>
        <w:tc>
          <w:tcPr>
            <w:tcW w:w="0" w:type="auto"/>
            <w:tcBorders>
              <w:top w:val="nil"/>
              <w:left w:val="nil"/>
              <w:bottom w:val="single" w:color="auto" w:sz="4" w:space="0"/>
              <w:right w:val="single" w:color="000000" w:sz="8" w:space="0"/>
            </w:tcBorders>
            <w:shd w:val="clear" w:color="auto" w:fill="auto"/>
            <w:vAlign w:val="center"/>
          </w:tcPr>
          <w:p w14:paraId="480C73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农村集体经济组织修建水库审批（县级权限）</w:t>
            </w:r>
          </w:p>
        </w:tc>
        <w:tc>
          <w:tcPr>
            <w:tcW w:w="1795" w:type="dxa"/>
            <w:tcBorders>
              <w:top w:val="nil"/>
              <w:left w:val="nil"/>
              <w:bottom w:val="single" w:color="auto" w:sz="4" w:space="0"/>
              <w:right w:val="single" w:color="000000" w:sz="8" w:space="0"/>
            </w:tcBorders>
            <w:shd w:val="clear" w:color="auto" w:fill="auto"/>
            <w:vAlign w:val="center"/>
          </w:tcPr>
          <w:p w14:paraId="4532E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000119115003</w:t>
            </w:r>
          </w:p>
        </w:tc>
        <w:tc>
          <w:tcPr>
            <w:tcW w:w="722" w:type="dxa"/>
            <w:tcBorders>
              <w:top w:val="nil"/>
              <w:left w:val="nil"/>
              <w:bottom w:val="single" w:color="auto" w:sz="4" w:space="0"/>
              <w:right w:val="single" w:color="000000" w:sz="8" w:space="0"/>
            </w:tcBorders>
            <w:shd w:val="clear" w:color="auto" w:fill="auto"/>
            <w:vAlign w:val="center"/>
          </w:tcPr>
          <w:p w14:paraId="4CC0C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auto" w:sz="4" w:space="0"/>
              <w:right w:val="single" w:color="000000" w:sz="8" w:space="0"/>
            </w:tcBorders>
            <w:shd w:val="clear" w:color="auto" w:fill="auto"/>
            <w:vAlign w:val="center"/>
          </w:tcPr>
          <w:p w14:paraId="42B024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2696D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nil"/>
              <w:left w:val="nil"/>
              <w:bottom w:val="single" w:color="auto" w:sz="4" w:space="0"/>
              <w:right w:val="single" w:color="000000" w:sz="8" w:space="0"/>
            </w:tcBorders>
            <w:shd w:val="clear" w:color="auto" w:fill="auto"/>
            <w:vAlign w:val="center"/>
          </w:tcPr>
          <w:p w14:paraId="76436B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73960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具有相应资质的勘察设计单位</w:t>
            </w:r>
          </w:p>
        </w:tc>
        <w:tc>
          <w:tcPr>
            <w:tcW w:w="0" w:type="auto"/>
            <w:tcBorders>
              <w:top w:val="nil"/>
              <w:left w:val="nil"/>
              <w:bottom w:val="single" w:color="auto" w:sz="4" w:space="0"/>
              <w:right w:val="nil"/>
            </w:tcBorders>
            <w:shd w:val="clear" w:color="auto" w:fill="auto"/>
            <w:vAlign w:val="center"/>
          </w:tcPr>
          <w:p w14:paraId="61699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single" w:color="000000" w:sz="8" w:space="0"/>
            </w:tcBorders>
            <w:shd w:val="clear" w:color="auto" w:fill="auto"/>
            <w:vAlign w:val="center"/>
          </w:tcPr>
          <w:p w14:paraId="0A234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工程勘察、工程设计服务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CCF659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第二十五条：农村集体经济组织或者其成员依法在本集体经济组织所有的集体土地或者承包土地上投资兴建水工程设施的，按照谁投资建设谁管理和谁受益的原则，对水工程设施及其蓄水进行管理和合理使用。农村集体经济组织修建水库应当经县级以上地方人民政府水行政主管部门批准。</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E0B9EF">
            <w:pPr>
              <w:jc w:val="center"/>
              <w:rPr>
                <w:rFonts w:hint="eastAsia" w:ascii="宋体" w:hAnsi="宋体" w:eastAsia="宋体" w:cs="宋体"/>
                <w:i w:val="0"/>
                <w:iCs w:val="0"/>
                <w:color w:val="000000"/>
                <w:sz w:val="20"/>
                <w:szCs w:val="20"/>
                <w:u w:val="none"/>
              </w:rPr>
            </w:pPr>
          </w:p>
        </w:tc>
      </w:tr>
      <w:tr w14:paraId="1D30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5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1C7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6A0C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水库大坝、水闸安全鉴定报告</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4520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权限内水库大坝、水闸安全鉴定的审定</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0F189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430719007W00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0ECA3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D713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5D9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5B12E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B9E1C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有相应合法资质的勘察设计机构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0C82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1461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工程勘察、工程设计服务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04B3492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1.《水库大坝安全管理条例》第二十二条  大坝主管部门应当建立大坝定期安全检查、鉴定制度。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2.水利部《水库大坝安全鉴定办法》（水建管〔2003〕271号）第三条 省级水行政主管部门审定大型水库和影响县城安全或坝高50m以上中型水库的大坝安全鉴定意见；市（地）级水行政主管部门审定其它中型水库和影响县城安全或坝高30m以上小型水库的大坝安全鉴定意见；县级水行政主管部门审定其它小型水库的大坝安全鉴定意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3.水利部《水闸安全鉴定管理办法》（水建管〔2008〕214号）第六条  县级以上地方人民政府水行政主管部门和流域管理机构按分级管理原则对水闸安全鉴定意见进行审定（以下称鉴定审定部门）。  省级地方人民政府水行政主管部门审定大型及其直属水闸的安全鉴定意见；市（地）级及以上地方人民政府水行政主管部门审定中型水闸安全鉴定意见。</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A79F661">
            <w:pPr>
              <w:jc w:val="center"/>
              <w:rPr>
                <w:rFonts w:hint="eastAsia" w:ascii="宋体" w:hAnsi="宋体" w:eastAsia="宋体" w:cs="宋体"/>
                <w:i w:val="0"/>
                <w:iCs w:val="0"/>
                <w:color w:val="000000"/>
                <w:sz w:val="20"/>
                <w:szCs w:val="20"/>
                <w:u w:val="none"/>
              </w:rPr>
            </w:pPr>
          </w:p>
        </w:tc>
      </w:tr>
      <w:tr w14:paraId="308BA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5D3E5C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B900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建设项目水资源论证报告书编制</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506DD6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w:t>
            </w:r>
          </w:p>
        </w:tc>
        <w:tc>
          <w:tcPr>
            <w:tcW w:w="1795" w:type="dxa"/>
            <w:tcBorders>
              <w:top w:val="single" w:color="auto" w:sz="4" w:space="0"/>
              <w:left w:val="nil"/>
              <w:bottom w:val="single" w:color="000000" w:sz="8" w:space="0"/>
              <w:right w:val="single" w:color="000000" w:sz="8" w:space="0"/>
            </w:tcBorders>
            <w:shd w:val="clear" w:color="auto" w:fill="auto"/>
            <w:vAlign w:val="center"/>
          </w:tcPr>
          <w:p w14:paraId="6C4745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00011910200Y</w:t>
            </w:r>
          </w:p>
        </w:tc>
        <w:tc>
          <w:tcPr>
            <w:tcW w:w="722" w:type="dxa"/>
            <w:tcBorders>
              <w:top w:val="single" w:color="auto" w:sz="4" w:space="0"/>
              <w:left w:val="nil"/>
              <w:bottom w:val="single" w:color="000000" w:sz="8" w:space="0"/>
              <w:right w:val="single" w:color="000000" w:sz="8" w:space="0"/>
            </w:tcBorders>
            <w:shd w:val="clear" w:color="auto" w:fill="auto"/>
            <w:vAlign w:val="center"/>
          </w:tcPr>
          <w:p w14:paraId="5CC80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1E3BD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DF04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0B4DD37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22CD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无资质等级要求</w:t>
            </w:r>
          </w:p>
        </w:tc>
        <w:tc>
          <w:tcPr>
            <w:tcW w:w="0" w:type="auto"/>
            <w:tcBorders>
              <w:top w:val="single" w:color="auto" w:sz="4" w:space="0"/>
              <w:left w:val="nil"/>
              <w:bottom w:val="single" w:color="000000" w:sz="8" w:space="0"/>
              <w:right w:val="nil"/>
            </w:tcBorders>
            <w:shd w:val="clear" w:color="auto" w:fill="auto"/>
            <w:vAlign w:val="center"/>
          </w:tcPr>
          <w:p w14:paraId="5C8D2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000000" w:sz="8" w:space="0"/>
              <w:right w:val="nil"/>
            </w:tcBorders>
            <w:shd w:val="clear" w:color="auto" w:fill="auto"/>
            <w:vAlign w:val="center"/>
          </w:tcPr>
          <w:p w14:paraId="76779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水文、水资源调查评价服务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0A69E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《中华人民共和国水法》《取水许可和水资源费征收管理条例》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6E83B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030AD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0" w:type="auto"/>
            <w:tcBorders>
              <w:top w:val="nil"/>
              <w:left w:val="single" w:color="000000" w:sz="8" w:space="0"/>
              <w:bottom w:val="single" w:color="auto" w:sz="4" w:space="0"/>
              <w:right w:val="single" w:color="000000" w:sz="8" w:space="0"/>
            </w:tcBorders>
            <w:shd w:val="clear" w:color="auto" w:fill="auto"/>
            <w:vAlign w:val="center"/>
          </w:tcPr>
          <w:p w14:paraId="1440D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0" w:type="auto"/>
            <w:tcBorders>
              <w:top w:val="nil"/>
              <w:left w:val="nil"/>
              <w:bottom w:val="single" w:color="auto" w:sz="4" w:space="0"/>
              <w:right w:val="single" w:color="000000" w:sz="8" w:space="0"/>
            </w:tcBorders>
            <w:shd w:val="clear" w:color="auto" w:fill="auto"/>
            <w:vAlign w:val="center"/>
          </w:tcPr>
          <w:p w14:paraId="0D3C7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占用农业灌溉水源、灌排工程设施补偿替代方案编制</w:t>
            </w:r>
          </w:p>
        </w:tc>
        <w:tc>
          <w:tcPr>
            <w:tcW w:w="0" w:type="auto"/>
            <w:tcBorders>
              <w:top w:val="nil"/>
              <w:left w:val="nil"/>
              <w:bottom w:val="single" w:color="auto" w:sz="4" w:space="0"/>
              <w:right w:val="single" w:color="000000" w:sz="8" w:space="0"/>
            </w:tcBorders>
            <w:shd w:val="clear" w:color="auto" w:fill="auto"/>
            <w:vAlign w:val="center"/>
          </w:tcPr>
          <w:p w14:paraId="5C6206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占用农业灌溉水源、灌排工程设施审批</w:t>
            </w:r>
          </w:p>
        </w:tc>
        <w:tc>
          <w:tcPr>
            <w:tcW w:w="1795" w:type="dxa"/>
            <w:tcBorders>
              <w:top w:val="nil"/>
              <w:left w:val="nil"/>
              <w:bottom w:val="single" w:color="auto" w:sz="4" w:space="0"/>
              <w:right w:val="single" w:color="000000" w:sz="8" w:space="0"/>
            </w:tcBorders>
            <w:shd w:val="clear" w:color="auto" w:fill="auto"/>
            <w:vAlign w:val="center"/>
          </w:tcPr>
          <w:p w14:paraId="5B338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00011911700Y</w:t>
            </w:r>
          </w:p>
        </w:tc>
        <w:tc>
          <w:tcPr>
            <w:tcW w:w="722" w:type="dxa"/>
            <w:tcBorders>
              <w:top w:val="nil"/>
              <w:left w:val="nil"/>
              <w:bottom w:val="single" w:color="auto" w:sz="4" w:space="0"/>
              <w:right w:val="single" w:color="000000" w:sz="8" w:space="0"/>
            </w:tcBorders>
            <w:shd w:val="clear" w:color="auto" w:fill="auto"/>
            <w:vAlign w:val="center"/>
          </w:tcPr>
          <w:p w14:paraId="36B10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auto" w:sz="4" w:space="0"/>
              <w:right w:val="single" w:color="000000" w:sz="8" w:space="0"/>
            </w:tcBorders>
            <w:shd w:val="clear" w:color="auto" w:fill="auto"/>
            <w:vAlign w:val="center"/>
          </w:tcPr>
          <w:p w14:paraId="3B912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auto" w:sz="4" w:space="0"/>
              <w:right w:val="single" w:color="000000" w:sz="8" w:space="0"/>
            </w:tcBorders>
            <w:shd w:val="clear" w:color="auto" w:fill="auto"/>
            <w:vAlign w:val="center"/>
          </w:tcPr>
          <w:p w14:paraId="315D1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nil"/>
              <w:left w:val="nil"/>
              <w:bottom w:val="single" w:color="auto" w:sz="4" w:space="0"/>
              <w:right w:val="single" w:color="000000" w:sz="8" w:space="0"/>
            </w:tcBorders>
            <w:shd w:val="clear" w:color="auto" w:fill="auto"/>
            <w:vAlign w:val="center"/>
          </w:tcPr>
          <w:p w14:paraId="015C1F1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nil"/>
              <w:left w:val="nil"/>
              <w:bottom w:val="single" w:color="auto" w:sz="4" w:space="0"/>
              <w:right w:val="single" w:color="000000" w:sz="8" w:space="0"/>
            </w:tcBorders>
            <w:shd w:val="clear" w:color="auto" w:fill="auto"/>
            <w:vAlign w:val="center"/>
          </w:tcPr>
          <w:p w14:paraId="58179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无资质等级要求</w:t>
            </w:r>
          </w:p>
        </w:tc>
        <w:tc>
          <w:tcPr>
            <w:tcW w:w="0" w:type="auto"/>
            <w:tcBorders>
              <w:top w:val="nil"/>
              <w:left w:val="nil"/>
              <w:bottom w:val="single" w:color="auto" w:sz="4" w:space="0"/>
              <w:right w:val="nil"/>
            </w:tcBorders>
            <w:shd w:val="clear" w:color="auto" w:fill="auto"/>
            <w:vAlign w:val="center"/>
          </w:tcPr>
          <w:p w14:paraId="5A985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nil"/>
              <w:left w:val="single" w:color="000000" w:sz="8" w:space="0"/>
              <w:bottom w:val="single" w:color="auto" w:sz="4" w:space="0"/>
              <w:right w:val="nil"/>
            </w:tcBorders>
            <w:shd w:val="clear" w:color="auto" w:fill="auto"/>
            <w:vAlign w:val="center"/>
          </w:tcPr>
          <w:p w14:paraId="76A76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工程勘察、工程设计服务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54D46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《国务院对确需保留的行政审批项目设定行政许可的决定》</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D406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2A9A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9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FC1E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058E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水工程建设规划同意书论证报告编制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45BF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水工程建设规划同意书审核（省级权限）</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3E31A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000119103006</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992C3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82E1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8B6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630D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CB81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无资质等级要求</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4777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F1FE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58242C5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中华人民共和国水法》第十九条：建设水工程，必须符合流域综合规划。在国家确定的重要江河、湖泊和跨省、自治区、直辖市的江河、湖泊上建设水工程，未取得有关流域管理机构签署的符合流域综合规划要求的规划同意书的，建设单位不得开工建设；在其他江河、湖泊上建设水工程，未取得县级以上地方人民政府水行政主管部门按照管理权限签署的符合流域综合规划要求的规划同意书的，建设单位不得开工建设。水工程建设涉及防洪的，依照防洪法的有关规定执行；涉及其他地区和行业的，建设单位应当事先征求有关地区和部门的意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中华人民共和国防洪法》第十七条：在江河、湖泊上建设防洪工程和其他水工程、水电站等,应当符合防洪规划的要求；水库应当按照防洪规划的要求留足防洪库容。前款规定的防洪工程和其他水工程、水电站未取得有关水行政主管部门签署的符合防洪规划要求的规划同意书的，建设单位不得开工建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水工程建设规划同意书制度管理办法（试行）》（水利部令第31号）第五条：下列水工程建设规划同意书，由流域管理机构负责审查并签署：（一）长江、黄河、淮河、海河、珠江、松花江、辽河的干流及其主要一级支流和太湖以及其他跨省、自治区、直辖市的重要江河上建设的水工程；（二）省际边界河流（河段）、湖泊上建设的水工程；（三）国际河流（含跨界、边界河流和湖泊）及其主要支流上建设的水工程；（四）流域管理机构直接管理的河流（河段）、湖泊上建设的水工程。前款第一项中的主要一级支流和其他跨省、自治区、直辖市的重要江河，第三项中的主要支流以及第四项中的流域管理机构直接管理的河流（河段）、湖泊的名录和范围由水利部规定。……</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13CE0B3">
            <w:pPr>
              <w:jc w:val="center"/>
              <w:rPr>
                <w:rFonts w:hint="eastAsia" w:ascii="宋体" w:hAnsi="宋体" w:eastAsia="宋体" w:cs="宋体"/>
                <w:i w:val="0"/>
                <w:iCs w:val="0"/>
                <w:color w:val="000000"/>
                <w:sz w:val="20"/>
                <w:szCs w:val="20"/>
                <w:u w:val="none"/>
              </w:rPr>
            </w:pPr>
          </w:p>
        </w:tc>
      </w:tr>
      <w:tr w14:paraId="0804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93"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66BF9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0" w:type="auto"/>
            <w:tcBorders>
              <w:top w:val="single" w:color="auto" w:sz="4" w:space="0"/>
              <w:left w:val="nil"/>
              <w:bottom w:val="single" w:color="auto" w:sz="4" w:space="0"/>
              <w:right w:val="single" w:color="000000" w:sz="8" w:space="0"/>
            </w:tcBorders>
            <w:shd w:val="clear" w:color="auto" w:fill="auto"/>
            <w:vAlign w:val="center"/>
          </w:tcPr>
          <w:p w14:paraId="5A7FA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生产建设项目水土保持方案编制（含水土保持设施验收报告编制）</w:t>
            </w:r>
          </w:p>
        </w:tc>
        <w:tc>
          <w:tcPr>
            <w:tcW w:w="0" w:type="auto"/>
            <w:tcBorders>
              <w:top w:val="single" w:color="auto" w:sz="4" w:space="0"/>
              <w:left w:val="nil"/>
              <w:bottom w:val="single" w:color="auto" w:sz="4" w:space="0"/>
              <w:right w:val="single" w:color="000000" w:sz="8" w:space="0"/>
            </w:tcBorders>
            <w:shd w:val="clear" w:color="auto" w:fill="auto"/>
            <w:vAlign w:val="center"/>
          </w:tcPr>
          <w:p w14:paraId="3AD45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生产建设项目水土保持方案审批</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400E4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00011910600Y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22158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7DBD3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5ADD2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702DB84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56664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nil"/>
              <w:bottom w:val="single" w:color="auto" w:sz="4" w:space="0"/>
              <w:right w:val="nil"/>
            </w:tcBorders>
            <w:shd w:val="clear" w:color="auto" w:fill="auto"/>
            <w:vAlign w:val="center"/>
          </w:tcPr>
          <w:p w14:paraId="55CFD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1744B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918211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《中华人民共和国水土保持法》（1991年6月29日第七届全国人民代表大会常务委员会第二十次会议通过　2010年12月25日第十一届全国人民代表大会常务委员会第十八次会议修订）第二十五条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水土保持方案应当包括水土流失预防和治理的范围、目标、措施和投资等内容。水土保持方案经批准后，生产建设项目的地点、规模发生重大变化的，应当补充或者修改水土保持方案并报原审批机关批准。水土保持方案实施过程中，水土保持措施需要作出重大变更的，应当经原审批机关批准。生产建设项目水土保持方案的编制和审批办法，由国务院水行政主管部门制定。第二十六条　依法应当编制水土保持方案的生产建设项目，生产建设单位未编制水土保持方案或者水土保持方案未经水行政主管部门批准的，生产建设项目不得开工建设。</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ACAC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6100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068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5B1E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洪水影响评价报告编制（含权限内洪泛区、蓄滞区非防洪建设项目）</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200A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洪水影响评价类审批</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3815D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00011910300Y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555CF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619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E354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CC0C21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7BD5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D1D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5F7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5033BC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1988年1月21日主席令第六十一号，2016年7月2日予以修改）第三十八条：在河道管理范围内建设桥梁、码头和其他拦河、跨河、临河建筑物、构筑物，铺设跨河管道、电缆，应当符合国家规定的防洪标准和其他有关的技术要求，工程建设方案应当依照防洪法的有关规定报经有关水行政主管部门审查同意。防洪法（1997年8月29日主席令第八十八号，2016年7月2日予以修改）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工程单位不得开工建设。河道管理条例（1988年6月10日国务院令第3号，2011年1月8日予以修改）第十一条：修建开发水利、防治水害、整治河道的各类工程和跨河、穿河、穿堤、临河的桥梁、码头、道路、渡口、管道、缆线等建筑物及设施，建设单位必须按照河道管理权限，将工程建设方案报送河道主管机关审查同意后，方可按照基本建设程序履行审批手续。建设项目经批准后，建设单位应当将施工安排告知河道主管机关。</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2727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76C82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79"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76E06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auto" w:sz="4" w:space="0"/>
              <w:left w:val="nil"/>
              <w:bottom w:val="single" w:color="auto" w:sz="4" w:space="0"/>
              <w:right w:val="single" w:color="000000" w:sz="8" w:space="0"/>
            </w:tcBorders>
            <w:shd w:val="clear" w:color="auto" w:fill="auto"/>
            <w:vAlign w:val="center"/>
          </w:tcPr>
          <w:p w14:paraId="227CC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防洪补救补偿措施设计报告编制</w:t>
            </w:r>
          </w:p>
        </w:tc>
        <w:tc>
          <w:tcPr>
            <w:tcW w:w="0" w:type="auto"/>
            <w:tcBorders>
              <w:top w:val="single" w:color="auto" w:sz="4" w:space="0"/>
              <w:left w:val="nil"/>
              <w:bottom w:val="single" w:color="auto" w:sz="4" w:space="0"/>
              <w:right w:val="single" w:color="000000" w:sz="8" w:space="0"/>
            </w:tcBorders>
            <w:shd w:val="clear" w:color="auto" w:fill="auto"/>
            <w:vAlign w:val="center"/>
          </w:tcPr>
          <w:p w14:paraId="039D11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洪水影响评价类审批</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1BC95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00011910300Y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7F26A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086F1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30D7B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水利部门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35249E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76624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有相应合法资质的设计机构</w:t>
            </w:r>
          </w:p>
        </w:tc>
        <w:tc>
          <w:tcPr>
            <w:tcW w:w="0" w:type="auto"/>
            <w:tcBorders>
              <w:top w:val="single" w:color="auto" w:sz="4" w:space="0"/>
              <w:left w:val="nil"/>
              <w:bottom w:val="single" w:color="auto" w:sz="4" w:space="0"/>
              <w:right w:val="nil"/>
            </w:tcBorders>
            <w:shd w:val="clear" w:color="auto" w:fill="auto"/>
            <w:vAlign w:val="center"/>
          </w:tcPr>
          <w:p w14:paraId="3AF836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1C771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54280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《中华人民共和国水法》（1988年1月21日主席令第六十一号，2016年7月2日予以修改）第三十八条 在河道管理范围内建设桥梁、码头和其他拦河、跨河、临河建筑物、构筑物，铺设跨河管道、电缆，应当符合国家规定的防洪标准和其他有关的技术要求，工程建设方案应当依照防洪法的有关规定报经有关水行政主管部门审查同意。《中华人民共和国防洪法》（2016年7月2日第十二届全国人民代表大会常务委员会第二十一次会议《关于修改〈中华人民共和国节约能源法〉等六部法律的决定》第三次修正）第二十七条　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07F64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A187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79C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6C3C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职业健康检查评价报告编制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364F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放射医疗工作人员证核发</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02E7D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000723011000</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2178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6C9F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B575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4A8B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423E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有相应资质的检测评价机构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870B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9DE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放射卫生技术服务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2BB8DA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工作人员职业健康管理办法》（卫生部令第55号，2007年6月3日发布，自2007年11月1日起施行。）第六条：放射工作人员上岗前，放射工作单位负责向所在地县级以上地方人民政府卫生行政部门为其申请办理《放射工作人员证》。开展放射诊疗工作的医疗机构，向为其发放《放射诊疗许可证》的卫生行政部门申请办理《放射工作人员证》。开展本办法第二条第二款第（三）项所列活动以及非医用加速器运行、辐照加工、射线探伤和油田测井等活动的放射工作单位，向所在地省级卫生行政部门申请办理《放射工作人员证》。其他放射工作单位办理《放射工作人员证》的规定，由所在地省级卫生行政部门结合本地区实际情况确定。</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DD71F73">
            <w:pPr>
              <w:jc w:val="center"/>
              <w:rPr>
                <w:rFonts w:hint="eastAsia" w:ascii="宋体" w:hAnsi="宋体" w:eastAsia="宋体" w:cs="宋体"/>
                <w:i w:val="0"/>
                <w:iCs w:val="0"/>
                <w:color w:val="000000"/>
                <w:sz w:val="20"/>
                <w:szCs w:val="20"/>
                <w:u w:val="none"/>
              </w:rPr>
            </w:pPr>
          </w:p>
        </w:tc>
      </w:tr>
      <w:tr w14:paraId="7D9B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0"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396A5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0" w:type="auto"/>
            <w:tcBorders>
              <w:top w:val="single" w:color="auto" w:sz="4" w:space="0"/>
              <w:left w:val="nil"/>
              <w:bottom w:val="single" w:color="auto" w:sz="4" w:space="0"/>
              <w:right w:val="single" w:color="000000" w:sz="8" w:space="0"/>
            </w:tcBorders>
            <w:shd w:val="clear" w:color="auto" w:fill="auto"/>
            <w:vAlign w:val="center"/>
          </w:tcPr>
          <w:p w14:paraId="42D81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个人剂量监测评价报告编制</w:t>
            </w:r>
          </w:p>
        </w:tc>
        <w:tc>
          <w:tcPr>
            <w:tcW w:w="0" w:type="auto"/>
            <w:tcBorders>
              <w:top w:val="single" w:color="auto" w:sz="4" w:space="0"/>
              <w:left w:val="nil"/>
              <w:bottom w:val="single" w:color="auto" w:sz="4" w:space="0"/>
              <w:right w:val="single" w:color="000000" w:sz="8" w:space="0"/>
            </w:tcBorders>
            <w:shd w:val="clear" w:color="auto" w:fill="auto"/>
            <w:vAlign w:val="center"/>
          </w:tcPr>
          <w:p w14:paraId="16645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放射医疗工作人员证核发</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68560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000723011000</w:t>
            </w:r>
          </w:p>
        </w:tc>
        <w:tc>
          <w:tcPr>
            <w:tcW w:w="722" w:type="dxa"/>
            <w:tcBorders>
              <w:top w:val="single" w:color="auto" w:sz="4" w:space="0"/>
              <w:left w:val="nil"/>
              <w:bottom w:val="single" w:color="auto" w:sz="4" w:space="0"/>
              <w:right w:val="single" w:color="000000" w:sz="8" w:space="0"/>
            </w:tcBorders>
            <w:shd w:val="clear" w:color="auto" w:fill="auto"/>
            <w:vAlign w:val="center"/>
          </w:tcPr>
          <w:p w14:paraId="47068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行政确认</w:t>
            </w:r>
          </w:p>
        </w:tc>
        <w:tc>
          <w:tcPr>
            <w:tcW w:w="0" w:type="auto"/>
            <w:tcBorders>
              <w:top w:val="single" w:color="auto" w:sz="4" w:space="0"/>
              <w:left w:val="nil"/>
              <w:bottom w:val="single" w:color="auto" w:sz="4" w:space="0"/>
              <w:right w:val="single" w:color="000000" w:sz="8" w:space="0"/>
            </w:tcBorders>
            <w:shd w:val="clear" w:color="auto" w:fill="auto"/>
            <w:vAlign w:val="center"/>
          </w:tcPr>
          <w:p w14:paraId="4543B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5A3F1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277EE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66463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有相应资质的检测评价机构</w:t>
            </w:r>
          </w:p>
        </w:tc>
        <w:tc>
          <w:tcPr>
            <w:tcW w:w="0" w:type="auto"/>
            <w:tcBorders>
              <w:top w:val="single" w:color="auto" w:sz="4" w:space="0"/>
              <w:left w:val="nil"/>
              <w:bottom w:val="single" w:color="auto" w:sz="4" w:space="0"/>
              <w:right w:val="nil"/>
            </w:tcBorders>
            <w:shd w:val="clear" w:color="auto" w:fill="auto"/>
            <w:vAlign w:val="center"/>
          </w:tcPr>
          <w:p w14:paraId="46A93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2CF3B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放射卫生技术服务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52A06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工作人员职业健康管理办法》（卫生部令第55号，2007年6月3日发布，自2007年11月1日起施行。）第六条：放射工作人员上岗前，放射工作单位负责向所在地县级以上地方人民政府卫生行政部门为其申请办理《放射工作人员证》。开展放射诊疗工作的医疗机构，向为其发放《放射诊疗许可证》的卫生行政部门申请办理《放射工作人员证》。开展本办法第二条第二款第（三）项所列活动以及非医用加速器运行、辐照加工、射线探伤和油田测井等活动的放射工作单位，向所在地省级卫生行政部门申请办理《放射工作人员证》。其他放射工作单位办理《放射工作人员证》的规定，由所在地省级卫生行政部门结合本地区实际情况确定。</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FC3812B">
            <w:pPr>
              <w:jc w:val="center"/>
              <w:rPr>
                <w:rFonts w:hint="eastAsia" w:ascii="宋体" w:hAnsi="宋体" w:eastAsia="宋体" w:cs="宋体"/>
                <w:i w:val="0"/>
                <w:iCs w:val="0"/>
                <w:color w:val="000000"/>
                <w:sz w:val="20"/>
                <w:szCs w:val="20"/>
                <w:u w:val="none"/>
              </w:rPr>
            </w:pPr>
          </w:p>
        </w:tc>
      </w:tr>
      <w:tr w14:paraId="300E2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20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20DB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职业病危害放射防护预评价报告编制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8BCB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医疗机构建设项目放射性职业病危害预评价报告审核</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4F4E8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00012311200Y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8004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5B3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16A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18F58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894E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有相应资质的检测评价机构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6CB3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DB4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放射卫生技术服务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283DCA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《中华人民共和国职业病防治法》《放射诊疗管理规定》（卫生部令第46号公布，国家卫生计生委令第8号修正）</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A4E3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57E2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0"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4A46D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0" w:type="auto"/>
            <w:tcBorders>
              <w:top w:val="single" w:color="auto" w:sz="4" w:space="0"/>
              <w:left w:val="nil"/>
              <w:bottom w:val="single" w:color="auto" w:sz="4" w:space="0"/>
              <w:right w:val="single" w:color="000000" w:sz="8" w:space="0"/>
            </w:tcBorders>
            <w:shd w:val="clear" w:color="auto" w:fill="auto"/>
            <w:vAlign w:val="center"/>
          </w:tcPr>
          <w:p w14:paraId="527F5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生活饮用水水质检测报告</w:t>
            </w:r>
          </w:p>
        </w:tc>
        <w:tc>
          <w:tcPr>
            <w:tcW w:w="0" w:type="auto"/>
            <w:tcBorders>
              <w:top w:val="single" w:color="auto" w:sz="4" w:space="0"/>
              <w:left w:val="nil"/>
              <w:bottom w:val="single" w:color="auto" w:sz="4" w:space="0"/>
              <w:right w:val="single" w:color="000000" w:sz="8" w:space="0"/>
            </w:tcBorders>
            <w:shd w:val="clear" w:color="auto" w:fill="auto"/>
            <w:vAlign w:val="center"/>
          </w:tcPr>
          <w:p w14:paraId="710396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饮用水供水单位卫生许可</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1CEEC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00012310500Y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6B62C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04F86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6A2D2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卫生健康部门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700112E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3CB93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有相应资质的检测评价机构</w:t>
            </w:r>
          </w:p>
        </w:tc>
        <w:tc>
          <w:tcPr>
            <w:tcW w:w="0" w:type="auto"/>
            <w:tcBorders>
              <w:top w:val="single" w:color="auto" w:sz="4" w:space="0"/>
              <w:left w:val="nil"/>
              <w:bottom w:val="single" w:color="auto" w:sz="4" w:space="0"/>
              <w:right w:val="nil"/>
            </w:tcBorders>
            <w:shd w:val="clear" w:color="auto" w:fill="auto"/>
            <w:vAlign w:val="center"/>
          </w:tcPr>
          <w:p w14:paraId="3561E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72059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检验检测服务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A79564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《中华人民共和国传染病防治法》</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1E2B2B2B">
            <w:pPr>
              <w:jc w:val="center"/>
              <w:rPr>
                <w:rFonts w:hint="eastAsia" w:ascii="宋体" w:hAnsi="宋体" w:eastAsia="宋体" w:cs="宋体"/>
                <w:i w:val="0"/>
                <w:iCs w:val="0"/>
                <w:color w:val="000000"/>
                <w:sz w:val="20"/>
                <w:szCs w:val="20"/>
                <w:u w:val="none"/>
              </w:rPr>
            </w:pPr>
          </w:p>
        </w:tc>
      </w:tr>
      <w:tr w14:paraId="51F8B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2A6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52F1EF">
            <w:pPr>
              <w:jc w:val="center"/>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1D73C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生产、储存烟花爆竹建设项目安全设施设计审查（县级权限）</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2386F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000125109003</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3A237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B514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F2DB7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应急管理部门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6E7B9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F2836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烟花爆竹安全评价机构、烟花爆竹设计单位</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EB4EA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3CD03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安全评价服务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478A329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《建设项目安全设施“三同时”监督管理办法》（2010年12月14日国家安全生产监督管理总局令第36号公布，自2011年2月1日起施行；根据2015年4月2日国家安全生产监督管理总局令第77号修正）第五条 国家安全生产监督管理总局对全国建设项目安全设施“三同时”实施综合监督管理，并在国务院规定的职责范围内承担有关建设项目安全设施“三同时”的监督管理。县级以上地方各级安全生产监督管理部门对本行政区域内的建设项目安全设施“三同时”实施综合监督管理，并在本级人民政府规定的职责范围内承担本级人民政府及其有关主管部门审批、核准或者备案的建设项目安全设施“三同时”的监督管理。跨两个及两个以上行政区域的建设项目安全设施“三同时”由其共同的上一级人民政府安全生产监督管理部门实施监督管理。上一级人民政府安全生产监督管理部门根据工作需要，可以将其负责监督管理的建设项目安全设施“三同时”工作委托下一级人民政府安全生产监督管理部门实施监督管理。</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B682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D2C0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5"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28188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0" w:type="auto"/>
            <w:tcBorders>
              <w:top w:val="single" w:color="auto" w:sz="4" w:space="0"/>
              <w:left w:val="nil"/>
              <w:bottom w:val="single" w:color="auto" w:sz="4" w:space="0"/>
              <w:right w:val="single" w:color="000000" w:sz="8" w:space="0"/>
            </w:tcBorders>
            <w:shd w:val="clear" w:color="auto" w:fill="auto"/>
            <w:vAlign w:val="center"/>
          </w:tcPr>
          <w:p w14:paraId="7F27A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拟建机构或设施对自然保护区自然资源、自然生态系统和主要保护对象影响评价</w:t>
            </w:r>
          </w:p>
        </w:tc>
        <w:tc>
          <w:tcPr>
            <w:tcW w:w="0" w:type="auto"/>
            <w:tcBorders>
              <w:top w:val="single" w:color="auto" w:sz="4" w:space="0"/>
              <w:left w:val="nil"/>
              <w:bottom w:val="single" w:color="auto" w:sz="4" w:space="0"/>
              <w:right w:val="single" w:color="000000" w:sz="8" w:space="0"/>
            </w:tcBorders>
            <w:shd w:val="clear" w:color="auto" w:fill="auto"/>
            <w:vAlign w:val="center"/>
          </w:tcPr>
          <w:p w14:paraId="2D5A97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建设项目使用林地及在森林和野生动物类型国家级自然保护区建设审批</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627A4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00016421100Y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257880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419B5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7E15B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林业管理部门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7A49BF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296D8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nil"/>
              <w:bottom w:val="single" w:color="auto" w:sz="4" w:space="0"/>
              <w:right w:val="nil"/>
            </w:tcBorders>
            <w:shd w:val="clear" w:color="auto" w:fill="auto"/>
            <w:vAlign w:val="center"/>
          </w:tcPr>
          <w:p w14:paraId="21AAE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0EDF6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000000" w:sz="8" w:space="0"/>
              <w:left w:val="single" w:color="000000" w:sz="8" w:space="0"/>
              <w:bottom w:val="single" w:color="auto" w:sz="4" w:space="0"/>
              <w:right w:val="single" w:color="000000" w:sz="8" w:space="0"/>
            </w:tcBorders>
            <w:shd w:val="clear" w:color="auto" w:fill="auto"/>
            <w:vAlign w:val="center"/>
          </w:tcPr>
          <w:p w14:paraId="588DB8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《森林和野生动物类型自然保护区管理办法》（1985年6月21日国务院批准  1985年7月6日林业部门发布施行）第十一条 自然保护区的自然环境和自然资源，由自然保护区管理机构统一管理。未经林业部或省、自治区、直辖市林业主管部门批准，任何单位和个人不得进入自然保护区建立机构和修筑设施。</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23491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2E2D6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10"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48C0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B00B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建设项目使用林地可行性报告编制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FE31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建设项目使用林地及在森林和野生动物类型国家级自然保护区建设审批</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4E964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00016421100Y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66BCF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7AC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9588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林业管理部门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1CDA8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116C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D4C0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5AA2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DC326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林业局关于印发&lt;建设项目使用林地审核审批管理规范&gt;和&lt;使用林地申请表&gt;、&lt;使用林地现场查验表》的通知》(林资发〔2015〕122号)第七条：“占用林地和临时占用林地的用地单位或者个人提出使用林地申请，应当填写《使用林地申请表》，同时提供下列材料：（四）建设项目使用林地可行性报告或者林地现状调查表。”</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2F722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2DF12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65"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3B766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0" w:type="auto"/>
            <w:tcBorders>
              <w:top w:val="single" w:color="auto" w:sz="4" w:space="0"/>
              <w:left w:val="nil"/>
              <w:bottom w:val="single" w:color="auto" w:sz="4" w:space="0"/>
              <w:right w:val="single" w:color="000000" w:sz="8" w:space="0"/>
            </w:tcBorders>
            <w:shd w:val="clear" w:color="auto" w:fill="auto"/>
            <w:vAlign w:val="center"/>
          </w:tcPr>
          <w:p w14:paraId="38EE6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重大建设项目对森林公园生态环境及风景资源影响论证说明</w:t>
            </w:r>
          </w:p>
        </w:tc>
        <w:tc>
          <w:tcPr>
            <w:tcW w:w="0" w:type="auto"/>
            <w:tcBorders>
              <w:top w:val="single" w:color="auto" w:sz="4" w:space="0"/>
              <w:left w:val="nil"/>
              <w:bottom w:val="single" w:color="auto" w:sz="4" w:space="0"/>
              <w:right w:val="single" w:color="000000" w:sz="8" w:space="0"/>
            </w:tcBorders>
            <w:shd w:val="clear" w:color="auto" w:fill="auto"/>
            <w:vAlign w:val="center"/>
          </w:tcPr>
          <w:p w14:paraId="041C75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建设项目使用林地及在森林和野生动物类型国家级自然保护区建设审批</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606B5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00016421100Y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09B0F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486BF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1D15E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林业管理部门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2976264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122A6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无资质要求</w:t>
            </w:r>
          </w:p>
        </w:tc>
        <w:tc>
          <w:tcPr>
            <w:tcW w:w="0" w:type="auto"/>
            <w:tcBorders>
              <w:top w:val="single" w:color="auto" w:sz="4" w:space="0"/>
              <w:left w:val="nil"/>
              <w:bottom w:val="single" w:color="auto" w:sz="4" w:space="0"/>
              <w:right w:val="nil"/>
            </w:tcBorders>
            <w:shd w:val="clear" w:color="auto" w:fill="auto"/>
            <w:vAlign w:val="center"/>
          </w:tcPr>
          <w:p w14:paraId="30CB8E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3B427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工程咨询服务</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5676AF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《湖南省森林公园条例》（2017年11月30日湖南省第十二届人民代表大会常务委员会第三十三次会议通过）第十八条 严格控制建设项目使用森林公园林地。确需占用和征收林地的，应当避免或者减少对森林风景、生态环境以及旅游活动的影响，并依法办理林地使用审批手续。</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2370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3D221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2"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2BEF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CB5E8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林木采伐伐区调查设计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0486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林木采伐许可证核发</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3A9F0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00016421300Y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7DF33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E588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331D3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林业管理部门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C1BC4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109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无资质等级要求，单位、个人可自行编制</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533D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366A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林业调查规划设计服务</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16F090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《中华人民共和国森林法》《中华人民共和国森林法实施条例》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9EBDA1F">
            <w:pPr>
              <w:jc w:val="center"/>
              <w:rPr>
                <w:rFonts w:hint="eastAsia" w:ascii="宋体" w:hAnsi="宋体" w:eastAsia="宋体" w:cs="宋体"/>
                <w:i w:val="0"/>
                <w:iCs w:val="0"/>
                <w:color w:val="000000"/>
                <w:sz w:val="20"/>
                <w:szCs w:val="20"/>
                <w:u w:val="none"/>
              </w:rPr>
            </w:pPr>
          </w:p>
        </w:tc>
      </w:tr>
      <w:tr w14:paraId="2DF0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5" w:hRule="atLeast"/>
        </w:trPr>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7397B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0" w:type="auto"/>
            <w:tcBorders>
              <w:top w:val="single" w:color="auto" w:sz="4" w:space="0"/>
              <w:left w:val="nil"/>
              <w:bottom w:val="single" w:color="auto" w:sz="4" w:space="0"/>
              <w:right w:val="single" w:color="000000" w:sz="8" w:space="0"/>
            </w:tcBorders>
            <w:shd w:val="clear" w:color="auto" w:fill="auto"/>
            <w:vAlign w:val="center"/>
          </w:tcPr>
          <w:p w14:paraId="3F3E7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人防设备质量检测</w:t>
            </w:r>
          </w:p>
        </w:tc>
        <w:tc>
          <w:tcPr>
            <w:tcW w:w="0" w:type="auto"/>
            <w:tcBorders>
              <w:top w:val="single" w:color="auto" w:sz="4" w:space="0"/>
              <w:left w:val="nil"/>
              <w:bottom w:val="single" w:color="auto" w:sz="4" w:space="0"/>
              <w:right w:val="single" w:color="000000" w:sz="8" w:space="0"/>
            </w:tcBorders>
            <w:shd w:val="clear" w:color="auto" w:fill="auto"/>
            <w:vAlign w:val="center"/>
          </w:tcPr>
          <w:p w14:paraId="44FC1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应建防空地下室的民用建筑项目报建审批</w:t>
            </w:r>
          </w:p>
        </w:tc>
        <w:tc>
          <w:tcPr>
            <w:tcW w:w="1795" w:type="dxa"/>
            <w:tcBorders>
              <w:top w:val="single" w:color="auto" w:sz="4" w:space="0"/>
              <w:left w:val="nil"/>
              <w:bottom w:val="single" w:color="auto" w:sz="4" w:space="0"/>
              <w:right w:val="single" w:color="000000" w:sz="8" w:space="0"/>
            </w:tcBorders>
            <w:shd w:val="clear" w:color="auto" w:fill="auto"/>
            <w:vAlign w:val="center"/>
          </w:tcPr>
          <w:p w14:paraId="70C9C5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00018010200Y</w:t>
            </w:r>
          </w:p>
        </w:tc>
        <w:tc>
          <w:tcPr>
            <w:tcW w:w="722" w:type="dxa"/>
            <w:tcBorders>
              <w:top w:val="single" w:color="auto" w:sz="4" w:space="0"/>
              <w:left w:val="nil"/>
              <w:bottom w:val="single" w:color="auto" w:sz="4" w:space="0"/>
              <w:right w:val="single" w:color="000000" w:sz="8" w:space="0"/>
            </w:tcBorders>
            <w:shd w:val="clear" w:color="auto" w:fill="auto"/>
            <w:vAlign w:val="center"/>
          </w:tcPr>
          <w:p w14:paraId="658322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auto" w:sz="4" w:space="0"/>
              <w:right w:val="single" w:color="000000" w:sz="8" w:space="0"/>
            </w:tcBorders>
            <w:shd w:val="clear" w:color="auto" w:fill="auto"/>
            <w:vAlign w:val="center"/>
          </w:tcPr>
          <w:p w14:paraId="2B9D8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auto" w:sz="4" w:space="0"/>
              <w:right w:val="single" w:color="000000" w:sz="8" w:space="0"/>
            </w:tcBorders>
            <w:shd w:val="clear" w:color="auto" w:fill="auto"/>
            <w:vAlign w:val="center"/>
          </w:tcPr>
          <w:p w14:paraId="5D4296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国防动员主管部门</w:t>
            </w:r>
          </w:p>
        </w:tc>
        <w:tc>
          <w:tcPr>
            <w:tcW w:w="0" w:type="auto"/>
            <w:tcBorders>
              <w:top w:val="single" w:color="auto" w:sz="4" w:space="0"/>
              <w:left w:val="nil"/>
              <w:bottom w:val="single" w:color="auto" w:sz="4" w:space="0"/>
              <w:right w:val="single" w:color="000000" w:sz="8" w:space="0"/>
            </w:tcBorders>
            <w:shd w:val="clear" w:color="auto" w:fill="auto"/>
            <w:vAlign w:val="center"/>
          </w:tcPr>
          <w:p w14:paraId="48C871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auto" w:sz="4" w:space="0"/>
              <w:right w:val="single" w:color="000000" w:sz="8" w:space="0"/>
            </w:tcBorders>
            <w:shd w:val="clear" w:color="auto" w:fill="auto"/>
            <w:vAlign w:val="center"/>
          </w:tcPr>
          <w:p w14:paraId="6D30C1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有相应合法资质的机构</w:t>
            </w:r>
          </w:p>
        </w:tc>
        <w:tc>
          <w:tcPr>
            <w:tcW w:w="0" w:type="auto"/>
            <w:tcBorders>
              <w:top w:val="single" w:color="auto" w:sz="4" w:space="0"/>
              <w:left w:val="nil"/>
              <w:bottom w:val="single" w:color="auto" w:sz="4" w:space="0"/>
              <w:right w:val="nil"/>
            </w:tcBorders>
            <w:shd w:val="clear" w:color="auto" w:fill="auto"/>
            <w:vAlign w:val="center"/>
          </w:tcPr>
          <w:p w14:paraId="53B92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auto" w:sz="4" w:space="0"/>
              <w:right w:val="single" w:color="000000" w:sz="8" w:space="0"/>
            </w:tcBorders>
            <w:shd w:val="clear" w:color="auto" w:fill="auto"/>
            <w:vAlign w:val="center"/>
          </w:tcPr>
          <w:p w14:paraId="67D4EA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人防工程防护设备质量检测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CB38A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1.《湖南省实施&lt;中华人民共和国人民防空法&gt;办法》第十三条 为保障战时人员与物资掩蔽、人民防空指挥、医疗救护等单独修建的人民防空工程属于国防基础设施，由人民防空主管部门按照国家有关规定负责立项审批、设计审查、质量监督和竣工验收备案；其所需的建设用地由县级以上人民政府予以划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2.《湖南省人民防空工程建设与维护管理规定》（省政府令第297号）第十四条 单建人防工程建设项目依照国家和省有关规定，由发展改革主管部门办理立项手续，在人防主管部门办理项目初步设计审查、质量与安全监督手续、开工报告手续和竣工验收备案。</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E710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1717E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5"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708A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ACC3F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人防工程主体结构检测</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25FB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应建防空地下室的民用建筑项目报建审批</w:t>
            </w:r>
          </w:p>
        </w:tc>
        <w:tc>
          <w:tcPr>
            <w:tcW w:w="1795" w:type="dxa"/>
            <w:tcBorders>
              <w:top w:val="single" w:color="auto" w:sz="4" w:space="0"/>
              <w:left w:val="single" w:color="auto" w:sz="4" w:space="0"/>
              <w:bottom w:val="single" w:color="auto" w:sz="4" w:space="0"/>
              <w:right w:val="single" w:color="auto" w:sz="4" w:space="0"/>
            </w:tcBorders>
            <w:shd w:val="clear" w:color="auto" w:fill="auto"/>
            <w:vAlign w:val="center"/>
          </w:tcPr>
          <w:p w14:paraId="5B504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00018010200Y</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40F810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E7E0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08309F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国防动员主管部门</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5FD04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2F5E0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有相应合法资质的人防工程检测机构</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D59C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7874E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建设工程质量检测</w:t>
            </w:r>
          </w:p>
        </w:tc>
        <w:tc>
          <w:tcPr>
            <w:tcW w:w="0" w:type="auto"/>
            <w:tcBorders>
              <w:top w:val="single" w:color="000000" w:sz="8" w:space="0"/>
              <w:left w:val="single" w:color="auto" w:sz="4" w:space="0"/>
              <w:bottom w:val="single" w:color="000000" w:sz="8" w:space="0"/>
              <w:right w:val="single" w:color="000000" w:sz="8" w:space="0"/>
            </w:tcBorders>
            <w:shd w:val="clear" w:color="auto" w:fill="auto"/>
            <w:vAlign w:val="center"/>
          </w:tcPr>
          <w:p w14:paraId="1CF62066">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1.《中华人民共和国人民防空法》第14条：城市的地下交通干线以及其他地下工程的建设，应当兼顾人民防空需要；2.《湖南省实施（中华人民共和国人民防空法）》第10条：县级以上人民政府编制城市总体规划时，在城市建设布局、建筑密度，城市主要道路、广场、绿地和水面的分布以及城市地下空间的开发利用等方面，应当充分考虑人民防空的需要，提高城市整体防护能力；3.《湖南省实施（中华人民共和国人民防空法）》第11条：城市地下空间的开发利用应当兼顾人民防空需要。人民防空主管部门负责城市地下空间开发利用中人民防空防护事项的管理和监督检查，并与发展和改革、住房和城乡建设、交通运输、城乡规划、国土资源等部门按照各自职责做好城市地下空间的规划、开发利用、审批工作；4.《湖南省实施（中华人民共和国人民防空法）》第19条：人民防空主管部门负责防空地下室人民防空防护部分的工程质量监督管理。防空地下室竣工验收后，建设单位应当取得人民防空主管部门的认可文件；未取得认可文件的，住房和城乡建设主管部门不得办理工程竣工验收备案手续，房产管理部门不得办理房屋权属登记、发放房屋所有权证书；5.《湖南省实施（中华人民共和国人民防空法）》第21条：人民防空工程所需专用人民防空防护设备，必须符合国家规定的质量标准，并按照有关规定在土建施工时安装、预留、预埋；6.《湖南省实施（中华人民共和国人民防空法）》第22条：建设单位应当将人民防空工程档案报人民防空主管部门备案；7.《湖南省人民防空工程建设与维护管理规定》第18条：城市地下空间开发利用兼顾人民防空需要，应当执行下列规定：（1）城市地铁、隧道等地下交通干线、交通综合枢纽符合人防工程防护规范标准；（2）除单建人防工程外的其他独立开发地下空间项目，修建不低于地下总建筑面积40%的人防工程；（3）除防空地下室外的其他结合地面建筑开发地下空间项目，修建不低于地下建筑面积10%的防空地下室。人防主管部门参与城市地下空间开发项目的审查。</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390B4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5E8D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5" w:hRule="atLeast"/>
        </w:trPr>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013DE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30EA0C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考古勘探发掘</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7A9FDE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建设工程文物保护许可</w:t>
            </w:r>
          </w:p>
        </w:tc>
        <w:tc>
          <w:tcPr>
            <w:tcW w:w="1795" w:type="dxa"/>
            <w:tcBorders>
              <w:top w:val="single" w:color="auto" w:sz="4" w:space="0"/>
              <w:left w:val="nil"/>
              <w:bottom w:val="single" w:color="000000" w:sz="8" w:space="0"/>
              <w:right w:val="single" w:color="000000" w:sz="8" w:space="0"/>
            </w:tcBorders>
            <w:shd w:val="clear" w:color="auto" w:fill="auto"/>
            <w:vAlign w:val="center"/>
          </w:tcPr>
          <w:p w14:paraId="28B8C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00016810100Y</w:t>
            </w:r>
          </w:p>
        </w:tc>
        <w:tc>
          <w:tcPr>
            <w:tcW w:w="722" w:type="dxa"/>
            <w:tcBorders>
              <w:top w:val="single" w:color="auto" w:sz="4" w:space="0"/>
              <w:left w:val="nil"/>
              <w:bottom w:val="single" w:color="000000" w:sz="8" w:space="0"/>
              <w:right w:val="single" w:color="000000" w:sz="8" w:space="0"/>
            </w:tcBorders>
            <w:shd w:val="clear" w:color="auto" w:fill="auto"/>
            <w:vAlign w:val="center"/>
          </w:tcPr>
          <w:p w14:paraId="7AAC6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35AA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11C23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文物主管部门</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2DE13A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申请人可按要求自行编制的，审批部门不得以任何形式要求申请人必须委托中介机构提供服务；申请人自行委托有关机构实施的，审批部门不得以任何形式要求申请人必须委托指定的中介机构提供服务。</w:t>
            </w:r>
          </w:p>
        </w:tc>
        <w:tc>
          <w:tcPr>
            <w:tcW w:w="0" w:type="auto"/>
            <w:tcBorders>
              <w:top w:val="single" w:color="auto" w:sz="4" w:space="0"/>
              <w:left w:val="nil"/>
              <w:bottom w:val="single" w:color="000000" w:sz="8" w:space="0"/>
              <w:right w:val="single" w:color="000000" w:sz="8" w:space="0"/>
            </w:tcBorders>
            <w:shd w:val="clear" w:color="auto" w:fill="auto"/>
            <w:vAlign w:val="center"/>
          </w:tcPr>
          <w:p w14:paraId="6FD66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委托有相应合法资质的机构实施</w:t>
            </w:r>
          </w:p>
        </w:tc>
        <w:tc>
          <w:tcPr>
            <w:tcW w:w="0" w:type="auto"/>
            <w:tcBorders>
              <w:top w:val="single" w:color="auto" w:sz="4" w:space="0"/>
              <w:left w:val="nil"/>
              <w:bottom w:val="single" w:color="000000" w:sz="8" w:space="0"/>
              <w:right w:val="nil"/>
            </w:tcBorders>
            <w:shd w:val="clear" w:color="auto" w:fill="auto"/>
            <w:vAlign w:val="center"/>
          </w:tcPr>
          <w:p w14:paraId="7641A6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经营服务性收费（市场调节价）</w:t>
            </w:r>
          </w:p>
        </w:tc>
        <w:tc>
          <w:tcPr>
            <w:tcW w:w="0" w:type="auto"/>
            <w:tcBorders>
              <w:top w:val="single" w:color="auto" w:sz="4" w:space="0"/>
              <w:left w:val="single" w:color="000000" w:sz="8" w:space="0"/>
              <w:bottom w:val="single" w:color="000000" w:sz="8" w:space="0"/>
              <w:right w:val="single" w:color="000000" w:sz="8" w:space="0"/>
            </w:tcBorders>
            <w:shd w:val="clear" w:color="auto" w:fill="auto"/>
            <w:vAlign w:val="center"/>
          </w:tcPr>
          <w:p w14:paraId="6AAF84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考古发掘勘探服务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8B675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C3BE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15DE6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77D77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0" w:type="auto"/>
            <w:tcBorders>
              <w:top w:val="nil"/>
              <w:left w:val="nil"/>
              <w:bottom w:val="single" w:color="000000" w:sz="8" w:space="0"/>
              <w:right w:val="single" w:color="000000" w:sz="8" w:space="0"/>
            </w:tcBorders>
            <w:shd w:val="clear" w:color="auto" w:fill="auto"/>
            <w:vAlign w:val="center"/>
          </w:tcPr>
          <w:p w14:paraId="24C63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文物保护单位修缮、实施原址保护措施方案编制</w:t>
            </w:r>
          </w:p>
        </w:tc>
        <w:tc>
          <w:tcPr>
            <w:tcW w:w="0" w:type="auto"/>
            <w:tcBorders>
              <w:top w:val="nil"/>
              <w:left w:val="nil"/>
              <w:bottom w:val="single" w:color="000000" w:sz="8" w:space="0"/>
              <w:right w:val="single" w:color="000000" w:sz="8" w:space="0"/>
            </w:tcBorders>
            <w:shd w:val="clear" w:color="auto" w:fill="auto"/>
            <w:vAlign w:val="center"/>
          </w:tcPr>
          <w:p w14:paraId="2F171E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文物保护单位原址保护措施审批</w:t>
            </w:r>
          </w:p>
        </w:tc>
        <w:tc>
          <w:tcPr>
            <w:tcW w:w="1795" w:type="dxa"/>
            <w:tcBorders>
              <w:top w:val="nil"/>
              <w:left w:val="nil"/>
              <w:bottom w:val="single" w:color="000000" w:sz="8" w:space="0"/>
              <w:right w:val="single" w:color="000000" w:sz="8" w:space="0"/>
            </w:tcBorders>
            <w:shd w:val="clear" w:color="auto" w:fill="auto"/>
            <w:vAlign w:val="center"/>
          </w:tcPr>
          <w:p w14:paraId="27427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00016810200Y</w:t>
            </w:r>
          </w:p>
        </w:tc>
        <w:tc>
          <w:tcPr>
            <w:tcW w:w="722" w:type="dxa"/>
            <w:tcBorders>
              <w:top w:val="nil"/>
              <w:left w:val="nil"/>
              <w:bottom w:val="single" w:color="000000" w:sz="8" w:space="0"/>
              <w:right w:val="single" w:color="000000" w:sz="8" w:space="0"/>
            </w:tcBorders>
            <w:shd w:val="clear" w:color="auto" w:fill="auto"/>
            <w:vAlign w:val="center"/>
          </w:tcPr>
          <w:p w14:paraId="6D30E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00B78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55E77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文物主管部门</w:t>
            </w:r>
          </w:p>
        </w:tc>
        <w:tc>
          <w:tcPr>
            <w:tcW w:w="0" w:type="auto"/>
            <w:tcBorders>
              <w:top w:val="nil"/>
              <w:left w:val="nil"/>
              <w:bottom w:val="single" w:color="000000" w:sz="8" w:space="0"/>
              <w:right w:val="single" w:color="000000" w:sz="8" w:space="0"/>
            </w:tcBorders>
            <w:shd w:val="clear" w:color="auto" w:fill="auto"/>
            <w:vAlign w:val="center"/>
          </w:tcPr>
          <w:p w14:paraId="7ED632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w:t>
            </w:r>
            <w:bookmarkStart w:id="0" w:name="_GoBack"/>
            <w:bookmarkEnd w:id="0"/>
            <w:r>
              <w:rPr>
                <w:rFonts w:hint="eastAsia" w:ascii="宋体" w:hAnsi="宋体" w:eastAsia="宋体" w:cs="宋体"/>
                <w:i w:val="0"/>
                <w:iCs w:val="0"/>
                <w:color w:val="000000"/>
                <w:kern w:val="0"/>
                <w:sz w:val="20"/>
                <w:szCs w:val="20"/>
                <w:u w:val="none"/>
                <w:lang w:val="en-US" w:eastAsia="zh-CN" w:bidi="ar"/>
              </w:rPr>
              <w:t>构实施。</w:t>
            </w:r>
          </w:p>
        </w:tc>
        <w:tc>
          <w:tcPr>
            <w:tcW w:w="0" w:type="auto"/>
            <w:tcBorders>
              <w:top w:val="nil"/>
              <w:left w:val="nil"/>
              <w:bottom w:val="single" w:color="000000" w:sz="8" w:space="0"/>
              <w:right w:val="single" w:color="000000" w:sz="8" w:space="0"/>
            </w:tcBorders>
            <w:shd w:val="clear" w:color="auto" w:fill="auto"/>
            <w:vAlign w:val="center"/>
          </w:tcPr>
          <w:p w14:paraId="738F1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有相应合法资质的机构</w:t>
            </w:r>
          </w:p>
        </w:tc>
        <w:tc>
          <w:tcPr>
            <w:tcW w:w="0" w:type="auto"/>
            <w:tcBorders>
              <w:top w:val="nil"/>
              <w:left w:val="nil"/>
              <w:bottom w:val="single" w:color="000000" w:sz="8" w:space="0"/>
              <w:right w:val="nil"/>
            </w:tcBorders>
            <w:shd w:val="clear" w:color="auto" w:fill="auto"/>
            <w:vAlign w:val="center"/>
          </w:tcPr>
          <w:p w14:paraId="54789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35B5B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文物保护工程勘察设计服务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7ABFAD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《中华人民共和国文物保护法》</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71C61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1488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C8E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6F0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雷电防护装置检测报告</w:t>
            </w:r>
          </w:p>
        </w:tc>
        <w:tc>
          <w:tcPr>
            <w:tcW w:w="0" w:type="auto"/>
            <w:tcBorders>
              <w:top w:val="nil"/>
              <w:left w:val="nil"/>
              <w:bottom w:val="single" w:color="000000" w:sz="8" w:space="0"/>
              <w:right w:val="single" w:color="000000" w:sz="8" w:space="0"/>
            </w:tcBorders>
            <w:shd w:val="clear" w:color="auto" w:fill="auto"/>
            <w:vAlign w:val="center"/>
          </w:tcPr>
          <w:p w14:paraId="1748B4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雷电防护装置竣工验收</w:t>
            </w:r>
          </w:p>
        </w:tc>
        <w:tc>
          <w:tcPr>
            <w:tcW w:w="1795" w:type="dxa"/>
            <w:tcBorders>
              <w:top w:val="nil"/>
              <w:left w:val="nil"/>
              <w:bottom w:val="single" w:color="000000" w:sz="8" w:space="0"/>
              <w:right w:val="single" w:color="000000" w:sz="8" w:space="0"/>
            </w:tcBorders>
            <w:shd w:val="clear" w:color="auto" w:fill="auto"/>
            <w:vAlign w:val="center"/>
          </w:tcPr>
          <w:p w14:paraId="54332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00015410300Y</w:t>
            </w:r>
          </w:p>
        </w:tc>
        <w:tc>
          <w:tcPr>
            <w:tcW w:w="722" w:type="dxa"/>
            <w:tcBorders>
              <w:top w:val="nil"/>
              <w:left w:val="nil"/>
              <w:bottom w:val="single" w:color="000000" w:sz="8" w:space="0"/>
              <w:right w:val="single" w:color="000000" w:sz="8" w:space="0"/>
            </w:tcBorders>
            <w:shd w:val="clear" w:color="auto" w:fill="auto"/>
            <w:vAlign w:val="center"/>
          </w:tcPr>
          <w:p w14:paraId="18106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08213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0E023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气象部门</w:t>
            </w:r>
          </w:p>
        </w:tc>
        <w:tc>
          <w:tcPr>
            <w:tcW w:w="0" w:type="auto"/>
            <w:tcBorders>
              <w:top w:val="nil"/>
              <w:left w:val="nil"/>
              <w:bottom w:val="single" w:color="000000" w:sz="8" w:space="0"/>
              <w:right w:val="single" w:color="000000" w:sz="8" w:space="0"/>
            </w:tcBorders>
            <w:shd w:val="clear" w:color="auto" w:fill="auto"/>
            <w:vAlign w:val="center"/>
          </w:tcPr>
          <w:p w14:paraId="5499C9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nil"/>
              <w:left w:val="nil"/>
              <w:bottom w:val="single" w:color="000000" w:sz="8" w:space="0"/>
              <w:right w:val="single" w:color="000000" w:sz="8" w:space="0"/>
            </w:tcBorders>
            <w:shd w:val="clear" w:color="auto" w:fill="auto"/>
            <w:vAlign w:val="center"/>
          </w:tcPr>
          <w:p w14:paraId="44BC2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委托有相应雷电防护装置检测资质的机构实施</w:t>
            </w:r>
          </w:p>
        </w:tc>
        <w:tc>
          <w:tcPr>
            <w:tcW w:w="0" w:type="auto"/>
            <w:tcBorders>
              <w:top w:val="nil"/>
              <w:left w:val="nil"/>
              <w:bottom w:val="single" w:color="000000" w:sz="8" w:space="0"/>
              <w:right w:val="nil"/>
            </w:tcBorders>
            <w:shd w:val="clear" w:color="auto" w:fill="auto"/>
            <w:vAlign w:val="center"/>
          </w:tcPr>
          <w:p w14:paraId="666E4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7CF38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雷电防护装置检测服务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ACDEA6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《气象灾害防御条例》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57855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r w14:paraId="79023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5" w:hRule="atLeast"/>
        </w:trPr>
        <w:tc>
          <w:tcPr>
            <w:tcW w:w="0" w:type="auto"/>
            <w:tcBorders>
              <w:top w:val="nil"/>
              <w:left w:val="single" w:color="000000" w:sz="8" w:space="0"/>
              <w:bottom w:val="single" w:color="000000" w:sz="8" w:space="0"/>
              <w:right w:val="single" w:color="000000" w:sz="8" w:space="0"/>
            </w:tcBorders>
            <w:shd w:val="clear" w:color="auto" w:fill="auto"/>
            <w:vAlign w:val="center"/>
          </w:tcPr>
          <w:p w14:paraId="2E04E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0" w:type="auto"/>
            <w:tcBorders>
              <w:top w:val="nil"/>
              <w:left w:val="nil"/>
              <w:bottom w:val="single" w:color="000000" w:sz="8" w:space="0"/>
              <w:right w:val="single" w:color="000000" w:sz="8" w:space="0"/>
            </w:tcBorders>
            <w:shd w:val="clear" w:color="auto" w:fill="auto"/>
            <w:vAlign w:val="center"/>
          </w:tcPr>
          <w:p w14:paraId="6476D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雷电防护装置设计技术评价报告</w:t>
            </w:r>
          </w:p>
        </w:tc>
        <w:tc>
          <w:tcPr>
            <w:tcW w:w="0" w:type="auto"/>
            <w:tcBorders>
              <w:top w:val="nil"/>
              <w:left w:val="nil"/>
              <w:bottom w:val="single" w:color="000000" w:sz="8" w:space="0"/>
              <w:right w:val="single" w:color="000000" w:sz="8" w:space="0"/>
            </w:tcBorders>
            <w:shd w:val="clear" w:color="auto" w:fill="auto"/>
            <w:vAlign w:val="center"/>
          </w:tcPr>
          <w:p w14:paraId="5A683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雷电防护装置设计审核</w:t>
            </w:r>
          </w:p>
        </w:tc>
        <w:tc>
          <w:tcPr>
            <w:tcW w:w="1795" w:type="dxa"/>
            <w:tcBorders>
              <w:top w:val="nil"/>
              <w:left w:val="nil"/>
              <w:bottom w:val="single" w:color="000000" w:sz="8" w:space="0"/>
              <w:right w:val="single" w:color="000000" w:sz="8" w:space="0"/>
            </w:tcBorders>
            <w:shd w:val="clear" w:color="auto" w:fill="auto"/>
            <w:vAlign w:val="center"/>
          </w:tcPr>
          <w:p w14:paraId="79181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00015410200Y</w:t>
            </w:r>
          </w:p>
        </w:tc>
        <w:tc>
          <w:tcPr>
            <w:tcW w:w="722" w:type="dxa"/>
            <w:tcBorders>
              <w:top w:val="nil"/>
              <w:left w:val="nil"/>
              <w:bottom w:val="single" w:color="000000" w:sz="8" w:space="0"/>
              <w:right w:val="single" w:color="000000" w:sz="8" w:space="0"/>
            </w:tcBorders>
            <w:shd w:val="clear" w:color="auto" w:fill="auto"/>
            <w:vAlign w:val="center"/>
          </w:tcPr>
          <w:p w14:paraId="7B258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w:t>
            </w:r>
          </w:p>
        </w:tc>
        <w:tc>
          <w:tcPr>
            <w:tcW w:w="0" w:type="auto"/>
            <w:tcBorders>
              <w:top w:val="nil"/>
              <w:left w:val="nil"/>
              <w:bottom w:val="single" w:color="000000" w:sz="8" w:space="0"/>
              <w:right w:val="single" w:color="000000" w:sz="8" w:space="0"/>
            </w:tcBorders>
            <w:shd w:val="clear" w:color="auto" w:fill="auto"/>
            <w:vAlign w:val="center"/>
          </w:tcPr>
          <w:p w14:paraId="61D21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县级</w:t>
            </w:r>
          </w:p>
        </w:tc>
        <w:tc>
          <w:tcPr>
            <w:tcW w:w="0" w:type="auto"/>
            <w:tcBorders>
              <w:top w:val="nil"/>
              <w:left w:val="nil"/>
              <w:bottom w:val="single" w:color="000000" w:sz="8" w:space="0"/>
              <w:right w:val="single" w:color="000000" w:sz="8" w:space="0"/>
            </w:tcBorders>
            <w:shd w:val="clear" w:color="auto" w:fill="auto"/>
            <w:vAlign w:val="center"/>
          </w:tcPr>
          <w:p w14:paraId="01FDD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气象部门</w:t>
            </w:r>
          </w:p>
        </w:tc>
        <w:tc>
          <w:tcPr>
            <w:tcW w:w="0" w:type="auto"/>
            <w:tcBorders>
              <w:top w:val="nil"/>
              <w:left w:val="nil"/>
              <w:bottom w:val="single" w:color="000000" w:sz="8" w:space="0"/>
              <w:right w:val="single" w:color="000000" w:sz="8" w:space="0"/>
            </w:tcBorders>
            <w:shd w:val="clear" w:color="auto" w:fill="auto"/>
            <w:vAlign w:val="center"/>
          </w:tcPr>
          <w:p w14:paraId="7ED2FB8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审批部门委托符合条件的中介机构实施。</w:t>
            </w:r>
          </w:p>
        </w:tc>
        <w:tc>
          <w:tcPr>
            <w:tcW w:w="0" w:type="auto"/>
            <w:tcBorders>
              <w:top w:val="nil"/>
              <w:left w:val="nil"/>
              <w:bottom w:val="single" w:color="000000" w:sz="8" w:space="0"/>
              <w:right w:val="single" w:color="000000" w:sz="8" w:space="0"/>
            </w:tcBorders>
            <w:shd w:val="clear" w:color="auto" w:fill="auto"/>
            <w:vAlign w:val="center"/>
          </w:tcPr>
          <w:p w14:paraId="1DC22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委托符合条件的雷电防护装置设计技术评价机构实施</w:t>
            </w:r>
          </w:p>
        </w:tc>
        <w:tc>
          <w:tcPr>
            <w:tcW w:w="0" w:type="auto"/>
            <w:tcBorders>
              <w:top w:val="nil"/>
              <w:left w:val="nil"/>
              <w:bottom w:val="single" w:color="000000" w:sz="8" w:space="0"/>
              <w:right w:val="nil"/>
            </w:tcBorders>
            <w:shd w:val="clear" w:color="auto" w:fill="auto"/>
            <w:vAlign w:val="center"/>
          </w:tcPr>
          <w:p w14:paraId="52760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经营服务性收费（政府定价）</w:t>
            </w:r>
          </w:p>
        </w:tc>
        <w:tc>
          <w:tcPr>
            <w:tcW w:w="0" w:type="auto"/>
            <w:tcBorders>
              <w:top w:val="nil"/>
              <w:left w:val="single" w:color="000000" w:sz="8" w:space="0"/>
              <w:bottom w:val="single" w:color="000000" w:sz="8" w:space="0"/>
              <w:right w:val="single" w:color="000000" w:sz="8" w:space="0"/>
            </w:tcBorders>
            <w:shd w:val="clear" w:color="auto" w:fill="auto"/>
            <w:vAlign w:val="center"/>
          </w:tcPr>
          <w:p w14:paraId="6CA66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雷电防护装置设计技术评价服务</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6B18967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《气象灾害防御条例》</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14:paraId="49899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工改中介事项</w:t>
            </w:r>
          </w:p>
        </w:tc>
      </w:tr>
    </w:tbl>
    <w:p w14:paraId="357A621A"/>
    <w:sectPr>
      <w:pgSz w:w="16838" w:h="11906" w:orient="landscape"/>
      <w:pgMar w:top="556" w:right="533" w:bottom="556" w:left="5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kNTU0NzYzMTMxMjMzZjI1NzhlODVkYWFkYjNhMzAifQ=="/>
  </w:docVars>
  <w:rsids>
    <w:rsidRoot w:val="43E11189"/>
    <w:rsid w:val="43E11189"/>
    <w:rsid w:val="56356A75"/>
    <w:rsid w:val="7F951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51"/>
    <w:basedOn w:val="3"/>
    <w:uiPriority w:val="0"/>
    <w:rPr>
      <w:rFonts w:hint="eastAsia" w:ascii="宋体" w:hAnsi="宋体" w:eastAsia="宋体" w:cs="宋体"/>
      <w:color w:val="000000"/>
      <w:sz w:val="20"/>
      <w:szCs w:val="20"/>
      <w:u w:val="none"/>
    </w:rPr>
  </w:style>
  <w:style w:type="character" w:customStyle="1" w:styleId="5">
    <w:name w:val="font71"/>
    <w:basedOn w:val="3"/>
    <w:uiPriority w:val="0"/>
    <w:rPr>
      <w:rFonts w:hint="eastAsia" w:ascii="宋体" w:hAnsi="宋体" w:eastAsia="宋体" w:cs="宋体"/>
      <w:color w:val="FF0000"/>
      <w:sz w:val="20"/>
      <w:szCs w:val="20"/>
      <w:u w:val="none"/>
    </w:rPr>
  </w:style>
  <w:style w:type="character" w:customStyle="1" w:styleId="6">
    <w:name w:val="font81"/>
    <w:basedOn w:val="3"/>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20161</Words>
  <Characters>21090</Characters>
  <Lines>0</Lines>
  <Paragraphs>0</Paragraphs>
  <TotalTime>23</TotalTime>
  <ScaleCrop>false</ScaleCrop>
  <LinksUpToDate>false</LinksUpToDate>
  <CharactersWithSpaces>21160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2023-10-26T02:26:00Z</dcterms:created>
  <dc:creator>Administrator</dc:creator>
  <cp:lastModifiedBy>叶连</cp:lastModifiedBy>
  <dcterms:modified xsi:type="dcterms:W3CDTF">2026-07-08T01:29:14Z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69D2876836D94854892F7B17B98FDA18_13</vt:lpwstr>
  </property>
  <property fmtid="{D5CDD505-2E9C-101B-9397-08002B2CF9AE}" pid="4" name="KSOTemplateDocerSaveRecord">
    <vt:lpwstr>eyJoZGlkIjoiZTQzNzk3NDIyM2JkM2JkYmFlOWE0ODFlMDMwZjdhZTkiLCJ1c2VySWQiOiI2ODA5ODgzNzcifQ==</vt:lpwstr>
  </property>
</Properties>
</file>