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433"/>
        <w:spacing w:before="317" w:line="185" w:lineRule="auto"/>
        <w:rPr>
          <w:rFonts w:ascii="Microsoft YaHei" w:hAnsi="Microsoft YaHei" w:eastAsia="Microsoft YaHei" w:cs="Microsoft YaHei"/>
          <w:sz w:val="74"/>
          <w:szCs w:val="74"/>
        </w:rPr>
      </w:pPr>
      <w:r>
        <w:rPr>
          <w:rFonts w:ascii="Microsoft YaHei" w:hAnsi="Microsoft YaHei" w:eastAsia="Microsoft YaHei" w:cs="Microsoft YaHei"/>
          <w:sz w:val="74"/>
          <w:szCs w:val="74"/>
          <w:color w:val="FF0000"/>
          <w:spacing w:val="-26"/>
          <w:w w:val="97"/>
        </w:rPr>
        <w:t>国家市场监督管理总局文件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2843"/>
        <w:spacing w:before="101" w:line="418" w:lineRule="exact"/>
        <w:rPr/>
      </w:pPr>
      <w:r>
        <w:rPr>
          <w:spacing w:val="1"/>
          <w:position w:val="2"/>
        </w:rPr>
        <w:t>国市监稽发〔</w:t>
      </w:r>
      <w:r>
        <w:rPr>
          <w:rFonts w:ascii="Times New Roman" w:hAnsi="Times New Roman" w:eastAsia="Times New Roman" w:cs="Times New Roman"/>
          <w:spacing w:val="1"/>
          <w:position w:val="2"/>
        </w:rPr>
        <w:t>2025</w:t>
      </w:r>
      <w:r>
        <w:rPr>
          <w:spacing w:val="1"/>
          <w:position w:val="2"/>
        </w:rPr>
        <w:t>〕</w:t>
      </w:r>
      <w:r>
        <w:rPr>
          <w:rFonts w:ascii="Times New Roman" w:hAnsi="Times New Roman" w:eastAsia="Times New Roman" w:cs="Times New Roman"/>
          <w:spacing w:val="1"/>
          <w:position w:val="2"/>
        </w:rPr>
        <w:t>10</w:t>
      </w:r>
      <w:r>
        <w:rPr>
          <w:rFonts w:ascii="Times New Roman" w:hAnsi="Times New Roman" w:eastAsia="Times New Roman" w:cs="Times New Roman"/>
          <w:spacing w:val="33"/>
          <w:position w:val="2"/>
        </w:rPr>
        <w:t xml:space="preserve"> </w:t>
      </w:r>
      <w:r>
        <w:rPr>
          <w:spacing w:val="1"/>
          <w:position w:val="2"/>
        </w:rPr>
        <w:t>号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150"/>
        <w:spacing w:line="35" w:lineRule="exact"/>
        <w:rPr/>
      </w:pPr>
      <w:r>
        <w:rPr/>
        <w:drawing>
          <wp:inline distT="0" distB="0" distL="0" distR="0">
            <wp:extent cx="5615850" cy="2222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850" cy="2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891" w:right="232" w:hanging="652"/>
        <w:spacing w:before="140" w:line="25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</w:rPr>
        <w:t>市场监管总局关于印发市场监管行政违法行为</w:t>
      </w:r>
      <w:r>
        <w:rPr>
          <w:rFonts w:ascii="SimSun" w:hAnsi="SimSun" w:eastAsia="SimSun" w:cs="SimSun"/>
          <w:sz w:val="43"/>
          <w:szCs w:val="43"/>
          <w:spacing w:val="14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</w:rPr>
        <w:t>首违不罚、轻微免罚清单（一）的通知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right="24"/>
        <w:spacing w:before="101" w:line="221" w:lineRule="auto"/>
        <w:jc w:val="right"/>
        <w:rPr/>
      </w:pPr>
      <w:r>
        <w:rPr>
          <w:spacing w:val="-4"/>
        </w:rPr>
        <w:t>各省、自治区、直辖市和新疆生产建设兵团</w:t>
      </w:r>
      <w:r>
        <w:rPr>
          <w:spacing w:val="-5"/>
        </w:rPr>
        <w:t>市场监管局（厅、委</w:t>
      </w:r>
      <w:r>
        <w:rPr>
          <w:spacing w:val="-84"/>
          <w:w w:val="96"/>
        </w:rPr>
        <w:t>）：</w:t>
      </w:r>
    </w:p>
    <w:p>
      <w:pPr>
        <w:pStyle w:val="BodyText"/>
        <w:ind w:firstLine="817"/>
        <w:spacing w:before="158" w:line="314" w:lineRule="auto"/>
        <w:jc w:val="both"/>
        <w:rPr/>
      </w:pPr>
      <w:r>
        <w:rPr>
          <w:spacing w:val="6"/>
        </w:rPr>
        <w:t>为落实《国务院关于进一步规范和监督罚款</w:t>
      </w:r>
      <w:r>
        <w:rPr>
          <w:spacing w:val="5"/>
        </w:rPr>
        <w:t>设定与实施的指</w:t>
      </w:r>
      <w:r>
        <w:rPr/>
        <w:t xml:space="preserve">  </w:t>
      </w:r>
      <w:r>
        <w:rPr/>
        <w:t>导意见》（</w:t>
      </w:r>
      <w:r>
        <w:rPr>
          <w:spacing w:val="-69"/>
        </w:rPr>
        <w:t xml:space="preserve"> </w:t>
      </w:r>
      <w:r>
        <w:rPr/>
        <w:t>国发〔</w:t>
      </w:r>
      <w:r>
        <w:rPr>
          <w:rFonts w:ascii="Times New Roman" w:hAnsi="Times New Roman" w:eastAsia="Times New Roman" w:cs="Times New Roman"/>
        </w:rPr>
        <w:t>2024</w:t>
      </w:r>
      <w:r>
        <w:rPr/>
        <w:t>〕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/>
        <w:t>号）要求，深入践行监管为民理念，积</w:t>
      </w:r>
      <w:r>
        <w:rPr/>
        <w:t xml:space="preserve">  </w:t>
      </w:r>
      <w:r>
        <w:rPr>
          <w:spacing w:val="12"/>
        </w:rPr>
        <w:t>极推行服务型执法，规范涉企执法行为，激发经营主体活力，依</w:t>
      </w:r>
      <w:r>
        <w:rPr>
          <w:spacing w:val="3"/>
        </w:rPr>
        <w:t xml:space="preserve">  </w:t>
      </w:r>
      <w:r>
        <w:rPr>
          <w:spacing w:val="6"/>
        </w:rPr>
        <w:t>据《中华人民共和国食品安全法》《中华人民共和国行政处罚法》</w:t>
      </w:r>
      <w:r>
        <w:rPr>
          <w:spacing w:val="12"/>
        </w:rPr>
        <w:t xml:space="preserve"> </w:t>
      </w:r>
      <w:r>
        <w:rPr>
          <w:spacing w:val="1"/>
        </w:rPr>
        <w:t>《优化营商环境条例》等法律法规，市场监管总局制定了市场监管</w:t>
      </w:r>
      <w:r>
        <w:rPr>
          <w:spacing w:val="2"/>
        </w:rPr>
        <w:t xml:space="preserve">  </w:t>
      </w:r>
      <w:r>
        <w:rPr>
          <w:spacing w:val="6"/>
        </w:rPr>
        <w:t>行政违法行为首违不罚、轻微免罚清单（</w:t>
      </w:r>
      <w:r>
        <w:rPr>
          <w:spacing w:val="-79"/>
        </w:rPr>
        <w:t xml:space="preserve"> </w:t>
      </w:r>
      <w:r>
        <w:rPr>
          <w:spacing w:val="6"/>
        </w:rPr>
        <w:t>一</w:t>
      </w:r>
      <w:r>
        <w:rPr>
          <w:spacing w:val="-81"/>
          <w:w w:val="93"/>
        </w:rPr>
        <w:t>），</w:t>
      </w:r>
      <w:r>
        <w:rPr>
          <w:spacing w:val="6"/>
        </w:rPr>
        <w:t>现印发给你们，请</w:t>
      </w:r>
      <w:r>
        <w:rPr/>
        <w:t xml:space="preserve">  </w:t>
      </w:r>
      <w:r>
        <w:rPr>
          <w:spacing w:val="14"/>
        </w:rPr>
        <w:t>结合实际认真贯彻落实。有关要求如下：</w:t>
      </w:r>
    </w:p>
    <w:p>
      <w:pPr>
        <w:spacing w:line="314" w:lineRule="auto"/>
        <w:sectPr>
          <w:footerReference w:type="default" r:id="rId1"/>
          <w:pgSz w:w="11906" w:h="16838"/>
          <w:pgMar w:top="1431" w:right="1350" w:bottom="1661" w:left="1377" w:header="0" w:footer="1243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firstLine="647"/>
        <w:spacing w:before="101" w:line="322" w:lineRule="auto"/>
        <w:rPr/>
      </w:pPr>
      <w:r>
        <w:rPr>
          <w:rFonts w:ascii="KaiTi" w:hAnsi="KaiTi" w:eastAsia="KaiTi" w:cs="KaiTi"/>
          <w:spacing w:val="5"/>
        </w:rPr>
        <w:t>一、坚持依法行政</w:t>
      </w:r>
      <w:r>
        <w:rPr>
          <w:spacing w:val="5"/>
        </w:rPr>
        <w:t>。统筹高质量发展和高水平安全，统筹行</w:t>
      </w:r>
      <w:r>
        <w:rPr>
          <w:spacing w:val="18"/>
        </w:rPr>
        <w:t xml:space="preserve"> </w:t>
      </w:r>
      <w:r>
        <w:rPr>
          <w:spacing w:val="6"/>
        </w:rPr>
        <w:t>政处罚法与相关部门法，坚持宽严相济、法理相融，严格规范公</w:t>
      </w:r>
      <w:r>
        <w:rPr>
          <w:spacing w:val="11"/>
        </w:rPr>
        <w:t xml:space="preserve"> </w:t>
      </w:r>
      <w:r>
        <w:rPr>
          <w:spacing w:val="6"/>
        </w:rPr>
        <w:t>正文明执法。对严重侵害群众利益、突破安全底线的违法行为严</w:t>
      </w:r>
      <w:r>
        <w:rPr>
          <w:spacing w:val="15"/>
        </w:rPr>
        <w:t xml:space="preserve"> </w:t>
      </w:r>
      <w:r>
        <w:rPr>
          <w:spacing w:val="6"/>
        </w:rPr>
        <w:t>惩重处，对符合《中华人民共和国行政处罚法》规定的不予处罚</w:t>
      </w:r>
      <w:r>
        <w:rPr>
          <w:spacing w:val="14"/>
        </w:rPr>
        <w:t xml:space="preserve"> </w:t>
      </w:r>
      <w:r>
        <w:rPr>
          <w:spacing w:val="-3"/>
        </w:rPr>
        <w:t>或可以不予处罚的行为</w:t>
      </w:r>
      <w:r>
        <w:rPr>
          <w:spacing w:val="-105"/>
        </w:rPr>
        <w:t xml:space="preserve"> </w:t>
      </w:r>
      <w:r>
        <w:rPr>
          <w:spacing w:val="-3"/>
        </w:rPr>
        <w:t>“容错纠错”，实现轻微免罚、重违严惩、</w:t>
      </w:r>
      <w:r>
        <w:rPr/>
        <w:t xml:space="preserve"> </w:t>
      </w:r>
      <w:r>
        <w:rPr>
          <w:spacing w:val="3"/>
        </w:rPr>
        <w:t>过罚相当。</w:t>
      </w:r>
    </w:p>
    <w:p>
      <w:pPr>
        <w:pStyle w:val="BodyText"/>
        <w:ind w:left="2" w:right="86" w:firstLine="640"/>
        <w:spacing w:before="201" w:line="318" w:lineRule="auto"/>
        <w:rPr/>
      </w:pPr>
      <w:r>
        <w:rPr>
          <w:rFonts w:ascii="KaiTi" w:hAnsi="KaiTi" w:eastAsia="KaiTi" w:cs="KaiTi"/>
          <w:spacing w:val="6"/>
        </w:rPr>
        <w:t>二、坚持教育与处罚相结合。</w:t>
      </w:r>
      <w:r>
        <w:rPr>
          <w:spacing w:val="6"/>
        </w:rPr>
        <w:t>对当事人实施首违不</w:t>
      </w:r>
      <w:r>
        <w:rPr>
          <w:spacing w:val="5"/>
        </w:rPr>
        <w:t>罚、轻微</w:t>
      </w:r>
      <w:r>
        <w:rPr/>
        <w:t xml:space="preserve"> </w:t>
      </w:r>
      <w:r>
        <w:rPr>
          <w:spacing w:val="6"/>
        </w:rPr>
        <w:t>免罚的，要责令其立即停止违法行为，广泛运用说服教育、劝导</w:t>
      </w:r>
      <w:r>
        <w:rPr>
          <w:spacing w:val="16"/>
        </w:rPr>
        <w:t xml:space="preserve"> </w:t>
      </w:r>
      <w:r>
        <w:rPr>
          <w:spacing w:val="6"/>
        </w:rPr>
        <w:t>示范、指导约谈等方式，督促引导当事人积极整改，依法合规开</w:t>
      </w:r>
      <w:r>
        <w:rPr>
          <w:spacing w:val="9"/>
        </w:rPr>
        <w:t xml:space="preserve"> </w:t>
      </w:r>
      <w:r>
        <w:rPr>
          <w:spacing w:val="6"/>
        </w:rPr>
        <w:t>展生产经营活动。对拒不改正或者改正后再犯的，结合实际依法</w:t>
      </w:r>
      <w:r>
        <w:rPr>
          <w:spacing w:val="15"/>
        </w:rPr>
        <w:t xml:space="preserve"> </w:t>
      </w:r>
      <w:r>
        <w:rPr>
          <w:spacing w:val="5"/>
        </w:rPr>
        <w:t>处罚，做到让执法既有力度又有温度。</w:t>
      </w:r>
    </w:p>
    <w:p>
      <w:pPr>
        <w:pStyle w:val="BodyText"/>
        <w:ind w:left="2" w:right="24" w:firstLine="634"/>
        <w:spacing w:before="198" w:line="322" w:lineRule="auto"/>
        <w:rPr/>
      </w:pPr>
      <w:r>
        <w:rPr>
          <w:rFonts w:ascii="KaiTi" w:hAnsi="KaiTi" w:eastAsia="KaiTi" w:cs="KaiTi"/>
          <w:spacing w:val="6"/>
        </w:rPr>
        <w:t>三、保障群众合法权益。</w:t>
      </w:r>
      <w:r>
        <w:rPr>
          <w:spacing w:val="6"/>
        </w:rPr>
        <w:t>对当事人实施首违不罚、轻微免罚</w:t>
      </w:r>
      <w:r>
        <w:rPr>
          <w:spacing w:val="2"/>
        </w:rPr>
        <w:t xml:space="preserve"> </w:t>
      </w:r>
      <w:r>
        <w:rPr>
          <w:spacing w:val="6"/>
        </w:rPr>
        <w:t>的，要引导其依法退赔消费者损失；监督当事人依法履行召回义</w:t>
      </w:r>
      <w:r>
        <w:rPr>
          <w:spacing w:val="8"/>
        </w:rPr>
        <w:t xml:space="preserve"> </w:t>
      </w:r>
      <w:r>
        <w:rPr>
          <w:spacing w:val="6"/>
        </w:rPr>
        <w:t>务，并对非法产品依法采取无害化处理、销毁等措施，避免再次</w:t>
      </w:r>
      <w:r>
        <w:rPr>
          <w:spacing w:val="8"/>
        </w:rPr>
        <w:t xml:space="preserve"> </w:t>
      </w:r>
      <w:r>
        <w:rPr>
          <w:spacing w:val="-2"/>
        </w:rPr>
        <w:t>流入市场。对发现不合格产品的，应当加大抽检和</w:t>
      </w:r>
      <w:r>
        <w:rPr>
          <w:spacing w:val="-3"/>
        </w:rPr>
        <w:t>日常监管频次；</w:t>
      </w:r>
      <w:r>
        <w:rPr/>
        <w:t xml:space="preserve"> </w:t>
      </w:r>
      <w:r>
        <w:rPr>
          <w:spacing w:val="6"/>
        </w:rPr>
        <w:t>对非法产品要追踪溯源，对不属于市场监管部门职能的，及时通</w:t>
      </w:r>
      <w:r>
        <w:rPr>
          <w:spacing w:val="17"/>
        </w:rPr>
        <w:t xml:space="preserve"> </w:t>
      </w:r>
      <w:r>
        <w:rPr>
          <w:spacing w:val="4"/>
        </w:rPr>
        <w:t>报相关部门加强源头治理。</w:t>
      </w:r>
    </w:p>
    <w:p>
      <w:pPr>
        <w:pStyle w:val="BodyText"/>
        <w:ind w:left="1" w:right="30" w:firstLine="655"/>
        <w:spacing w:before="199" w:line="318" w:lineRule="auto"/>
        <w:rPr/>
      </w:pPr>
      <w:r>
        <w:rPr>
          <w:rFonts w:ascii="KaiTi" w:hAnsi="KaiTi" w:eastAsia="KaiTi" w:cs="KaiTi"/>
          <w:spacing w:val="5"/>
        </w:rPr>
        <w:t>四、严格执法程序。</w:t>
      </w:r>
      <w:r>
        <w:rPr>
          <w:spacing w:val="5"/>
        </w:rPr>
        <w:t>立案前，对符合《市场监督管理行政处</w:t>
      </w:r>
      <w:r>
        <w:rPr>
          <w:spacing w:val="10"/>
        </w:rPr>
        <w:t xml:space="preserve"> </w:t>
      </w:r>
      <w:r>
        <w:rPr>
          <w:spacing w:val="6"/>
        </w:rPr>
        <w:t>罚程序规定》不予立案情形的，办案机关应当填写《不予立案审</w:t>
      </w:r>
      <w:r>
        <w:rPr>
          <w:spacing w:val="13"/>
        </w:rPr>
        <w:t xml:space="preserve"> </w:t>
      </w:r>
      <w:r>
        <w:rPr>
          <w:spacing w:val="-5"/>
        </w:rPr>
        <w:t>批表》，阐明具体理由，并履行相关报批手续。立案后，发现符合</w:t>
      </w:r>
      <w:r>
        <w:rPr>
          <w:spacing w:val="14"/>
        </w:rPr>
        <w:t xml:space="preserve"> </w:t>
      </w:r>
      <w:r>
        <w:rPr>
          <w:spacing w:val="-5"/>
        </w:rPr>
        <w:t>本清单适用条件的，办案机关应当撰写《案件调查终结报告》，阐</w:t>
      </w:r>
      <w:r>
        <w:rPr>
          <w:spacing w:val="14"/>
        </w:rPr>
        <w:t xml:space="preserve"> </w:t>
      </w:r>
      <w:r>
        <w:rPr>
          <w:spacing w:val="-13"/>
        </w:rPr>
        <w:t>明具体理由，履行相关报批手续后，制发《不予行政处罚决定书》。</w:t>
      </w:r>
    </w:p>
    <w:p>
      <w:pPr>
        <w:spacing w:line="318" w:lineRule="auto"/>
        <w:sectPr>
          <w:footerReference w:type="default" r:id="rId3"/>
          <w:pgSz w:w="11906" w:h="16838"/>
          <w:pgMar w:top="1431" w:right="1409" w:bottom="1661" w:left="1542" w:header="0" w:footer="1243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firstLine="645"/>
        <w:spacing w:before="100" w:line="354" w:lineRule="auto"/>
        <w:jc w:val="both"/>
        <w:rPr/>
      </w:pPr>
      <w:r>
        <w:rPr>
          <w:rFonts w:ascii="KaiTi" w:hAnsi="KaiTi" w:eastAsia="KaiTi" w:cs="KaiTi"/>
          <w:spacing w:val="6"/>
        </w:rPr>
        <w:t>五、科学设定清单。</w:t>
      </w:r>
      <w:r>
        <w:rPr>
          <w:spacing w:val="6"/>
        </w:rPr>
        <w:t>各地市场监管部门可以结合本地实际，</w:t>
      </w:r>
      <w:r>
        <w:rPr>
          <w:spacing w:val="7"/>
        </w:rPr>
        <w:t xml:space="preserve"> </w:t>
      </w:r>
      <w:r>
        <w:rPr>
          <w:spacing w:val="6"/>
        </w:rPr>
        <w:t>对本清单进行扩充，制发本地区的减罚免罚清单；减罚免罚条件</w:t>
      </w:r>
      <w:r>
        <w:rPr>
          <w:spacing w:val="13"/>
        </w:rPr>
        <w:t xml:space="preserve"> </w:t>
      </w:r>
      <w:r>
        <w:rPr>
          <w:spacing w:val="7"/>
        </w:rPr>
        <w:t>可根据当地实际放宽。对于食品生产加工小作坊</w:t>
      </w:r>
      <w:r>
        <w:rPr>
          <w:spacing w:val="6"/>
        </w:rPr>
        <w:t>和食品摊贩，可</w:t>
      </w:r>
      <w:r>
        <w:rPr/>
        <w:t xml:space="preserve"> </w:t>
      </w:r>
      <w:r>
        <w:rPr>
          <w:spacing w:val="6"/>
        </w:rPr>
        <w:t>参照本清单执行，各省级市场监管部门也可结合当地实际制定本</w:t>
      </w:r>
      <w:r>
        <w:rPr>
          <w:spacing w:val="16"/>
        </w:rPr>
        <w:t xml:space="preserve"> </w:t>
      </w:r>
      <w:r>
        <w:rPr>
          <w:spacing w:val="5"/>
        </w:rPr>
        <w:t>辖区的食品生产加工小作坊和食品摊贩减罚免罚清单。</w:t>
      </w:r>
    </w:p>
    <w:p>
      <w:pPr>
        <w:pStyle w:val="BodyText"/>
        <w:ind w:left="20" w:right="11" w:firstLine="613"/>
        <w:spacing w:before="2" w:line="355" w:lineRule="auto"/>
        <w:rPr/>
      </w:pPr>
      <w:r>
        <w:rPr>
          <w:spacing w:val="19"/>
        </w:rPr>
        <w:t>本清单将依据法律法规部门规章修订并结合执法实践</w:t>
      </w:r>
      <w:r>
        <w:rPr>
          <w:spacing w:val="18"/>
        </w:rPr>
        <w:t>进行</w:t>
      </w:r>
      <w:r>
        <w:rPr/>
        <w:t xml:space="preserve"> </w:t>
      </w:r>
      <w:r>
        <w:rPr>
          <w:spacing w:val="-1"/>
        </w:rPr>
        <w:t>动态调整。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101" w:line="419" w:lineRule="exact"/>
        <w:rPr/>
      </w:pPr>
      <w:r>
        <w:rPr>
          <w:spacing w:val="2"/>
          <w:position w:val="2"/>
        </w:rPr>
        <w:t>附件：</w:t>
      </w:r>
      <w:r>
        <w:rPr>
          <w:rFonts w:ascii="Times New Roman" w:hAnsi="Times New Roman" w:eastAsia="Times New Roman" w:cs="Times New Roman"/>
          <w:spacing w:val="2"/>
          <w:position w:val="2"/>
        </w:rPr>
        <w:t>1.  </w:t>
      </w:r>
      <w:r>
        <w:rPr>
          <w:spacing w:val="2"/>
          <w:position w:val="2"/>
        </w:rPr>
        <w:t>市场监管行政违法行为首违不罚清单（</w:t>
      </w:r>
      <w:r>
        <w:rPr>
          <w:spacing w:val="-75"/>
          <w:position w:val="2"/>
        </w:rPr>
        <w:t xml:space="preserve"> </w:t>
      </w:r>
      <w:r>
        <w:rPr>
          <w:spacing w:val="2"/>
          <w:position w:val="2"/>
        </w:rPr>
        <w:t>一）</w:t>
      </w:r>
    </w:p>
    <w:p>
      <w:pPr>
        <w:pStyle w:val="BodyText"/>
        <w:ind w:left="1571"/>
        <w:spacing w:before="176" w:line="419" w:lineRule="exact"/>
        <w:rPr/>
      </w:pPr>
      <w:r>
        <w:rPr>
          <w:rFonts w:ascii="Times New Roman" w:hAnsi="Times New Roman" w:eastAsia="Times New Roman" w:cs="Times New Roman"/>
          <w:spacing w:val="3"/>
          <w:position w:val="2"/>
        </w:rPr>
        <w:t>2.  </w:t>
      </w:r>
      <w:r>
        <w:rPr>
          <w:spacing w:val="3"/>
          <w:position w:val="2"/>
        </w:rPr>
        <w:t>市场监管轻微行政违法行为不予处罚清单（</w:t>
      </w:r>
      <w:r>
        <w:rPr>
          <w:spacing w:val="-66"/>
          <w:position w:val="2"/>
        </w:rPr>
        <w:t xml:space="preserve"> </w:t>
      </w:r>
      <w:r>
        <w:rPr>
          <w:spacing w:val="3"/>
          <w:position w:val="2"/>
        </w:rPr>
        <w:t>一）</w:t>
      </w:r>
    </w:p>
    <w:p>
      <w:pPr>
        <w:pStyle w:val="BodyText"/>
        <w:ind w:firstLine="4913"/>
        <w:spacing w:before="145" w:line="2835" w:lineRule="exact"/>
        <w:rPr/>
      </w:pPr>
      <w:r>
        <w:rPr>
          <w:position w:val="-56"/>
        </w:rPr>
        <w:pict>
          <v:group id="_x0000_s2" style="mso-position-vertical-relative:line;mso-position-horizontal-relative:char;width:141.75pt;height:141.75pt;" filled="false" stroked="false" coordsize="2835,2835" coordorigin="0,0">
            <v:shape id="_x0000_s4" style="position:absolute;left:0;top:0;width:2835;height:2835;" filled="false" stroked="false" type="#_x0000_t75">
              <v:imagedata o:title="" r:id="rId5"/>
            </v:shape>
            <v:shape id="_x0000_s6" style="position:absolute;left:-20;top:-20;width:2875;height:287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39"/>
                      <w:spacing w:before="101" w:line="222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2"/>
                      </w:rPr>
                      <w:t>市场监管总局</w:t>
                    </w:r>
                  </w:p>
                  <w:p>
                    <w:pPr>
                      <w:ind w:left="246"/>
                      <w:spacing w:before="171" w:line="418" w:lineRule="exact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5"/>
                        <w:position w:val="2"/>
                      </w:rPr>
                      <w:t>2025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18"/>
                        <w:position w:val="2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5"/>
                        <w:position w:val="2"/>
                      </w:rPr>
                      <w:t>年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41"/>
                        <w:position w:val="2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5"/>
                        <w:position w:val="2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27"/>
                        <w:position w:val="2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5"/>
                        <w:position w:val="2"/>
                      </w:rPr>
                      <w:t>月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71"/>
                        <w:position w:val="2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5"/>
                        <w:position w:val="2"/>
                      </w:rPr>
                      <w:t>27 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5"/>
                        <w:position w:val="2"/>
                      </w:rPr>
                      <w:t>日</w:t>
                    </w:r>
                  </w:p>
                </w:txbxContent>
              </v:textbox>
            </v:shape>
          </v:group>
        </w:pic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625"/>
        <w:spacing w:before="101" w:line="220" w:lineRule="auto"/>
        <w:rPr/>
      </w:pPr>
      <w:r>
        <w:rPr>
          <w:spacing w:val="5"/>
        </w:rPr>
        <w:t>（此件公开发布）</w:t>
      </w:r>
    </w:p>
    <w:p>
      <w:pPr>
        <w:spacing w:line="220" w:lineRule="auto"/>
        <w:sectPr>
          <w:footerReference w:type="default" r:id="rId4"/>
          <w:pgSz w:w="11906" w:h="16838"/>
          <w:pgMar w:top="1431" w:right="1494" w:bottom="1661" w:left="1541" w:header="0" w:footer="1243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62"/>
        <w:spacing w:before="101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4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ind w:left="2705"/>
        <w:spacing w:before="140" w:line="606" w:lineRule="exact"/>
        <w:outlineLvl w:val="1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"/>
          <w:position w:val="3"/>
        </w:rPr>
        <w:t>市场监管行政违法行为首违不罚清单（一）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64" w:right="336" w:firstLine="609"/>
        <w:spacing w:before="101" w:line="29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本清单适用《中华人民共和国行政处罚法》第三十三条规定</w:t>
      </w:r>
      <w:r>
        <w:rPr>
          <w:rFonts w:ascii="KaiTi" w:hAnsi="KaiTi" w:eastAsia="KaiTi" w:cs="KaiTi"/>
          <w:sz w:val="31"/>
          <w:szCs w:val="31"/>
          <w:spacing w:val="4"/>
        </w:rPr>
        <w:t>的</w:t>
      </w:r>
      <w:r>
        <w:rPr>
          <w:rFonts w:ascii="KaiTi" w:hAnsi="KaiTi" w:eastAsia="KaiTi" w:cs="KaiTi"/>
          <w:sz w:val="31"/>
          <w:szCs w:val="31"/>
          <w:spacing w:val="-113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“初次违法且危害后果轻微并及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时改正的，可以不予行政处罚”的情形。</w:t>
      </w:r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2600"/>
        <w:gridCol w:w="6664"/>
        <w:gridCol w:w="3885"/>
      </w:tblGrid>
      <w:tr>
        <w:trPr>
          <w:trHeight w:val="610" w:hRule="atLeast"/>
        </w:trPr>
        <w:tc>
          <w:tcPr>
            <w:tcW w:w="801" w:type="dxa"/>
            <w:vAlign w:val="top"/>
          </w:tcPr>
          <w:p>
            <w:pPr>
              <w:ind w:left="125"/>
              <w:spacing w:before="201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2600" w:type="dxa"/>
            <w:vAlign w:val="top"/>
          </w:tcPr>
          <w:p>
            <w:pPr>
              <w:ind w:left="598"/>
              <w:spacing w:before="184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4"/>
              </w:rPr>
              <w:t>违法行为类型</w:t>
            </w:r>
          </w:p>
        </w:tc>
        <w:tc>
          <w:tcPr>
            <w:tcW w:w="6664" w:type="dxa"/>
            <w:vAlign w:val="top"/>
          </w:tcPr>
          <w:p>
            <w:pPr>
              <w:ind w:left="2867"/>
              <w:spacing w:before="183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4"/>
              </w:rPr>
              <w:t>处罚依据</w:t>
            </w:r>
          </w:p>
        </w:tc>
        <w:tc>
          <w:tcPr>
            <w:tcW w:w="3885" w:type="dxa"/>
            <w:vAlign w:val="top"/>
          </w:tcPr>
          <w:p>
            <w:pPr>
              <w:ind w:left="1483"/>
              <w:spacing w:before="183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免罚条件</w:t>
            </w:r>
          </w:p>
        </w:tc>
      </w:tr>
      <w:tr>
        <w:trPr>
          <w:trHeight w:val="4457" w:hRule="atLeast"/>
        </w:trPr>
        <w:tc>
          <w:tcPr>
            <w:tcW w:w="80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1</w:t>
            </w:r>
          </w:p>
        </w:tc>
        <w:tc>
          <w:tcPr>
            <w:tcW w:w="260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09" w:hanging="5"/>
              <w:spacing w:before="74" w:line="273" w:lineRule="auto"/>
              <w:jc w:val="both"/>
              <w:rPr/>
            </w:pPr>
            <w:r>
              <w:rPr>
                <w:spacing w:val="31"/>
              </w:rPr>
              <w:t>未取得食品经营许可</w:t>
            </w:r>
            <w:r>
              <w:rPr>
                <w:spacing w:val="7"/>
              </w:rPr>
              <w:t xml:space="preserve"> </w:t>
            </w:r>
            <w:r>
              <w:rPr>
                <w:spacing w:val="31"/>
              </w:rPr>
              <w:t>从事散装食品经营活</w:t>
            </w:r>
            <w:r>
              <w:rPr>
                <w:spacing w:val="1"/>
              </w:rPr>
              <w:t xml:space="preserve"> </w:t>
            </w:r>
            <w:r>
              <w:rPr>
                <w:spacing w:val="31"/>
              </w:rPr>
              <w:t>动（散装熟食销售除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外）</w:t>
            </w:r>
          </w:p>
        </w:tc>
        <w:tc>
          <w:tcPr>
            <w:tcW w:w="6664" w:type="dxa"/>
            <w:vAlign w:val="top"/>
          </w:tcPr>
          <w:p>
            <w:pPr>
              <w:pStyle w:val="TableText"/>
              <w:ind w:left="132" w:right="91" w:hanging="124"/>
              <w:spacing w:before="66" w:line="274" w:lineRule="auto"/>
              <w:jc w:val="both"/>
              <w:rPr/>
            </w:pPr>
            <w:r>
              <w:rPr>
                <w:spacing w:val="4"/>
              </w:rPr>
              <w:t>《食品经营许可和备案管理办法》第五十二条第一款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未取得食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品经营许可从事食品经营活动的，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由县级以上地方市场监督管</w:t>
            </w:r>
            <w:r>
              <w:rPr/>
              <w:t xml:space="preserve"> </w:t>
            </w:r>
            <w:r>
              <w:rPr>
                <w:spacing w:val="8"/>
              </w:rPr>
              <w:t>理部门依照《中华人民共和国食品安全法》第一百二十二条的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规定给予处罚。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91" w:hanging="121"/>
              <w:spacing w:before="75" w:line="269" w:lineRule="auto"/>
              <w:rPr/>
            </w:pPr>
            <w:r>
              <w:rPr>
                <w:spacing w:val="4"/>
              </w:rPr>
              <w:t>《中华人民共和国食品安全法》第一百二十二条第一款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违反本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法规定，未取得食品生产经营许可从事食品生产经营活动，或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者未取得食品添加剂生产许可从事食品添加剂生产活动的，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由</w:t>
            </w:r>
            <w:r>
              <w:rPr/>
              <w:t xml:space="preserve"> </w:t>
            </w:r>
            <w:r>
              <w:rPr>
                <w:spacing w:val="8"/>
              </w:rPr>
              <w:t>县级以上人民政府食品安全监督管理部门没收违法所得和违法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生产经营的食品、食品添加剂以及用于违法生产经营的工具、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设备、原料等物品；违法生产经营的食品、食品添加剂货值金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额不足一万元的，并处五万元以上十万元以下罚款；货值金额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一万元以上的，并处货值金额十倍以上二十倍以下罚款。</w:t>
            </w:r>
          </w:p>
        </w:tc>
        <w:tc>
          <w:tcPr>
            <w:tcW w:w="3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5" w:line="315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  </w:t>
            </w:r>
            <w:r>
              <w:rPr>
                <w:position w:val="1"/>
              </w:rPr>
              <w:t>初次违法；</w:t>
            </w:r>
          </w:p>
          <w:p>
            <w:pPr>
              <w:pStyle w:val="TableText"/>
              <w:ind w:left="530" w:right="393" w:hanging="404"/>
              <w:spacing w:before="25" w:line="26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2.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已改正；</w:t>
            </w:r>
          </w:p>
          <w:p>
            <w:pPr>
              <w:pStyle w:val="TableText"/>
              <w:ind w:left="131"/>
              <w:spacing w:before="21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3.  </w:t>
            </w:r>
            <w:r>
              <w:rPr>
                <w:spacing w:val="3"/>
                <w:position w:val="1"/>
              </w:rPr>
              <w:t>未发生食品安全事故。</w:t>
            </w:r>
          </w:p>
        </w:tc>
      </w:tr>
    </w:tbl>
    <w:p>
      <w:pPr>
        <w:spacing w:line="132" w:lineRule="exact"/>
        <w:rPr>
          <w:rFonts w:ascii="Arial"/>
          <w:sz w:val="11"/>
        </w:rPr>
      </w:pPr>
      <w:r/>
    </w:p>
    <w:p>
      <w:pPr>
        <w:spacing w:line="132" w:lineRule="exact"/>
        <w:sectPr>
          <w:footerReference w:type="default" r:id="rId6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11"/>
          <w:szCs w:val="1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2600"/>
        <w:gridCol w:w="6664"/>
        <w:gridCol w:w="3885"/>
      </w:tblGrid>
      <w:tr>
        <w:trPr>
          <w:trHeight w:val="5080" w:hRule="atLeast"/>
        </w:trPr>
        <w:tc>
          <w:tcPr>
            <w:tcW w:w="80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2</w:t>
            </w:r>
          </w:p>
        </w:tc>
        <w:tc>
          <w:tcPr>
            <w:tcW w:w="260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09"/>
              <w:spacing w:before="75" w:line="290" w:lineRule="auto"/>
              <w:rPr/>
            </w:pPr>
            <w:r>
              <w:rPr>
                <w:spacing w:val="31"/>
              </w:rPr>
              <w:t>食品经营许可证有效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期届满未延续的</w:t>
            </w:r>
          </w:p>
        </w:tc>
        <w:tc>
          <w:tcPr>
            <w:tcW w:w="666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33" w:hanging="124"/>
              <w:spacing w:before="75" w:line="257" w:lineRule="auto"/>
              <w:jc w:val="both"/>
              <w:rPr/>
            </w:pPr>
            <w:r>
              <w:rPr>
                <w:spacing w:val="8"/>
              </w:rPr>
              <w:t>《中华人民共和国食品安全法》第三十五条第一款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国家对食品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生产经营实行许可制度。从事食品生产、食品销售、</w:t>
            </w:r>
            <w:r>
              <w:rPr>
                <w:spacing w:val="1"/>
              </w:rPr>
              <w:t>餐饮服务，</w:t>
            </w:r>
            <w:r>
              <w:rPr/>
              <w:t xml:space="preserve"> </w:t>
            </w:r>
            <w:r>
              <w:rPr>
                <w:spacing w:val="8"/>
              </w:rPr>
              <w:t>应当依法取得许可。但是，销售食用农产品和仅销售预包装食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品的，不需要取得许可。仅销售预包装食品的，应当报所在地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县级以上地方人民政府食品安全监督管理部门备案。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91" w:hanging="121"/>
              <w:spacing w:before="74" w:line="257" w:lineRule="auto"/>
              <w:rPr/>
            </w:pPr>
            <w:r>
              <w:rPr>
                <w:spacing w:val="4"/>
              </w:rPr>
              <w:t>《中华人民共和国食品安全法》第一百二十二条第一款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违反本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法规定，未取得食品生产经营许可从事食品生产经营活动，或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者未取得食品添加剂生产许可从事食品添加剂生产活动的，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由</w:t>
            </w:r>
            <w:r>
              <w:rPr/>
              <w:t xml:space="preserve"> </w:t>
            </w:r>
            <w:r>
              <w:rPr>
                <w:spacing w:val="8"/>
              </w:rPr>
              <w:t>县级以上人民政府食品安全监督管理部门没收违法所得和违法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生产经营的食品、食品添加剂以及用于违法生产经营的工具、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设备、原料等物品；违法生产经营的食品、食品添加剂货值金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额不足一万元的，并处五万元以上十万元以下罚款；货值金额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一万元以上的，并处货值金额十倍以上二十倍以下罚款。</w:t>
            </w:r>
          </w:p>
        </w:tc>
        <w:tc>
          <w:tcPr>
            <w:tcW w:w="3885" w:type="dxa"/>
            <w:vAlign w:val="top"/>
          </w:tcPr>
          <w:p>
            <w:pPr>
              <w:pStyle w:val="TableText"/>
              <w:ind w:left="149"/>
              <w:spacing w:before="47" w:line="315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  </w:t>
            </w:r>
            <w:r>
              <w:rPr>
                <w:position w:val="1"/>
              </w:rPr>
              <w:t>初次违法；</w:t>
            </w:r>
          </w:p>
          <w:p>
            <w:pPr>
              <w:pStyle w:val="TableText"/>
              <w:ind w:left="126"/>
              <w:spacing w:before="45" w:line="314" w:lineRule="exact"/>
              <w:rPr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2.  </w:t>
            </w:r>
            <w:r>
              <w:rPr>
                <w:spacing w:val="2"/>
                <w:position w:val="1"/>
              </w:rPr>
              <w:t>违法行为持续时间不足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 </w:t>
            </w:r>
            <w:r>
              <w:rPr>
                <w:spacing w:val="2"/>
                <w:position w:val="1"/>
              </w:rPr>
              <w:t>个月；</w:t>
            </w:r>
          </w:p>
          <w:p>
            <w:pPr>
              <w:pStyle w:val="TableText"/>
              <w:ind w:left="535" w:right="396" w:hanging="404"/>
              <w:spacing w:before="44" w:line="272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3.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改正；</w:t>
            </w:r>
          </w:p>
          <w:p>
            <w:pPr>
              <w:pStyle w:val="TableText"/>
              <w:ind w:left="515" w:right="389" w:hanging="390"/>
              <w:spacing w:before="42" w:line="272" w:lineRule="auto"/>
              <w:rPr/>
            </w:pPr>
            <w:r>
              <w:rPr>
                <w:rFonts w:ascii="Times New Roman" w:hAnsi="Times New Roman" w:eastAsia="Times New Roman" w:cs="Times New Roman"/>
                <w:spacing w:val="5"/>
              </w:rPr>
              <w:t>4.  </w:t>
            </w:r>
            <w:r>
              <w:rPr>
                <w:spacing w:val="5"/>
              </w:rPr>
              <w:t>实际具备取得食品经营许可证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的条件；</w:t>
            </w:r>
          </w:p>
          <w:p>
            <w:pPr>
              <w:pStyle w:val="TableText"/>
              <w:ind w:left="480" w:right="307" w:hanging="348"/>
              <w:spacing w:before="80" w:line="257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5.  </w:t>
            </w:r>
            <w:r>
              <w:rPr>
                <w:spacing w:val="-4"/>
              </w:rPr>
              <w:t>许可证有效期内未发生食品安全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事故。</w:t>
            </w:r>
          </w:p>
        </w:tc>
      </w:tr>
      <w:tr>
        <w:trPr>
          <w:trHeight w:val="2920" w:hRule="atLeast"/>
        </w:trPr>
        <w:tc>
          <w:tcPr>
            <w:tcW w:w="8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49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3</w:t>
            </w:r>
          </w:p>
        </w:tc>
        <w:tc>
          <w:tcPr>
            <w:tcW w:w="260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109"/>
              <w:spacing w:before="75" w:line="257" w:lineRule="auto"/>
              <w:jc w:val="both"/>
              <w:rPr/>
            </w:pPr>
            <w:r>
              <w:rPr>
                <w:spacing w:val="31"/>
              </w:rPr>
              <w:t>食品经营许可证载明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的主体业态、经营项目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等许可事项发生变化，</w:t>
            </w:r>
            <w:r>
              <w:rPr>
                <w:spacing w:val="3"/>
              </w:rPr>
              <w:t xml:space="preserve"> </w:t>
            </w:r>
            <w:r>
              <w:rPr>
                <w:spacing w:val="31"/>
              </w:rPr>
              <w:t>食品经营者未按照规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定申请变更的</w:t>
            </w:r>
          </w:p>
        </w:tc>
        <w:tc>
          <w:tcPr>
            <w:tcW w:w="6664" w:type="dxa"/>
            <w:vAlign w:val="top"/>
          </w:tcPr>
          <w:p>
            <w:pPr>
              <w:pStyle w:val="TableText"/>
              <w:ind w:left="135" w:right="91" w:hanging="127"/>
              <w:spacing w:before="58" w:line="257" w:lineRule="auto"/>
              <w:jc w:val="both"/>
              <w:rPr/>
            </w:pPr>
            <w:r>
              <w:rPr>
                <w:spacing w:val="4"/>
              </w:rPr>
              <w:t>《食品经营许可和备案管理办法》第二十九条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食品经营许可证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载明的事项发生变化的，食品经营者应当在变化后十个工作日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内向原发证的市场监督管理部门申请变更食品经营许可。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91" w:hanging="121"/>
              <w:spacing w:before="75" w:line="252" w:lineRule="auto"/>
              <w:jc w:val="both"/>
              <w:rPr/>
            </w:pPr>
            <w:r>
              <w:rPr>
                <w:spacing w:val="4"/>
              </w:rPr>
              <w:t>《食品经营许可和备案管理办法》第五十二条第三款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食品经营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许可证载明的主体业态、经营项目等许可事项发生变化，食品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经营者未按照规定申请变更的，由县级以上地方市场监督管理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部门依照《中华人民共和国食品安全法》第一百二十二条的规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定给予处罚。但是，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有下列情形之一，依照《中华人民共和国</w:t>
            </w:r>
          </w:p>
        </w:tc>
        <w:tc>
          <w:tcPr>
            <w:tcW w:w="388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5" w:line="315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  </w:t>
            </w:r>
            <w:r>
              <w:rPr>
                <w:position w:val="1"/>
              </w:rPr>
              <w:t>初次违法；</w:t>
            </w:r>
          </w:p>
          <w:p>
            <w:pPr>
              <w:pStyle w:val="TableText"/>
              <w:ind w:left="514" w:right="9" w:hanging="366"/>
              <w:spacing w:before="14" w:line="25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2.  </w:t>
            </w:r>
            <w:r>
              <w:rPr>
                <w:spacing w:val="4"/>
              </w:rPr>
              <w:t>符合《食品经营许可和备案管理</w:t>
            </w:r>
            <w:r>
              <w:rPr>
                <w:spacing w:val="7"/>
              </w:rPr>
              <w:t xml:space="preserve">  </w:t>
            </w:r>
            <w:r>
              <w:rPr>
                <w:spacing w:val="9"/>
              </w:rPr>
              <w:t>办法》第五十二条第三款规定其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中之一的；</w:t>
            </w:r>
          </w:p>
          <w:p>
            <w:pPr>
              <w:pStyle w:val="TableText"/>
              <w:ind w:left="552" w:right="389" w:hanging="421"/>
              <w:spacing w:before="1" w:line="256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3.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已改正。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8" w:h="11906"/>
          <w:pgMar w:top="1011" w:right="1441" w:bottom="1442" w:left="1441" w:header="0" w:footer="113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2600"/>
        <w:gridCol w:w="6664"/>
        <w:gridCol w:w="3885"/>
      </w:tblGrid>
      <w:tr>
        <w:trPr>
          <w:trHeight w:val="2922" w:hRule="atLeast"/>
        </w:trPr>
        <w:tc>
          <w:tcPr>
            <w:tcW w:w="8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4" w:type="dxa"/>
            <w:vAlign w:val="top"/>
          </w:tcPr>
          <w:p>
            <w:pPr>
              <w:pStyle w:val="TableText"/>
              <w:ind w:left="134" w:right="92" w:hanging="4"/>
              <w:spacing w:before="62" w:line="257" w:lineRule="auto"/>
              <w:rPr/>
            </w:pPr>
            <w:r>
              <w:rPr>
                <w:spacing w:val="8"/>
              </w:rPr>
              <w:t>行政处罚法》第三十二条、第三十三条的规定从轻、减轻或者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不予行政处罚：</w:t>
            </w:r>
          </w:p>
          <w:p>
            <w:pPr>
              <w:pStyle w:val="TableText"/>
              <w:ind w:left="140" w:right="91" w:hanging="132"/>
              <w:spacing w:before="1"/>
              <w:rPr/>
            </w:pPr>
            <w:r>
              <w:rPr>
                <w:spacing w:val="2"/>
              </w:rPr>
              <w:t>（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一）主体业态、经营项目发生变化，但食品安全风险等级未升</w:t>
            </w:r>
            <w:r>
              <w:rPr/>
              <w:t xml:space="preserve"> </w:t>
            </w:r>
            <w:r>
              <w:rPr>
                <w:spacing w:val="-2"/>
              </w:rPr>
              <w:t>高的；</w:t>
            </w:r>
          </w:p>
          <w:p>
            <w:pPr>
              <w:pStyle w:val="TableText"/>
              <w:ind w:left="170" w:right="92" w:hanging="162"/>
              <w:spacing w:before="37" w:line="242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二）增加经营项目类型，但增加的经营项目所需的经营条件被</w:t>
            </w:r>
            <w:r>
              <w:rPr/>
              <w:t xml:space="preserve"> </w:t>
            </w:r>
            <w:r>
              <w:rPr>
                <w:spacing w:val="2"/>
              </w:rPr>
              <w:t>已经取得许可的经营项目涵盖的；</w:t>
            </w:r>
          </w:p>
          <w:p>
            <w:pPr>
              <w:pStyle w:val="TableText"/>
              <w:ind w:left="135" w:right="92" w:hanging="127"/>
              <w:spacing w:before="35" w:line="243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三）违法行为轻微，未对消费者人身健康和生命安全等造成危</w:t>
            </w:r>
            <w:r>
              <w:rPr/>
              <w:t xml:space="preserve"> </w:t>
            </w:r>
            <w:r>
              <w:rPr>
                <w:spacing w:val="2"/>
              </w:rPr>
              <w:t>害后果的；</w:t>
            </w:r>
          </w:p>
          <w:p>
            <w:pPr>
              <w:pStyle w:val="TableText"/>
              <w:ind w:left="8"/>
              <w:spacing w:before="39" w:line="224" w:lineRule="auto"/>
              <w:rPr/>
            </w:pPr>
            <w:r>
              <w:rPr>
                <w:spacing w:val="1"/>
              </w:rPr>
              <w:t>（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四）法律、法规、规章规定的其他情形。</w:t>
            </w:r>
          </w:p>
        </w:tc>
        <w:tc>
          <w:tcPr>
            <w:tcW w:w="3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8" w:hRule="atLeast"/>
        </w:trPr>
        <w:tc>
          <w:tcPr>
            <w:tcW w:w="80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  <w:position w:val="2"/>
              </w:rPr>
              <w:t>4</w:t>
            </w:r>
          </w:p>
        </w:tc>
        <w:tc>
          <w:tcPr>
            <w:tcW w:w="26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09" w:firstLine="7"/>
              <w:spacing w:before="75" w:line="274" w:lineRule="auto"/>
              <w:rPr/>
            </w:pPr>
            <w:r>
              <w:rPr>
                <w:spacing w:val="31"/>
              </w:rPr>
              <w:t>经营不符合食品安全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标准的食用农产品</w:t>
            </w:r>
          </w:p>
        </w:tc>
        <w:tc>
          <w:tcPr>
            <w:tcW w:w="6664" w:type="dxa"/>
            <w:vAlign w:val="top"/>
          </w:tcPr>
          <w:p>
            <w:pPr>
              <w:pStyle w:val="TableText"/>
              <w:ind w:left="131" w:right="91" w:hanging="123"/>
              <w:spacing w:before="58" w:line="258" w:lineRule="auto"/>
              <w:jc w:val="both"/>
              <w:rPr/>
            </w:pPr>
            <w:r>
              <w:rPr>
                <w:spacing w:val="4"/>
              </w:rPr>
              <w:t>《食用农产品市场销售质量安全监督管理办法》第十五条第一款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禁止销售者采购、销售食品安全法第三十四条规定情形的食用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农产品。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89" w:hanging="118"/>
              <w:spacing w:before="75" w:line="257" w:lineRule="auto"/>
              <w:jc w:val="both"/>
              <w:rPr/>
            </w:pPr>
            <w:r>
              <w:rPr>
                <w:spacing w:val="4"/>
              </w:rPr>
              <w:t>《食用农产品市场销售质量安全监督管理办法》第四十二条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销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售者违反本办法第十五条规定，采购、销售食品安全法第三十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四条规定情形的食用农产品的，由县级以上市场监督管理部门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依照食品安全法有关规定给予处罚。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89" w:hanging="118"/>
              <w:spacing w:before="74" w:line="257" w:lineRule="auto"/>
              <w:jc w:val="both"/>
              <w:rPr/>
            </w:pPr>
            <w:r>
              <w:rPr>
                <w:spacing w:val="4"/>
              </w:rPr>
              <w:t>《食用农产品市场销售质量安全监督管理办法》第四十八条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销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售者履行了本办法规定的食用农产品进货查验等义务，有充分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证据证明其不知道所采购的食用农产品不符合食品安全标准，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并能如实说明其进货来源的，可以免予处罚，但应当依法没收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其不符合食品安全标准的食用农产品；造成人身、财产或者其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他损害的，依法承担赔偿责任。</w:t>
            </w:r>
          </w:p>
        </w:tc>
        <w:tc>
          <w:tcPr>
            <w:tcW w:w="388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4" w:line="315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  </w:t>
            </w:r>
            <w:r>
              <w:rPr>
                <w:position w:val="1"/>
              </w:rPr>
              <w:t>初次违法；</w:t>
            </w:r>
          </w:p>
          <w:p>
            <w:pPr>
              <w:pStyle w:val="TableText"/>
              <w:ind w:left="509" w:right="89" w:hanging="381"/>
              <w:spacing w:before="14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2.  </w:t>
            </w:r>
            <w:r>
              <w:rPr>
                <w:spacing w:val="-4"/>
              </w:rPr>
              <w:t>非主观故意、食品不符合食品安全</w:t>
            </w:r>
            <w:r>
              <w:rPr/>
              <w:t xml:space="preserve"> </w:t>
            </w:r>
            <w:r>
              <w:rPr>
                <w:spacing w:val="4"/>
              </w:rPr>
              <w:t>标准不是其造成的；</w:t>
            </w:r>
          </w:p>
          <w:p>
            <w:pPr>
              <w:pStyle w:val="TableText"/>
              <w:ind w:left="131"/>
              <w:spacing w:line="314" w:lineRule="exact"/>
              <w:rPr/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9"/>
                <w:position w:val="1"/>
              </w:rPr>
              <w:t xml:space="preserve">  </w:t>
            </w:r>
            <w:r>
              <w:rPr>
                <w:spacing w:val="1"/>
                <w:position w:val="1"/>
              </w:rPr>
              <w:t>能如实说明进货来源；</w:t>
            </w:r>
          </w:p>
          <w:p>
            <w:pPr>
              <w:pStyle w:val="TableText"/>
              <w:ind w:left="477" w:right="396" w:hanging="352"/>
              <w:spacing w:before="7" w:line="25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4.  </w:t>
            </w:r>
            <w:r>
              <w:rPr>
                <w:spacing w:val="4"/>
              </w:rPr>
              <w:t>未发生食品安全事故或未发生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食源性疾病；</w:t>
            </w:r>
          </w:p>
          <w:p>
            <w:pPr>
              <w:pStyle w:val="TableText"/>
              <w:ind w:left="533" w:right="413" w:hanging="417"/>
              <w:spacing w:before="41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5.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已改正。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2600"/>
        <w:gridCol w:w="6664"/>
        <w:gridCol w:w="3885"/>
      </w:tblGrid>
      <w:tr>
        <w:trPr>
          <w:trHeight w:val="3561" w:hRule="atLeast"/>
        </w:trPr>
        <w:tc>
          <w:tcPr>
            <w:tcW w:w="8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4" w:type="dxa"/>
            <w:vAlign w:val="top"/>
          </w:tcPr>
          <w:p>
            <w:pPr>
              <w:pStyle w:val="TableText"/>
              <w:ind w:left="125" w:right="23" w:hanging="117"/>
              <w:spacing w:before="61" w:line="257" w:lineRule="auto"/>
              <w:jc w:val="both"/>
              <w:rPr/>
            </w:pPr>
            <w:r>
              <w:rPr>
                <w:spacing w:val="13"/>
              </w:rPr>
              <w:t>《中华人民共和国食品安全法》第一百二十四条第一</w:t>
            </w:r>
            <w:r>
              <w:rPr>
                <w:spacing w:val="12"/>
              </w:rPr>
              <w:t>款第一项</w:t>
            </w:r>
            <w:r>
              <w:rPr/>
              <w:t xml:space="preserve"> </w:t>
            </w:r>
            <w:r>
              <w:rPr>
                <w:spacing w:val="8"/>
              </w:rPr>
              <w:t>违反本法规定，有下列情形之一，尚不构成犯罪的，由县级以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上人民政府食品安全监督管理部门没收违法所得和违法生产经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营的食品、食品添加剂，并可以没收用于违法生产经营的工具、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设备、原料等物品；违法生产经营的食品、食品添加剂货值金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额不足一万元的，并处五万元以上十万元以下罚款；货值金额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一万元以上的，并处货值金额十倍以上二十倍以下罚款；情节</w:t>
            </w:r>
            <w:r>
              <w:rPr>
                <w:spacing w:val="14"/>
              </w:rPr>
              <w:t xml:space="preserve"> </w:t>
            </w:r>
            <w:r>
              <w:rPr/>
              <w:t>严重的，</w:t>
            </w:r>
            <w:r>
              <w:rPr>
                <w:spacing w:val="-65"/>
              </w:rPr>
              <w:t xml:space="preserve"> </w:t>
            </w:r>
            <w:r>
              <w:rPr/>
              <w:t>吊销许可证：</w:t>
            </w:r>
          </w:p>
          <w:p>
            <w:pPr>
              <w:pStyle w:val="TableText"/>
              <w:ind w:left="135" w:right="21" w:hanging="127"/>
              <w:spacing w:before="1" w:line="248" w:lineRule="auto"/>
              <w:jc w:val="both"/>
              <w:rPr/>
            </w:pPr>
            <w:r>
              <w:rPr>
                <w:spacing w:val="-3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一）生产经营致病性微生物，农药残留、兽药</w:t>
            </w:r>
            <w:r>
              <w:rPr>
                <w:spacing w:val="-4"/>
              </w:rPr>
              <w:t>残留、生物毒素、</w:t>
            </w:r>
            <w:r>
              <w:rPr/>
              <w:t xml:space="preserve"> </w:t>
            </w:r>
            <w:r>
              <w:rPr>
                <w:spacing w:val="8"/>
              </w:rPr>
              <w:t>重金属等污染物质以及其他危害人体健康的物质含量超过食品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安全标准限量的食品、食品添加剂。</w:t>
            </w:r>
          </w:p>
        </w:tc>
        <w:tc>
          <w:tcPr>
            <w:tcW w:w="3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9" w:hRule="atLeast"/>
        </w:trPr>
        <w:tc>
          <w:tcPr>
            <w:tcW w:w="8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66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26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09" w:hanging="24"/>
              <w:spacing w:before="75" w:line="273" w:lineRule="auto"/>
              <w:rPr/>
            </w:pPr>
            <w:r>
              <w:rPr>
                <w:spacing w:val="31"/>
              </w:rPr>
              <w:t>经营超过保质期的食</w:t>
            </w:r>
            <w:r>
              <w:rPr>
                <w:spacing w:val="1"/>
              </w:rPr>
              <w:t xml:space="preserve"> </w:t>
            </w:r>
            <w:r>
              <w:rPr/>
              <w:t>品、食品添加剂</w:t>
            </w:r>
          </w:p>
        </w:tc>
        <w:tc>
          <w:tcPr>
            <w:tcW w:w="6664" w:type="dxa"/>
            <w:vAlign w:val="top"/>
          </w:tcPr>
          <w:p>
            <w:pPr>
              <w:pStyle w:val="TableText"/>
              <w:ind w:left="145" w:right="89" w:hanging="137"/>
              <w:spacing w:before="54" w:line="249" w:lineRule="auto"/>
              <w:rPr/>
            </w:pPr>
            <w:r>
              <w:rPr>
                <w:spacing w:val="4"/>
              </w:rPr>
              <w:t>《中华人民共和国食品安全法》第三十四条第十项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禁止生产经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营下列食品、食品添加剂、食品相关产品：</w:t>
            </w:r>
          </w:p>
          <w:p>
            <w:pPr>
              <w:pStyle w:val="TableText"/>
              <w:ind w:left="139" w:right="91" w:hanging="131"/>
              <w:spacing w:line="250" w:lineRule="auto"/>
              <w:rPr/>
            </w:pPr>
            <w:r>
              <w:rPr>
                <w:spacing w:val="4"/>
              </w:rPr>
              <w:t>（十）标注虚假生产日期、保质期或者超过保质期的食品、食品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添加剂。</w:t>
            </w:r>
          </w:p>
          <w:p>
            <w:pPr>
              <w:pStyle w:val="TableText"/>
              <w:ind w:left="125" w:right="23" w:hanging="117"/>
              <w:spacing w:before="304" w:line="249" w:lineRule="auto"/>
              <w:jc w:val="both"/>
              <w:rPr/>
            </w:pPr>
            <w:r>
              <w:rPr>
                <w:spacing w:val="13"/>
              </w:rPr>
              <w:t>《中华人民共和国食品安全法》第一百二十四条第一</w:t>
            </w:r>
            <w:r>
              <w:rPr>
                <w:spacing w:val="12"/>
              </w:rPr>
              <w:t>款第五项</w:t>
            </w:r>
            <w:r>
              <w:rPr/>
              <w:t xml:space="preserve"> </w:t>
            </w:r>
            <w:r>
              <w:rPr>
                <w:spacing w:val="8"/>
              </w:rPr>
              <w:t>违反本法规定，有下列情形之一，尚不构成犯罪的，由县级以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上人民政府食品安全监督管理部门没收违法所得和违法生产经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营的食品、食品添加剂，并可以没收用于违法生产经营的工具、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设备、原料等物品；违法生产经营的食品、食品添加剂货值金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额不足一万元的，并处五万元以上十万元以下罚款；货值金额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一万元以上的，并处货值金额十倍以上二十倍以下罚款；情节</w:t>
            </w:r>
            <w:r>
              <w:rPr>
                <w:spacing w:val="14"/>
              </w:rPr>
              <w:t xml:space="preserve"> </w:t>
            </w:r>
            <w:r>
              <w:rPr/>
              <w:t>严重的，</w:t>
            </w:r>
            <w:r>
              <w:rPr>
                <w:spacing w:val="-65"/>
              </w:rPr>
              <w:t xml:space="preserve"> </w:t>
            </w:r>
            <w:r>
              <w:rPr/>
              <w:t>吊销许可证：</w:t>
            </w:r>
          </w:p>
          <w:p>
            <w:pPr>
              <w:pStyle w:val="TableText"/>
              <w:ind w:left="159" w:right="91" w:hanging="151"/>
              <w:spacing w:before="1" w:line="238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五）生产经营标注虚假生产日期、保质期或者超过保质期的食</w:t>
            </w:r>
            <w:r>
              <w:rPr/>
              <w:t xml:space="preserve"> </w:t>
            </w:r>
            <w:r>
              <w:rPr/>
              <w:t>品、食品添加剂。</w:t>
            </w:r>
          </w:p>
        </w:tc>
        <w:tc>
          <w:tcPr>
            <w:tcW w:w="388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5" w:line="312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  </w:t>
            </w:r>
            <w:r>
              <w:rPr>
                <w:position w:val="1"/>
              </w:rPr>
              <w:t>初次违法；</w:t>
            </w:r>
          </w:p>
          <w:p>
            <w:pPr>
              <w:pStyle w:val="TableText"/>
              <w:ind w:left="126"/>
              <w:spacing w:line="309" w:lineRule="exact"/>
              <w:rPr/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2.  </w:t>
            </w:r>
            <w:r>
              <w:rPr>
                <w:spacing w:val="4"/>
                <w:position w:val="1"/>
              </w:rPr>
              <w:t>不包括餐饮环节；</w:t>
            </w:r>
          </w:p>
          <w:p>
            <w:pPr>
              <w:pStyle w:val="TableText"/>
              <w:ind w:left="131"/>
              <w:spacing w:line="309" w:lineRule="exact"/>
              <w:rPr/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</w:rPr>
              <w:t xml:space="preserve">  </w:t>
            </w:r>
            <w:r>
              <w:rPr>
                <w:spacing w:val="1"/>
                <w:position w:val="1"/>
              </w:rPr>
              <w:t>能如实说明进货来源；</w:t>
            </w:r>
          </w:p>
          <w:p>
            <w:pPr>
              <w:pStyle w:val="TableText"/>
              <w:ind w:left="125"/>
              <w:spacing w:line="312" w:lineRule="exact"/>
              <w:rPr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4.  </w:t>
            </w:r>
            <w:r>
              <w:rPr>
                <w:spacing w:val="2"/>
                <w:position w:val="1"/>
              </w:rPr>
              <w:t>违法货值金额不超过</w:t>
            </w:r>
            <w:r>
              <w:rPr>
                <w:spacing w:val="-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元；</w:t>
            </w:r>
          </w:p>
          <w:p>
            <w:pPr>
              <w:pStyle w:val="TableText"/>
              <w:ind w:left="498" w:right="393" w:hanging="366"/>
              <w:spacing w:before="30" w:line="235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5.  </w:t>
            </w:r>
            <w:r>
              <w:rPr>
                <w:spacing w:val="4"/>
              </w:rPr>
              <w:t>未发生食品安全事故或未发生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食源性疾病；</w:t>
            </w:r>
          </w:p>
          <w:p>
            <w:pPr>
              <w:pStyle w:val="TableText"/>
              <w:ind w:left="535" w:right="393" w:hanging="404"/>
              <w:spacing w:before="2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6.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已改正。</w:t>
            </w:r>
          </w:p>
        </w:tc>
      </w:tr>
    </w:tbl>
    <w:p>
      <w:pPr>
        <w:spacing w:line="203" w:lineRule="exact"/>
        <w:rPr>
          <w:rFonts w:ascii="Arial"/>
          <w:sz w:val="17"/>
        </w:rPr>
      </w:pPr>
      <w:r/>
    </w:p>
    <w:p>
      <w:pPr>
        <w:spacing w:line="203" w:lineRule="exact"/>
        <w:sectPr>
          <w:footerReference w:type="default" r:id="rId9"/>
          <w:pgSz w:w="16838" w:h="11906"/>
          <w:pgMar w:top="1011" w:right="1441" w:bottom="1442" w:left="1441" w:header="0" w:footer="1137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2600"/>
        <w:gridCol w:w="6664"/>
        <w:gridCol w:w="3885"/>
      </w:tblGrid>
      <w:tr>
        <w:trPr>
          <w:trHeight w:val="8041" w:hRule="atLeast"/>
        </w:trPr>
        <w:tc>
          <w:tcPr>
            <w:tcW w:w="8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49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6</w:t>
            </w:r>
          </w:p>
        </w:tc>
        <w:tc>
          <w:tcPr>
            <w:tcW w:w="260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9" w:firstLine="10"/>
              <w:spacing w:before="74" w:line="271" w:lineRule="auto"/>
              <w:jc w:val="both"/>
              <w:rPr/>
            </w:pPr>
            <w:r>
              <w:rPr>
                <w:spacing w:val="5"/>
              </w:rPr>
              <w:t>经营标签不符合《食品</w:t>
            </w:r>
            <w:r>
              <w:rPr/>
              <w:t xml:space="preserve"> </w:t>
            </w:r>
            <w:r>
              <w:rPr>
                <w:spacing w:val="14"/>
              </w:rPr>
              <w:t>安全国家标准</w:t>
            </w:r>
            <w:r>
              <w:rPr>
                <w:spacing w:val="49"/>
              </w:rPr>
              <w:t xml:space="preserve"> </w:t>
            </w:r>
            <w:r>
              <w:rPr>
                <w:spacing w:val="14"/>
              </w:rPr>
              <w:t>预包装</w:t>
            </w:r>
            <w:r>
              <w:rPr/>
              <w:t xml:space="preserve"> </w:t>
            </w:r>
            <w:r>
              <w:rPr>
                <w:spacing w:val="13"/>
              </w:rPr>
              <w:t>食品标签通则》（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GB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7718</w:t>
            </w:r>
            <w:r>
              <w:rPr>
                <w:spacing w:val="5"/>
              </w:rPr>
              <w:t>）和《食品安全国</w:t>
            </w:r>
            <w:r>
              <w:rPr/>
              <w:t xml:space="preserve"> </w:t>
            </w:r>
            <w:r>
              <w:rPr>
                <w:spacing w:val="14"/>
              </w:rPr>
              <w:t>家标准</w:t>
            </w:r>
            <w:r>
              <w:rPr>
                <w:spacing w:val="49"/>
              </w:rPr>
              <w:t xml:space="preserve"> </w:t>
            </w:r>
            <w:r>
              <w:rPr>
                <w:spacing w:val="14"/>
              </w:rPr>
              <w:t>预包装食品营</w:t>
            </w:r>
            <w:r>
              <w:rPr/>
              <w:t xml:space="preserve"> </w:t>
            </w:r>
            <w:r>
              <w:rPr>
                <w:spacing w:val="-3"/>
              </w:rPr>
              <w:t>养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标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签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通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则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》</w:t>
            </w:r>
            <w:r>
              <w:rPr>
                <w:spacing w:val="-79"/>
              </w:rPr>
              <w:t xml:space="preserve"> </w:t>
            </w:r>
            <w:r>
              <w:rPr>
                <w:spacing w:val="-3"/>
              </w:rPr>
              <w:t>（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GB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28050</w:t>
            </w:r>
            <w:r>
              <w:rPr>
                <w:spacing w:val="9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规定的预包装</w:t>
            </w:r>
            <w:r>
              <w:rPr/>
              <w:t xml:space="preserve"> </w:t>
            </w:r>
            <w:r>
              <w:rPr>
                <w:spacing w:val="5"/>
              </w:rPr>
              <w:t>食品</w:t>
            </w:r>
          </w:p>
        </w:tc>
        <w:tc>
          <w:tcPr>
            <w:tcW w:w="6664" w:type="dxa"/>
            <w:vAlign w:val="top"/>
          </w:tcPr>
          <w:p>
            <w:pPr>
              <w:pStyle w:val="TableText"/>
              <w:ind w:left="135" w:right="91" w:hanging="127"/>
              <w:spacing w:before="62" w:line="257" w:lineRule="auto"/>
              <w:rPr/>
            </w:pPr>
            <w:r>
              <w:rPr>
                <w:spacing w:val="4"/>
              </w:rPr>
              <w:t>《中华人民共和国食品安全法》第六十七条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预包装食品的包装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上应当有标签。标签应当标明下列事项：</w:t>
            </w:r>
          </w:p>
          <w:p>
            <w:pPr>
              <w:pStyle w:val="TableText"/>
              <w:ind w:left="8"/>
              <w:spacing w:line="223" w:lineRule="auto"/>
              <w:rPr/>
            </w:pPr>
            <w:r>
              <w:rPr>
                <w:spacing w:val="5"/>
              </w:rPr>
              <w:t>（一）名称、规格、净含量、生产日期；</w:t>
            </w:r>
          </w:p>
          <w:p>
            <w:pPr>
              <w:pStyle w:val="TableText"/>
              <w:ind w:left="8"/>
              <w:spacing w:before="40" w:line="223" w:lineRule="auto"/>
              <w:rPr/>
            </w:pPr>
            <w:r>
              <w:rPr/>
              <w:t>（</w:t>
            </w:r>
            <w:r>
              <w:rPr>
                <w:spacing w:val="-62"/>
              </w:rPr>
              <w:t xml:space="preserve"> </w:t>
            </w:r>
            <w:r>
              <w:rPr/>
              <w:t>二）成分或者配料表；</w:t>
            </w:r>
          </w:p>
          <w:p>
            <w:pPr>
              <w:pStyle w:val="TableText"/>
              <w:ind w:left="8"/>
              <w:spacing w:before="43" w:line="224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三）生产者的名称、地址、联系方式；</w:t>
            </w:r>
          </w:p>
          <w:p>
            <w:pPr>
              <w:pStyle w:val="TableText"/>
              <w:ind w:left="8"/>
              <w:spacing w:before="40" w:line="224" w:lineRule="auto"/>
              <w:rPr/>
            </w:pPr>
            <w:r>
              <w:rPr>
                <w:spacing w:val="-5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四）保质期；</w:t>
            </w:r>
          </w:p>
          <w:p>
            <w:pPr>
              <w:pStyle w:val="TableText"/>
              <w:ind w:left="8"/>
              <w:spacing w:before="40" w:line="225" w:lineRule="auto"/>
              <w:rPr/>
            </w:pPr>
            <w:r>
              <w:rPr>
                <w:spacing w:val="4"/>
              </w:rPr>
              <w:t>（五）产品标准代号；</w:t>
            </w:r>
          </w:p>
          <w:p>
            <w:pPr>
              <w:pStyle w:val="TableText"/>
              <w:ind w:left="8"/>
              <w:spacing w:before="42" w:line="222" w:lineRule="auto"/>
              <w:rPr/>
            </w:pPr>
            <w:r>
              <w:rPr>
                <w:spacing w:val="4"/>
              </w:rPr>
              <w:t>（六）贮存条件；</w:t>
            </w:r>
          </w:p>
          <w:p>
            <w:pPr>
              <w:pStyle w:val="TableText"/>
              <w:ind w:left="8"/>
              <w:spacing w:before="42" w:line="222" w:lineRule="auto"/>
              <w:rPr/>
            </w:pPr>
            <w:r>
              <w:rPr>
                <w:spacing w:val="5"/>
              </w:rPr>
              <w:t>（七）所使用的食品添加剂在国家标准中的通用名称；</w:t>
            </w:r>
          </w:p>
          <w:p>
            <w:pPr>
              <w:pStyle w:val="TableText"/>
              <w:ind w:left="8"/>
              <w:spacing w:before="43" w:line="225" w:lineRule="auto"/>
              <w:rPr/>
            </w:pPr>
            <w:r>
              <w:rPr>
                <w:spacing w:val="4"/>
              </w:rPr>
              <w:t>（八）生产许可证编号；</w:t>
            </w:r>
          </w:p>
          <w:p>
            <w:pPr>
              <w:pStyle w:val="TableText"/>
              <w:ind w:left="137" w:right="92" w:hanging="129"/>
              <w:spacing w:before="42" w:line="245" w:lineRule="auto"/>
              <w:rPr/>
            </w:pPr>
            <w:r>
              <w:rPr>
                <w:spacing w:val="4"/>
              </w:rPr>
              <w:t>（九）法律、法规或者食品安全标准规定应当标明的其他事项。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专供婴幼儿和其他特定人群的主辅食品，其标签还应当标明主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要营养成分及其含量。</w:t>
            </w:r>
          </w:p>
          <w:p>
            <w:pPr>
              <w:pStyle w:val="TableText"/>
              <w:ind w:left="133"/>
              <w:spacing w:before="43" w:line="224" w:lineRule="auto"/>
              <w:rPr/>
            </w:pPr>
            <w:r>
              <w:rPr>
                <w:spacing w:val="5"/>
              </w:rPr>
              <w:t>食品安全国家标准对标签标注事项另有规定的，从其规定。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91" w:hanging="121"/>
              <w:spacing w:before="75" w:line="256" w:lineRule="auto"/>
              <w:rPr/>
            </w:pPr>
            <w:r>
              <w:rPr>
                <w:spacing w:val="4"/>
              </w:rPr>
              <w:t>《中华人民共和国食品安全法》第七十一条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食品和食品添加剂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的标签、说明书，不得含有虚假内容，不得涉及疾病预防、治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疗功能。生产经营者对其提供的标签、说明书的内容负责。</w:t>
            </w:r>
          </w:p>
          <w:p>
            <w:pPr>
              <w:pStyle w:val="TableText"/>
              <w:ind w:left="127" w:right="23" w:firstLine="6"/>
              <w:spacing w:line="258" w:lineRule="auto"/>
              <w:rPr/>
            </w:pPr>
            <w:r>
              <w:rPr>
                <w:spacing w:val="2"/>
              </w:rPr>
              <w:t>食品和食品添加剂的标签、说明书应当清楚、明显，生产日期、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保质期等事项应当显著标注，容易辨识。</w:t>
            </w:r>
          </w:p>
          <w:p>
            <w:pPr>
              <w:pStyle w:val="TableText"/>
              <w:ind w:left="126" w:right="92" w:firstLine="7"/>
              <w:spacing w:before="1" w:line="256" w:lineRule="auto"/>
              <w:rPr/>
            </w:pPr>
            <w:r>
              <w:rPr>
                <w:spacing w:val="8"/>
              </w:rPr>
              <w:t>食品和食品添加剂与其标签、说明书的内容不符的，不得上市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销售。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91" w:hanging="124"/>
              <w:spacing w:before="75" w:line="244" w:lineRule="auto"/>
              <w:rPr/>
            </w:pPr>
            <w:r>
              <w:rPr>
                <w:spacing w:val="13"/>
              </w:rPr>
              <w:t>《中华人民共和国食品安全法》第一百二十五条第一</w:t>
            </w:r>
            <w:r>
              <w:rPr>
                <w:spacing w:val="12"/>
              </w:rPr>
              <w:t>款第二项</w:t>
            </w:r>
            <w:r>
              <w:rPr/>
              <w:t xml:space="preserve"> </w:t>
            </w:r>
            <w:r>
              <w:rPr>
                <w:spacing w:val="8"/>
              </w:rPr>
              <w:t>违反本法规定，有下列情形之一的，由县级以上人民政府食品</w:t>
            </w:r>
          </w:p>
        </w:tc>
        <w:tc>
          <w:tcPr>
            <w:tcW w:w="388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5" w:line="315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  </w:t>
            </w:r>
            <w:r>
              <w:rPr>
                <w:position w:val="1"/>
              </w:rPr>
              <w:t>初次违法；</w:t>
            </w:r>
          </w:p>
          <w:p>
            <w:pPr>
              <w:pStyle w:val="TableText"/>
              <w:ind w:left="126"/>
              <w:spacing w:before="4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2.  </w:t>
            </w:r>
            <w:r>
              <w:rPr>
                <w:spacing w:val="4"/>
                <w:position w:val="1"/>
              </w:rPr>
              <w:t>属于食品经营环节；</w:t>
            </w:r>
          </w:p>
          <w:p>
            <w:pPr>
              <w:pStyle w:val="TableText"/>
              <w:ind w:left="131"/>
              <w:spacing w:before="4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</w:rPr>
              <w:t xml:space="preserve">  </w:t>
            </w:r>
            <w:r>
              <w:rPr>
                <w:spacing w:val="1"/>
                <w:position w:val="1"/>
              </w:rPr>
              <w:t>能如实说明进货来源；</w:t>
            </w:r>
          </w:p>
          <w:p>
            <w:pPr>
              <w:pStyle w:val="TableText"/>
              <w:ind w:left="499" w:right="391" w:hanging="374"/>
              <w:spacing w:before="7" w:line="254" w:lineRule="auto"/>
              <w:rPr/>
            </w:pPr>
            <w:r>
              <w:rPr>
                <w:rFonts w:ascii="Times New Roman" w:hAnsi="Times New Roman" w:eastAsia="Times New Roman" w:cs="Times New Roman"/>
                <w:spacing w:val="5"/>
              </w:rPr>
              <w:t>4.  </w:t>
            </w:r>
            <w:r>
              <w:rPr>
                <w:spacing w:val="5"/>
              </w:rPr>
              <w:t>未发生食品安全事故或未发生</w:t>
            </w:r>
            <w:r>
              <w:rPr/>
              <w:t xml:space="preserve"> </w:t>
            </w:r>
            <w:r>
              <w:rPr>
                <w:spacing w:val="3"/>
              </w:rPr>
              <w:t>食源性疾病；</w:t>
            </w:r>
          </w:p>
          <w:p>
            <w:pPr>
              <w:pStyle w:val="TableText"/>
              <w:ind w:left="534" w:right="391" w:hanging="402"/>
              <w:spacing w:before="41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5.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已改正。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2600"/>
        <w:gridCol w:w="6664"/>
        <w:gridCol w:w="3885"/>
      </w:tblGrid>
      <w:tr>
        <w:trPr>
          <w:trHeight w:val="2922" w:hRule="atLeast"/>
        </w:trPr>
        <w:tc>
          <w:tcPr>
            <w:tcW w:w="8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4" w:type="dxa"/>
            <w:vAlign w:val="top"/>
          </w:tcPr>
          <w:p>
            <w:pPr>
              <w:pStyle w:val="TableText"/>
              <w:ind w:left="123" w:right="33" w:firstLine="12"/>
              <w:spacing w:before="60" w:line="257" w:lineRule="auto"/>
              <w:jc w:val="both"/>
              <w:rPr/>
            </w:pPr>
            <w:r>
              <w:rPr>
                <w:spacing w:val="8"/>
              </w:rPr>
              <w:t>安全监督管理部门没收违法所得和违法生产经营的食品、食品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添加剂，并可以没收用于违法生产经营的工具、设备、原料等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物品；违法生产经营的食品、食品添加剂货值金额不足一万元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的，并处五千元以上五万元以下罚款；货值金额一万元以上的，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并处货值金额五倍以上十倍以下罚款；情节严重的，责令停产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停业，直至吊销许可证：</w:t>
            </w:r>
          </w:p>
          <w:p>
            <w:pPr>
              <w:pStyle w:val="TableText"/>
              <w:ind w:left="152" w:right="91" w:hanging="144"/>
              <w:spacing w:line="258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二）生产经营无标签的预包装食品、食品添加剂或者标签、说</w:t>
            </w:r>
            <w:r>
              <w:rPr/>
              <w:t xml:space="preserve"> </w:t>
            </w:r>
            <w:r>
              <w:rPr>
                <w:spacing w:val="4"/>
              </w:rPr>
              <w:t>明书不符合本法规定的食品、食品添加剂。</w:t>
            </w:r>
          </w:p>
        </w:tc>
        <w:tc>
          <w:tcPr>
            <w:tcW w:w="3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8" w:hRule="atLeast"/>
        </w:trPr>
        <w:tc>
          <w:tcPr>
            <w:tcW w:w="8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48"/>
              <w:spacing w:before="66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2600" w:type="dxa"/>
            <w:vAlign w:val="top"/>
          </w:tcPr>
          <w:p>
            <w:pPr>
              <w:pStyle w:val="TableText"/>
              <w:ind w:left="6" w:right="12" w:firstLine="126"/>
              <w:spacing w:before="79" w:line="286" w:lineRule="auto"/>
              <w:tabs>
                <w:tab w:val="left" w:pos="146"/>
              </w:tabs>
              <w:jc w:val="both"/>
              <w:rPr/>
            </w:pPr>
            <w:r>
              <w:rPr>
                <w:spacing w:val="31"/>
              </w:rPr>
              <w:t>对食品生产经营主体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的监督检查中，发现食</w:t>
            </w:r>
            <w:r>
              <w:rPr>
                <w:spacing w:val="3"/>
              </w:rPr>
              <w:t xml:space="preserve">  </w:t>
            </w:r>
            <w:r>
              <w:rPr>
                <w:spacing w:val="45"/>
              </w:rPr>
              <w:t>品生产主体生产过程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控制不符合《食品安全</w:t>
            </w:r>
            <w:r>
              <w:rPr>
                <w:spacing w:val="3"/>
              </w:rPr>
              <w:t xml:space="preserve">  </w:t>
            </w:r>
            <w:r>
              <w:rPr>
                <w:spacing w:val="28"/>
              </w:rPr>
              <w:t>国家标准</w:t>
            </w:r>
            <w:r>
              <w:rPr>
                <w:spacing w:val="40"/>
              </w:rPr>
              <w:t xml:space="preserve"> </w:t>
            </w:r>
            <w:r>
              <w:rPr>
                <w:spacing w:val="28"/>
              </w:rPr>
              <w:t>食品生产通</w:t>
            </w:r>
            <w:r>
              <w:rPr/>
              <w:t xml:space="preserve">  </w:t>
            </w:r>
            <w:r>
              <w:rPr>
                <w:spacing w:val="8"/>
              </w:rPr>
              <w:t>用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卫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生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规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范</w:t>
            </w:r>
            <w:r>
              <w:rPr>
                <w:spacing w:val="-47"/>
              </w:rPr>
              <w:t xml:space="preserve"> </w:t>
            </w:r>
            <w:r>
              <w:rPr>
                <w:spacing w:val="8"/>
              </w:rPr>
              <w:t>》</w:t>
            </w:r>
            <w:r>
              <w:rPr>
                <w:spacing w:val="-78"/>
              </w:rPr>
              <w:t xml:space="preserve"> </w:t>
            </w:r>
            <w:r>
              <w:rPr>
                <w:spacing w:val="8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GB   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  <w:spacing w:val="8"/>
              </w:rPr>
              <w:t>14881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8"/>
              </w:rPr>
              <w:t>）规定或食品经</w:t>
            </w:r>
            <w:r>
              <w:rPr/>
              <w:t xml:space="preserve"> </w:t>
            </w:r>
            <w:r>
              <w:rPr>
                <w:spacing w:val="45"/>
              </w:rPr>
              <w:t>营主体经营过程控制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不符合《食品安全国家</w:t>
            </w:r>
            <w:r>
              <w:rPr>
                <w:spacing w:val="3"/>
              </w:rPr>
              <w:t xml:space="preserve">  </w:t>
            </w:r>
            <w:r>
              <w:rPr>
                <w:spacing w:val="29"/>
              </w:rPr>
              <w:t>标准</w:t>
            </w:r>
            <w:r>
              <w:rPr>
                <w:spacing w:val="29"/>
              </w:rPr>
              <w:t xml:space="preserve"> </w:t>
            </w:r>
            <w:r>
              <w:rPr>
                <w:spacing w:val="29"/>
              </w:rPr>
              <w:t>餐饮服务通用卫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生规范》（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31654</w:t>
            </w:r>
            <w:r>
              <w:rPr>
                <w:spacing w:val="1"/>
              </w:rPr>
              <w:t>）、</w:t>
            </w:r>
            <w:r>
              <w:rPr/>
              <w:t xml:space="preserve"> </w:t>
            </w:r>
            <w:r>
              <w:rPr>
                <w:spacing w:val="37"/>
              </w:rPr>
              <w:t>《</w:t>
            </w:r>
            <w:r>
              <w:rPr>
                <w:spacing w:val="-43"/>
              </w:rPr>
              <w:t xml:space="preserve"> </w:t>
            </w:r>
            <w:r>
              <w:rPr>
                <w:spacing w:val="37"/>
              </w:rPr>
              <w:t>食品安全国家标准</w:t>
            </w:r>
            <w:r>
              <w:rPr/>
              <w:t xml:space="preserve">  </w:t>
            </w:r>
            <w:r>
              <w:rPr>
                <w:spacing w:val="45"/>
              </w:rPr>
              <w:t>食品经营过程卫生规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范》（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31621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8"/>
              </w:rPr>
              <w:t>）规定</w:t>
            </w:r>
          </w:p>
        </w:tc>
        <w:tc>
          <w:tcPr>
            <w:tcW w:w="666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89" w:hanging="121"/>
              <w:spacing w:before="75" w:line="289" w:lineRule="auto"/>
              <w:jc w:val="both"/>
              <w:rPr/>
            </w:pPr>
            <w:r>
              <w:rPr>
                <w:spacing w:val="4"/>
              </w:rPr>
              <w:t>《中华人民共和国食品安全法实施条例》第七十条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除食品安全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法第一百二十五条第一款、第一百二十六条规定的情形外，食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品生产经营者的生产经营行为不符合食品安全法第三十三条第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一款第五项、第七项至第十项的规定，或者不符合有关食品生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产经营过程要求的食品安全国家标准的，依照食品安全法第一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百二十六条第一款、本条例第七十五条的规定给予处罚。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91" w:hanging="121"/>
              <w:spacing w:before="74" w:line="292" w:lineRule="auto"/>
              <w:jc w:val="both"/>
              <w:rPr/>
            </w:pPr>
            <w:r>
              <w:rPr>
                <w:spacing w:val="4"/>
              </w:rPr>
              <w:t>《中华人民共和国食品安全法》第一百二十六条第一款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违反本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法规定，有下列情形之一的，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由县级以上人民政府食品安全监</w:t>
            </w:r>
            <w:r>
              <w:rPr/>
              <w:t xml:space="preserve"> </w:t>
            </w:r>
            <w:r>
              <w:rPr>
                <w:spacing w:val="8"/>
              </w:rPr>
              <w:t>督管理部门责令改正，给予警告；拒不改正的，处五千元以上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五万元以下罚款；情节严重的，责令停产停业，直至吊销许可</w:t>
            </w:r>
            <w:r>
              <w:rPr>
                <w:spacing w:val="9"/>
              </w:rPr>
              <w:t xml:space="preserve"> </w:t>
            </w:r>
            <w:r>
              <w:rPr/>
              <w:t>证。</w:t>
            </w:r>
          </w:p>
        </w:tc>
        <w:tc>
          <w:tcPr>
            <w:tcW w:w="388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5" w:line="315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  </w:t>
            </w:r>
            <w:r>
              <w:rPr>
                <w:position w:val="1"/>
              </w:rPr>
              <w:t>初次违法；</w:t>
            </w:r>
          </w:p>
          <w:p>
            <w:pPr>
              <w:pStyle w:val="TableText"/>
              <w:ind w:left="517" w:right="393" w:hanging="389"/>
              <w:spacing w:before="65" w:line="271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2.  </w:t>
            </w:r>
            <w:r>
              <w:rPr>
                <w:spacing w:val="4"/>
              </w:rPr>
              <w:t>未发生食品安全事故或未发生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食源性疾病；</w:t>
            </w:r>
          </w:p>
          <w:p>
            <w:pPr>
              <w:pStyle w:val="TableText"/>
              <w:ind w:left="535" w:right="393" w:hanging="402"/>
              <w:spacing w:before="24" w:line="272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3.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已改正。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1"/>
        <w:gridCol w:w="2600"/>
        <w:gridCol w:w="6664"/>
        <w:gridCol w:w="3885"/>
      </w:tblGrid>
      <w:tr>
        <w:trPr>
          <w:trHeight w:val="4800" w:hRule="atLeast"/>
        </w:trPr>
        <w:tc>
          <w:tcPr>
            <w:tcW w:w="8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8</w:t>
            </w:r>
          </w:p>
        </w:tc>
        <w:tc>
          <w:tcPr>
            <w:tcW w:w="260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09" w:hanging="27"/>
              <w:spacing w:before="75" w:line="272" w:lineRule="auto"/>
              <w:rPr/>
            </w:pPr>
            <w:r>
              <w:rPr>
                <w:spacing w:val="31"/>
              </w:rPr>
              <w:t>将特殊食品与普通食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品或者药品混放销售</w:t>
            </w:r>
          </w:p>
        </w:tc>
        <w:tc>
          <w:tcPr>
            <w:tcW w:w="6664" w:type="dxa"/>
            <w:vAlign w:val="top"/>
          </w:tcPr>
          <w:p>
            <w:pPr>
              <w:pStyle w:val="TableText"/>
              <w:ind w:left="140" w:right="89" w:hanging="132"/>
              <w:spacing w:before="73" w:line="271" w:lineRule="auto"/>
              <w:rPr/>
            </w:pPr>
            <w:r>
              <w:rPr>
                <w:spacing w:val="4"/>
              </w:rPr>
              <w:t>《中华人民共和国食品安全法实施条例》第三十九条第二款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特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殊食品不得与普通食品或者药品混放销售。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89" w:hanging="124"/>
              <w:spacing w:before="75" w:line="272" w:lineRule="auto"/>
              <w:jc w:val="both"/>
              <w:rPr/>
            </w:pPr>
            <w:r>
              <w:rPr>
                <w:spacing w:val="4"/>
              </w:rPr>
              <w:t>《中华人民共和国食品安全法实施条例》第六十九条第五项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有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下列情形之一的，依照食品安全法第一百二十六条第一款、本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条例第七十五条的规定给予处罚：</w:t>
            </w:r>
          </w:p>
          <w:p>
            <w:pPr>
              <w:pStyle w:val="TableText"/>
              <w:ind w:left="8"/>
              <w:spacing w:line="225" w:lineRule="auto"/>
              <w:rPr/>
            </w:pPr>
            <w:r>
              <w:rPr>
                <w:spacing w:val="5"/>
              </w:rPr>
              <w:t>（五）将特殊食品与普通食品或者药品混放销售。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91" w:hanging="121"/>
              <w:spacing w:before="75" w:line="276" w:lineRule="auto"/>
              <w:jc w:val="both"/>
              <w:rPr/>
            </w:pPr>
            <w:r>
              <w:rPr>
                <w:spacing w:val="4"/>
              </w:rPr>
              <w:t>《中华人民共和国食品安全法》第一百二十六条第一款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违反本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法规定，有下列情形之一的，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由县级以上人民政府食品安全监</w:t>
            </w:r>
            <w:r>
              <w:rPr/>
              <w:t xml:space="preserve"> </w:t>
            </w:r>
            <w:r>
              <w:rPr>
                <w:spacing w:val="8"/>
              </w:rPr>
              <w:t>督管理部门责令改正，给予警告；拒不改正的，处五千元以上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五万元以下罚款；情节严重的，责令停产停业，直至吊销许可</w:t>
            </w:r>
            <w:r>
              <w:rPr>
                <w:spacing w:val="9"/>
              </w:rPr>
              <w:t xml:space="preserve"> </w:t>
            </w:r>
            <w:r>
              <w:rPr/>
              <w:t>证。</w:t>
            </w:r>
          </w:p>
        </w:tc>
        <w:tc>
          <w:tcPr>
            <w:tcW w:w="38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5" w:line="315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  </w:t>
            </w:r>
            <w:r>
              <w:rPr>
                <w:position w:val="1"/>
              </w:rPr>
              <w:t>初次违法；</w:t>
            </w:r>
          </w:p>
          <w:p>
            <w:pPr>
              <w:pStyle w:val="TableText"/>
              <w:ind w:left="126"/>
              <w:spacing w:before="25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</w:rPr>
              <w:t xml:space="preserve">  </w:t>
            </w:r>
            <w:r>
              <w:rPr>
                <w:spacing w:val="2"/>
                <w:position w:val="1"/>
              </w:rPr>
              <w:t>能如实说明进货来源；</w:t>
            </w:r>
          </w:p>
          <w:p>
            <w:pPr>
              <w:pStyle w:val="TableText"/>
              <w:ind w:left="515" w:right="393" w:hanging="384"/>
              <w:spacing w:before="25" w:line="262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3.  </w:t>
            </w:r>
            <w:r>
              <w:rPr>
                <w:spacing w:val="4"/>
              </w:rPr>
              <w:t>未发生食品安全事故或未发生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食源性疾病；</w:t>
            </w:r>
          </w:p>
          <w:p>
            <w:pPr>
              <w:pStyle w:val="TableText"/>
              <w:ind w:left="554" w:right="389" w:hanging="429"/>
              <w:spacing w:before="27" w:line="264" w:lineRule="auto"/>
              <w:rPr/>
            </w:pPr>
            <w:r>
              <w:rPr>
                <w:rFonts w:ascii="Times New Roman" w:hAnsi="Times New Roman" w:eastAsia="Times New Roman" w:cs="Times New Roman"/>
                <w:spacing w:val="5"/>
              </w:rPr>
              <w:t>4.  </w:t>
            </w:r>
            <w:r>
              <w:rPr>
                <w:spacing w:val="5"/>
              </w:rPr>
              <w:t>立即自行改正或责令改正期间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已改正。</w:t>
            </w:r>
          </w:p>
        </w:tc>
      </w:tr>
      <w:tr>
        <w:trPr>
          <w:trHeight w:val="3070" w:hRule="atLeast"/>
        </w:trPr>
        <w:tc>
          <w:tcPr>
            <w:tcW w:w="3401" w:type="dxa"/>
            <w:vAlign w:val="top"/>
            <w:gridSpan w:val="2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1"/>
              <w:spacing w:before="75" w:line="227" w:lineRule="auto"/>
              <w:rPr/>
            </w:pPr>
            <w:r>
              <w:rPr>
                <w:spacing w:val="2"/>
              </w:rPr>
              <w:t>说明</w:t>
            </w:r>
          </w:p>
        </w:tc>
        <w:tc>
          <w:tcPr>
            <w:tcW w:w="10549" w:type="dxa"/>
            <w:vAlign w:val="top"/>
            <w:gridSpan w:val="2"/>
          </w:tcPr>
          <w:p>
            <w:pPr>
              <w:pStyle w:val="TableText"/>
              <w:ind w:left="148"/>
              <w:spacing w:before="188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1.  </w:t>
            </w:r>
            <w:r>
              <w:rPr>
                <w:spacing w:val="4"/>
                <w:position w:val="1"/>
              </w:rPr>
              <w:t>本清单针对某一违法行为类型列明的适用条件，应当同时具备。</w:t>
            </w:r>
          </w:p>
          <w:p>
            <w:pPr>
              <w:pStyle w:val="TableText"/>
              <w:ind w:left="531" w:right="189" w:hanging="406"/>
              <w:spacing w:before="26" w:line="263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2.  </w:t>
            </w:r>
            <w:r>
              <w:rPr>
                <w:spacing w:val="1"/>
              </w:rPr>
              <w:t>初次违法是指生产经营主体第一次违反食品安全法律、法规、规章等规定，依法被判定为违法行为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的情况。同一生产经营主体两年内未发生同类违法行为的，视</w:t>
            </w:r>
            <w:r>
              <w:rPr>
                <w:spacing w:val="4"/>
              </w:rPr>
              <w:t>为初次违法。</w:t>
            </w:r>
          </w:p>
          <w:p>
            <w:pPr>
              <w:pStyle w:val="TableText"/>
              <w:ind w:left="111"/>
              <w:spacing w:before="23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3.  </w:t>
            </w:r>
            <w:r>
              <w:rPr>
                <w:spacing w:val="5"/>
                <w:position w:val="1"/>
              </w:rPr>
              <w:t>生产经营主体存在情节严重情形的</w:t>
            </w:r>
            <w:r>
              <w:rPr>
                <w:spacing w:val="4"/>
                <w:position w:val="1"/>
              </w:rPr>
              <w:t>，不适用本清单。</w:t>
            </w:r>
          </w:p>
          <w:p>
            <w:pPr>
              <w:pStyle w:val="TableText"/>
              <w:ind w:left="470" w:right="117" w:hanging="365"/>
              <w:spacing w:before="26" w:line="263" w:lineRule="auto"/>
              <w:rPr/>
            </w:pPr>
            <w:r>
              <w:rPr>
                <w:rFonts w:ascii="Times New Roman" w:hAnsi="Times New Roman" w:eastAsia="Times New Roman" w:cs="Times New Roman"/>
                <w:spacing w:val="3"/>
              </w:rPr>
              <w:t>4.  </w:t>
            </w:r>
            <w:r>
              <w:rPr>
                <w:spacing w:val="3"/>
              </w:rPr>
              <w:t>学校、托幼机构、养老机构、建筑工地等集中用餐单位以及为其供餐的集体用餐配送单位，不适用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本清单。</w:t>
            </w:r>
          </w:p>
          <w:p>
            <w:pPr>
              <w:pStyle w:val="TableText"/>
              <w:ind w:left="490" w:right="247" w:hanging="385"/>
              <w:spacing w:before="58" w:line="250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5.  </w:t>
            </w:r>
            <w:r>
              <w:rPr>
                <w:spacing w:val="4"/>
              </w:rPr>
              <w:t>依据本清单对当事人不予行政处罚的，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当事人应当对变质、超过保质期或者回收的食品履行相应</w:t>
            </w:r>
            <w:r>
              <w:rPr/>
              <w:t xml:space="preserve"> </w:t>
            </w:r>
            <w:r>
              <w:rPr/>
              <w:t>的法律义务。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62"/>
        <w:spacing w:before="101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7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2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ind w:left="2270"/>
        <w:spacing w:before="140" w:line="606" w:lineRule="exact"/>
        <w:outlineLvl w:val="1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"/>
          <w:position w:val="3"/>
        </w:rPr>
        <w:t>市场监管轻微行政违法行为不予处罚清单（一）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37" w:right="302" w:firstLine="646"/>
        <w:spacing w:before="101" w:line="29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本清单适用《中华人民共和国行政处罚法》第三十三条</w:t>
      </w:r>
      <w:r>
        <w:rPr>
          <w:rFonts w:ascii="KaiTi" w:hAnsi="KaiTi" w:eastAsia="KaiTi" w:cs="KaiTi"/>
          <w:sz w:val="31"/>
          <w:szCs w:val="31"/>
          <w:spacing w:val="-103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“违法行为轻微并及时改正，没有造成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危害后果的，不予行政处罚”的情形。</w:t>
      </w:r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4"/>
        <w:gridCol w:w="2702"/>
        <w:gridCol w:w="6603"/>
        <w:gridCol w:w="3951"/>
      </w:tblGrid>
      <w:tr>
        <w:trPr>
          <w:trHeight w:val="494" w:hRule="atLeast"/>
        </w:trPr>
        <w:tc>
          <w:tcPr>
            <w:tcW w:w="694" w:type="dxa"/>
            <w:vAlign w:val="top"/>
          </w:tcPr>
          <w:p>
            <w:pPr>
              <w:ind w:left="70"/>
              <w:spacing w:before="143" w:line="231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2702" w:type="dxa"/>
            <w:vAlign w:val="top"/>
          </w:tcPr>
          <w:p>
            <w:pPr>
              <w:ind w:left="650"/>
              <w:spacing w:before="126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4"/>
              </w:rPr>
              <w:t>违法行为类型</w:t>
            </w:r>
          </w:p>
        </w:tc>
        <w:tc>
          <w:tcPr>
            <w:tcW w:w="6603" w:type="dxa"/>
            <w:vAlign w:val="top"/>
          </w:tcPr>
          <w:p>
            <w:pPr>
              <w:ind w:left="2836"/>
              <w:spacing w:before="12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4"/>
              </w:rPr>
              <w:t>处罚依据</w:t>
            </w:r>
          </w:p>
        </w:tc>
        <w:tc>
          <w:tcPr>
            <w:tcW w:w="3951" w:type="dxa"/>
            <w:vAlign w:val="top"/>
          </w:tcPr>
          <w:p>
            <w:pPr>
              <w:ind w:left="1515"/>
              <w:spacing w:before="126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免罚条件</w:t>
            </w:r>
          </w:p>
        </w:tc>
      </w:tr>
      <w:tr>
        <w:trPr>
          <w:trHeight w:val="4457" w:hRule="atLeast"/>
        </w:trPr>
        <w:tc>
          <w:tcPr>
            <w:tcW w:w="69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14"/>
              <w:spacing w:before="67" w:line="314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1</w:t>
            </w:r>
          </w:p>
        </w:tc>
        <w:tc>
          <w:tcPr>
            <w:tcW w:w="270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09"/>
              <w:spacing w:before="75" w:line="272" w:lineRule="auto"/>
              <w:rPr/>
            </w:pPr>
            <w:r>
              <w:rPr>
                <w:spacing w:val="15"/>
              </w:rPr>
              <w:t>经营不符合食品安全标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准的食用农产品</w:t>
            </w:r>
          </w:p>
        </w:tc>
        <w:tc>
          <w:tcPr>
            <w:tcW w:w="6603" w:type="dxa"/>
            <w:vAlign w:val="top"/>
          </w:tcPr>
          <w:p>
            <w:pPr>
              <w:pStyle w:val="TableText"/>
              <w:ind w:left="128" w:right="90" w:hanging="123"/>
              <w:spacing w:before="67" w:line="274" w:lineRule="auto"/>
              <w:jc w:val="both"/>
              <w:rPr/>
            </w:pPr>
            <w:r>
              <w:rPr>
                <w:spacing w:val="10"/>
              </w:rPr>
              <w:t>《食用农产品市场销售质量安全监督管理办法》第十五条第一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款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禁止销售者采购、销售食品安全法第三十四条规定情形的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食用农产品。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90" w:hanging="118"/>
              <w:spacing w:before="75" w:line="273" w:lineRule="auto"/>
              <w:jc w:val="both"/>
              <w:rPr/>
            </w:pPr>
            <w:r>
              <w:rPr>
                <w:spacing w:val="20"/>
              </w:rPr>
              <w:t>《食用农产品市场销售质量安全监督管理办法》第四十二条</w:t>
            </w:r>
            <w:r>
              <w:rPr/>
              <w:t xml:space="preserve"> </w:t>
            </w:r>
            <w:r>
              <w:rPr>
                <w:spacing w:val="6"/>
              </w:rPr>
              <w:t>销售者违反本办法第十五条规定，采购、销售食品安全法第三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十四条规定情形的食用农产品的，由县级以上市场监督管理部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门依照食品安全法有关规定给予处罚。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90" w:hanging="118"/>
              <w:spacing w:before="75" w:line="265" w:lineRule="auto"/>
              <w:jc w:val="both"/>
              <w:rPr/>
            </w:pPr>
            <w:r>
              <w:rPr>
                <w:spacing w:val="20"/>
              </w:rPr>
              <w:t>《食用农产品市场销售质量安全监督管理办法》第四十八条</w:t>
            </w:r>
            <w:r>
              <w:rPr/>
              <w:t xml:space="preserve"> </w:t>
            </w:r>
            <w:r>
              <w:rPr>
                <w:spacing w:val="6"/>
              </w:rPr>
              <w:t>销售者履行了本办法规定的食用农产品进货查验等义务，有充</w:t>
            </w:r>
            <w:r>
              <w:rPr>
                <w:spacing w:val="10"/>
              </w:rPr>
              <w:t xml:space="preserve"> </w:t>
            </w:r>
            <w:r>
              <w:rPr>
                <w:spacing w:val="15"/>
              </w:rPr>
              <w:t>分证据证明其不知道所采购的食用农产品不符合食品安全标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准，并能如实说明其进货来源的，可以免予处罚，但应当依法</w:t>
            </w:r>
          </w:p>
        </w:tc>
        <w:tc>
          <w:tcPr>
            <w:tcW w:w="395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 w:right="151" w:hanging="341"/>
              <w:spacing w:before="75" w:line="264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 </w:t>
            </w:r>
            <w:r>
              <w:rPr>
                <w:spacing w:val="-8"/>
              </w:rPr>
              <w:t>非主观故意、食品不符合食品安全</w:t>
            </w:r>
            <w:r>
              <w:rPr/>
              <w:t xml:space="preserve"> </w:t>
            </w:r>
            <w:r>
              <w:rPr>
                <w:spacing w:val="4"/>
              </w:rPr>
              <w:t>标准不是其造成的；</w:t>
            </w:r>
          </w:p>
          <w:p>
            <w:pPr>
              <w:pStyle w:val="TableText"/>
              <w:ind w:left="130"/>
              <w:spacing w:before="21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1"/>
              </w:rPr>
              <w:t xml:space="preserve">  </w:t>
            </w:r>
            <w:r>
              <w:rPr>
                <w:spacing w:val="2"/>
                <w:position w:val="1"/>
              </w:rPr>
              <w:t>能如实说明进货来源；</w:t>
            </w:r>
          </w:p>
          <w:p>
            <w:pPr>
              <w:pStyle w:val="TableText"/>
              <w:ind w:left="475" w:right="458" w:hanging="341"/>
              <w:spacing w:before="25" w:line="263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3.  </w:t>
            </w:r>
            <w:r>
              <w:rPr>
                <w:spacing w:val="4"/>
              </w:rPr>
              <w:t>未发生食品安全事故或未发生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食源性疾病；</w:t>
            </w:r>
          </w:p>
          <w:p>
            <w:pPr>
              <w:pStyle w:val="TableText"/>
              <w:ind w:left="533" w:right="458" w:hanging="405"/>
              <w:spacing w:before="24" w:line="26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4.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已改正；</w:t>
            </w:r>
          </w:p>
          <w:p>
            <w:pPr>
              <w:pStyle w:val="TableText"/>
              <w:ind w:left="472" w:right="229" w:hanging="338"/>
              <w:spacing w:before="60" w:line="247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5.  </w:t>
            </w:r>
            <w:r>
              <w:rPr>
                <w:spacing w:val="-4"/>
              </w:rPr>
              <w:t>食品经营者在两年内第三次出现</w:t>
            </w:r>
            <w:r>
              <w:rPr/>
              <w:t xml:space="preserve">  </w:t>
            </w:r>
            <w:r>
              <w:rPr>
                <w:spacing w:val="1"/>
              </w:rPr>
              <w:t>本类型违法行为的，不予免罚。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4"/>
        <w:gridCol w:w="2702"/>
        <w:gridCol w:w="6603"/>
        <w:gridCol w:w="3951"/>
      </w:tblGrid>
      <w:tr>
        <w:trPr>
          <w:trHeight w:val="4461" w:hRule="atLeast"/>
        </w:trPr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3" w:type="dxa"/>
            <w:vAlign w:val="top"/>
          </w:tcPr>
          <w:p>
            <w:pPr>
              <w:pStyle w:val="TableText"/>
              <w:ind w:left="129" w:right="93" w:firstLine="8"/>
              <w:spacing w:before="73" w:line="272" w:lineRule="auto"/>
              <w:rPr/>
            </w:pPr>
            <w:r>
              <w:rPr>
                <w:spacing w:val="6"/>
              </w:rPr>
              <w:t>没收其不符合食品安全标准的食用农产品；造</w:t>
            </w:r>
            <w:r>
              <w:rPr>
                <w:spacing w:val="5"/>
              </w:rPr>
              <w:t>成人身、财产或</w:t>
            </w:r>
            <w:r>
              <w:rPr/>
              <w:t xml:space="preserve"> </w:t>
            </w:r>
            <w:r>
              <w:rPr>
                <w:spacing w:val="5"/>
              </w:rPr>
              <w:t>者其他损害的，依法承担赔偿责任。</w:t>
            </w:r>
          </w:p>
          <w:p>
            <w:pPr>
              <w:pStyle w:val="TableText"/>
              <w:ind w:left="126" w:right="90" w:hanging="121"/>
              <w:spacing w:before="9" w:line="272" w:lineRule="auto"/>
              <w:rPr/>
            </w:pPr>
            <w:r>
              <w:rPr>
                <w:spacing w:val="10"/>
              </w:rPr>
              <w:t>《中华人民共和国食品安全法》第一百二十四条第一款第一项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违反本法规定，有下列情形之一，尚不构成犯罪的，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由县级以</w:t>
            </w:r>
            <w:r>
              <w:rPr/>
              <w:t xml:space="preserve"> </w:t>
            </w:r>
            <w:r>
              <w:rPr>
                <w:spacing w:val="15"/>
              </w:rPr>
              <w:t>上人民政府食品安全监督管理部门没收违法所得和违法生产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经营的食品、食品添加剂，并可以没收用于违法生产经营的工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具、设备、原料等物品；违法生产经营的食品、食品添加剂货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值金额不足一万元的，并处五万元以上十万元以下罚款；货值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金额一万元以上的，并处货值金额十倍以上二十倍以下罚款；</w:t>
            </w:r>
            <w:r>
              <w:rPr>
                <w:spacing w:val="5"/>
              </w:rPr>
              <w:t xml:space="preserve"> </w:t>
            </w:r>
            <w:r>
              <w:rPr/>
              <w:t>情节严重的，</w:t>
            </w:r>
            <w:r>
              <w:rPr>
                <w:spacing w:val="-57"/>
              </w:rPr>
              <w:t xml:space="preserve"> </w:t>
            </w:r>
            <w:r>
              <w:rPr/>
              <w:t>吊销许可证：</w:t>
            </w:r>
          </w:p>
          <w:p>
            <w:pPr>
              <w:pStyle w:val="TableText"/>
              <w:ind w:left="130" w:right="93" w:hanging="125"/>
              <w:spacing w:before="3" w:line="261" w:lineRule="auto"/>
              <w:jc w:val="both"/>
              <w:rPr/>
            </w:pPr>
            <w:r>
              <w:rPr>
                <w:spacing w:val="8"/>
              </w:rPr>
              <w:t>（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一）生产经营致病性微生物，农药残留、兽药残留、生物毒</w:t>
            </w:r>
            <w:r>
              <w:rPr/>
              <w:t xml:space="preserve"> </w:t>
            </w:r>
            <w:r>
              <w:rPr>
                <w:spacing w:val="6"/>
              </w:rPr>
              <w:t>素、重金属等污染物质以及其他危害人体健康的物质含量超过</w:t>
            </w:r>
            <w:r>
              <w:rPr/>
              <w:t xml:space="preserve"> </w:t>
            </w:r>
            <w:r>
              <w:rPr>
                <w:spacing w:val="4"/>
              </w:rPr>
              <w:t>食品安全标准限量的食品、食品添加剂。</w:t>
            </w:r>
          </w:p>
        </w:tc>
        <w:tc>
          <w:tcPr>
            <w:tcW w:w="39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79" w:hRule="atLeast"/>
        </w:trPr>
        <w:tc>
          <w:tcPr>
            <w:tcW w:w="69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91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2</w:t>
            </w:r>
          </w:p>
        </w:tc>
        <w:tc>
          <w:tcPr>
            <w:tcW w:w="270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 w:right="109" w:hanging="24"/>
              <w:spacing w:before="75" w:line="275" w:lineRule="auto"/>
              <w:rPr/>
            </w:pPr>
            <w:r>
              <w:rPr>
                <w:spacing w:val="42"/>
              </w:rPr>
              <w:t>经营超过保质期的食</w:t>
            </w:r>
            <w:r>
              <w:rPr>
                <w:spacing w:val="5"/>
              </w:rPr>
              <w:t xml:space="preserve"> </w:t>
            </w:r>
            <w:r>
              <w:rPr/>
              <w:t>品、食品添加剂</w:t>
            </w:r>
          </w:p>
        </w:tc>
        <w:tc>
          <w:tcPr>
            <w:tcW w:w="6603" w:type="dxa"/>
            <w:vAlign w:val="top"/>
          </w:tcPr>
          <w:p>
            <w:pPr>
              <w:pStyle w:val="TableText"/>
              <w:ind w:left="132" w:right="93" w:hanging="127"/>
              <w:spacing w:before="151" w:line="260" w:lineRule="auto"/>
              <w:rPr/>
            </w:pPr>
            <w:r>
              <w:rPr>
                <w:spacing w:val="10"/>
              </w:rPr>
              <w:t>《中华人民共和国食品安全法》第三十四条第十项</w:t>
            </w:r>
            <w:r>
              <w:rPr>
                <w:spacing w:val="10"/>
              </w:rPr>
              <w:t xml:space="preserve">  </w:t>
            </w:r>
            <w:r>
              <w:rPr>
                <w:spacing w:val="10"/>
              </w:rPr>
              <w:t>禁止生产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经营下列食品、食品添加剂、食品相关产品：</w:t>
            </w:r>
          </w:p>
          <w:p>
            <w:pPr>
              <w:pStyle w:val="TableText"/>
              <w:ind w:left="156" w:right="102" w:hanging="151"/>
              <w:spacing w:line="261" w:lineRule="auto"/>
              <w:rPr/>
            </w:pPr>
            <w:r>
              <w:rPr>
                <w:spacing w:val="6"/>
              </w:rPr>
              <w:t>（十）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标注虚假生产日期、保质期或者超过保质期</w:t>
            </w:r>
            <w:r>
              <w:rPr>
                <w:spacing w:val="5"/>
              </w:rPr>
              <w:t>的食品、食</w:t>
            </w:r>
            <w:r>
              <w:rPr/>
              <w:t xml:space="preserve"> </w:t>
            </w:r>
            <w:r>
              <w:rPr>
                <w:spacing w:val="-3"/>
              </w:rPr>
              <w:t>品添加剂。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90" w:hanging="121"/>
              <w:spacing w:before="75" w:line="260" w:lineRule="auto"/>
              <w:jc w:val="both"/>
              <w:rPr/>
            </w:pPr>
            <w:r>
              <w:rPr>
                <w:spacing w:val="10"/>
              </w:rPr>
              <w:t>《中华人民共和国食品安全法》第一百二十四条第一款第五项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违反本法规定，有下列情形之一，尚不构成犯罪的，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由县级以</w:t>
            </w:r>
            <w:r>
              <w:rPr/>
              <w:t xml:space="preserve"> </w:t>
            </w:r>
            <w:r>
              <w:rPr>
                <w:spacing w:val="15"/>
              </w:rPr>
              <w:t>上人民政府食品安全监督管理部门没收违法所得和违法生产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经营的食品、食品添加剂，并可以没收用于违法生产经营的工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具、设备、原料等物品；违法生产经营的食品、食品添加剂货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值金额不足一万元的，并处五万元以上十万元以下罚款；货值</w:t>
            </w:r>
          </w:p>
        </w:tc>
        <w:tc>
          <w:tcPr>
            <w:tcW w:w="3951" w:type="dxa"/>
            <w:vAlign w:val="top"/>
          </w:tcPr>
          <w:p>
            <w:pPr>
              <w:pStyle w:val="TableText"/>
              <w:ind w:left="150"/>
              <w:spacing w:before="35" w:line="315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position w:val="1"/>
              </w:rPr>
              <w:t xml:space="preserve">  </w:t>
            </w:r>
            <w:r>
              <w:rPr>
                <w:position w:val="1"/>
              </w:rPr>
              <w:t>能如实说明进货来源；</w:t>
            </w:r>
          </w:p>
          <w:p>
            <w:pPr>
              <w:pStyle w:val="TableText"/>
              <w:ind w:left="516" w:right="223" w:hanging="389"/>
              <w:spacing w:before="23" w:line="263" w:lineRule="auto"/>
              <w:rPr/>
            </w:pPr>
            <w:r>
              <w:rPr>
                <w:rFonts w:ascii="Times New Roman" w:hAnsi="Times New Roman" w:eastAsia="Times New Roman" w:cs="Times New Roman"/>
                <w:spacing w:val="3"/>
              </w:rPr>
              <w:t>2.  </w:t>
            </w:r>
            <w:r>
              <w:rPr>
                <w:spacing w:val="3"/>
              </w:rPr>
              <w:t>违法货值金额不超过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元，且</w:t>
            </w:r>
            <w:r>
              <w:rPr/>
              <w:t xml:space="preserve"> </w:t>
            </w:r>
            <w:r>
              <w:rPr>
                <w:spacing w:val="3"/>
              </w:rPr>
              <w:t>食品未售出；</w:t>
            </w:r>
          </w:p>
          <w:p>
            <w:pPr>
              <w:pStyle w:val="TableText"/>
              <w:ind w:left="516" w:right="461" w:hanging="384"/>
              <w:spacing w:before="25" w:line="262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3.  </w:t>
            </w:r>
            <w:r>
              <w:rPr>
                <w:spacing w:val="4"/>
              </w:rPr>
              <w:t>未发生食品安全事故或未发生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食源性疾病；</w:t>
            </w:r>
          </w:p>
          <w:p>
            <w:pPr>
              <w:pStyle w:val="TableText"/>
              <w:ind w:left="553" w:right="461" w:hanging="427"/>
              <w:spacing w:before="26" w:line="26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4.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已改正；</w:t>
            </w:r>
          </w:p>
          <w:p>
            <w:pPr>
              <w:pStyle w:val="TableText"/>
              <w:ind w:left="496" w:right="205" w:hanging="360"/>
              <w:spacing w:before="57" w:line="248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5.  </w:t>
            </w:r>
            <w:r>
              <w:rPr>
                <w:spacing w:val="-5"/>
              </w:rPr>
              <w:t>食品经营者在两年内第三次出现</w:t>
            </w:r>
            <w:r>
              <w:rPr/>
              <w:t xml:space="preserve">  </w:t>
            </w:r>
            <w:r>
              <w:rPr>
                <w:spacing w:val="1"/>
              </w:rPr>
              <w:t>本类型违法行为的，不予免罚。</w:t>
            </w:r>
          </w:p>
        </w:tc>
      </w:tr>
    </w:tbl>
    <w:p>
      <w:pPr>
        <w:spacing w:line="107" w:lineRule="exact"/>
        <w:rPr>
          <w:rFonts w:ascii="Arial"/>
          <w:sz w:val="9"/>
        </w:rPr>
      </w:pPr>
      <w:r/>
    </w:p>
    <w:p>
      <w:pPr>
        <w:spacing w:line="107" w:lineRule="exact"/>
        <w:sectPr>
          <w:footerReference w:type="default" r:id="rId14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9"/>
          <w:szCs w:val="9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4"/>
        <w:gridCol w:w="2702"/>
        <w:gridCol w:w="6603"/>
        <w:gridCol w:w="3951"/>
      </w:tblGrid>
      <w:tr>
        <w:trPr>
          <w:trHeight w:val="1788" w:hRule="atLeast"/>
        </w:trPr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3" w:type="dxa"/>
            <w:vAlign w:val="top"/>
          </w:tcPr>
          <w:p>
            <w:pPr>
              <w:pStyle w:val="TableText"/>
              <w:ind w:left="136" w:right="151" w:hanging="7"/>
              <w:spacing w:before="64" w:line="260" w:lineRule="auto"/>
              <w:rPr/>
            </w:pPr>
            <w:r>
              <w:rPr>
                <w:spacing w:val="4"/>
              </w:rPr>
              <w:t>金额一万元以上的，并处货值金额十倍以上二十倍以下</w:t>
            </w:r>
            <w:r>
              <w:rPr>
                <w:spacing w:val="3"/>
              </w:rPr>
              <w:t>罚款；</w:t>
            </w:r>
            <w:r>
              <w:rPr/>
              <w:t xml:space="preserve"> </w:t>
            </w:r>
            <w:r>
              <w:rPr>
                <w:spacing w:val="-1"/>
              </w:rPr>
              <w:t>情节严重的，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吊销许可证：</w:t>
            </w:r>
          </w:p>
          <w:p>
            <w:pPr>
              <w:pStyle w:val="TableText"/>
              <w:ind w:left="130" w:right="93" w:hanging="125"/>
              <w:spacing w:line="261" w:lineRule="auto"/>
              <w:rPr/>
            </w:pPr>
            <w:r>
              <w:rPr>
                <w:spacing w:val="9"/>
              </w:rPr>
              <w:t>（</w:t>
            </w:r>
            <w:r>
              <w:rPr>
                <w:spacing w:val="-64"/>
              </w:rPr>
              <w:t xml:space="preserve"> </w:t>
            </w:r>
            <w:r>
              <w:rPr>
                <w:spacing w:val="9"/>
              </w:rPr>
              <w:t>五）生产经营标注虚假生产日期、保质期或</w:t>
            </w:r>
            <w:r>
              <w:rPr>
                <w:spacing w:val="8"/>
              </w:rPr>
              <w:t>者超过保质期的</w:t>
            </w:r>
            <w:r>
              <w:rPr/>
              <w:t xml:space="preserve"> </w:t>
            </w:r>
            <w:r>
              <w:rPr>
                <w:spacing w:val="4"/>
              </w:rPr>
              <w:t>食品、食品添加剂。</w:t>
            </w:r>
          </w:p>
        </w:tc>
        <w:tc>
          <w:tcPr>
            <w:tcW w:w="39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4" w:hRule="atLeast"/>
        </w:trPr>
        <w:tc>
          <w:tcPr>
            <w:tcW w:w="69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3</w:t>
            </w:r>
          </w:p>
        </w:tc>
        <w:tc>
          <w:tcPr>
            <w:tcW w:w="270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9" w:firstLine="10"/>
              <w:spacing w:before="75" w:line="272" w:lineRule="auto"/>
              <w:jc w:val="both"/>
              <w:rPr/>
            </w:pPr>
            <w:r>
              <w:rPr>
                <w:spacing w:val="15"/>
              </w:rPr>
              <w:t>经营标签不符合《食品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安全国家标准</w:t>
            </w:r>
            <w:r>
              <w:rPr>
                <w:spacing w:val="69"/>
              </w:rPr>
              <w:t xml:space="preserve"> </w:t>
            </w:r>
            <w:r>
              <w:rPr>
                <w:spacing w:val="23"/>
              </w:rPr>
              <w:t>预包装</w:t>
            </w:r>
            <w:r>
              <w:rPr/>
              <w:t xml:space="preserve"> </w:t>
            </w:r>
            <w:r>
              <w:rPr>
                <w:spacing w:val="24"/>
              </w:rPr>
              <w:t>食品标签通则》（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GB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7718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10"/>
              </w:rPr>
              <w:t>）或《食品安全国</w:t>
            </w:r>
            <w:r>
              <w:rPr/>
              <w:t xml:space="preserve"> </w:t>
            </w:r>
            <w:r>
              <w:rPr>
                <w:spacing w:val="23"/>
              </w:rPr>
              <w:t>家标准</w:t>
            </w:r>
            <w:r>
              <w:rPr>
                <w:spacing w:val="69"/>
              </w:rPr>
              <w:t xml:space="preserve"> </w:t>
            </w:r>
            <w:r>
              <w:rPr>
                <w:spacing w:val="23"/>
              </w:rPr>
              <w:t>预包装食品营</w:t>
            </w:r>
            <w:r>
              <w:rPr/>
              <w:t xml:space="preserve"> </w:t>
            </w:r>
            <w:r>
              <w:rPr>
                <w:spacing w:val="-4"/>
              </w:rPr>
              <w:t>养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标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签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通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则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》</w:t>
            </w:r>
            <w:r>
              <w:rPr>
                <w:spacing w:val="-64"/>
              </w:rP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GB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28050</w:t>
            </w:r>
            <w:r>
              <w:rPr>
                <w:spacing w:val="3"/>
              </w:rPr>
              <w:t>）规定的预包装食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品</w:t>
            </w:r>
          </w:p>
        </w:tc>
        <w:tc>
          <w:tcPr>
            <w:tcW w:w="6603" w:type="dxa"/>
            <w:vAlign w:val="top"/>
          </w:tcPr>
          <w:p>
            <w:pPr>
              <w:pStyle w:val="TableText"/>
              <w:ind w:left="126" w:right="93" w:hanging="121"/>
              <w:spacing w:before="61" w:line="260" w:lineRule="auto"/>
              <w:rPr/>
            </w:pPr>
            <w:r>
              <w:rPr>
                <w:spacing w:val="10"/>
              </w:rPr>
              <w:t>《中华人民共和国食品安全法》第六十七条</w:t>
            </w:r>
            <w:r>
              <w:rPr>
                <w:spacing w:val="10"/>
              </w:rPr>
              <w:t xml:space="preserve">  </w:t>
            </w:r>
            <w:r>
              <w:rPr>
                <w:spacing w:val="10"/>
              </w:rPr>
              <w:t>预包装食品的包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装上应当有标签。标签应当标明下列事项：</w:t>
            </w:r>
          </w:p>
          <w:p>
            <w:pPr>
              <w:pStyle w:val="TableText"/>
              <w:ind w:left="5"/>
              <w:spacing w:line="223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一）名称、规格、净含量、生产日期；</w:t>
            </w:r>
          </w:p>
          <w:p>
            <w:pPr>
              <w:pStyle w:val="TableText"/>
              <w:ind w:left="5"/>
              <w:spacing w:before="45" w:line="223" w:lineRule="auto"/>
              <w:rPr/>
            </w:pPr>
            <w:r>
              <w:rPr/>
              <w:t>（</w:t>
            </w:r>
            <w:r>
              <w:rPr>
                <w:spacing w:val="-60"/>
              </w:rPr>
              <w:t xml:space="preserve"> </w:t>
            </w:r>
            <w:r>
              <w:rPr/>
              <w:t>二）成分或者配料表；</w:t>
            </w:r>
          </w:p>
          <w:p>
            <w:pPr>
              <w:pStyle w:val="TableText"/>
              <w:ind w:left="5"/>
              <w:spacing w:before="45" w:line="224" w:lineRule="auto"/>
              <w:rPr/>
            </w:pPr>
            <w:r>
              <w:rPr>
                <w:spacing w:val="2"/>
              </w:rPr>
              <w:t>（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三）生产者的名称、地址、联系方式；</w:t>
            </w:r>
          </w:p>
          <w:p>
            <w:pPr>
              <w:pStyle w:val="TableText"/>
              <w:ind w:left="5"/>
              <w:spacing w:before="45" w:line="224" w:lineRule="auto"/>
              <w:rPr/>
            </w:pPr>
            <w:r>
              <w:rPr>
                <w:spacing w:val="-5"/>
              </w:rPr>
              <w:t>（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四）保质期；</w:t>
            </w:r>
          </w:p>
          <w:p>
            <w:pPr>
              <w:pStyle w:val="TableText"/>
              <w:ind w:left="5"/>
              <w:spacing w:before="46" w:line="225" w:lineRule="auto"/>
              <w:rPr/>
            </w:pPr>
            <w:r>
              <w:rPr/>
              <w:t>（</w:t>
            </w:r>
            <w:r>
              <w:rPr>
                <w:spacing w:val="-65"/>
              </w:rPr>
              <w:t xml:space="preserve"> </w:t>
            </w:r>
            <w:r>
              <w:rPr/>
              <w:t>五）产品标准代号；</w:t>
            </w:r>
          </w:p>
          <w:p>
            <w:pPr>
              <w:pStyle w:val="TableText"/>
              <w:ind w:left="5"/>
              <w:spacing w:before="43" w:line="222" w:lineRule="auto"/>
              <w:rPr/>
            </w:pPr>
            <w:r>
              <w:rPr>
                <w:spacing w:val="4"/>
              </w:rPr>
              <w:t>（六）贮存条件；</w:t>
            </w:r>
          </w:p>
          <w:p>
            <w:pPr>
              <w:pStyle w:val="TableText"/>
              <w:ind w:left="5"/>
              <w:spacing w:before="48" w:line="222" w:lineRule="auto"/>
              <w:rPr/>
            </w:pPr>
            <w:r>
              <w:rPr>
                <w:spacing w:val="5"/>
              </w:rPr>
              <w:t>（七）所使用的食品添加剂在国家标准中的通用名称；</w:t>
            </w:r>
          </w:p>
          <w:p>
            <w:pPr>
              <w:pStyle w:val="TableText"/>
              <w:ind w:left="5"/>
              <w:spacing w:before="47" w:line="225" w:lineRule="auto"/>
              <w:rPr/>
            </w:pPr>
            <w:r>
              <w:rPr>
                <w:spacing w:val="5"/>
              </w:rPr>
              <w:t>（八）生产许可证编号；</w:t>
            </w:r>
          </w:p>
          <w:p>
            <w:pPr>
              <w:pStyle w:val="TableText"/>
              <w:ind w:left="134" w:right="50" w:hanging="129"/>
              <w:spacing w:before="43" w:line="248" w:lineRule="auto"/>
              <w:rPr/>
            </w:pPr>
            <w:r>
              <w:rPr>
                <w:spacing w:val="3"/>
              </w:rPr>
              <w:t>（九）法律、法规或者食品安全标准规定应当标明的其他事项。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专供婴幼儿和其他特定人群的主辅食品，其标签还应</w:t>
            </w:r>
            <w:r>
              <w:rPr>
                <w:spacing w:val="5"/>
              </w:rPr>
              <w:t>当标明主</w:t>
            </w:r>
            <w:r>
              <w:rPr/>
              <w:t xml:space="preserve"> </w:t>
            </w:r>
            <w:r>
              <w:rPr>
                <w:spacing w:val="3"/>
              </w:rPr>
              <w:t>要营养成分及其含量。</w:t>
            </w:r>
          </w:p>
          <w:p>
            <w:pPr>
              <w:pStyle w:val="TableText"/>
              <w:ind w:left="131"/>
              <w:spacing w:before="45" w:line="224" w:lineRule="auto"/>
              <w:rPr/>
            </w:pPr>
            <w:r>
              <w:rPr>
                <w:spacing w:val="5"/>
              </w:rPr>
              <w:t>食品安全国家标准对标签标注事项另有规定的，从其规定。</w:t>
            </w:r>
          </w:p>
          <w:p>
            <w:pPr>
              <w:pStyle w:val="TableText"/>
              <w:ind w:left="124" w:right="22" w:hanging="119"/>
              <w:spacing w:before="44" w:line="255" w:lineRule="auto"/>
              <w:rPr/>
            </w:pPr>
            <w:r>
              <w:rPr>
                <w:spacing w:val="10"/>
              </w:rPr>
              <w:t>《中华人民共和国食品安全法》第七十一条</w:t>
            </w:r>
            <w:r>
              <w:rPr>
                <w:spacing w:val="10"/>
              </w:rPr>
              <w:t xml:space="preserve">  </w:t>
            </w:r>
            <w:r>
              <w:rPr>
                <w:spacing w:val="10"/>
              </w:rPr>
              <w:t>食品和食品添加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剂的标签、说明书，不得含有虚假内容，不得涉及疾病预防、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治疗功能。生产经营者对其提供的标签、说明书的内容负责。</w:t>
            </w:r>
            <w:r>
              <w:rPr>
                <w:spacing w:val="8"/>
              </w:rPr>
              <w:t xml:space="preserve"> </w:t>
            </w:r>
            <w:r>
              <w:rPr/>
              <w:t>食品和食品添加剂的标签、说明书应当清楚、明显，生产日期、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保质期等事项应当显著标注，容易辨识。</w:t>
            </w:r>
          </w:p>
        </w:tc>
        <w:tc>
          <w:tcPr>
            <w:tcW w:w="395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5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1.  </w:t>
            </w:r>
            <w:r>
              <w:rPr>
                <w:spacing w:val="2"/>
                <w:position w:val="1"/>
              </w:rPr>
              <w:t>属于食品经营环节；</w:t>
            </w:r>
          </w:p>
          <w:p>
            <w:pPr>
              <w:pStyle w:val="TableText"/>
              <w:ind w:left="127"/>
              <w:spacing w:before="25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1"/>
              </w:rPr>
              <w:t xml:space="preserve">  </w:t>
            </w:r>
            <w:r>
              <w:rPr>
                <w:spacing w:val="2"/>
                <w:position w:val="1"/>
              </w:rPr>
              <w:t>能如实说明进货来源；</w:t>
            </w:r>
          </w:p>
          <w:p>
            <w:pPr>
              <w:pStyle w:val="TableText"/>
              <w:ind w:left="471" w:right="461" w:hanging="339"/>
              <w:spacing w:before="25" w:line="262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3.  </w:t>
            </w:r>
            <w:r>
              <w:rPr>
                <w:spacing w:val="4"/>
              </w:rPr>
              <w:t>未发生食品安全事故或未发生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食源性疾病；</w:t>
            </w:r>
          </w:p>
          <w:p>
            <w:pPr>
              <w:pStyle w:val="TableText"/>
              <w:ind w:left="536" w:right="444" w:hanging="393"/>
              <w:spacing w:before="26" w:line="26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4.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已改正；</w:t>
            </w:r>
          </w:p>
          <w:p>
            <w:pPr>
              <w:pStyle w:val="TableText"/>
              <w:ind w:left="496" w:right="205" w:hanging="384"/>
              <w:spacing w:before="57" w:line="248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5.  </w:t>
            </w:r>
            <w:r>
              <w:rPr>
                <w:spacing w:val="-5"/>
              </w:rPr>
              <w:t>食品经营者在两年内第三次出现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本类型违法行为的，不予免罚。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4"/>
        <w:gridCol w:w="2702"/>
        <w:gridCol w:w="6603"/>
        <w:gridCol w:w="3951"/>
      </w:tblGrid>
      <w:tr>
        <w:trPr>
          <w:trHeight w:val="3929" w:hRule="atLeast"/>
        </w:trPr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3" w:type="dxa"/>
            <w:vAlign w:val="top"/>
          </w:tcPr>
          <w:p>
            <w:pPr>
              <w:pStyle w:val="TableText"/>
              <w:ind w:left="124" w:right="93" w:firstLine="7"/>
              <w:spacing w:before="64" w:line="260" w:lineRule="auto"/>
              <w:rPr/>
            </w:pPr>
            <w:r>
              <w:rPr>
                <w:spacing w:val="6"/>
              </w:rPr>
              <w:t>食品和食品添加剂与其标签、说明书的内容不符的，不得上市</w:t>
            </w:r>
            <w:r>
              <w:rPr/>
              <w:t xml:space="preserve"> </w:t>
            </w:r>
            <w:r>
              <w:rPr>
                <w:spacing w:val="3"/>
              </w:rPr>
              <w:t>销售。</w:t>
            </w:r>
          </w:p>
          <w:p>
            <w:pPr>
              <w:pStyle w:val="TableText"/>
              <w:ind w:left="120" w:right="32" w:hanging="115"/>
              <w:spacing w:line="260" w:lineRule="auto"/>
              <w:rPr/>
            </w:pPr>
            <w:r>
              <w:rPr>
                <w:spacing w:val="10"/>
              </w:rPr>
              <w:t>《中华人民共和国食品安全法》第一百二十五条第一款第二项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违反本法规定，有下列情形之一的，</w:t>
            </w:r>
            <w:r>
              <w:rPr>
                <w:spacing w:val="-51"/>
              </w:rPr>
              <w:t xml:space="preserve"> </w:t>
            </w:r>
            <w:r>
              <w:rPr>
                <w:spacing w:val="4"/>
              </w:rPr>
              <w:t>由县级以上人民政府食品</w:t>
            </w:r>
            <w:r>
              <w:rPr/>
              <w:t xml:space="preserve"> </w:t>
            </w:r>
            <w:r>
              <w:rPr>
                <w:spacing w:val="6"/>
              </w:rPr>
              <w:t>安全监督管理部门没收违法所得和违法生产经营的食品、食品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添加剂，并可以没收用于违法生产经营的工具、设备、原料等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物品；违法生产经营的食品、食品添加剂货值金额不足一万元</w:t>
            </w:r>
            <w:r>
              <w:rPr>
                <w:spacing w:val="10"/>
              </w:rPr>
              <w:t xml:space="preserve"> </w:t>
            </w:r>
            <w:r>
              <w:rPr/>
              <w:t>的，并处五千元以上五万元以下罚款；货值金额一万元以上的，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并处货值金额五倍以上十倍以下罚款；情节严重的，责令停产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停业，直至吊销许可证：</w:t>
            </w:r>
          </w:p>
          <w:p>
            <w:pPr>
              <w:pStyle w:val="TableText"/>
              <w:ind w:left="126" w:right="142" w:hanging="121"/>
              <w:spacing w:before="1" w:line="246" w:lineRule="auto"/>
              <w:rPr/>
            </w:pPr>
            <w:r>
              <w:rPr>
                <w:spacing w:val="7"/>
              </w:rPr>
              <w:t>（</w:t>
            </w:r>
            <w:r>
              <w:rPr>
                <w:spacing w:val="-59"/>
              </w:rPr>
              <w:t xml:space="preserve"> </w:t>
            </w:r>
            <w:r>
              <w:rPr>
                <w:spacing w:val="7"/>
              </w:rPr>
              <w:t>二）生产经营无标签的预包装食品、食品添</w:t>
            </w:r>
            <w:r>
              <w:rPr>
                <w:spacing w:val="6"/>
              </w:rPr>
              <w:t>加剂或者标签、</w:t>
            </w:r>
            <w:r>
              <w:rPr/>
              <w:t xml:space="preserve"> </w:t>
            </w:r>
            <w:r>
              <w:rPr>
                <w:spacing w:val="5"/>
              </w:rPr>
              <w:t>说明书不符合本法规定的食品、食品添加剂。</w:t>
            </w:r>
          </w:p>
        </w:tc>
        <w:tc>
          <w:tcPr>
            <w:tcW w:w="39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1" w:hRule="atLeast"/>
        </w:trPr>
        <w:tc>
          <w:tcPr>
            <w:tcW w:w="69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  <w:position w:val="2"/>
              </w:rPr>
              <w:t>4</w:t>
            </w:r>
          </w:p>
        </w:tc>
        <w:tc>
          <w:tcPr>
            <w:tcW w:w="270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09" w:firstLine="2"/>
              <w:spacing w:before="75" w:line="273" w:lineRule="auto"/>
              <w:rPr/>
            </w:pPr>
            <w:r>
              <w:rPr>
                <w:spacing w:val="15"/>
              </w:rPr>
              <w:t>将特殊食品与普通食品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或者药品混放销售</w:t>
            </w:r>
          </w:p>
        </w:tc>
        <w:tc>
          <w:tcPr>
            <w:tcW w:w="6603" w:type="dxa"/>
            <w:vAlign w:val="top"/>
          </w:tcPr>
          <w:p>
            <w:pPr>
              <w:pStyle w:val="TableText"/>
              <w:ind w:left="129" w:right="90" w:hanging="124"/>
              <w:spacing w:before="64" w:line="259" w:lineRule="auto"/>
              <w:rPr/>
            </w:pPr>
            <w:r>
              <w:rPr>
                <w:spacing w:val="20"/>
              </w:rPr>
              <w:t>《中华人民共和国食品安全法实施条例》第三十九条第二款</w:t>
            </w:r>
            <w:r>
              <w:rPr/>
              <w:t xml:space="preserve"> </w:t>
            </w:r>
            <w:r>
              <w:rPr>
                <w:spacing w:val="5"/>
              </w:rPr>
              <w:t>特殊食品不得与普通食品或者药品混放销售。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92" w:hanging="121"/>
              <w:spacing w:before="75" w:line="259" w:lineRule="auto"/>
              <w:rPr/>
            </w:pPr>
            <w:r>
              <w:rPr>
                <w:spacing w:val="20"/>
              </w:rPr>
              <w:t>《中华人民共和国食品安全法实施条例》第六十九条第</w:t>
            </w:r>
            <w:r>
              <w:rPr>
                <w:spacing w:val="19"/>
              </w:rPr>
              <w:t>五项</w:t>
            </w:r>
            <w:r>
              <w:rPr/>
              <w:t xml:space="preserve"> </w:t>
            </w:r>
            <w:r>
              <w:rPr>
                <w:spacing w:val="6"/>
              </w:rPr>
              <w:t>有下列情形之一的，依照食品安全法第一百二十六条第一款、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本条例第七十五条的规定给予处罚：</w:t>
            </w:r>
          </w:p>
          <w:p>
            <w:pPr>
              <w:pStyle w:val="TableText"/>
              <w:ind w:left="5"/>
              <w:spacing w:line="225" w:lineRule="auto"/>
              <w:rPr/>
            </w:pPr>
            <w:r>
              <w:rPr>
                <w:spacing w:val="3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3"/>
              </w:rPr>
              <w:t>五）将特殊食品与普通食品或者药品混放销售。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90" w:hanging="121"/>
              <w:spacing w:before="75" w:line="254" w:lineRule="auto"/>
              <w:jc w:val="both"/>
              <w:rPr/>
            </w:pPr>
            <w:r>
              <w:rPr>
                <w:spacing w:val="10"/>
              </w:rPr>
              <w:t>《中华人民共和国食品安全法》第一百二十六条第一款</w:t>
            </w:r>
            <w:r>
              <w:rPr>
                <w:spacing w:val="10"/>
              </w:rPr>
              <w:t xml:space="preserve">  </w:t>
            </w:r>
            <w:r>
              <w:rPr>
                <w:spacing w:val="10"/>
              </w:rPr>
              <w:t>违反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本法规定，有下列情形之一的，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由县级以上人民政府食品安全</w:t>
            </w:r>
            <w:r>
              <w:rPr/>
              <w:t xml:space="preserve"> </w:t>
            </w:r>
            <w:r>
              <w:rPr>
                <w:spacing w:val="6"/>
              </w:rPr>
              <w:t>监督管理部门责令改正，给予警告；拒不改正的，处五千元以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上五万元以下罚款；情节严重的，责令停产停业，直至吊销许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可证。</w:t>
            </w:r>
          </w:p>
        </w:tc>
        <w:tc>
          <w:tcPr>
            <w:tcW w:w="395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5" w:line="314" w:lineRule="exact"/>
              <w:rPr/>
            </w:pPr>
            <w:r>
              <w:rPr>
                <w:rFonts w:ascii="Times New Roman" w:hAnsi="Times New Roman" w:eastAsia="Times New Roman" w:cs="Times New Roman"/>
                <w:position w:val="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1"/>
              </w:rPr>
              <w:t xml:space="preserve">  </w:t>
            </w:r>
            <w:r>
              <w:rPr>
                <w:position w:val="1"/>
              </w:rPr>
              <w:t>能如实说明进货来源；</w:t>
            </w:r>
          </w:p>
          <w:p>
            <w:pPr>
              <w:pStyle w:val="TableText"/>
              <w:ind w:left="499" w:right="461" w:hanging="372"/>
              <w:spacing w:before="23" w:line="26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</w:rPr>
              <w:t>2.  </w:t>
            </w:r>
            <w:r>
              <w:rPr>
                <w:spacing w:val="4"/>
              </w:rPr>
              <w:t>未发生食品安全事故或未发生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食源性疾病</w:t>
            </w:r>
            <w:r>
              <w:rPr>
                <w:rFonts w:ascii="Times New Roman" w:hAnsi="Times New Roman" w:eastAsia="Times New Roman" w:cs="Times New Roman"/>
                <w:spacing w:val="3"/>
              </w:rPr>
              <w:t>;</w:t>
            </w:r>
          </w:p>
          <w:p>
            <w:pPr>
              <w:pStyle w:val="TableText"/>
              <w:ind w:left="536" w:right="477" w:hanging="421"/>
              <w:spacing w:before="31" w:line="263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3.  </w:t>
            </w:r>
            <w:r>
              <w:rPr>
                <w:spacing w:val="4"/>
              </w:rPr>
              <w:t>立即自行改正或责令改正期间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已改正。</w:t>
            </w:r>
          </w:p>
        </w:tc>
      </w:tr>
    </w:tbl>
    <w:p>
      <w:pPr>
        <w:spacing w:line="167" w:lineRule="exact"/>
        <w:rPr>
          <w:rFonts w:ascii="Arial"/>
          <w:sz w:val="14"/>
        </w:rPr>
      </w:pPr>
      <w:r/>
    </w:p>
    <w:p>
      <w:pPr>
        <w:spacing w:line="167" w:lineRule="exact"/>
        <w:sectPr>
          <w:footerReference w:type="default" r:id="rId16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3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95"/>
        <w:gridCol w:w="10555"/>
      </w:tblGrid>
      <w:tr>
        <w:trPr>
          <w:trHeight w:val="2083" w:hRule="atLeast"/>
        </w:trPr>
        <w:tc>
          <w:tcPr>
            <w:tcW w:w="339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9"/>
              <w:spacing w:before="75" w:line="227" w:lineRule="auto"/>
              <w:rPr/>
            </w:pPr>
            <w:r>
              <w:rPr>
                <w:spacing w:val="2"/>
              </w:rPr>
              <w:t>说明</w:t>
            </w:r>
          </w:p>
        </w:tc>
        <w:tc>
          <w:tcPr>
            <w:tcW w:w="10555" w:type="dxa"/>
            <w:vAlign w:val="top"/>
          </w:tcPr>
          <w:p>
            <w:pPr>
              <w:pStyle w:val="TableText"/>
              <w:ind w:left="147"/>
              <w:spacing w:before="51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1.  </w:t>
            </w:r>
            <w:r>
              <w:rPr>
                <w:spacing w:val="4"/>
                <w:position w:val="1"/>
              </w:rPr>
              <w:t>本清单针对某一违法行为类型列明的适用条件，应当同时具备。</w:t>
            </w:r>
          </w:p>
          <w:p>
            <w:pPr>
              <w:pStyle w:val="TableText"/>
              <w:ind w:left="124"/>
              <w:spacing w:before="23" w:line="315" w:lineRule="exact"/>
              <w:rPr/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2.  </w:t>
            </w:r>
            <w:r>
              <w:rPr>
                <w:spacing w:val="5"/>
                <w:position w:val="1"/>
              </w:rPr>
              <w:t>经营主体存在情节严重情形的，不适用本</w:t>
            </w:r>
            <w:r>
              <w:rPr>
                <w:spacing w:val="4"/>
                <w:position w:val="1"/>
              </w:rPr>
              <w:t>清单。</w:t>
            </w:r>
          </w:p>
          <w:p>
            <w:pPr>
              <w:pStyle w:val="TableText"/>
              <w:ind w:left="471" w:right="21" w:hanging="342"/>
              <w:spacing w:before="26" w:line="263" w:lineRule="auto"/>
              <w:rPr/>
            </w:pPr>
            <w:r>
              <w:rPr>
                <w:rFonts w:ascii="Times New Roman" w:hAnsi="Times New Roman" w:eastAsia="Times New Roman" w:cs="Times New Roman"/>
                <w:spacing w:val="5"/>
              </w:rPr>
              <w:t>3.  </w:t>
            </w:r>
            <w:r>
              <w:rPr>
                <w:spacing w:val="5"/>
              </w:rPr>
              <w:t>学校、托幼机构、养老机构、建筑工地等集中用餐单位以及为其</w:t>
            </w:r>
            <w:r>
              <w:rPr>
                <w:spacing w:val="4"/>
              </w:rPr>
              <w:t>供餐的集体用餐配送单位，不适用</w:t>
            </w:r>
            <w:r>
              <w:rPr/>
              <w:t xml:space="preserve"> </w:t>
            </w:r>
            <w:r>
              <w:rPr>
                <w:spacing w:val="3"/>
              </w:rPr>
              <w:t>本清单。</w:t>
            </w:r>
          </w:p>
          <w:p>
            <w:pPr>
              <w:pStyle w:val="TableText"/>
              <w:ind w:left="509" w:right="225" w:hanging="386"/>
              <w:spacing w:before="23" w:line="265" w:lineRule="auto"/>
              <w:rPr/>
            </w:pPr>
            <w:r>
              <w:rPr>
                <w:rFonts w:ascii="Times New Roman" w:hAnsi="Times New Roman" w:eastAsia="Times New Roman" w:cs="Times New Roman"/>
                <w:spacing w:val="5"/>
              </w:rPr>
              <w:t>4.  </w:t>
            </w:r>
            <w:r>
              <w:rPr>
                <w:spacing w:val="5"/>
              </w:rPr>
              <w:t>依据本清单对当事人不予行政处罚的，</w:t>
            </w:r>
            <w:r>
              <w:rPr>
                <w:spacing w:val="-68"/>
              </w:rPr>
              <w:t xml:space="preserve"> </w:t>
            </w:r>
            <w:r>
              <w:rPr>
                <w:spacing w:val="4"/>
              </w:rPr>
              <w:t>当事人应当对变质、超过保质期或者回收的食品履行相应</w:t>
            </w:r>
            <w:r>
              <w:rPr/>
              <w:t xml:space="preserve"> </w:t>
            </w:r>
            <w:r>
              <w:rPr/>
              <w:t>的法律义务。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6838" w:h="11906"/>
          <w:pgMar w:top="1011" w:right="1441" w:bottom="1548" w:left="1441" w:header="0" w:footer="1130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135052</wp:posOffset>
            </wp:positionV>
            <wp:extent cx="5688872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887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01"/>
        <w:spacing w:before="91" w:line="369" w:lineRule="exact"/>
        <w:rPr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299841</wp:posOffset>
            </wp:positionV>
            <wp:extent cx="5688872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887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spacing w:val="-1"/>
          <w:position w:val="1"/>
        </w:rPr>
        <w:t>市场监管总局办公厅</w:t>
      </w:r>
      <w:r>
        <w:rPr>
          <w:sz w:val="28"/>
          <w:szCs w:val="28"/>
          <w:spacing w:val="-1"/>
          <w:position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1"/>
        </w:rPr>
        <w:t>2025 </w:t>
      </w:r>
      <w:r>
        <w:rPr>
          <w:sz w:val="28"/>
          <w:szCs w:val="28"/>
          <w:spacing w:val="-1"/>
          <w:position w:val="1"/>
        </w:rPr>
        <w:t>年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1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33"/>
          <w:position w:val="1"/>
        </w:rPr>
        <w:t xml:space="preserve"> </w:t>
      </w:r>
      <w:r>
        <w:rPr>
          <w:sz w:val="28"/>
          <w:szCs w:val="28"/>
          <w:spacing w:val="-1"/>
          <w:position w:val="1"/>
        </w:rPr>
        <w:t>月</w:t>
      </w:r>
      <w:r>
        <w:rPr>
          <w:sz w:val="28"/>
          <w:szCs w:val="28"/>
          <w:spacing w:val="-5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1"/>
        </w:rPr>
        <w:t>6  </w:t>
      </w:r>
      <w:r>
        <w:rPr>
          <w:sz w:val="28"/>
          <w:szCs w:val="28"/>
          <w:spacing w:val="-1"/>
          <w:position w:val="1"/>
        </w:rPr>
        <w:t>日印发</w:t>
      </w:r>
    </w:p>
    <w:p>
      <w:pPr>
        <w:pStyle w:val="BodyText"/>
        <w:ind w:left="346"/>
        <w:spacing w:before="49" w:line="418" w:lineRule="exact"/>
        <w:rPr/>
      </w:pPr>
      <w:r>
        <w:rPr>
          <w:spacing w:val="-12"/>
          <w:position w:val="2"/>
        </w:rPr>
        <w:t>—</w:t>
      </w:r>
      <w:r>
        <w:rPr>
          <w:spacing w:val="43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12"/>
          <w:position w:val="2"/>
        </w:rPr>
        <w:t>16</w:t>
      </w:r>
      <w:r>
        <w:rPr>
          <w:rFonts w:ascii="Times New Roman" w:hAnsi="Times New Roman" w:eastAsia="Times New Roman" w:cs="Times New Roman"/>
          <w:spacing w:val="17"/>
          <w:position w:val="2"/>
        </w:rPr>
        <w:t xml:space="preserve">  </w:t>
      </w:r>
      <w:r>
        <w:rPr>
          <w:spacing w:val="-12"/>
          <w:position w:val="2"/>
        </w:rPr>
        <w:t>—</w:t>
      </w:r>
    </w:p>
    <w:sectPr>
      <w:footerReference w:type="default" r:id="rId18"/>
      <w:pgSz w:w="11906" w:h="16838"/>
      <w:pgMar w:top="1431" w:right="1472" w:bottom="400" w:left="147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85"/>
      <w:spacing w:line="408" w:lineRule="exact"/>
      <w:rPr/>
    </w:pPr>
    <w:r>
      <w:rPr>
        <w:spacing w:val="-18"/>
        <w:position w:val="2"/>
      </w:rPr>
      <w:t>—</w:t>
    </w:r>
    <w:r>
      <w:rPr>
        <w:spacing w:val="45"/>
        <w:position w:val="2"/>
      </w:rPr>
      <w:t xml:space="preserve"> </w:t>
    </w:r>
    <w:r>
      <w:rPr>
        <w:rFonts w:ascii="Times New Roman" w:hAnsi="Times New Roman" w:eastAsia="Times New Roman" w:cs="Times New Roman"/>
        <w:spacing w:val="-18"/>
        <w:position w:val="2"/>
      </w:rPr>
      <w:t>1</w:t>
    </w:r>
    <w:r>
      <w:rPr>
        <w:rFonts w:ascii="Times New Roman" w:hAnsi="Times New Roman" w:eastAsia="Times New Roman" w:cs="Times New Roman"/>
        <w:spacing w:val="16"/>
        <w:position w:val="2"/>
      </w:rPr>
      <w:t xml:space="preserve">  </w:t>
    </w:r>
    <w:r>
      <w:rPr>
        <w:spacing w:val="-18"/>
        <w:position w:val="2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9"/>
      <w:spacing w:line="408" w:lineRule="exact"/>
      <w:rPr/>
    </w:pPr>
    <w:r>
      <w:rPr>
        <w:spacing w:val="-12"/>
        <w:position w:val="2"/>
      </w:rPr>
      <w:t>—</w:t>
    </w:r>
    <w:r>
      <w:rPr>
        <w:spacing w:val="43"/>
        <w:position w:val="2"/>
      </w:rPr>
      <w:t xml:space="preserve"> </w:t>
    </w:r>
    <w:r>
      <w:rPr>
        <w:rFonts w:ascii="Times New Roman" w:hAnsi="Times New Roman" w:eastAsia="Times New Roman" w:cs="Times New Roman"/>
        <w:spacing w:val="-12"/>
        <w:position w:val="2"/>
      </w:rPr>
      <w:t>10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12"/>
        <w:position w:val="2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362"/>
      <w:spacing w:line="408" w:lineRule="exact"/>
      <w:rPr/>
    </w:pPr>
    <w:r>
      <w:rPr>
        <w:spacing w:val="-15"/>
        <w:position w:val="2"/>
      </w:rPr>
      <w:t>—</w:t>
    </w:r>
    <w:r>
      <w:rPr>
        <w:spacing w:val="43"/>
        <w:position w:val="2"/>
      </w:rPr>
      <w:t xml:space="preserve"> </w:t>
    </w:r>
    <w:r>
      <w:rPr>
        <w:rFonts w:ascii="Times New Roman" w:hAnsi="Times New Roman" w:eastAsia="Times New Roman" w:cs="Times New Roman"/>
        <w:spacing w:val="-15"/>
        <w:position w:val="2"/>
      </w:rPr>
      <w:t>11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15"/>
        <w:position w:val="2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9"/>
      <w:spacing w:line="408" w:lineRule="exact"/>
      <w:rPr/>
    </w:pPr>
    <w:r>
      <w:rPr>
        <w:spacing w:val="-12"/>
        <w:position w:val="2"/>
      </w:rPr>
      <w:t>—</w:t>
    </w:r>
    <w:r>
      <w:rPr>
        <w:spacing w:val="43"/>
        <w:position w:val="2"/>
      </w:rPr>
      <w:t xml:space="preserve"> </w:t>
    </w:r>
    <w:r>
      <w:rPr>
        <w:rFonts w:ascii="Times New Roman" w:hAnsi="Times New Roman" w:eastAsia="Times New Roman" w:cs="Times New Roman"/>
        <w:spacing w:val="-12"/>
        <w:position w:val="2"/>
      </w:rPr>
      <w:t>12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12"/>
        <w:position w:val="2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350"/>
      <w:spacing w:line="408" w:lineRule="exact"/>
      <w:rPr/>
    </w:pPr>
    <w:r>
      <w:rPr>
        <w:spacing w:val="-12"/>
        <w:position w:val="2"/>
      </w:rPr>
      <w:t>—</w:t>
    </w:r>
    <w:r>
      <w:rPr>
        <w:spacing w:val="43"/>
        <w:position w:val="2"/>
      </w:rPr>
      <w:t xml:space="preserve"> </w:t>
    </w:r>
    <w:r>
      <w:rPr>
        <w:rFonts w:ascii="Times New Roman" w:hAnsi="Times New Roman" w:eastAsia="Times New Roman" w:cs="Times New Roman"/>
        <w:spacing w:val="-12"/>
        <w:position w:val="2"/>
      </w:rPr>
      <w:t>13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12"/>
        <w:position w:val="2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9"/>
      <w:spacing w:line="408" w:lineRule="exact"/>
      <w:rPr/>
    </w:pPr>
    <w:r>
      <w:rPr>
        <w:spacing w:val="-12"/>
        <w:position w:val="2"/>
      </w:rPr>
      <w:t>—</w:t>
    </w:r>
    <w:r>
      <w:rPr>
        <w:spacing w:val="43"/>
        <w:position w:val="2"/>
      </w:rPr>
      <w:t xml:space="preserve"> </w:t>
    </w:r>
    <w:r>
      <w:rPr>
        <w:rFonts w:ascii="Times New Roman" w:hAnsi="Times New Roman" w:eastAsia="Times New Roman" w:cs="Times New Roman"/>
        <w:spacing w:val="-12"/>
        <w:position w:val="2"/>
      </w:rPr>
      <w:t>14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12"/>
        <w:position w:val="2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350"/>
      <w:spacing w:line="408" w:lineRule="exact"/>
      <w:rPr/>
    </w:pPr>
    <w:r>
      <w:rPr>
        <w:spacing w:val="-12"/>
        <w:position w:val="2"/>
      </w:rPr>
      <w:t>—</w:t>
    </w:r>
    <w:r>
      <w:rPr>
        <w:spacing w:val="43"/>
        <w:position w:val="2"/>
      </w:rPr>
      <w:t xml:space="preserve"> </w:t>
    </w:r>
    <w:r>
      <w:rPr>
        <w:rFonts w:ascii="Times New Roman" w:hAnsi="Times New Roman" w:eastAsia="Times New Roman" w:cs="Times New Roman"/>
        <w:spacing w:val="-12"/>
        <w:position w:val="2"/>
      </w:rPr>
      <w:t>15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12"/>
        <w:position w:val="2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5"/>
      <w:spacing w:line="408" w:lineRule="exact"/>
      <w:rPr/>
    </w:pPr>
    <w:r>
      <w:rPr>
        <w:spacing w:val="-7"/>
        <w:position w:val="2"/>
      </w:rPr>
      <w:t>—</w:t>
    </w:r>
    <w:r>
      <w:rPr>
        <w:spacing w:val="12"/>
        <w:position w:val="2"/>
      </w:rPr>
      <w:t xml:space="preserve"> </w:t>
    </w:r>
    <w:r>
      <w:rPr>
        <w:rFonts w:ascii="Times New Roman" w:hAnsi="Times New Roman" w:eastAsia="Times New Roman" w:cs="Times New Roman"/>
        <w:spacing w:val="-7"/>
        <w:position w:val="2"/>
      </w:rPr>
      <w:t>2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7"/>
        <w:position w:val="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21"/>
      <w:spacing w:line="408" w:lineRule="exact"/>
      <w:rPr/>
    </w:pPr>
    <w:r>
      <w:rPr>
        <w:spacing w:val="-10"/>
        <w:position w:val="2"/>
      </w:rPr>
      <w:t>—</w:t>
    </w:r>
    <w:r>
      <w:rPr>
        <w:spacing w:val="21"/>
        <w:position w:val="2"/>
      </w:rPr>
      <w:t xml:space="preserve"> </w:t>
    </w:r>
    <w:r>
      <w:rPr>
        <w:rFonts w:ascii="Times New Roman" w:hAnsi="Times New Roman" w:eastAsia="Times New Roman" w:cs="Times New Roman"/>
        <w:spacing w:val="-10"/>
        <w:position w:val="2"/>
      </w:rPr>
      <w:t>3</w:t>
    </w:r>
    <w:r>
      <w:rPr>
        <w:rFonts w:ascii="Times New Roman" w:hAnsi="Times New Roman" w:eastAsia="Times New Roman" w:cs="Times New Roman"/>
        <w:spacing w:val="16"/>
        <w:position w:val="2"/>
      </w:rPr>
      <w:t xml:space="preserve">  </w:t>
    </w:r>
    <w:r>
      <w:rPr>
        <w:spacing w:val="-10"/>
        <w:position w:val="2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9"/>
      <w:spacing w:line="408" w:lineRule="exact"/>
      <w:rPr/>
    </w:pPr>
    <w:r>
      <w:rPr>
        <w:spacing w:val="-7"/>
        <w:position w:val="2"/>
      </w:rPr>
      <w:t>—</w:t>
    </w:r>
    <w:r>
      <w:rPr>
        <w:spacing w:val="12"/>
        <w:position w:val="2"/>
      </w:rPr>
      <w:t xml:space="preserve"> </w:t>
    </w:r>
    <w:r>
      <w:rPr>
        <w:rFonts w:ascii="Times New Roman" w:hAnsi="Times New Roman" w:eastAsia="Times New Roman" w:cs="Times New Roman"/>
        <w:spacing w:val="-7"/>
        <w:position w:val="2"/>
      </w:rPr>
      <w:t>4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7"/>
        <w:position w:val="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510"/>
      <w:spacing w:line="175" w:lineRule="auto"/>
      <w:rPr/>
    </w:pPr>
    <w:r>
      <w:rPr>
        <w:spacing w:val="-10"/>
      </w:rPr>
      <w:t>—</w:t>
    </w:r>
    <w:r>
      <w:rPr>
        <w:spacing w:val="21"/>
      </w:rPr>
      <w:t xml:space="preserve"> </w:t>
    </w:r>
    <w:r>
      <w:rPr>
        <w:rFonts w:ascii="Times New Roman" w:hAnsi="Times New Roman" w:eastAsia="Times New Roman" w:cs="Times New Roman"/>
        <w:spacing w:val="-10"/>
      </w:rPr>
      <w:t>5</w:t>
    </w:r>
    <w:r>
      <w:rPr>
        <w:rFonts w:ascii="Times New Roman" w:hAnsi="Times New Roman" w:eastAsia="Times New Roman" w:cs="Times New Roman"/>
        <w:spacing w:val="16"/>
      </w:rPr>
      <w:t xml:space="preserve">  </w:t>
    </w:r>
    <w:r>
      <w:rPr>
        <w:spacing w:val="-10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9"/>
      <w:spacing w:line="408" w:lineRule="exact"/>
      <w:rPr/>
    </w:pPr>
    <w:r>
      <w:rPr>
        <w:spacing w:val="-10"/>
        <w:position w:val="2"/>
      </w:rPr>
      <w:t>—</w:t>
    </w:r>
    <w:r>
      <w:rPr>
        <w:spacing w:val="21"/>
        <w:position w:val="2"/>
      </w:rPr>
      <w:t xml:space="preserve"> </w:t>
    </w:r>
    <w:r>
      <w:rPr>
        <w:rFonts w:ascii="Times New Roman" w:hAnsi="Times New Roman" w:eastAsia="Times New Roman" w:cs="Times New Roman"/>
        <w:spacing w:val="-10"/>
        <w:position w:val="2"/>
      </w:rPr>
      <w:t>6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10"/>
        <w:position w:val="2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510"/>
      <w:spacing w:line="175" w:lineRule="auto"/>
      <w:rPr/>
    </w:pPr>
    <w:r>
      <w:rPr>
        <w:spacing w:val="-9"/>
      </w:rPr>
      <w:t>—</w:t>
    </w:r>
    <w:r>
      <w:rPr>
        <w:spacing w:val="18"/>
      </w:rPr>
      <w:t xml:space="preserve"> </w:t>
    </w:r>
    <w:r>
      <w:rPr>
        <w:rFonts w:ascii="Times New Roman" w:hAnsi="Times New Roman" w:eastAsia="Times New Roman" w:cs="Times New Roman"/>
        <w:spacing w:val="-9"/>
      </w:rPr>
      <w:t>7</w:t>
    </w:r>
    <w:r>
      <w:rPr>
        <w:rFonts w:ascii="Times New Roman" w:hAnsi="Times New Roman" w:eastAsia="Times New Roman" w:cs="Times New Roman"/>
        <w:spacing w:val="16"/>
      </w:rPr>
      <w:t xml:space="preserve">  </w:t>
    </w:r>
    <w:r>
      <w:rPr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9"/>
      <w:spacing w:line="408" w:lineRule="exact"/>
      <w:rPr/>
    </w:pPr>
    <w:r>
      <w:rPr>
        <w:spacing w:val="-12"/>
        <w:position w:val="2"/>
      </w:rPr>
      <w:t>—</w:t>
    </w:r>
    <w:r>
      <w:rPr>
        <w:spacing w:val="27"/>
        <w:position w:val="2"/>
      </w:rPr>
      <w:t xml:space="preserve"> </w:t>
    </w:r>
    <w:r>
      <w:rPr>
        <w:rFonts w:ascii="Times New Roman" w:hAnsi="Times New Roman" w:eastAsia="Times New Roman" w:cs="Times New Roman"/>
        <w:spacing w:val="-12"/>
        <w:position w:val="2"/>
      </w:rPr>
      <w:t>8</w:t>
    </w:r>
    <w:r>
      <w:rPr>
        <w:rFonts w:ascii="Times New Roman" w:hAnsi="Times New Roman" w:eastAsia="Times New Roman" w:cs="Times New Roman"/>
        <w:spacing w:val="17"/>
        <w:position w:val="2"/>
      </w:rPr>
      <w:t xml:space="preserve">  </w:t>
    </w:r>
    <w:r>
      <w:rPr>
        <w:spacing w:val="-12"/>
        <w:position w:val="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510"/>
      <w:spacing w:line="408" w:lineRule="exact"/>
      <w:rPr/>
    </w:pPr>
    <w:r>
      <w:rPr>
        <w:spacing w:val="-9"/>
        <w:position w:val="2"/>
      </w:rPr>
      <w:t>—</w:t>
    </w:r>
    <w:r>
      <w:rPr>
        <w:spacing w:val="18"/>
        <w:position w:val="2"/>
      </w:rPr>
      <w:t xml:space="preserve"> </w:t>
    </w:r>
    <w:r>
      <w:rPr>
        <w:rFonts w:ascii="Times New Roman" w:hAnsi="Times New Roman" w:eastAsia="Times New Roman" w:cs="Times New Roman"/>
        <w:spacing w:val="-9"/>
        <w:position w:val="2"/>
      </w:rPr>
      <w:t>9</w:t>
    </w:r>
    <w:r>
      <w:rPr>
        <w:rFonts w:ascii="Times New Roman" w:hAnsi="Times New Roman" w:eastAsia="Times New Roman" w:cs="Times New Roman"/>
        <w:spacing w:val="16"/>
        <w:position w:val="2"/>
      </w:rPr>
      <w:t xml:space="preserve">  </w:t>
    </w:r>
    <w:r>
      <w:rPr>
        <w:spacing w:val="-9"/>
        <w:position w:val="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image" Target="media/image4.png"/><Relationship Id="rId2" Type="http://schemas.openxmlformats.org/officeDocument/2006/relationships/image" Target="media/image1.png"/><Relationship Id="rId19" Type="http://schemas.openxmlformats.org/officeDocument/2006/relationships/image" Target="media/image3.png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oa</dc:creator>
  <dcterms:created xsi:type="dcterms:W3CDTF">2025-09-15T15:43:50Z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2025-09-16T15:41:39</vt:filetime>
  </property>
</Properties>
</file>