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rFonts w:hint="eastAsia" w:hAnsi="黑体"/>
          <w:sz w:val="84"/>
          <w:szCs w:val="84"/>
        </w:rPr>
      </w:pPr>
      <w:r>
        <w:rPr>
          <w:rFonts w:hint="eastAsia" w:hAnsi="黑体"/>
          <w:sz w:val="84"/>
          <w:szCs w:val="84"/>
        </w:rPr>
        <w:t>溆浦县医疗保障局</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rFonts w:hint="eastAsia" w:hAnsi="黑体"/>
          <w:sz w:val="84"/>
          <w:szCs w:val="84"/>
        </w:rPr>
      </w:pPr>
      <w:r>
        <w:rPr>
          <w:rFonts w:hint="eastAsia" w:hAnsi="黑体"/>
          <w:sz w:val="84"/>
          <w:szCs w:val="84"/>
        </w:rPr>
        <w:t>溆浦县医疗保障局</w:t>
      </w:r>
    </w:p>
    <w:p>
      <w:pPr>
        <w:pStyle w:val="9"/>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rPr>
          <w:rFonts w:hint="eastAsia" w:ascii="宋体" w:hAnsi="宋体" w:cs="仿宋_GB2312"/>
          <w:sz w:val="32"/>
          <w:szCs w:val="32"/>
        </w:rPr>
      </w:pPr>
      <w:r>
        <w:rPr>
          <w:rFonts w:ascii="宋体" w:hAnsi="宋体" w:cs="仿宋_GB2312"/>
          <w:sz w:val="32"/>
          <w:szCs w:val="32"/>
        </w:rPr>
        <w:t>1</w:t>
      </w:r>
      <w:r>
        <w:rPr>
          <w:rFonts w:hint="eastAsia" w:ascii="宋体" w:hAnsi="宋体" w:cs="仿宋_GB2312"/>
          <w:sz w:val="32"/>
          <w:szCs w:val="32"/>
        </w:rPr>
        <w:t>、拟订全县基本医疗保障制度规范性文件并组织实施；</w:t>
      </w:r>
    </w:p>
    <w:p>
      <w:pPr>
        <w:widowControl/>
        <w:spacing w:line="600" w:lineRule="exact"/>
        <w:rPr>
          <w:rFonts w:hint="eastAsia" w:ascii="宋体" w:hAnsi="宋体" w:cs="仿宋_GB2312"/>
          <w:sz w:val="32"/>
          <w:szCs w:val="32"/>
        </w:rPr>
      </w:pPr>
      <w:r>
        <w:rPr>
          <w:rFonts w:ascii="宋体" w:hAnsi="宋体" w:cs="仿宋_GB2312"/>
          <w:sz w:val="32"/>
          <w:szCs w:val="32"/>
        </w:rPr>
        <w:t>2</w:t>
      </w:r>
      <w:r>
        <w:rPr>
          <w:rFonts w:hint="eastAsia" w:ascii="宋体" w:hAnsi="宋体" w:cs="仿宋_GB2312"/>
          <w:sz w:val="32"/>
          <w:szCs w:val="32"/>
        </w:rPr>
        <w:t>、组织制定并实施全县医疗保障基金安全防控机制，推进医保基金支付方式改革；</w:t>
      </w:r>
    </w:p>
    <w:p>
      <w:pPr>
        <w:widowControl/>
        <w:spacing w:line="600" w:lineRule="exact"/>
        <w:rPr>
          <w:rFonts w:hint="eastAsia" w:ascii="宋体" w:hAnsi="宋体" w:cs="仿宋_GB2312"/>
          <w:sz w:val="32"/>
          <w:szCs w:val="32"/>
        </w:rPr>
      </w:pPr>
      <w:r>
        <w:rPr>
          <w:rFonts w:ascii="宋体" w:hAnsi="宋体" w:cs="仿宋_GB2312"/>
          <w:sz w:val="32"/>
          <w:szCs w:val="32"/>
        </w:rPr>
        <w:t>3</w:t>
      </w:r>
      <w:r>
        <w:rPr>
          <w:rFonts w:hint="eastAsia" w:ascii="宋体" w:hAnsi="宋体" w:cs="仿宋_GB2312"/>
          <w:sz w:val="32"/>
          <w:szCs w:val="32"/>
        </w:rPr>
        <w:t>、组织制定全县医疗保障筹资和待遇标准；</w:t>
      </w:r>
    </w:p>
    <w:p>
      <w:pPr>
        <w:widowControl/>
        <w:spacing w:line="600" w:lineRule="exact"/>
        <w:rPr>
          <w:rFonts w:hint="eastAsia" w:ascii="宋体" w:hAnsi="宋体" w:cs="仿宋_GB2312"/>
          <w:sz w:val="32"/>
          <w:szCs w:val="32"/>
        </w:rPr>
      </w:pPr>
      <w:r>
        <w:rPr>
          <w:rFonts w:ascii="宋体" w:hAnsi="宋体" w:cs="仿宋_GB2312"/>
          <w:sz w:val="32"/>
          <w:szCs w:val="32"/>
        </w:rPr>
        <w:t>4</w:t>
      </w:r>
      <w:r>
        <w:rPr>
          <w:rFonts w:hint="eastAsia" w:ascii="宋体" w:hAnsi="宋体" w:cs="仿宋_GB2312"/>
          <w:sz w:val="32"/>
          <w:szCs w:val="32"/>
        </w:rPr>
        <w:t>、落实城乡统一的药品医用耗材、医疗服务项目支付标准；</w:t>
      </w:r>
      <w:r>
        <w:rPr>
          <w:rFonts w:ascii="宋体" w:hAnsi="宋体" w:cs="仿宋_GB2312"/>
          <w:sz w:val="32"/>
          <w:szCs w:val="32"/>
        </w:rPr>
        <w:t>5</w:t>
      </w:r>
      <w:r>
        <w:rPr>
          <w:rFonts w:hint="eastAsia" w:ascii="宋体" w:hAnsi="宋体" w:cs="仿宋_GB2312"/>
          <w:sz w:val="32"/>
          <w:szCs w:val="32"/>
        </w:rPr>
        <w:t>、制定全县定点医疗机构协议和支付管理办法；</w:t>
      </w:r>
    </w:p>
    <w:p>
      <w:pPr>
        <w:widowControl/>
        <w:spacing w:line="600" w:lineRule="exact"/>
        <w:rPr>
          <w:rFonts w:hint="eastAsia" w:ascii="宋体" w:hAnsi="宋体" w:cs="仿宋_GB2312"/>
          <w:sz w:val="32"/>
          <w:szCs w:val="32"/>
        </w:rPr>
      </w:pPr>
      <w:r>
        <w:rPr>
          <w:rFonts w:ascii="宋体" w:hAnsi="宋体" w:cs="仿宋_GB2312"/>
          <w:sz w:val="32"/>
          <w:szCs w:val="32"/>
        </w:rPr>
        <w:t>6</w:t>
      </w:r>
      <w:r>
        <w:rPr>
          <w:rFonts w:hint="eastAsia" w:ascii="宋体" w:hAnsi="宋体" w:cs="仿宋_GB2312"/>
          <w:sz w:val="32"/>
          <w:szCs w:val="32"/>
        </w:rPr>
        <w:t>、负责全县医疗保障经办管理；</w:t>
      </w:r>
    </w:p>
    <w:p>
      <w:pPr>
        <w:widowControl/>
        <w:spacing w:line="600" w:lineRule="exact"/>
        <w:rPr>
          <w:rFonts w:ascii="宋体" w:hAnsi="宋体"/>
          <w:sz w:val="32"/>
          <w:szCs w:val="32"/>
        </w:rPr>
      </w:pPr>
      <w:r>
        <w:rPr>
          <w:rFonts w:ascii="宋体" w:hAnsi="宋体" w:cs="仿宋_GB2312"/>
          <w:sz w:val="32"/>
          <w:szCs w:val="32"/>
        </w:rPr>
        <w:t>7</w:t>
      </w:r>
      <w:r>
        <w:rPr>
          <w:rFonts w:hint="eastAsia" w:ascii="宋体" w:hAnsi="宋体" w:cs="仿宋_GB2312"/>
          <w:sz w:val="32"/>
          <w:szCs w:val="32"/>
        </w:rPr>
        <w:t>、完成县委、县政府交办的其他任务。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宋体" w:hAnsi="宋体" w:cs="仿宋_GB2312"/>
          <w:bCs/>
          <w:kern w:val="0"/>
          <w:sz w:val="32"/>
          <w:szCs w:val="32"/>
        </w:rPr>
      </w:pPr>
      <w:r>
        <w:rPr>
          <w:rFonts w:hint="eastAsia" w:ascii="宋体" w:hAnsi="宋体" w:cs="仿宋_GB2312"/>
          <w:bCs/>
          <w:kern w:val="0"/>
          <w:sz w:val="32"/>
          <w:szCs w:val="32"/>
        </w:rPr>
        <w:t>（一）内设机构设置。</w:t>
      </w:r>
    </w:p>
    <w:p>
      <w:pPr>
        <w:widowControl/>
        <w:spacing w:line="600" w:lineRule="exact"/>
        <w:ind w:firstLine="640" w:firstLineChars="200"/>
        <w:rPr>
          <w:rFonts w:hint="eastAsia" w:ascii="宋体" w:hAnsi="宋体" w:cs="仿宋_GB2312"/>
          <w:b/>
          <w:bCs/>
          <w:kern w:val="0"/>
          <w:sz w:val="32"/>
          <w:szCs w:val="32"/>
        </w:rPr>
      </w:pPr>
      <w:r>
        <w:rPr>
          <w:rFonts w:hint="eastAsia" w:ascii="宋体" w:hAnsi="宋体" w:cs="仿宋_GB2312"/>
          <w:sz w:val="32"/>
          <w:szCs w:val="32"/>
        </w:rPr>
        <w:t>我单位是全额拨款正科级行政单位，由原县医疗保险管理局、县城乡居民医疗保险服务中心合并新组建而成。核定编制39名，实有在职人员40人，离退休人员11人（含提前退休1人），内设办公室（党建办）、规划法规和财务股、基金监管股、待遇保障股、医药服务股。</w:t>
      </w:r>
    </w:p>
    <w:p>
      <w:pPr>
        <w:widowControl/>
        <w:numPr>
          <w:ilvl w:val="0"/>
          <w:numId w:val="2"/>
        </w:numPr>
        <w:spacing w:line="600" w:lineRule="exact"/>
        <w:jc w:val="left"/>
        <w:rPr>
          <w:rFonts w:hint="eastAsia" w:ascii="宋体" w:hAnsi="宋体" w:cs="仿宋_GB2312"/>
          <w:bCs/>
          <w:kern w:val="0"/>
          <w:sz w:val="32"/>
          <w:szCs w:val="32"/>
        </w:rPr>
      </w:pPr>
      <w:r>
        <w:rPr>
          <w:rFonts w:hint="eastAsia" w:ascii="宋体" w:hAnsi="宋体" w:cs="仿宋_GB2312"/>
          <w:bCs/>
          <w:kern w:val="0"/>
          <w:sz w:val="32"/>
          <w:szCs w:val="32"/>
        </w:rPr>
        <w:t>决算单位构成。</w:t>
      </w:r>
    </w:p>
    <w:p>
      <w:pPr>
        <w:widowControl/>
        <w:numPr>
          <w:ilvl w:val="0"/>
          <w:numId w:val="0"/>
        </w:numPr>
        <w:spacing w:line="600" w:lineRule="exact"/>
        <w:ind w:firstLine="640" w:firstLineChars="200"/>
        <w:jc w:val="left"/>
        <w:rPr>
          <w:rFonts w:hint="eastAsia" w:ascii="宋体" w:hAnsi="宋体" w:eastAsiaTheme="minorEastAsia"/>
          <w:b/>
          <w:bCs/>
          <w:kern w:val="0"/>
          <w:sz w:val="32"/>
          <w:szCs w:val="32"/>
          <w:lang w:eastAsia="zh-CN"/>
        </w:rPr>
      </w:pPr>
      <w:r>
        <w:rPr>
          <w:rFonts w:hint="eastAsia" w:ascii="宋体" w:hAnsi="宋体" w:cs="仿宋_GB2312"/>
          <w:bCs/>
          <w:kern w:val="0"/>
          <w:sz w:val="32"/>
          <w:szCs w:val="32"/>
        </w:rPr>
        <w:t>溆浦县医疗保障局</w:t>
      </w:r>
      <w:r>
        <w:rPr>
          <w:rFonts w:hint="eastAsia" w:ascii="宋体" w:hAnsi="宋体" w:cs="仿宋_GB2312"/>
          <w:bCs/>
          <w:kern w:val="0"/>
          <w:sz w:val="32"/>
          <w:szCs w:val="32"/>
          <w:lang w:val="en-US" w:eastAsia="zh-CN"/>
        </w:rPr>
        <w:t>2020</w:t>
      </w:r>
      <w:r>
        <w:rPr>
          <w:rFonts w:hint="eastAsia" w:ascii="宋体" w:hAnsi="宋体" w:cs="仿宋_GB2312"/>
          <w:bCs/>
          <w:kern w:val="0"/>
          <w:sz w:val="32"/>
          <w:szCs w:val="32"/>
        </w:rPr>
        <w:t>年部门决算汇总公开单位构成包括：溆浦县医疗保障局本级以及所</w:t>
      </w:r>
      <w:r>
        <w:rPr>
          <w:rFonts w:hint="eastAsia" w:ascii="宋体" w:hAnsi="宋体" w:cs="仿宋_GB2312"/>
          <w:kern w:val="0"/>
          <w:sz w:val="32"/>
          <w:szCs w:val="32"/>
        </w:rPr>
        <w:t>属事业单位溆浦县医疗保障事务中心（不独立核算单位）</w:t>
      </w:r>
      <w:r>
        <w:rPr>
          <w:rFonts w:hint="eastAsia" w:ascii="宋体" w:hAnsi="宋体" w:cs="仿宋_GB2312"/>
          <w:kern w:val="0"/>
          <w:sz w:val="32"/>
          <w:szCs w:val="32"/>
          <w:lang w:eastAsia="zh-CN"/>
        </w:rPr>
        <w:t>。</w:t>
      </w:r>
    </w:p>
    <w:p>
      <w:pPr>
        <w:rPr>
          <w:rFonts w:hint="eastAsia" w:ascii="宋体" w:hAnsi="宋体"/>
          <w:sz w:val="24"/>
          <w:szCs w:val="24"/>
        </w:rPr>
      </w:pPr>
    </w:p>
    <w:p>
      <w:pPr>
        <w:jc w:val="center"/>
        <w:rPr>
          <w:rFonts w:hint="eastAsia"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Times New Roman" w:hAnsi="Times New Roman" w:eastAsia="仿宋_GB2312"/>
                <w:color w:val="000000"/>
                <w:kern w:val="0"/>
                <w:szCs w:val="21"/>
              </w:rPr>
              <w:t>溆浦县医疗保障局</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51035.82</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val="en-US" w:eastAsia="zh-CN"/>
              </w:rPr>
              <w:t>392.75</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86</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val="en-US" w:eastAsia="zh-CN"/>
              </w:rPr>
              <w:t>50413.75</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val="en-US" w:eastAsia="zh-CN"/>
              </w:rPr>
              <w:t>294.96</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val="en-US" w:eastAsia="zh-CN"/>
              </w:rPr>
              <w:t>0.20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val="en-US" w:eastAsia="zh-CN"/>
              </w:rPr>
              <w:t>4.61</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val="en-US" w:eastAsia="zh-CN"/>
              </w:rPr>
              <w:t>86.00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65.45</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51187.28</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51192.28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20.68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25.68</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51212.95</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val="0"/>
                <w:bCs w:val="0"/>
                <w:kern w:val="0"/>
                <w:sz w:val="22"/>
                <w:lang w:val="en-US" w:eastAsia="zh-CN"/>
              </w:rPr>
              <w:t>51212.95</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4816" w:type="dxa"/>
        <w:tblInd w:w="0" w:type="dxa"/>
        <w:tblLayout w:type="autofit"/>
        <w:tblCellMar>
          <w:top w:w="0" w:type="dxa"/>
          <w:left w:w="0" w:type="dxa"/>
          <w:bottom w:w="0" w:type="dxa"/>
          <w:right w:w="0" w:type="dxa"/>
        </w:tblCellMar>
      </w:tblPr>
      <w:tblGrid>
        <w:gridCol w:w="74"/>
        <w:gridCol w:w="912"/>
        <w:gridCol w:w="5072"/>
        <w:gridCol w:w="1644"/>
        <w:gridCol w:w="1644"/>
        <w:gridCol w:w="1009"/>
        <w:gridCol w:w="1009"/>
        <w:gridCol w:w="1009"/>
        <w:gridCol w:w="1009"/>
        <w:gridCol w:w="1777"/>
      </w:tblGrid>
      <w:tr>
        <w:tblPrEx>
          <w:tblCellMar>
            <w:top w:w="0" w:type="dxa"/>
            <w:left w:w="0" w:type="dxa"/>
            <w:bottom w:w="0" w:type="dxa"/>
            <w:right w:w="0" w:type="dxa"/>
          </w:tblCellMar>
        </w:tblPrEx>
        <w:trPr>
          <w:trHeight w:val="435" w:hRule="atLeast"/>
        </w:trPr>
        <w:tc>
          <w:tcPr>
            <w:tcW w:w="14816"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8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810"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ascii="Times New Roman" w:hAnsi="Times New Roman" w:eastAsia="仿宋_GB2312"/>
                <w:color w:val="000000"/>
                <w:kern w:val="0"/>
                <w:szCs w:val="21"/>
              </w:rPr>
              <w:t>溆浦县医疗保障局</w:t>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79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81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8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81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51187.28</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51121.82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65.45</w:t>
            </w: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eastAsia="zh-CN"/>
              </w:rPr>
              <w:t>社会保障和就业支出</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cs="宋体" w:eastAsiaTheme="minorEastAsia"/>
                <w:sz w:val="24"/>
                <w:szCs w:val="24"/>
                <w:lang w:val="en-US" w:eastAsia="zh-CN"/>
              </w:rPr>
            </w:pPr>
            <w:r>
              <w:rPr>
                <w:rFonts w:hint="eastAsia"/>
                <w:lang w:val="en-US" w:eastAsia="zh-CN"/>
              </w:rPr>
              <w:t>387.75</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322.30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65.45</w:t>
            </w: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eastAsia="zh-CN"/>
              </w:rPr>
              <w:t>人力资源和社会保障管理事务</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327.92</w:t>
            </w: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262.47</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65.45</w:t>
            </w: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2080101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eastAsia="zh-CN"/>
              </w:rPr>
              <w:t>行政运行</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327.46</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262.00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65.45</w:t>
            </w: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2080199</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eastAsia="zh-CN"/>
              </w:rPr>
              <w:t>其他人力资源和社会保障管理事务支出</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0.46</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0.46</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20805</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eastAsia="zh-CN"/>
              </w:rPr>
              <w:t>行政事业单位养老支出</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35.00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35.00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2080501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行政单位离退休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20808</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2080801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20828</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退役军人管理事务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7.05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7.05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2082899</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其他退役军人事务管理支出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7.05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7.05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50413.75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50413.75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卫生健康管理事务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235.64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235.64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2100101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227.42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227.42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2100199</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其他卫生健康管理事务支出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8.22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21002</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公立医院</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2100299</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其他公立医院支出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21012</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财政对基本医疗保险基金的补助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42473.23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42473.23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2101201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财政对职工基本医疗保险基本的补助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491.60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491.60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2101202</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财政对城乡居民基本医疗保险基金的补助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41981.63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41981.63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21013</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医疗救助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4407.76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4407.76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2101301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城乡医疗救助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3827.62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3827.62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2101399</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其他医疗救助支出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580.14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580.14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21015</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医疗保障管理事务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138.30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138.30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2101501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98.84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98.84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2101599</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其他医疗保障管理事务支出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39.46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39.46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21099</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3149.23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3149.23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2109901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3149.23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3149.23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294.96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294.96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农业农村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287.82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287.82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2130122</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农业生产发展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287.82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287.82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21305</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2130501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资源勘探工业信息等支出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资源勘探开发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2150101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22102</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2210201</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229</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22960</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彩票公益金安排的支出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宋体" w:hAnsi="宋体" w:cs="宋体" w:eastAsiaTheme="minorEastAsia"/>
                <w:sz w:val="24"/>
                <w:szCs w:val="24"/>
                <w:lang w:val="en-US" w:eastAsia="zh-CN"/>
              </w:rPr>
            </w:pPr>
            <w:r>
              <w:rPr>
                <w:rFonts w:hint="eastAsia"/>
                <w:lang w:val="en-US" w:eastAsia="zh-CN"/>
              </w:rPr>
              <w:t>2296013</w:t>
            </w:r>
          </w:p>
        </w:tc>
        <w:tc>
          <w:tcPr>
            <w:tcW w:w="38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eastAsia="zh-CN"/>
              </w:rPr>
              <w:t>用于城乡医疗救助的彩票公益金支出</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86.00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86.00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4816"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3021" w:type="dxa"/>
        <w:tblInd w:w="93" w:type="dxa"/>
        <w:tblLayout w:type="autofit"/>
        <w:tblCellMar>
          <w:top w:w="0" w:type="dxa"/>
          <w:left w:w="108" w:type="dxa"/>
          <w:bottom w:w="0" w:type="dxa"/>
          <w:right w:w="108" w:type="dxa"/>
        </w:tblCellMar>
      </w:tblPr>
      <w:tblGrid>
        <w:gridCol w:w="1042"/>
        <w:gridCol w:w="222"/>
        <w:gridCol w:w="1249"/>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302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Times New Roman" w:hAnsi="Times New Roman" w:eastAsia="仿宋_GB2312"/>
                <w:color w:val="000000"/>
                <w:kern w:val="0"/>
                <w:szCs w:val="21"/>
              </w:rPr>
              <w:t>溆浦县医疗保障局</w:t>
            </w: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1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4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51192.28</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736.59</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50455.69</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社会保障和就业支出</w:t>
            </w: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392.75</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350.70</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42.05</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人力资源和社会保障管理事务</w:t>
            </w: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332.92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332.92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2080199</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其他人力资源和社会保障管理事务支出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0.46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0.46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20805</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2080501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行政单位离退休</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20808</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抚恤</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17.78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17.78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2080801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死亡抚恤</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17.78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17.78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20828</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退役军人管理事务</w:t>
            </w: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7.05</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7.05</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2082899</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其他退役军人事务管理支出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7.05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7.05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50413.75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373.94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50039.82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卫生健康管理事务</w:t>
            </w: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235.64</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235.64</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2100101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行政运行</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227.42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227.42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2100199</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其他卫生健康管理事务支出</w:t>
            </w: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8.22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        8.22</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21002</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公立医院</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2100299</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其他公立医院支出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21012</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财政对基本医疗保险基金的补助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42473.23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42473.23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2101201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财政对职工基本医疗保险基金的补助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491.60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491.60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2101202</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财政对城乡居民基本医疗保险基金的补助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41981.63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41981.63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21013</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医疗救助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4407.76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4407.76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2101301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城乡医疗救助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3827.62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3827.62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2101399</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其他医疗救助支出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580.14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580.14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21015</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医疗保障管理事务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138.30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138.30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2101501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行政运行</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98.84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98.84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2101599</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其他医疗保障管理事务支出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39.46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39.46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2109901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其他卫生健康支出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3149.23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3149.23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农林水支出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294.96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287.82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农业农村</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287.82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287.82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2130122</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农业生产发展</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287.82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287.82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21305</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扶贫</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2130501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行政运行</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资源勘探工业信息等支出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资源勘探开发</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2150101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行政运行</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住房保障支出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4.61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4.61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22102</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住房改革支出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4.61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4.61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2210201</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住房公积金</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4.61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4.61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22960</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彩票公益金安排的支出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2296013</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用于城乡医疗救助的彩票公益金支出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3021"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1"/>
        <w:gridCol w:w="436"/>
        <w:gridCol w:w="1095"/>
        <w:gridCol w:w="495"/>
        <w:gridCol w:w="2911"/>
        <w:gridCol w:w="631"/>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olor w:val="000000"/>
                <w:kern w:val="0"/>
                <w:szCs w:val="21"/>
              </w:rPr>
              <w:t>溆浦县医疗保障局</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51035.82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327.29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327.29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86.00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50413.75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50413.75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294.96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294.96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0.20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0.20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4.61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86.00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86.00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51121.82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51126.82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51040.82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86.00</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25.51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20.51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20.51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25.51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51147.33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51147.33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51061.33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2"/>
                <w:lang w:val="en-US" w:eastAsia="zh-CN"/>
              </w:rPr>
            </w:pPr>
            <w:r>
              <w:rPr>
                <w:rFonts w:hint="eastAsia" w:ascii="宋体" w:hAnsi="宋体" w:eastAsia="宋体" w:cs="宋体"/>
                <w:b w:val="0"/>
                <w:bCs w:val="0"/>
                <w:kern w:val="0"/>
                <w:sz w:val="22"/>
                <w:lang w:val="en-US" w:eastAsia="zh-CN"/>
              </w:rPr>
              <w:t>86.00</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olor w:val="000000"/>
          <w:kern w:val="0"/>
          <w:szCs w:val="21"/>
        </w:rPr>
        <w:t>溆浦县医疗保障局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51,040.82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671.14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50,369.69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327.29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285.24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42.05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人力资源和社会保障管理事务</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267.47</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267.47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267.00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267.00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2080199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其他人力资源和社会保障管理事务支出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抚恤</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17.78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17.78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死亡抚恤</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17.78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17.78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退役军人管理事务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2082899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其他退役军人事务管理支出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50413.75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373.94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50039.82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卫生健康管理事务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235.64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235.64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227.42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227.42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2100199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其他卫生健康管理事务支出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公立医院</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2100299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其他公立医院支出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21012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财政对基本医疗保险基金的补助</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42473.23</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42473.23</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2101201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财政对职工基本医疗保险基金的补助</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491.60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491.60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2101202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财政对城乡居民基本医疗保险基金的补助</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41981.63</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41981.63</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医疗救助</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4407.76</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4407.76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2101301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城乡医疗救助</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3827.62</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3827.62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2101399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其他医疗救助支出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580.14</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580.14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21015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医疗保障管理事务</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138.30</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138.30</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98.84</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98.84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其他医疗保障管理事务支出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39.46</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39.46</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其他卫生健康支出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3149.23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3149.23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2109901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其他卫生健康支出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3149.23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3149.23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农林水支出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294.96</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287.82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农业农村</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287.82</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287.82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2130122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农业生产发展</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287.82</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287.82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扶贫</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7.14</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2130501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7.14</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7.14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资源勘探工业信息等支出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0.20</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21501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资源勘探开发</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0.20</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2150101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0.20</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4.61</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4.61</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4.61</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16080" w:type="dxa"/>
        <w:tblInd w:w="0" w:type="dxa"/>
        <w:tblLayout w:type="fixed"/>
        <w:tblCellMar>
          <w:top w:w="0" w:type="dxa"/>
          <w:left w:w="108" w:type="dxa"/>
          <w:bottom w:w="0" w:type="dxa"/>
          <w:right w:w="108" w:type="dxa"/>
        </w:tblCellMar>
      </w:tblPr>
      <w:tblGrid>
        <w:gridCol w:w="1227"/>
        <w:gridCol w:w="3053"/>
        <w:gridCol w:w="1240"/>
        <w:gridCol w:w="1082"/>
        <w:gridCol w:w="2316"/>
        <w:gridCol w:w="1057"/>
        <w:gridCol w:w="796"/>
        <w:gridCol w:w="4206"/>
        <w:gridCol w:w="1103"/>
      </w:tblGrid>
      <w:tr>
        <w:tblPrEx>
          <w:tblCellMar>
            <w:top w:w="0" w:type="dxa"/>
            <w:left w:w="108" w:type="dxa"/>
            <w:bottom w:w="0" w:type="dxa"/>
            <w:right w:w="108" w:type="dxa"/>
          </w:tblCellMar>
        </w:tblPrEx>
        <w:trPr>
          <w:trHeight w:val="1263" w:hRule="atLeast"/>
        </w:trPr>
        <w:tc>
          <w:tcPr>
            <w:tcW w:w="16080" w:type="dxa"/>
            <w:gridSpan w:val="9"/>
            <w:tcBorders>
              <w:top w:val="nil"/>
              <w:left w:val="nil"/>
              <w:bottom w:val="nil"/>
              <w:right w:val="nil"/>
            </w:tcBorders>
            <w:shd w:val="clear" w:color="auto" w:fill="auto"/>
            <w:noWrap/>
            <w:vAlign w:val="center"/>
          </w:tcPr>
          <w:p>
            <w:pPr>
              <w:widowControl/>
              <w:ind w:firstLine="420" w:firstLineChars="200"/>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olor w:val="000000"/>
                <w:kern w:val="0"/>
                <w:szCs w:val="21"/>
              </w:rPr>
              <w:t>溆浦县医疗保障局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395.35</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203.10</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181.88</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4.84</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66.23</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26.55</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77.95</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4.70</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3.84</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10.00</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8.51</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46.07</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72.69</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1.94</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0.17</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1.91</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18.76</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24.92</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47.19</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7.53</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9.03</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0.58</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14.79</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36.30</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5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5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77.46</w:t>
            </w:r>
          </w:p>
        </w:tc>
        <w:tc>
          <w:tcPr>
            <w:tcW w:w="7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2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468.04</w:t>
            </w:r>
          </w:p>
        </w:tc>
        <w:tc>
          <w:tcPr>
            <w:tcW w:w="9457"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0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203.10</w:t>
            </w:r>
          </w:p>
        </w:tc>
      </w:tr>
      <w:tr>
        <w:tblPrEx>
          <w:tblCellMar>
            <w:top w:w="0" w:type="dxa"/>
            <w:left w:w="108" w:type="dxa"/>
            <w:bottom w:w="0" w:type="dxa"/>
            <w:right w:w="108" w:type="dxa"/>
          </w:tblCellMar>
        </w:tblPrEx>
        <w:trPr>
          <w:trHeight w:val="284" w:hRule="exact"/>
        </w:trPr>
        <w:tc>
          <w:tcPr>
            <w:tcW w:w="16080"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bookmarkStart w:id="3" w:name="_GoBack"/>
      <w:bookmarkEnd w:id="3"/>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olor w:val="000000"/>
          <w:kern w:val="0"/>
          <w:szCs w:val="21"/>
        </w:rPr>
        <w:t>溆浦县医疗保障局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2.83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2.83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1.91</w:t>
            </w:r>
            <w:r>
              <w:rPr>
                <w:rFonts w:ascii="Times New Roman" w:hAnsi="Times New Roman" w:eastAsia="仿宋_GB2312" w:cs="Times New Roman"/>
                <w:kern w:val="0"/>
                <w:szCs w:val="21"/>
              </w:rPr>
              <w:t>　</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olor w:val="000000"/>
          <w:kern w:val="0"/>
          <w:szCs w:val="21"/>
        </w:rPr>
        <w:t>溆浦县医疗保障局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86.00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86.00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其他支出</w:t>
            </w: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86.00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86.00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22960</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彩票公益金安排的支出</w:t>
            </w: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86.00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86.00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2296013</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用于城乡医疗救助的彩票公益金支出</w:t>
            </w: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86.00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86.00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olor w:val="000000"/>
                <w:kern w:val="0"/>
                <w:szCs w:val="21"/>
              </w:rPr>
              <w:t>溆浦县医疗保障局</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51212.95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，其中本年收入合计</w:t>
      </w:r>
      <w:r>
        <w:rPr>
          <w:rFonts w:hint="eastAsia" w:asciiTheme="minorEastAsia" w:hAnsiTheme="minorEastAsia" w:eastAsiaTheme="minorEastAsia"/>
          <w:sz w:val="32"/>
          <w:szCs w:val="32"/>
          <w:lang w:val="en-US" w:eastAsia="zh-CN"/>
        </w:rPr>
        <w:t>51187.28万元，年初结转和结余25.68万元，本年支出合计51192.28万元，年末结转和结余20.68万元。</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47086.22</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1141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财政对基本医疗保险基金的补助大幅增加。</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51187.28</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51121.82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99.87</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65.45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0.13</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51192.28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736.59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1.44</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50455.69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98.56</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51147.33</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47037.07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1144.38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财政对基本医疗保险基金的补助大幅增加。</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color w:val="auto"/>
          <w:sz w:val="32"/>
          <w:szCs w:val="32"/>
          <w:lang w:val="en-US" w:eastAsia="zh-CN"/>
        </w:rPr>
        <w:t>51040.82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99.70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46956.07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1149.55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财政对基本医疗保险基金的补助大幅增加。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51040.82</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327.29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0.64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50413.75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98.77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农林水支出</w:t>
      </w:r>
      <w:r>
        <w:rPr>
          <w:rFonts w:hint="eastAsia" w:asciiTheme="minorEastAsia" w:hAnsiTheme="minorEastAsia" w:eastAsiaTheme="minorEastAsia"/>
          <w:sz w:val="32"/>
          <w:szCs w:val="32"/>
          <w:lang w:val="en-US" w:eastAsia="zh-CN"/>
        </w:rPr>
        <w:t>294.96，占0.58%；资源勘探工业信息等支出0.20万元，占0.00%；住房保障支出4.61万元，占0.01%</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51040.82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51040.82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人力资源和社会保障管理事务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267.00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267.00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人力资源和社会保障管理事务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其他人力资源和社会保障管理事务支出</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0.46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0.46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行政单位离退休</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35.00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抚恤</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死亡抚恤</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17.78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17.78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退役军人管理事务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其他退役军人事务管理支出</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7.05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卫生健康管理事务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227.42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227.42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卫生健康管理事务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其他卫生健康管理事务支出</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8.22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8.22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公立医院</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其他公立医院支出</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9.60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9.60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财政对基本医疗保险基金的补助</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财政对职工基本医疗保险基金的补助</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491.60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491.60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财政对基本医疗保险基金的补助</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财政对城乡居民基本医疗保险基金的补助</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41981.63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41981.63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医疗救助</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城乡医疗救助</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3827.62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3827.62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医疗救助</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其他医疗救助支出</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580.14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580.14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医疗保障管理事务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98.84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98.84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医疗保障管理事务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其他医疗保障管理事务支出</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39.46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39.46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其他卫生健康支出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其他卫生健康支出</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3149.23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3149.23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农业生产发展</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287.82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287.82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扶贫</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7.14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7.14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资源勘探工业信息等支出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资源勘探开发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0.20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0.20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住房改革支出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住房公积金</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4.61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671.14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468.04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69.74</w:t>
      </w:r>
      <w:r>
        <w:rPr>
          <w:rFonts w:hint="eastAsia" w:asciiTheme="minorEastAsia" w:hAnsiTheme="minorEastAsia" w:eastAsiaTheme="minorEastAsia"/>
          <w:sz w:val="32"/>
          <w:szCs w:val="32"/>
        </w:rPr>
        <w:t>%,主要包括基本工资、津贴补贴、奖金、伙食补助</w:t>
      </w:r>
      <w:r>
        <w:rPr>
          <w:rFonts w:hint="eastAsia" w:asciiTheme="minorEastAsia" w:hAnsiTheme="minorEastAsia" w:eastAsiaTheme="minorEastAsia"/>
          <w:sz w:val="32"/>
          <w:szCs w:val="32"/>
          <w:lang w:eastAsia="zh-CN"/>
        </w:rPr>
        <w:t>费、职工基本医疗保险缴费、其他社会保障缴费、住房公积金、抚恤金、生活补助、奖励金</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203.10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30.26</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电费、会议费、培训费、公务接待费、专用材料费、劳务费、工会经费、福利费、其他交通费用、其他商品和服务支出</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2.83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67.50</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因公出国（境）费，与上年相比减少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因公出国（境）费。</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2.83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1.91</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67.50</w:t>
      </w:r>
      <w:r>
        <w:rPr>
          <w:rFonts w:hint="eastAsia" w:asciiTheme="minorEastAsia" w:hAnsiTheme="minorEastAsia" w:eastAsiaTheme="minorEastAsia"/>
          <w:color w:val="auto"/>
          <w:sz w:val="32"/>
          <w:szCs w:val="32"/>
        </w:rPr>
        <w:t>%，决算数小于预算数的主要原因是</w:t>
      </w:r>
      <w:r>
        <w:rPr>
          <w:rFonts w:hint="eastAsia" w:asciiTheme="minorEastAsia" w:hAnsiTheme="minorEastAsia" w:eastAsiaTheme="minorEastAsia"/>
          <w:color w:val="auto"/>
          <w:sz w:val="32"/>
          <w:szCs w:val="32"/>
          <w:lang w:eastAsia="zh-CN"/>
        </w:rPr>
        <w:t>厉行节约</w:t>
      </w:r>
      <w:r>
        <w:rPr>
          <w:rFonts w:hint="eastAsia" w:asciiTheme="minorEastAsia" w:hAnsiTheme="minorEastAsia" w:eastAsiaTheme="minorEastAsia"/>
          <w:color w:val="auto"/>
          <w:sz w:val="32"/>
          <w:szCs w:val="32"/>
        </w:rPr>
        <w:t>，与上年相比</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lang w:val="en-US" w:eastAsia="zh-CN"/>
        </w:rPr>
        <w:t>0.71</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lang w:val="en-US" w:eastAsia="zh-CN"/>
        </w:rPr>
        <w:t>59.16</w:t>
      </w:r>
      <w:r>
        <w:rPr>
          <w:rFonts w:hint="eastAsia" w:asciiTheme="minorEastAsia" w:hAnsiTheme="minorEastAsia" w:eastAsiaTheme="minorEastAsia"/>
          <w:color w:val="auto"/>
          <w:sz w:val="32"/>
          <w:szCs w:val="32"/>
        </w:rPr>
        <w:t>%,增长的主要原因是</w:t>
      </w:r>
      <w:r>
        <w:rPr>
          <w:rFonts w:hint="eastAsia" w:asciiTheme="minorEastAsia" w:hAnsiTheme="minorEastAsia" w:eastAsiaTheme="minorEastAsia"/>
          <w:color w:val="auto"/>
          <w:sz w:val="32"/>
          <w:szCs w:val="32"/>
          <w:lang w:eastAsia="zh-CN"/>
        </w:rPr>
        <w:t>公务接待次数增加</w:t>
      </w:r>
      <w:r>
        <w:rPr>
          <w:rFonts w:hint="eastAsia" w:asciiTheme="minorEastAsia" w:hAnsiTheme="minorEastAsia" w:eastAsiaTheme="minorEastAsia"/>
          <w:color w:val="auto"/>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公务用车购置费及运行维护费，与上年相比减少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公务用车购置费及运行维护费。</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1.91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1.91</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190</w:t>
      </w:r>
      <w:r>
        <w:rPr>
          <w:rFonts w:hint="eastAsia" w:asciiTheme="minorEastAsia" w:hAnsiTheme="minorEastAsia" w:eastAsiaTheme="minorEastAsia"/>
          <w:sz w:val="32"/>
          <w:szCs w:val="32"/>
        </w:rPr>
        <w:t>人次，主要是</w:t>
      </w:r>
      <w:r>
        <w:rPr>
          <w:rFonts w:hint="eastAsia" w:ascii="宋体" w:hAnsi="宋体" w:eastAsia="宋体"/>
          <w:sz w:val="32"/>
          <w:szCs w:val="32"/>
        </w:rPr>
        <w:t>迎接上级督导检查发生的接待支出。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溆浦县医疗保障局</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sz w:val="32"/>
          <w:szCs w:val="32"/>
          <w:lang w:eastAsia="zh-CN"/>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宋体" w:hAnsi="宋体"/>
          <w:sz w:val="32"/>
          <w:szCs w:val="32"/>
        </w:rPr>
        <w:t>主要是</w:t>
      </w:r>
      <w:r>
        <w:rPr>
          <w:rFonts w:hint="eastAsia" w:ascii="宋体" w:hAnsi="宋体"/>
          <w:sz w:val="32"/>
          <w:szCs w:val="32"/>
          <w:lang w:eastAsia="zh-CN"/>
        </w:rPr>
        <w:t>公务用车运行维护</w:t>
      </w:r>
      <w:r>
        <w:rPr>
          <w:rFonts w:hint="eastAsia" w:ascii="宋体" w:hAnsi="宋体"/>
          <w:sz w:val="32"/>
          <w:szCs w:val="32"/>
        </w:rPr>
        <w:t>及</w:t>
      </w:r>
      <w:r>
        <w:rPr>
          <w:rFonts w:hint="eastAsia" w:ascii="宋体" w:hAnsi="宋体"/>
          <w:sz w:val="32"/>
          <w:szCs w:val="32"/>
          <w:lang w:eastAsia="zh-CN"/>
        </w:rPr>
        <w:t>油卡充值</w:t>
      </w:r>
      <w:r>
        <w:rPr>
          <w:rFonts w:hint="eastAsia" w:ascii="宋体" w:hAnsi="宋体"/>
          <w:sz w:val="32"/>
          <w:szCs w:val="32"/>
        </w:rPr>
        <w:t>支出</w:t>
      </w:r>
      <w:r>
        <w:rPr>
          <w:rFonts w:hint="eastAsia" w:asciiTheme="minorEastAsia" w:hAnsiTheme="minorEastAsia"/>
          <w:sz w:val="32"/>
          <w:szCs w:val="32"/>
        </w:rPr>
        <w:t>，截止2020年12月31日，我单位开支财政拨款的公务用车保有量为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86.00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86.00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86.00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九、关于机关运行经费支出说明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203.10</w:t>
      </w:r>
      <w:r>
        <w:rPr>
          <w:rFonts w:hint="eastAsia" w:asciiTheme="minorEastAsia" w:hAnsiTheme="minorEastAsia" w:eastAsiaTheme="minorEastAsia"/>
          <w:sz w:val="32"/>
          <w:szCs w:val="32"/>
        </w:rPr>
        <w:t>万元，比年初预算数</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44.79</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18.06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办公经费开支减少。</w:t>
      </w:r>
    </w:p>
    <w:p>
      <w:pPr>
        <w:pStyle w:val="9"/>
        <w:rPr>
          <w:rFonts w:hAnsi="黑体"/>
          <w:b/>
          <w:sz w:val="32"/>
          <w:szCs w:val="32"/>
        </w:rPr>
      </w:pPr>
      <w:r>
        <w:rPr>
          <w:rFonts w:hint="eastAsia" w:hAnsi="黑体"/>
          <w:b/>
          <w:sz w:val="32"/>
          <w:szCs w:val="32"/>
        </w:rPr>
        <w:t>十、一般性支出情况</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1.94</w:t>
      </w:r>
      <w:r>
        <w:rPr>
          <w:rFonts w:hint="eastAsia" w:asciiTheme="minorEastAsia" w:hAnsiTheme="minorEastAsia" w:eastAsiaTheme="minorEastAsia"/>
          <w:sz w:val="32"/>
          <w:szCs w:val="32"/>
        </w:rPr>
        <w:t>万元，用于召开打击欺诈骗保、医保协议会议，人数</w:t>
      </w:r>
      <w:r>
        <w:rPr>
          <w:rFonts w:hint="eastAsia" w:asciiTheme="minorEastAsia" w:hAnsiTheme="minorEastAsia" w:eastAsiaTheme="minorEastAsia"/>
          <w:sz w:val="32"/>
          <w:szCs w:val="32"/>
          <w:lang w:val="en-US" w:eastAsia="zh-CN"/>
        </w:rPr>
        <w:t>72</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防治套取骗取财政医疗保险资金</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用于召开医保总额目标控制会议，人数</w:t>
      </w:r>
      <w:r>
        <w:rPr>
          <w:rFonts w:hint="eastAsia" w:asciiTheme="minorEastAsia" w:hAnsiTheme="minorEastAsia" w:eastAsiaTheme="minorEastAsia"/>
          <w:sz w:val="32"/>
          <w:szCs w:val="32"/>
          <w:lang w:val="en-US" w:eastAsia="zh-CN"/>
        </w:rPr>
        <w:t>119人，内容为积极收取城乡医疗保险缴费及农合医保收费；用于召开医保工作总结会议，人数85人，内容为总结2020年医保工作，用于召开医疗保障行风及廉政建设会议，人数60人，内容为医疗保障行风及廉政建设。</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0.17</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专技人员职称</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提高干部素质，增强干部专业技术</w:t>
      </w:r>
      <w:r>
        <w:rPr>
          <w:rFonts w:hint="eastAsia" w:asciiTheme="minorEastAsia" w:hAnsiTheme="minorEastAsia" w:eastAsiaTheme="minorEastAsia"/>
          <w:sz w:val="32"/>
          <w:szCs w:val="32"/>
        </w:rPr>
        <w:t>；举办等节庆、晚会、论坛、赛事活动，开支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9"/>
        <w:rPr>
          <w:rFonts w:hAnsi="黑体"/>
          <w:b/>
          <w:sz w:val="32"/>
          <w:szCs w:val="32"/>
        </w:rPr>
      </w:pPr>
      <w:r>
        <w:rPr>
          <w:rFonts w:hint="eastAsia" w:hAnsi="黑体"/>
          <w:b/>
          <w:sz w:val="32"/>
          <w:szCs w:val="32"/>
        </w:rPr>
        <w:t>十一、关于政府采购支出说明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十二、关于国有资产占用情况说明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十三、关于2020年度预算绩效情况的说明</w:t>
      </w:r>
    </w:p>
    <w:p>
      <w:pPr>
        <w:ind w:firstLine="640" w:firstLineChars="200"/>
        <w:rPr>
          <w:rFonts w:hint="eastAsia" w:ascii="宋体" w:hAnsi="宋体" w:cs="宋体"/>
          <w:color w:val="333333"/>
          <w:sz w:val="32"/>
          <w:szCs w:val="32"/>
        </w:rPr>
      </w:pPr>
      <w:r>
        <w:rPr>
          <w:rFonts w:hint="eastAsia" w:ascii="宋体" w:hAnsi="宋体" w:cs="宋体"/>
          <w:color w:val="333333"/>
          <w:sz w:val="32"/>
          <w:szCs w:val="32"/>
        </w:rPr>
        <w:t>在日常开支中我单位坚持厉行节约原则，严格按程序审核审批报账，即：所有的支出实行局长审核、分管财务领导审批签字后方可报账，对1000元以上的办公用品购置实行内部采购制度，对大宗物资采购实行政府采购程序，通过坚决执行各项财务管理的内控制度，2019年我单位有效控制了支出规模，实现了收支基本平衡，新增债务为零。对于项目资金管理我中心严格执行项目资金监管制度，严格按照项目实施流程进行申报、入库、抽查巡查、竣工验收、报账审批，确保项目实施质量过关，经济效益和社会效益得到充分发挥。</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rPr>
          <w:rFonts w:ascii="宋体" w:hAnsi="宋体" w:cs="黑体"/>
          <w:color w:val="000000"/>
          <w:kern w:val="0"/>
          <w:sz w:val="32"/>
          <w:szCs w:val="32"/>
        </w:rPr>
      </w:pPr>
      <w:r>
        <w:rPr>
          <w:rFonts w:hint="eastAsia" w:ascii="宋体" w:hAnsi="宋体" w:cs="黑体"/>
          <w:color w:val="000000"/>
          <w:kern w:val="0"/>
          <w:sz w:val="32"/>
          <w:szCs w:val="32"/>
        </w:rPr>
        <w:t>1、财政拨款收入：指县财政当年拨付的资金。</w:t>
      </w:r>
    </w:p>
    <w:p>
      <w:pPr>
        <w:ind w:firstLine="640" w:firstLineChars="200"/>
        <w:rPr>
          <w:rFonts w:ascii="宋体" w:hAnsi="宋体" w:cs="黑体"/>
          <w:color w:val="000000"/>
          <w:kern w:val="0"/>
          <w:sz w:val="32"/>
          <w:szCs w:val="32"/>
        </w:rPr>
      </w:pPr>
      <w:r>
        <w:rPr>
          <w:rFonts w:hint="eastAsia" w:ascii="宋体" w:hAnsi="宋体" w:cs="黑体"/>
          <w:color w:val="000000"/>
          <w:kern w:val="0"/>
          <w:sz w:val="32"/>
          <w:szCs w:val="32"/>
        </w:rPr>
        <w:t>2、基本支出：指部门为保障其机构正常运转、完成日常工作任务的年度基本支出，包括人员经费和公用经费两部分。</w:t>
      </w:r>
    </w:p>
    <w:p>
      <w:pPr>
        <w:ind w:firstLine="640" w:firstLineChars="200"/>
        <w:rPr>
          <w:rFonts w:ascii="宋体" w:hAnsi="宋体" w:cs="黑体"/>
          <w:color w:val="000000"/>
          <w:kern w:val="0"/>
          <w:sz w:val="32"/>
          <w:szCs w:val="32"/>
        </w:rPr>
      </w:pPr>
      <w:r>
        <w:rPr>
          <w:rFonts w:hint="eastAsia" w:ascii="宋体" w:hAnsi="宋体" w:cs="黑体"/>
          <w:color w:val="000000"/>
          <w:kern w:val="0"/>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pPr>
        <w:ind w:firstLine="640" w:firstLineChars="200"/>
        <w:rPr>
          <w:rFonts w:ascii="仿宋_GB2312"/>
          <w:sz w:val="32"/>
          <w:szCs w:val="32"/>
        </w:rPr>
      </w:pPr>
      <w:r>
        <w:rPr>
          <w:rFonts w:hint="eastAsia" w:ascii="宋体" w:hAnsi="宋体" w:cs="黑体"/>
          <w:color w:val="000000"/>
          <w:kern w:val="0"/>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rPr>
          <w:rFonts w:hint="eastAsia" w:ascii="仿宋" w:hAnsi="仿宋" w:eastAsia="仿宋"/>
          <w:sz w:val="32"/>
          <w:szCs w:val="32"/>
        </w:rPr>
      </w:pPr>
      <w:r>
        <w:rPr>
          <w:rFonts w:hint="eastAsia" w:ascii="仿宋" w:hAnsi="仿宋" w:eastAsia="仿宋"/>
          <w:sz w:val="32"/>
          <w:szCs w:val="32"/>
        </w:rPr>
        <w:t>为确实做好20</w:t>
      </w:r>
      <w:r>
        <w:rPr>
          <w:rFonts w:hint="eastAsia" w:ascii="仿宋" w:hAnsi="仿宋" w:eastAsia="仿宋"/>
          <w:sz w:val="32"/>
          <w:szCs w:val="32"/>
          <w:lang w:val="en-US" w:eastAsia="zh-CN"/>
        </w:rPr>
        <w:t>20</w:t>
      </w:r>
      <w:r>
        <w:rPr>
          <w:rFonts w:hint="eastAsia" w:ascii="仿宋" w:hAnsi="仿宋" w:eastAsia="仿宋"/>
          <w:sz w:val="32"/>
          <w:szCs w:val="32"/>
        </w:rPr>
        <w:t>年度部门整体支出绩效自我评价工作，强化绩效理念，提高财政资金使用效益。根据上级有关文件精神，结合实际，现将我</w:t>
      </w:r>
      <w:r>
        <w:rPr>
          <w:rFonts w:hint="eastAsia" w:ascii="仿宋" w:hAnsi="仿宋" w:eastAsia="仿宋"/>
          <w:sz w:val="32"/>
          <w:szCs w:val="32"/>
          <w:lang w:eastAsia="zh-CN"/>
        </w:rPr>
        <w:t>单位</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年度绩效自评结果报告如下：</w:t>
      </w:r>
    </w:p>
    <w:p>
      <w:pPr>
        <w:numPr>
          <w:ilvl w:val="0"/>
          <w:numId w:val="3"/>
        </w:numPr>
        <w:rPr>
          <w:rFonts w:hint="eastAsia" w:ascii="黑体" w:hAnsi="黑体" w:eastAsia="黑体"/>
          <w:b/>
          <w:sz w:val="32"/>
          <w:szCs w:val="32"/>
        </w:rPr>
      </w:pPr>
      <w:r>
        <w:rPr>
          <w:rFonts w:hint="eastAsia" w:ascii="黑体" w:hAnsi="黑体" w:eastAsia="黑体"/>
          <w:b/>
          <w:sz w:val="32"/>
          <w:szCs w:val="32"/>
        </w:rPr>
        <w:t>部门概况</w:t>
      </w:r>
    </w:p>
    <w:p>
      <w:pPr>
        <w:widowControl/>
        <w:spacing w:line="600" w:lineRule="exact"/>
        <w:ind w:firstLine="640" w:firstLineChars="200"/>
        <w:rPr>
          <w:rFonts w:hint="eastAsia" w:ascii="仿宋" w:hAnsi="仿宋" w:eastAsia="仿宋" w:cs="仿宋"/>
          <w:b/>
          <w:bCs/>
          <w:kern w:val="0"/>
          <w:sz w:val="32"/>
          <w:szCs w:val="32"/>
        </w:rPr>
      </w:pPr>
      <w:r>
        <w:rPr>
          <w:rFonts w:hint="eastAsia" w:ascii="仿宋" w:hAnsi="仿宋" w:eastAsia="仿宋" w:cs="仿宋"/>
          <w:sz w:val="32"/>
          <w:szCs w:val="32"/>
        </w:rPr>
        <w:t>我单位是全额拨款正科级行政单位，由原县医疗保险管理局、县城乡居民医疗保险服务中心合并新组建而成。核定编制39名，实有在职人员40人，离退休人员11人（含提前退休1人），内设办公室（党建办）、规划法规和财务股、基金监管股、待遇保障股、医药服务股。</w:t>
      </w:r>
    </w:p>
    <w:p>
      <w:pPr>
        <w:ind w:firstLine="640" w:firstLineChars="200"/>
        <w:rPr>
          <w:rFonts w:hint="eastAsia" w:ascii="仿宋" w:hAnsi="仿宋" w:eastAsia="仿宋" w:cs="仿宋_GB2312"/>
          <w:sz w:val="32"/>
          <w:szCs w:val="32"/>
        </w:rPr>
      </w:pPr>
      <w:r>
        <w:rPr>
          <w:rFonts w:hint="eastAsia" w:ascii="仿宋" w:hAnsi="仿宋" w:eastAsia="仿宋"/>
          <w:sz w:val="32"/>
          <w:szCs w:val="32"/>
        </w:rPr>
        <w:t>主要职能：</w:t>
      </w:r>
      <w:r>
        <w:rPr>
          <w:rFonts w:ascii="仿宋" w:hAnsi="仿宋" w:eastAsia="仿宋" w:cs="仿宋_GB2312"/>
          <w:sz w:val="32"/>
          <w:szCs w:val="32"/>
        </w:rPr>
        <w:t>1</w:t>
      </w:r>
      <w:r>
        <w:rPr>
          <w:rFonts w:hint="eastAsia" w:ascii="仿宋" w:hAnsi="仿宋" w:eastAsia="仿宋" w:cs="仿宋_GB2312"/>
          <w:sz w:val="32"/>
          <w:szCs w:val="32"/>
        </w:rPr>
        <w:t>、拟订全县基本医疗保障制度规范性文件并组织实施；</w:t>
      </w:r>
      <w:r>
        <w:rPr>
          <w:rFonts w:ascii="仿宋" w:hAnsi="仿宋" w:eastAsia="仿宋" w:cs="仿宋_GB2312"/>
          <w:sz w:val="32"/>
          <w:szCs w:val="32"/>
        </w:rPr>
        <w:t>2</w:t>
      </w:r>
      <w:r>
        <w:rPr>
          <w:rFonts w:hint="eastAsia" w:ascii="仿宋" w:hAnsi="仿宋" w:eastAsia="仿宋" w:cs="仿宋_GB2312"/>
          <w:sz w:val="32"/>
          <w:szCs w:val="32"/>
        </w:rPr>
        <w:t>、组织制定并实施全县医疗保障基金安全防控机制，推进医保基金支付方式改革；</w:t>
      </w:r>
      <w:r>
        <w:rPr>
          <w:rFonts w:ascii="仿宋" w:hAnsi="仿宋" w:eastAsia="仿宋" w:cs="仿宋_GB2312"/>
          <w:sz w:val="32"/>
          <w:szCs w:val="32"/>
        </w:rPr>
        <w:t>3</w:t>
      </w:r>
      <w:r>
        <w:rPr>
          <w:rFonts w:hint="eastAsia" w:ascii="仿宋" w:hAnsi="仿宋" w:eastAsia="仿宋" w:cs="仿宋_GB2312"/>
          <w:sz w:val="32"/>
          <w:szCs w:val="32"/>
        </w:rPr>
        <w:t>、组织制定全县医疗保障筹资和待遇标准；</w:t>
      </w:r>
      <w:r>
        <w:rPr>
          <w:rFonts w:ascii="仿宋" w:hAnsi="仿宋" w:eastAsia="仿宋" w:cs="仿宋_GB2312"/>
          <w:sz w:val="32"/>
          <w:szCs w:val="32"/>
        </w:rPr>
        <w:t>4</w:t>
      </w:r>
      <w:r>
        <w:rPr>
          <w:rFonts w:hint="eastAsia" w:ascii="仿宋" w:hAnsi="仿宋" w:eastAsia="仿宋" w:cs="仿宋_GB2312"/>
          <w:sz w:val="32"/>
          <w:szCs w:val="32"/>
        </w:rPr>
        <w:t>、落实城乡统一的药品医用耗材、医疗服务项目支付标准；</w:t>
      </w:r>
      <w:r>
        <w:rPr>
          <w:rFonts w:ascii="仿宋" w:hAnsi="仿宋" w:eastAsia="仿宋" w:cs="仿宋_GB2312"/>
          <w:sz w:val="32"/>
          <w:szCs w:val="32"/>
        </w:rPr>
        <w:t>5</w:t>
      </w:r>
      <w:r>
        <w:rPr>
          <w:rFonts w:hint="eastAsia" w:ascii="仿宋" w:hAnsi="仿宋" w:eastAsia="仿宋" w:cs="仿宋_GB2312"/>
          <w:sz w:val="32"/>
          <w:szCs w:val="32"/>
        </w:rPr>
        <w:t>、制定全县定点医疗机构协议和支付管理办法；</w:t>
      </w:r>
      <w:r>
        <w:rPr>
          <w:rFonts w:ascii="仿宋" w:hAnsi="仿宋" w:eastAsia="仿宋" w:cs="仿宋_GB2312"/>
          <w:sz w:val="32"/>
          <w:szCs w:val="32"/>
        </w:rPr>
        <w:t>6</w:t>
      </w:r>
      <w:r>
        <w:rPr>
          <w:rFonts w:hint="eastAsia" w:ascii="仿宋" w:hAnsi="仿宋" w:eastAsia="仿宋" w:cs="仿宋_GB2312"/>
          <w:sz w:val="32"/>
          <w:szCs w:val="32"/>
        </w:rPr>
        <w:t>、负责全县医疗保障经办管理；</w:t>
      </w:r>
      <w:r>
        <w:rPr>
          <w:rFonts w:ascii="仿宋" w:hAnsi="仿宋" w:eastAsia="仿宋" w:cs="仿宋_GB2312"/>
          <w:sz w:val="32"/>
          <w:szCs w:val="32"/>
        </w:rPr>
        <w:t>7</w:t>
      </w:r>
      <w:r>
        <w:rPr>
          <w:rFonts w:hint="eastAsia" w:ascii="仿宋" w:hAnsi="仿宋" w:eastAsia="仿宋" w:cs="仿宋_GB2312"/>
          <w:sz w:val="32"/>
          <w:szCs w:val="32"/>
        </w:rPr>
        <w:t>、完成县委、县政府交办的其他任务。</w:t>
      </w:r>
    </w:p>
    <w:p>
      <w:pPr>
        <w:ind w:firstLine="640" w:firstLineChars="200"/>
        <w:rPr>
          <w:rFonts w:hint="eastAsia" w:ascii="黑体" w:hAnsi="黑体" w:eastAsia="黑体"/>
          <w:b/>
          <w:sz w:val="32"/>
          <w:szCs w:val="32"/>
        </w:rPr>
      </w:pPr>
      <w:r>
        <w:rPr>
          <w:rFonts w:hint="eastAsia" w:ascii="黑体" w:hAnsi="黑体" w:eastAsia="黑体" w:cs="仿宋_GB2312"/>
          <w:sz w:val="32"/>
          <w:szCs w:val="32"/>
        </w:rPr>
        <w:t>二、</w:t>
      </w:r>
      <w:r>
        <w:rPr>
          <w:rFonts w:hint="eastAsia" w:ascii="黑体" w:hAnsi="黑体" w:eastAsia="黑体"/>
          <w:b/>
          <w:sz w:val="32"/>
          <w:szCs w:val="32"/>
        </w:rPr>
        <w:t>整体支出管理及使用情况</w:t>
      </w:r>
    </w:p>
    <w:p>
      <w:pPr>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根据国家有关财经法律法规和实际制定了一系列的财务管理制度，全部资金由规划和财务股统一管理。在资金使用上按照国家财经法规和单位财务管理制度规定以及有关专项资金管理办法的规定收支，按照财经制度的有关要求，做到专款专用，保证资金使用的合规性。资金使用无截留、挤占、挪用、虚列支出情况。</w:t>
      </w:r>
    </w:p>
    <w:p>
      <w:pPr>
        <w:ind w:firstLine="640" w:firstLineChars="200"/>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年收入总计</w:t>
      </w:r>
      <w:r>
        <w:rPr>
          <w:rFonts w:hint="eastAsia" w:ascii="仿宋" w:hAnsi="仿宋" w:eastAsia="仿宋"/>
          <w:sz w:val="32"/>
          <w:szCs w:val="32"/>
          <w:lang w:val="en-US" w:eastAsia="zh-CN"/>
        </w:rPr>
        <w:t>51212.95</w:t>
      </w:r>
      <w:r>
        <w:rPr>
          <w:rFonts w:hint="eastAsia" w:ascii="仿宋" w:hAnsi="仿宋" w:eastAsia="仿宋"/>
          <w:sz w:val="32"/>
          <w:szCs w:val="32"/>
        </w:rPr>
        <w:t>万元，其中本年收入</w:t>
      </w:r>
      <w:r>
        <w:rPr>
          <w:rFonts w:hint="eastAsia" w:ascii="仿宋" w:hAnsi="仿宋" w:eastAsia="仿宋"/>
          <w:sz w:val="32"/>
          <w:szCs w:val="32"/>
          <w:lang w:val="en-US" w:eastAsia="zh-CN"/>
        </w:rPr>
        <w:t>51187.28</w:t>
      </w:r>
      <w:r>
        <w:rPr>
          <w:rFonts w:hint="eastAsia" w:ascii="仿宋" w:hAnsi="仿宋" w:eastAsia="仿宋"/>
          <w:sz w:val="32"/>
          <w:szCs w:val="32"/>
        </w:rPr>
        <w:t>万元，</w:t>
      </w:r>
      <w:r>
        <w:rPr>
          <w:rFonts w:hint="eastAsia" w:ascii="仿宋" w:hAnsi="仿宋" w:eastAsia="仿宋"/>
          <w:sz w:val="32"/>
          <w:szCs w:val="32"/>
          <w:lang w:eastAsia="zh-CN"/>
        </w:rPr>
        <w:t>年初结转和结余</w:t>
      </w:r>
      <w:r>
        <w:rPr>
          <w:rFonts w:hint="eastAsia" w:ascii="仿宋" w:hAnsi="仿宋" w:eastAsia="仿宋"/>
          <w:sz w:val="32"/>
          <w:szCs w:val="32"/>
          <w:lang w:val="en-US" w:eastAsia="zh-CN"/>
        </w:rPr>
        <w:t>25.68</w:t>
      </w:r>
      <w:r>
        <w:rPr>
          <w:rFonts w:hint="eastAsia" w:ascii="仿宋" w:hAnsi="仿宋" w:eastAsia="仿宋"/>
          <w:sz w:val="32"/>
          <w:szCs w:val="32"/>
        </w:rPr>
        <w:t>万元，</w:t>
      </w:r>
      <w:r>
        <w:rPr>
          <w:rFonts w:hint="eastAsia" w:ascii="仿宋" w:hAnsi="仿宋" w:eastAsia="仿宋"/>
          <w:sz w:val="32"/>
          <w:szCs w:val="32"/>
          <w:lang w:eastAsia="zh-CN"/>
        </w:rPr>
        <w:t>支出总计</w:t>
      </w:r>
      <w:r>
        <w:rPr>
          <w:rFonts w:hint="eastAsia" w:ascii="仿宋" w:hAnsi="仿宋" w:eastAsia="仿宋"/>
          <w:sz w:val="32"/>
          <w:szCs w:val="32"/>
          <w:lang w:val="en-US" w:eastAsia="zh-CN"/>
        </w:rPr>
        <w:t>51212.95万元，其中本年支出51192.28万元</w:t>
      </w:r>
      <w:r>
        <w:rPr>
          <w:rFonts w:hint="eastAsia" w:ascii="仿宋" w:hAnsi="仿宋" w:eastAsia="仿宋"/>
          <w:sz w:val="32"/>
          <w:szCs w:val="32"/>
        </w:rPr>
        <w:t>，</w:t>
      </w:r>
      <w:r>
        <w:rPr>
          <w:rFonts w:hint="eastAsia" w:ascii="仿宋" w:hAnsi="仿宋" w:eastAsia="仿宋"/>
          <w:sz w:val="32"/>
          <w:szCs w:val="32"/>
          <w:lang w:eastAsia="zh-CN"/>
        </w:rPr>
        <w:t>年末结转和结余</w:t>
      </w:r>
      <w:r>
        <w:rPr>
          <w:rFonts w:hint="eastAsia" w:ascii="仿宋" w:hAnsi="仿宋" w:eastAsia="仿宋"/>
          <w:sz w:val="32"/>
          <w:szCs w:val="32"/>
          <w:lang w:val="en-US" w:eastAsia="zh-CN"/>
        </w:rPr>
        <w:t>20.68万元。</w:t>
      </w:r>
    </w:p>
    <w:p>
      <w:pPr>
        <w:ind w:firstLine="640" w:firstLineChars="200"/>
        <w:rPr>
          <w:rFonts w:hint="eastAsia" w:ascii="黑体" w:hAnsi="黑体" w:eastAsia="黑体"/>
          <w:b/>
          <w:sz w:val="32"/>
          <w:szCs w:val="32"/>
        </w:rPr>
      </w:pPr>
      <w:r>
        <w:rPr>
          <w:rFonts w:hint="eastAsia" w:ascii="黑体" w:hAnsi="黑体" w:eastAsia="黑体"/>
          <w:b/>
          <w:sz w:val="32"/>
          <w:szCs w:val="32"/>
        </w:rPr>
        <w:t>三、资产管理情况</w:t>
      </w:r>
    </w:p>
    <w:p>
      <w:pPr>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固定资产总额90.41万元，其中房屋建筑物77.18万元，其他固定资产13.23万元。为加强单位固定资产的管理，提高固定资产的使用率，制定了固定资产管理制度，由办公室负责固定资产建账、建卡清查盘点，建立《固定资产片》并计入固定资产明细，按物登记、凭卡入账，每年对各股室的固定资产进行一次全面清查盘底，制定了固定资产报废制度，对于符合报废的固定资产由股室写出书面申请，办公室提供相关资料，统一向上级主管部门提出申请，批准后方可报废。</w:t>
      </w:r>
    </w:p>
    <w:p>
      <w:pPr>
        <w:numPr>
          <w:ilvl w:val="0"/>
          <w:numId w:val="4"/>
        </w:numPr>
        <w:rPr>
          <w:rFonts w:hint="eastAsia" w:ascii="黑体" w:hAnsi="黑体" w:eastAsia="黑体"/>
          <w:b/>
          <w:sz w:val="32"/>
          <w:szCs w:val="32"/>
        </w:rPr>
      </w:pPr>
      <w:r>
        <w:rPr>
          <w:rFonts w:hint="eastAsia" w:ascii="黑体" w:hAnsi="黑体" w:eastAsia="黑体"/>
          <w:b/>
          <w:sz w:val="32"/>
          <w:szCs w:val="32"/>
        </w:rPr>
        <w:t>部门整体支出绩效情况</w:t>
      </w:r>
    </w:p>
    <w:p>
      <w:pPr>
        <w:ind w:firstLine="640" w:firstLineChars="200"/>
        <w:rPr>
          <w:rFonts w:hint="eastAsia" w:ascii="仿宋" w:hAnsi="仿宋" w:eastAsia="仿宋"/>
          <w:sz w:val="32"/>
          <w:szCs w:val="32"/>
        </w:rPr>
      </w:pPr>
      <w:r>
        <w:rPr>
          <w:rFonts w:hint="eastAsia" w:ascii="仿宋" w:hAnsi="仿宋" w:eastAsia="仿宋"/>
          <w:b/>
          <w:sz w:val="32"/>
          <w:szCs w:val="32"/>
        </w:rPr>
        <w:t>1、加大医保基金征缴力度</w:t>
      </w:r>
      <w:r>
        <w:rPr>
          <w:rFonts w:hint="eastAsia" w:ascii="仿宋" w:hAnsi="仿宋" w:eastAsia="仿宋"/>
          <w:sz w:val="32"/>
          <w:szCs w:val="32"/>
        </w:rPr>
        <w:t>。根据湘人社发【2014】8号文件《关于进一步加强城镇职工基本医疗保险有关工作的通知》的要求，由参保单位向税务部门统一申报缴纳医疗保险基金。对企业参保单位基金征缴实行严格的基数稽核制度，认真做好基数测算。同时，实行上门征缴和催缴，对非公有制企业和中小微企业职工、农民工、灵活就业人员为重点，进行医保政策宣传，力争在扩面征缴上有新突破。</w:t>
      </w:r>
    </w:p>
    <w:p>
      <w:pPr>
        <w:ind w:firstLine="640" w:firstLineChars="200"/>
        <w:rPr>
          <w:rFonts w:hint="eastAsia" w:ascii="仿宋" w:hAnsi="仿宋" w:eastAsia="仿宋"/>
          <w:sz w:val="32"/>
          <w:szCs w:val="32"/>
        </w:rPr>
      </w:pPr>
      <w:r>
        <w:rPr>
          <w:rFonts w:hint="eastAsia" w:ascii="仿宋" w:hAnsi="仿宋" w:eastAsia="仿宋"/>
          <w:b/>
          <w:sz w:val="32"/>
          <w:szCs w:val="32"/>
        </w:rPr>
        <w:t>2、加强对定点医院和协议零售药店的监管。</w:t>
      </w:r>
      <w:r>
        <w:rPr>
          <w:rFonts w:hint="eastAsia" w:ascii="仿宋" w:hAnsi="仿宋" w:eastAsia="仿宋"/>
          <w:sz w:val="32"/>
          <w:szCs w:val="32"/>
        </w:rPr>
        <w:t>对一类重点医院实行入院医保手续，每周现场稽核不得少于两次。实行系统实时监控，要求所有定点医院必须在医务人员系统安装与医院业务管理系统数据对接的实时端口。进一步细化协议管理内容。对“两定”机构的协议服务质量考核并制定考核办法，主要以基础工作为主，全年采取年终考核和日常考核相结合确实维护参保人员的医保待遇不受侵害。</w:t>
      </w:r>
    </w:p>
    <w:p>
      <w:pPr>
        <w:spacing w:line="590" w:lineRule="exact"/>
        <w:ind w:firstLine="640" w:firstLineChars="200"/>
        <w:rPr>
          <w:rFonts w:hint="eastAsia" w:ascii="仿宋" w:hAnsi="仿宋" w:eastAsia="仿宋"/>
          <w:sz w:val="32"/>
          <w:szCs w:val="32"/>
        </w:rPr>
      </w:pPr>
      <w:r>
        <w:rPr>
          <w:rFonts w:hint="eastAsia" w:ascii="仿宋" w:hAnsi="仿宋" w:eastAsia="仿宋"/>
          <w:b/>
          <w:sz w:val="32"/>
          <w:szCs w:val="32"/>
        </w:rPr>
        <w:t>3、管理制度及执行情况。</w:t>
      </w:r>
      <w:r>
        <w:rPr>
          <w:rFonts w:hint="eastAsia" w:ascii="仿宋" w:hAnsi="仿宋" w:eastAsia="仿宋"/>
          <w:sz w:val="32"/>
          <w:szCs w:val="32"/>
        </w:rPr>
        <w:t>按照县委县政府及上级主管部门下达的年初目标任务，结合单位实际，下达了人员分工及工作职责文件，建立健全了机关管理制度，实行制度管人、管事、管权。进一步完善了财务管理制度，使财政收支预算执行得到良好的制度保障和实施效果。我们严格按照《社会保险基金财务制度》规定纳入财政专户，实行收支两条线，做到专款专用，基金不得相互挤占；严格按照《社会保险基金会计制度》规定设置和使用会计科目，按照业务实质内容建立内部控制制度。</w:t>
      </w:r>
    </w:p>
    <w:p>
      <w:pPr>
        <w:ind w:firstLine="640" w:firstLineChars="200"/>
        <w:rPr>
          <w:rFonts w:hint="eastAsia" w:ascii="黑体" w:hAnsi="黑体" w:eastAsia="黑体"/>
          <w:b/>
          <w:sz w:val="32"/>
          <w:szCs w:val="32"/>
        </w:rPr>
      </w:pPr>
      <w:r>
        <w:rPr>
          <w:rFonts w:hint="eastAsia" w:ascii="黑体" w:hAnsi="黑体" w:eastAsia="黑体"/>
          <w:b/>
          <w:sz w:val="32"/>
          <w:szCs w:val="32"/>
        </w:rPr>
        <w:t>五、存在问题</w:t>
      </w:r>
    </w:p>
    <w:p>
      <w:pPr>
        <w:ind w:firstLine="640" w:firstLineChars="200"/>
        <w:rPr>
          <w:rFonts w:hint="eastAsia" w:ascii="仿宋" w:hAnsi="仿宋" w:eastAsia="仿宋"/>
          <w:sz w:val="32"/>
          <w:szCs w:val="32"/>
        </w:rPr>
      </w:pPr>
      <w:r>
        <w:rPr>
          <w:rFonts w:hint="eastAsia" w:ascii="仿宋" w:hAnsi="仿宋" w:eastAsia="仿宋"/>
          <w:sz w:val="32"/>
          <w:szCs w:val="32"/>
        </w:rPr>
        <w:t xml:space="preserve">(一)城镇职工医保持续高风险运行，由于财政资金运转困难，每年预算不能及时划拨到各财政拨款单位，造成职工医疗保险基金支付压力大。 </w:t>
      </w:r>
    </w:p>
    <w:p>
      <w:pPr>
        <w:spacing w:line="590" w:lineRule="exact"/>
        <w:ind w:firstLine="640" w:firstLineChars="200"/>
        <w:rPr>
          <w:rFonts w:hint="eastAsia" w:ascii="仿宋" w:hAnsi="仿宋" w:eastAsia="仿宋"/>
          <w:sz w:val="32"/>
          <w:szCs w:val="32"/>
        </w:rPr>
      </w:pPr>
      <w:r>
        <w:rPr>
          <w:rFonts w:hint="eastAsia" w:ascii="仿宋" w:hAnsi="仿宋" w:eastAsia="仿宋"/>
          <w:sz w:val="32"/>
          <w:szCs w:val="32"/>
        </w:rPr>
        <w:t>(二）小病大养的现象有所抬头。一些轻微病情原本可以做门诊处理的，但患者要求住院治疗，或者主动要求延长住院时间；另一方面少部分医疗机构借助病人增多的机会，为了谋取利益借此增加对病人的检查、化验。住院人次和次均费用的增加导致医保基金低效支出。</w:t>
      </w:r>
    </w:p>
    <w:p>
      <w:pPr>
        <w:spacing w:line="590" w:lineRule="exact"/>
        <w:ind w:firstLine="640" w:firstLineChars="200"/>
        <w:rPr>
          <w:rFonts w:hint="eastAsia" w:ascii="仿宋" w:hAnsi="仿宋" w:eastAsia="仿宋"/>
          <w:sz w:val="32"/>
          <w:szCs w:val="32"/>
        </w:rPr>
      </w:pPr>
      <w:r>
        <w:rPr>
          <w:rFonts w:hint="eastAsia" w:ascii="仿宋" w:hAnsi="仿宋" w:eastAsia="仿宋"/>
          <w:sz w:val="32"/>
          <w:szCs w:val="32"/>
        </w:rPr>
        <w:t>（二）部分定点医疗机构对要求控制住院率上升和限制次均费用上涨等措施消极应对。由于定点医疗机构对住院指针把关不严，我县的住院率控制难度一直非常大，另外省、市、县三级医疗机构的次均费用也一直在上涨。</w:t>
      </w:r>
    </w:p>
    <w:p>
      <w:pPr>
        <w:ind w:firstLine="640" w:firstLineChars="200"/>
        <w:rPr>
          <w:rFonts w:hint="eastAsia" w:ascii="仿宋" w:hAnsi="仿宋" w:eastAsia="仿宋"/>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F1E22"/>
    <w:multiLevelType w:val="singleLevel"/>
    <w:tmpl w:val="D01F1E22"/>
    <w:lvl w:ilvl="0" w:tentative="0">
      <w:start w:val="2"/>
      <w:numFmt w:val="chineseCounting"/>
      <w:suff w:val="nothing"/>
      <w:lvlText w:val="（%1）"/>
      <w:lvlJc w:val="left"/>
      <w:rPr>
        <w:rFonts w:hint="eastAsia"/>
      </w:rPr>
    </w:lvl>
  </w:abstractNum>
  <w:abstractNum w:abstractNumId="1">
    <w:nsid w:val="31787537"/>
    <w:multiLevelType w:val="multilevel"/>
    <w:tmpl w:val="31787537"/>
    <w:lvl w:ilvl="0" w:tentative="0">
      <w:start w:val="1"/>
      <w:numFmt w:val="japaneseCounting"/>
      <w:lvlText w:val="%1、"/>
      <w:lvlJc w:val="left"/>
      <w:pPr>
        <w:ind w:left="1461" w:hanging="720"/>
      </w:pPr>
      <w:rPr>
        <w:rFonts w:hint="default"/>
      </w:rPr>
    </w:lvl>
    <w:lvl w:ilvl="1" w:tentative="0">
      <w:start w:val="1"/>
      <w:numFmt w:val="lowerLetter"/>
      <w:lvlText w:val="%2)"/>
      <w:lvlJc w:val="left"/>
      <w:pPr>
        <w:ind w:left="1581" w:hanging="420"/>
      </w:pPr>
    </w:lvl>
    <w:lvl w:ilvl="2" w:tentative="0">
      <w:start w:val="1"/>
      <w:numFmt w:val="lowerRoman"/>
      <w:lvlText w:val="%3."/>
      <w:lvlJc w:val="right"/>
      <w:pPr>
        <w:ind w:left="2001" w:hanging="420"/>
      </w:pPr>
    </w:lvl>
    <w:lvl w:ilvl="3" w:tentative="0">
      <w:start w:val="1"/>
      <w:numFmt w:val="decimal"/>
      <w:lvlText w:val="%4."/>
      <w:lvlJc w:val="left"/>
      <w:pPr>
        <w:ind w:left="2421" w:hanging="420"/>
      </w:pPr>
    </w:lvl>
    <w:lvl w:ilvl="4" w:tentative="0">
      <w:start w:val="1"/>
      <w:numFmt w:val="lowerLetter"/>
      <w:lvlText w:val="%5)"/>
      <w:lvlJc w:val="left"/>
      <w:pPr>
        <w:ind w:left="2841" w:hanging="420"/>
      </w:pPr>
    </w:lvl>
    <w:lvl w:ilvl="5" w:tentative="0">
      <w:start w:val="1"/>
      <w:numFmt w:val="lowerRoman"/>
      <w:lvlText w:val="%6."/>
      <w:lvlJc w:val="right"/>
      <w:pPr>
        <w:ind w:left="3261" w:hanging="420"/>
      </w:pPr>
    </w:lvl>
    <w:lvl w:ilvl="6" w:tentative="0">
      <w:start w:val="1"/>
      <w:numFmt w:val="decimal"/>
      <w:lvlText w:val="%7."/>
      <w:lvlJc w:val="left"/>
      <w:pPr>
        <w:ind w:left="3681" w:hanging="420"/>
      </w:pPr>
    </w:lvl>
    <w:lvl w:ilvl="7" w:tentative="0">
      <w:start w:val="1"/>
      <w:numFmt w:val="lowerLetter"/>
      <w:lvlText w:val="%8)"/>
      <w:lvlJc w:val="left"/>
      <w:pPr>
        <w:ind w:left="4101" w:hanging="420"/>
      </w:pPr>
    </w:lvl>
    <w:lvl w:ilvl="8" w:tentative="0">
      <w:start w:val="1"/>
      <w:numFmt w:val="lowerRoman"/>
      <w:lvlText w:val="%9."/>
      <w:lvlJc w:val="right"/>
      <w:pPr>
        <w:ind w:left="4521" w:hanging="420"/>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D3358D"/>
    <w:multiLevelType w:val="multilevel"/>
    <w:tmpl w:val="43D3358D"/>
    <w:lvl w:ilvl="0" w:tentative="0">
      <w:start w:val="4"/>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78C4048"/>
    <w:rsid w:val="0C7E3648"/>
    <w:rsid w:val="12F10D1B"/>
    <w:rsid w:val="141003E9"/>
    <w:rsid w:val="1493396D"/>
    <w:rsid w:val="18F630D7"/>
    <w:rsid w:val="1A3401F5"/>
    <w:rsid w:val="1E640762"/>
    <w:rsid w:val="1E8D58E9"/>
    <w:rsid w:val="200318A8"/>
    <w:rsid w:val="23524504"/>
    <w:rsid w:val="235E4781"/>
    <w:rsid w:val="39993A65"/>
    <w:rsid w:val="3A7F72F5"/>
    <w:rsid w:val="3DEA67CE"/>
    <w:rsid w:val="3EE779A2"/>
    <w:rsid w:val="44753281"/>
    <w:rsid w:val="5BA9471B"/>
    <w:rsid w:val="5C134910"/>
    <w:rsid w:val="6BE95F05"/>
    <w:rsid w:val="720C3ED4"/>
    <w:rsid w:val="72D310C0"/>
    <w:rsid w:val="7AA81F42"/>
    <w:rsid w:val="7DFB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1308</Words>
  <Characters>7462</Characters>
  <Lines>62</Lines>
  <Paragraphs>17</Paragraphs>
  <TotalTime>3</TotalTime>
  <ScaleCrop>false</ScaleCrop>
  <LinksUpToDate>false</LinksUpToDate>
  <CharactersWithSpaces>8753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撇捺人生</cp:lastModifiedBy>
  <cp:lastPrinted>2021-07-28T00:12:00Z</cp:lastPrinted>
  <dcterms:modified xsi:type="dcterms:W3CDTF">2021-11-02T08:59:37Z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83E056C5DDC04B459386AD600E804559</vt:lpwstr>
  </property>
</Properties>
</file>