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255" w:type="dxa"/>
        <w:jc w:val="center"/>
        <w:tblCellMar>
          <w:top w:w="15" w:type="dxa"/>
          <w:left w:w="15" w:type="dxa"/>
          <w:bottom w:w="15" w:type="dxa"/>
          <w:right w:w="15" w:type="dxa"/>
        </w:tblCellMar>
        <w:tblLook w:val="04A0"/>
      </w:tblPr>
      <w:tblGrid>
        <w:gridCol w:w="31680"/>
      </w:tblGrid>
      <w:tr w:rsidR="00AF1DC1" w:rsidRPr="00AF1DC1" w:rsidTr="00AF1DC1">
        <w:trPr>
          <w:trHeight w:val="375"/>
          <w:jc w:val="center"/>
        </w:trPr>
        <w:tc>
          <w:tcPr>
            <w:tcW w:w="0" w:type="auto"/>
            <w:noWrap/>
            <w:vAlign w:val="center"/>
            <w:hideMark/>
          </w:tcPr>
          <w:p w:rsidR="00AF1DC1" w:rsidRPr="00AF1DC1" w:rsidRDefault="00AF1DC1" w:rsidP="00AF1DC1">
            <w:pPr>
              <w:widowControl/>
              <w:jc w:val="center"/>
              <w:rPr>
                <w:rFonts w:ascii="宋体" w:eastAsia="宋体" w:hAnsi="宋体" w:cs="宋体"/>
                <w:kern w:val="0"/>
                <w:sz w:val="24"/>
                <w:szCs w:val="24"/>
              </w:rPr>
            </w:pPr>
            <w:r w:rsidRPr="00AF1DC1">
              <w:rPr>
                <w:rFonts w:ascii="仿宋" w:eastAsia="仿宋" w:hAnsi="仿宋" w:cs="宋体"/>
                <w:b/>
                <w:bCs/>
                <w:color w:val="000000"/>
                <w:kern w:val="0"/>
                <w:sz w:val="24"/>
                <w:szCs w:val="24"/>
              </w:rPr>
              <w:t>单位概况</w:t>
            </w:r>
            <w:r w:rsidRPr="00AF1DC1">
              <w:rPr>
                <w:rFonts w:ascii="MS Mincho" w:eastAsia="MS Mincho" w:hAnsi="MS Mincho" w:cs="MS Mincho" w:hint="eastAsia"/>
                <w:b/>
                <w:bCs/>
                <w:color w:val="000000"/>
                <w:kern w:val="0"/>
                <w:sz w:val="24"/>
                <w:szCs w:val="24"/>
              </w:rPr>
              <w:t> </w:t>
            </w:r>
            <w:r w:rsidRPr="00AF1DC1">
              <w:rPr>
                <w:rFonts w:ascii="MS Mincho" w:eastAsia="MS Mincho" w:hAnsi="MS Mincho" w:cs="MS Mincho" w:hint="eastAsia"/>
                <w:b/>
                <w:bCs/>
                <w:color w:val="000000"/>
                <w:kern w:val="0"/>
                <w:sz w:val="24"/>
                <w:szCs w:val="24"/>
              </w:rPr>
              <w:t> </w:t>
            </w:r>
            <w:r w:rsidRPr="00AF1DC1">
              <w:rPr>
                <w:rFonts w:ascii="仿宋" w:eastAsia="仿宋" w:hAnsi="仿宋" w:cs="宋体"/>
                <w:b/>
                <w:bCs/>
                <w:color w:val="000000"/>
                <w:kern w:val="0"/>
                <w:sz w:val="24"/>
                <w:szCs w:val="24"/>
              </w:rPr>
              <w:t>第一部分</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一、部门主要职责</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一）负责贯彻执行国家、省、市有关城市管理和行政执法的法律、法规和政策；研究制定和组织实施环境卫生、园林绿化、给排水、污水处理、户外广告、公园、城市照明设施、城市垃圾集中处置、市政基础设施管理与维护等行业的中长期规划和年度工作计划；（二）负责对城区城市管理和综合执法工作和组织领导、指挥协调、考核监督与绩效考评；（三）、负责“智慧溆浦”数字城管平台的建设和管理；负责推进县城城区数字化城市管理工作；（四）、负责城区的城市市容、环境卫生的管理工作，负责组织实施国家制定的城市市容环境卫生标准和行业规范；负责城区生活垃圾的集中处置和垃圾处理场的管理；（五）、负责城区市政公用设施、市政道路、路灯、城市桥涵、城市排水系统的管理、执法和维护工作；负责城区市政基础设施的一般性改造和扩建工作；负责城区主次干道（包括人行道）因实际和维护需要的临时占用、挖掘管理工作，负责城区地下管网设施的监管工作，参与编制城区市政工程设施规划和市政工程竣工验收；（六）负责城区的城市规划区内的园林、绿化、公园的管理工作，负责城区城市雕塑的管理和维护工作，负责城区古树名木的保护和具体承办古树名木的移植审批工作；负责城市规划区内生物多样性保护工作；负责组织实施国家制定的城市园林绿化行业标准和行业规范（七）负责城市规划区内城市供水、计划用水、节约用水的管理执法工作；负责城市</w:t>
            </w:r>
            <w:r w:rsidRPr="00AF1DC1">
              <w:rPr>
                <w:rFonts w:ascii="MS Mincho" w:eastAsia="MS Mincho" w:hAnsi="MS Mincho" w:cs="MS Mincho" w:hint="eastAsia"/>
                <w:color w:val="000000"/>
                <w:kern w:val="0"/>
                <w:sz w:val="24"/>
                <w:szCs w:val="24"/>
              </w:rPr>
              <w:t> </w:t>
            </w:r>
            <w:r w:rsidRPr="00AF1DC1">
              <w:rPr>
                <w:rFonts w:ascii="MS Mincho" w:eastAsia="MS Mincho" w:hAnsi="MS Mincho" w:cs="MS Mincho" w:hint="eastAsia"/>
                <w:color w:val="000000"/>
                <w:kern w:val="0"/>
                <w:sz w:val="24"/>
                <w:szCs w:val="24"/>
              </w:rPr>
              <w:t> </w:t>
            </w:r>
            <w:r w:rsidRPr="00AF1DC1">
              <w:rPr>
                <w:rFonts w:ascii="仿宋" w:eastAsia="仿宋" w:hAnsi="仿宋" w:cs="宋体"/>
                <w:color w:val="000000"/>
                <w:kern w:val="0"/>
                <w:sz w:val="24"/>
                <w:szCs w:val="24"/>
              </w:rPr>
              <w:t xml:space="preserve"> 排水许可证的核发；负责城区供水企业的水质监测和指导，管理城市污水处理工作（八）负责县城城区户外广告设置管理工作；（九）负责监督管理县城城区车辆清洗站、场；（十）负责县城规划区内建筑垃圾倾倒、运输、消纳、处置和管理和执法工作（十一）负责县城规划区内临时占用道路两侧和公共场所的行政许可（十二）负责县城规划区内城市管理综合执法以及城市管理部门可以实施法律法规定的行政处罚权有关的行政强制措施；（十三）承办县委、县政府交办的其他任务。</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二、机构设置情况</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本单位是财政全额拨款事业单位，为溆浦县人民政府工作部门，为正科级，内设办公室（人事股、财务股）、政策法规股（行政审批股）、城市公共管理股（督查考评股）三大股室，局所属事业单位科级事单位为溆浦县城市管理行政执法大队、溆浦县城市管理事务中心；股级单位为溆浦县垃圾处理场、溆浦县市政所、溆浦县污水处理厂；所属企业溆浦县自来水公司。核定编制237名，其中行政编制数7人，事业编制数230人，实有在职人数275人，其中：行政编制数15人，事业人员246人、离退休人员 14人。</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三、部门预算单位构成情况</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本单位独立核算的二级机构有溆浦县城市管理事务中心，溆浦县自来水公司，本次预算没有将独立核算的二个所属单位列入本次预算。</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center"/>
              <w:rPr>
                <w:rFonts w:ascii="宋体" w:eastAsia="宋体" w:hAnsi="宋体" w:cs="宋体"/>
                <w:kern w:val="0"/>
                <w:sz w:val="24"/>
                <w:szCs w:val="24"/>
              </w:rPr>
            </w:pPr>
            <w:r w:rsidRPr="00AF1DC1">
              <w:rPr>
                <w:rFonts w:ascii="仿宋" w:eastAsia="仿宋" w:hAnsi="仿宋" w:cs="宋体"/>
                <w:b/>
                <w:bCs/>
                <w:color w:val="000000"/>
                <w:kern w:val="0"/>
                <w:sz w:val="24"/>
                <w:szCs w:val="24"/>
              </w:rPr>
              <w:t>第二部分 单位2020年度部门预算表</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center"/>
              <w:rPr>
                <w:rFonts w:ascii="宋体" w:eastAsia="宋体" w:hAnsi="宋体" w:cs="宋体"/>
                <w:kern w:val="0"/>
                <w:sz w:val="24"/>
                <w:szCs w:val="24"/>
              </w:rPr>
            </w:pPr>
            <w:r w:rsidRPr="00AF1DC1">
              <w:rPr>
                <w:rFonts w:ascii="仿宋" w:eastAsia="仿宋" w:hAnsi="仿宋" w:cs="宋体"/>
                <w:color w:val="000000"/>
                <w:kern w:val="0"/>
                <w:sz w:val="24"/>
                <w:szCs w:val="24"/>
              </w:rPr>
              <w:t>(见附件）</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center"/>
              <w:rPr>
                <w:rFonts w:ascii="宋体" w:eastAsia="宋体" w:hAnsi="宋体" w:cs="宋体"/>
                <w:kern w:val="0"/>
                <w:sz w:val="24"/>
                <w:szCs w:val="24"/>
              </w:rPr>
            </w:pPr>
            <w:r w:rsidRPr="00AF1DC1">
              <w:rPr>
                <w:rFonts w:ascii="仿宋" w:eastAsia="仿宋" w:hAnsi="仿宋" w:cs="宋体"/>
                <w:b/>
                <w:bCs/>
                <w:color w:val="000000"/>
                <w:kern w:val="0"/>
                <w:sz w:val="24"/>
                <w:szCs w:val="24"/>
              </w:rPr>
              <w:t>单位2020年度部门预算情况说明</w:t>
            </w:r>
            <w:r w:rsidRPr="00AF1DC1">
              <w:rPr>
                <w:rFonts w:ascii="MS Mincho" w:eastAsia="MS Mincho" w:hAnsi="MS Mincho" w:cs="MS Mincho" w:hint="eastAsia"/>
                <w:b/>
                <w:bCs/>
                <w:color w:val="000000"/>
                <w:kern w:val="0"/>
                <w:sz w:val="24"/>
                <w:szCs w:val="24"/>
              </w:rPr>
              <w:t> </w:t>
            </w:r>
            <w:r w:rsidRPr="00AF1DC1">
              <w:rPr>
                <w:rFonts w:ascii="MS Mincho" w:eastAsia="MS Mincho" w:hAnsi="MS Mincho" w:cs="MS Mincho" w:hint="eastAsia"/>
                <w:b/>
                <w:bCs/>
                <w:color w:val="000000"/>
                <w:kern w:val="0"/>
                <w:sz w:val="24"/>
                <w:szCs w:val="24"/>
              </w:rPr>
              <w:t> </w:t>
            </w:r>
            <w:r w:rsidRPr="00AF1DC1">
              <w:rPr>
                <w:rFonts w:ascii="仿宋" w:eastAsia="仿宋" w:hAnsi="仿宋" w:cs="宋体"/>
                <w:b/>
                <w:bCs/>
                <w:color w:val="000000"/>
                <w:kern w:val="0"/>
                <w:sz w:val="24"/>
                <w:szCs w:val="24"/>
              </w:rPr>
              <w:t>第三部分</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一、收入支出预算总体情况说明</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收入预算 8012.87万元。 全年预算收入总计8012.87万元。收入情况分项如下：公共拨款收入7862.87万元，纳入公共预算管理的非税收入拨款150万元。</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支出预算8012.87万元。1、基本支出2624.89万元，其中：工资福利支出 2139.22万元，商品服务支出405.67 万元，对个人和家庭的补助30万元，资本性支出50万元，2、项目支出5387.98万元，其中：污水处理费648万元，垃圾处理费500万元，垃圾处理场渔塘污水转运及处置154万元，垃圾处理场雨污分流盖膜94.78万，垃圾处理场渗滤液提量扩建300万元，市政所日常维护230万元，市政公共照明电费400万元，市政设施应急建设120万元，百小工程120万元，浮桥重建200万元，公共用水45万元，高铁南站广场维护64万元，园林绿化管护324.22万元，垃圾清运、清扫2100元，拆违经费40万元，城东防洪堤值班费7.98元，扬尘整治40万元。</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预算收支较2019年预算多6691.06万元,主要原因是机构改革后将垃圾处理场、污水处理厂、市政所、原城市管理行政执法大队合并归属于本部门核算，人员经费增多，项目经费增多。</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二、收入预算情况说明</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全年预算收入总计8012.87万元。收入情况分项如下：公共拨款收入7862.87万元，纳入公共预算管理的非税收入拨款150万元。</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三、支出预算情况说明</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支出预算8012.87万元。1、基本支出2139.22万元，其中：①工资福利支出 1432.13万元，②商品服务支出361.67 万元，③对个人和家庭的补助支出30万元，④资本性支出50万元，2、项目支出5387.98万元(其中商品服务支出4753.2万元，基本建设性支出594.78万元，其他资本性支出40万元)，项目为污水处理费648万元，垃圾处理费500万元，垃圾处理场渔塘污水转运及处置154万元，垃圾处理场雨污分流盖膜94.78万，垃圾处理场渗滤液提量扩建300万元，市政所日常维护230万元，市政公共照明电费400万元，市政设施应急建设120万元，百小工程120万元，浮桥重建200万元，公共用水45万元，高铁南站广场维护64万元，园林绿化管护324.22万元，垃圾清运、清扫2100元，拆违经费40万元，城东防洪堤值班费7.98元，扬尘整治40万元。</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四、财政拨款收入支出情况说明</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2019年财政拨款收入1321.81万元(其中罚没收入为100万元),2020年财政拨款收入8012.87万元(其中罚没收入为150万元),全年总预算收较上年增加6691.06万元,主要原因是机构改革后将垃圾处理场、污水处理厂、市政所、原城市管理行政执法大队合并归属于本部门核算，人员经费增多，项目经费增多。</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2019年财政拨款支出1321.81万元(其中罚没收入为100万元),2019年财财政拨款支出8012.87元(其中罚没收入为150万元),全年总预算支出较上年增加6691.06万元,</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五、一般公共预算财政拨款支出情况说明</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2019年财政拨款支出1321.81元,2020年财政拨款收入8012.87万元,全年总预算收较上年增加6691.06万元,增加率为506.2%,造成收入增加主要原因是机构改革后将垃圾处理场、污水处理厂、市政所、原城市管理行政执法大队合并归属于本部门核算，人员经费增多，项目经费增多。</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2020年财政拨款支出8012.87万元, 基本性支出2624.89万元占总支出的32.76%,其中工资福利性支出2139.22万元占总支出的26.7%,其中商品服务性支出405.67万元,占总支出的5.07%,对个人和家庭的补助30万元，占总支出的0.37%,资本性支出50万元,占总支出的0.62%,项目支出 5387.98万元(其中商品服务支出4753.2万元，基本建设性支出594.78万元，其他资本性支出40万元),占总支出的67.24%。</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六、一般公共预算财政拨款基本支出情况说明</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2020年一般公共预算财政拨款支出8012.87万元,基本性支出2624.89万元占总支出的32.76%,其中工资福利性支出2139.22万元,占总支出的26.7%,商品服务性支出405.67万元,占总支出的5.07%,对个人和家庭的补助30万元，占总支出的0.37%,资本性支出50万元,占总支出的0.62%,项目支出 5387.98万元(其中商品服务支出4753.2万元，基本建设性支出594.78万元，其他资本性支出40万元),占总支出的67.24%。</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七、一般公共预算财政拨款“三公”经费支出情况说明</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（一）“三公”经费财政拨款支出预算总体情况说明。</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2020年““三公”经费”33万元,其中公务接待费2万元,公车运行费用31万元,2019年““三公”经费”66.93万元.其中公务接待费0.13万元,公车运行费66.8万元,比上年减少50.69%，减少原因是今年单位没有购置执法车辆，而去年单位购置了三台执法车辆，所以公车运行费用明显减少。</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（二）“三公”经费财政拨款支出预算具体情况说明。</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2020年““三公”经费”33万元,其中公务接待费2万元,公车运行费用31万元,2019年““三公”经费”66.93万元.其中公务接待费0.13万元,公车运行费66.8万元,公务接待较上年有所调增,主要是考虑其他县级城管单位来人进行考察及交流支出,公车运行因无车辆购置明显调减,总的预算经费比上年减少50.69%。</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本单位严格执行财政部门的规定,根据2020年部门决算情况以及2019年部门预算情况，对各支出项目进行细化，对各支出严把控制关，尤其是对““三公”经费”支出各项目经费支出做到专款专用，不挤占，不挪用。全年总预算收支较2019年增加6691.06万元,增加率为506.2%。原因构改革后将垃圾处理场、污水处理厂、市政所、原城市管理行政执法大队合并归属于本部门核算，人员经费增多，项目经费增多。</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八、预算绩效情况说明</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 xml:space="preserve">　　根据单位部门预算情况，按照《中华人民共和国预算法》和财政部门的相关要求对本单位预算进行绩效考核，严格执行“收支两条线”管理，严把“三公”经费支出，对项目资金进行专款专用，并及时跟踪其经营、建设情况，把成本控制在预算之内，通过对相关工作的绩效考核，使我单位在城市管理工作中使得县城干净有序，市容整洁，环境优美，住民宜居，群众满意。</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b/>
                <w:bCs/>
                <w:color w:val="000000"/>
                <w:kern w:val="0"/>
                <w:sz w:val="24"/>
                <w:szCs w:val="24"/>
              </w:rPr>
              <w:t>九、其他重要事项</w:t>
            </w:r>
          </w:p>
        </w:tc>
      </w:tr>
      <w:tr w:rsidR="00AF1DC1" w:rsidRPr="00AF1DC1" w:rsidTr="00AF1DC1">
        <w:trPr>
          <w:trHeight w:val="112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（一）机关运行经费安排情况说明。本部门2019年度机关运行经费安排212.4万元，比2019年增加6.7万元，增加3.3%。主要原因是：单位机构改革，人员增多，相关费用增大（二）政府采购安排情况说明。本部门2019 年度政府采购预算总额46万元，其中:政府采购服务支出46万元。</w:t>
            </w:r>
          </w:p>
        </w:tc>
      </w:tr>
      <w:tr w:rsidR="00AF1DC1" w:rsidRPr="00AF1DC1" w:rsidTr="00AF1DC1">
        <w:trPr>
          <w:trHeight w:val="750"/>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（三）国有资产占有情况说明。截至2019年12 月31 日，本部门共有295.83万元固定资产,全部为在用固定资产,其中车辆16台 ,全部为一般执法执勤车辆。</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宋体" w:eastAsia="宋体" w:hAnsi="宋体" w:cs="宋体"/>
                <w:kern w:val="0"/>
                <w:sz w:val="24"/>
                <w:szCs w:val="24"/>
              </w:rPr>
              <w:t xml:space="preserve">　</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center"/>
              <w:rPr>
                <w:rFonts w:ascii="宋体" w:eastAsia="宋体" w:hAnsi="宋体" w:cs="宋体"/>
                <w:kern w:val="0"/>
                <w:sz w:val="24"/>
                <w:szCs w:val="24"/>
              </w:rPr>
            </w:pPr>
            <w:r w:rsidRPr="00AF1DC1">
              <w:rPr>
                <w:rFonts w:ascii="仿宋" w:eastAsia="仿宋" w:hAnsi="仿宋" w:cs="宋体"/>
                <w:color w:val="000000"/>
                <w:kern w:val="0"/>
                <w:sz w:val="24"/>
                <w:szCs w:val="24"/>
              </w:rPr>
              <w:t>名词解释</w:t>
            </w:r>
            <w:r w:rsidRPr="00AF1DC1">
              <w:rPr>
                <w:rFonts w:ascii="MS Mincho" w:eastAsia="MS Mincho" w:hAnsi="MS Mincho" w:cs="MS Mincho" w:hint="eastAsia"/>
                <w:color w:val="000000"/>
                <w:kern w:val="0"/>
                <w:sz w:val="24"/>
                <w:szCs w:val="24"/>
              </w:rPr>
              <w:t> </w:t>
            </w:r>
            <w:r w:rsidRPr="00AF1DC1">
              <w:rPr>
                <w:rFonts w:ascii="MS Mincho" w:eastAsia="MS Mincho" w:hAnsi="MS Mincho" w:cs="MS Mincho" w:hint="eastAsia"/>
                <w:color w:val="000000"/>
                <w:kern w:val="0"/>
                <w:sz w:val="24"/>
                <w:szCs w:val="24"/>
              </w:rPr>
              <w:t> </w:t>
            </w:r>
            <w:r w:rsidRPr="00AF1DC1">
              <w:rPr>
                <w:rFonts w:ascii="仿宋" w:eastAsia="仿宋" w:hAnsi="仿宋" w:cs="宋体"/>
                <w:color w:val="000000"/>
                <w:kern w:val="0"/>
                <w:sz w:val="24"/>
                <w:szCs w:val="24"/>
              </w:rPr>
              <w:t>第四部分</w:t>
            </w:r>
          </w:p>
        </w:tc>
      </w:tr>
      <w:tr w:rsidR="00AF1DC1" w:rsidRPr="00AF1DC1" w:rsidTr="00AF1DC1">
        <w:trPr>
          <w:trHeight w:val="375"/>
          <w:jc w:val="center"/>
        </w:trPr>
        <w:tc>
          <w:tcPr>
            <w:tcW w:w="0" w:type="auto"/>
            <w:noWrap/>
            <w:vAlign w:val="center"/>
            <w:hideMark/>
          </w:tcPr>
          <w:p w:rsidR="00AF1DC1" w:rsidRPr="00AF1DC1" w:rsidRDefault="00AF1DC1" w:rsidP="00AF1DC1">
            <w:pPr>
              <w:widowControl/>
              <w:jc w:val="left"/>
              <w:rPr>
                <w:rFonts w:ascii="宋体" w:eastAsia="宋体" w:hAnsi="宋体" w:cs="宋体"/>
                <w:kern w:val="0"/>
                <w:sz w:val="24"/>
                <w:szCs w:val="24"/>
              </w:rPr>
            </w:pPr>
            <w:r w:rsidRPr="00AF1DC1">
              <w:rPr>
                <w:rFonts w:ascii="仿宋" w:eastAsia="仿宋" w:hAnsi="仿宋" w:cs="宋体"/>
                <w:color w:val="000000"/>
                <w:kern w:val="0"/>
                <w:sz w:val="24"/>
                <w:szCs w:val="24"/>
              </w:rPr>
              <w:t>名词解释无</w:t>
            </w:r>
          </w:p>
        </w:tc>
      </w:tr>
    </w:tbl>
    <w:p w:rsidR="00F74662" w:rsidRDefault="00F74662"/>
    <w:sectPr w:rsidR="00F74662" w:rsidSect="00F746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1DC1"/>
    <w:rsid w:val="00AF1DC1"/>
    <w:rsid w:val="00F746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19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3489</Characters>
  <Application>Microsoft Office Word</Application>
  <DocSecurity>0</DocSecurity>
  <Lines>29</Lines>
  <Paragraphs>8</Paragraphs>
  <ScaleCrop>false</ScaleCrop>
  <Company>China</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2026-05-12T01:58:00Z</dcterms:created>
  <dcterms:modified xsi:type="dcterms:W3CDTF">2026-05-12T01:58:00Z</dcterms:modified>
</cp:coreProperties>
</file>