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8255" w:type="dxa"/>
        <w:jc w:val="center"/>
        <w:tblLayout w:type="autofit"/>
        <w:tblCellMar>
          <w:top w:w="15" w:type="dxa"/>
          <w:left w:w="15" w:type="dxa"/>
          <w:bottom w:w="15" w:type="dxa"/>
          <w:right w:w="15" w:type="dxa"/>
        </w:tblCellMar>
      </w:tblPr>
      <w:tblGrid>
        <w:gridCol w:w="31680"/>
      </w:tblGrid>
      <w:tr w14:paraId="142D49B7">
        <w:tblPrEx>
          <w:tblCellMar>
            <w:top w:w="15" w:type="dxa"/>
            <w:left w:w="15" w:type="dxa"/>
            <w:bottom w:w="15" w:type="dxa"/>
            <w:right w:w="15" w:type="dxa"/>
          </w:tblCellMar>
        </w:tblPrEx>
        <w:trPr>
          <w:trHeight w:val="375" w:hRule="atLeast"/>
          <w:jc w:val="center"/>
        </w:trPr>
        <w:tc>
          <w:tcPr>
            <w:tcW w:w="0" w:type="auto"/>
            <w:noWrap/>
            <w:vAlign w:val="center"/>
          </w:tcPr>
          <w:p w14:paraId="2BE0B5CB">
            <w:pPr>
              <w:widowControl/>
              <w:jc w:val="center"/>
              <w:rPr>
                <w:rFonts w:ascii="宋体" w:hAnsi="宋体" w:eastAsia="宋体" w:cs="宋体"/>
                <w:kern w:val="0"/>
                <w:sz w:val="24"/>
                <w:szCs w:val="24"/>
              </w:rPr>
            </w:pPr>
            <w:r>
              <w:rPr>
                <w:rFonts w:ascii="仿宋" w:hAnsi="仿宋" w:eastAsia="仿宋" w:cs="宋体"/>
                <w:b/>
                <w:bCs/>
                <w:color w:val="000000"/>
                <w:kern w:val="0"/>
                <w:sz w:val="24"/>
                <w:szCs w:val="24"/>
              </w:rPr>
              <w:t>单位概况</w:t>
            </w:r>
            <w:r>
              <w:rPr>
                <w:rFonts w:hint="eastAsia" w:ascii="MS Mincho" w:hAnsi="MS Mincho" w:eastAsia="MS Mincho" w:cs="MS Mincho"/>
                <w:b/>
                <w:bCs/>
                <w:color w:val="000000"/>
                <w:kern w:val="0"/>
                <w:sz w:val="24"/>
                <w:szCs w:val="24"/>
              </w:rPr>
              <w:t>  </w:t>
            </w:r>
            <w:r>
              <w:rPr>
                <w:rFonts w:ascii="仿宋" w:hAnsi="仿宋" w:eastAsia="仿宋" w:cs="宋体"/>
                <w:b/>
                <w:bCs/>
                <w:color w:val="000000"/>
                <w:kern w:val="0"/>
                <w:sz w:val="24"/>
                <w:szCs w:val="24"/>
              </w:rPr>
              <w:t>第一部分</w:t>
            </w:r>
          </w:p>
        </w:tc>
      </w:tr>
      <w:tr w14:paraId="26A51F8D">
        <w:tblPrEx>
          <w:tblCellMar>
            <w:top w:w="15" w:type="dxa"/>
            <w:left w:w="15" w:type="dxa"/>
            <w:bottom w:w="15" w:type="dxa"/>
            <w:right w:w="15" w:type="dxa"/>
          </w:tblCellMar>
        </w:tblPrEx>
        <w:trPr>
          <w:trHeight w:val="375" w:hRule="atLeast"/>
          <w:jc w:val="center"/>
        </w:trPr>
        <w:tc>
          <w:tcPr>
            <w:tcW w:w="0" w:type="auto"/>
            <w:noWrap/>
            <w:vAlign w:val="center"/>
          </w:tcPr>
          <w:p w14:paraId="6C8D4880">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一、部门主要职责</w:t>
            </w:r>
          </w:p>
        </w:tc>
      </w:tr>
      <w:tr w14:paraId="7F70CFD3">
        <w:tblPrEx>
          <w:tblCellMar>
            <w:top w:w="15" w:type="dxa"/>
            <w:left w:w="15" w:type="dxa"/>
            <w:bottom w:w="15" w:type="dxa"/>
            <w:right w:w="15" w:type="dxa"/>
          </w:tblCellMar>
        </w:tblPrEx>
        <w:trPr>
          <w:trHeight w:val="375" w:hRule="atLeast"/>
          <w:jc w:val="center"/>
        </w:trPr>
        <w:tc>
          <w:tcPr>
            <w:tcW w:w="0" w:type="auto"/>
            <w:noWrap/>
            <w:vAlign w:val="center"/>
          </w:tcPr>
          <w:p w14:paraId="29096B6F">
            <w:pPr>
              <w:widowControl/>
              <w:jc w:val="left"/>
              <w:rPr>
                <w:rFonts w:ascii="宋体" w:hAnsi="宋体" w:eastAsia="宋体" w:cs="宋体"/>
                <w:kern w:val="0"/>
                <w:sz w:val="24"/>
                <w:szCs w:val="24"/>
              </w:rPr>
            </w:pPr>
            <w:r>
              <w:rPr>
                <w:rFonts w:ascii="仿宋" w:hAnsi="仿宋" w:eastAsia="仿宋" w:cs="宋体"/>
                <w:color w:val="000000"/>
                <w:kern w:val="0"/>
                <w:sz w:val="24"/>
                <w:szCs w:val="24"/>
              </w:rPr>
              <w:t>（一）负责贯彻执行国家、省、市有关城市管理和行政执法的法律、法规和政策；研究制定和组织实施环境卫生、园林绿化、给排水、污水处理、户外广告、公园、城市照明设施、城市垃圾集中处置、市政基础设施管理与维护等行业的中长期规划和年度工作计划；（二）负责对城区城市管理和综合执法工作和组织领导、指挥协调、考核监督与绩效考评；（三）、负责“智慧溆浦”数字城管平台的建设和管理；负责推进县城城区数字化城市管理工作；（四）、负责城区的城市市容、环境卫生的管理工作，负责组织实施国家制定的城市市容环境卫生标准和行业规范；负责城区生活垃圾的集中处置和垃圾处理场的管理；（五）、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六）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七）负责城市规划区内城市供水、计划用水、节约用水的管理执法工作；负责城市</w:t>
            </w:r>
            <w:r>
              <w:rPr>
                <w:rFonts w:hint="eastAsia" w:ascii="MS Mincho" w:hAnsi="MS Mincho" w:eastAsia="MS Mincho" w:cs="MS Mincho"/>
                <w:color w:val="000000"/>
                <w:kern w:val="0"/>
                <w:sz w:val="24"/>
                <w:szCs w:val="24"/>
              </w:rPr>
              <w:t>  </w:t>
            </w:r>
            <w:r>
              <w:rPr>
                <w:rFonts w:ascii="仿宋" w:hAnsi="仿宋" w:eastAsia="仿宋" w:cs="宋体"/>
                <w:color w:val="000000"/>
                <w:kern w:val="0"/>
                <w:sz w:val="24"/>
                <w:szCs w:val="24"/>
              </w:rPr>
              <w:t xml:space="preserve"> 排水许可证的核发；负责城区供水企业的水质监测和指导，管理城市污水处理工作（八）负责县城城区户外广告设置管理工作；（九）负责监督管理县城城区车辆清洗站、场；（十）负责县城规划区内建筑垃圾倾倒、运输、消纳、处置和管理和执法工作（十一）负责县城规划区内临时占用道路两侧和公共场所的行政许可（十二）负责县城规划区内城市管理综合执法以及城市管理部门可以实施法律法规定的行政处罚权有关的行政强制措施；（十三）承办县委、县政府交办的其他任务。</w:t>
            </w:r>
          </w:p>
        </w:tc>
      </w:tr>
      <w:tr w14:paraId="6F92680A">
        <w:tblPrEx>
          <w:tblCellMar>
            <w:top w:w="15" w:type="dxa"/>
            <w:left w:w="15" w:type="dxa"/>
            <w:bottom w:w="15" w:type="dxa"/>
            <w:right w:w="15" w:type="dxa"/>
          </w:tblCellMar>
        </w:tblPrEx>
        <w:trPr>
          <w:trHeight w:val="375" w:hRule="atLeast"/>
          <w:jc w:val="center"/>
        </w:trPr>
        <w:tc>
          <w:tcPr>
            <w:tcW w:w="0" w:type="auto"/>
            <w:noWrap/>
            <w:vAlign w:val="center"/>
          </w:tcPr>
          <w:p w14:paraId="586072FB">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二、机构设置情况</w:t>
            </w:r>
          </w:p>
        </w:tc>
      </w:tr>
      <w:tr w14:paraId="77CC16D2">
        <w:tblPrEx>
          <w:tblCellMar>
            <w:top w:w="15" w:type="dxa"/>
            <w:left w:w="15" w:type="dxa"/>
            <w:bottom w:w="15" w:type="dxa"/>
            <w:right w:w="15" w:type="dxa"/>
          </w:tblCellMar>
        </w:tblPrEx>
        <w:trPr>
          <w:trHeight w:val="375" w:hRule="atLeast"/>
          <w:jc w:val="center"/>
        </w:trPr>
        <w:tc>
          <w:tcPr>
            <w:tcW w:w="0" w:type="auto"/>
            <w:noWrap/>
            <w:vAlign w:val="center"/>
          </w:tcPr>
          <w:p w14:paraId="6D125E6F">
            <w:pPr>
              <w:widowControl/>
              <w:jc w:val="left"/>
              <w:rPr>
                <w:rFonts w:ascii="宋体" w:hAnsi="宋体" w:eastAsia="宋体" w:cs="宋体"/>
                <w:kern w:val="0"/>
                <w:sz w:val="24"/>
                <w:szCs w:val="24"/>
              </w:rPr>
            </w:pPr>
            <w:r>
              <w:rPr>
                <w:rFonts w:ascii="仿宋" w:hAnsi="仿宋" w:eastAsia="仿宋" w:cs="宋体"/>
                <w:color w:val="000000"/>
                <w:kern w:val="0"/>
                <w:sz w:val="24"/>
                <w:szCs w:val="24"/>
              </w:rPr>
              <w:t>本单位是财政全额拨款事业单位，为溆浦县人民政府工作部门，为正科级，内设办公室（人事股、财务股）、政策法规股（行政审批股）、城市公共管理股（督查考评股）三大股室，局所属事业单位科级事单位为溆浦县城市管理行政执法大队、溆浦县城市管理事务中心；股级单位为溆浦县垃圾处理场、溆浦县市政所、溆浦县污水处理厂；所属企业溆浦县自来水公司。核定编制237名，其中行政编制数7人，事业编制数230人，实有在职人数275人，其中：行政编制数15人，事业人员246人、离退休人员 14人。</w:t>
            </w:r>
          </w:p>
        </w:tc>
      </w:tr>
      <w:tr w14:paraId="14F077B1">
        <w:tblPrEx>
          <w:tblCellMar>
            <w:top w:w="15" w:type="dxa"/>
            <w:left w:w="15" w:type="dxa"/>
            <w:bottom w:w="15" w:type="dxa"/>
            <w:right w:w="15" w:type="dxa"/>
          </w:tblCellMar>
        </w:tblPrEx>
        <w:trPr>
          <w:trHeight w:val="375" w:hRule="atLeast"/>
          <w:jc w:val="center"/>
        </w:trPr>
        <w:tc>
          <w:tcPr>
            <w:tcW w:w="0" w:type="auto"/>
            <w:noWrap/>
            <w:vAlign w:val="center"/>
          </w:tcPr>
          <w:p w14:paraId="4819174E">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三、部门预算单位构成情况</w:t>
            </w:r>
          </w:p>
        </w:tc>
      </w:tr>
      <w:tr w14:paraId="25A95361">
        <w:tblPrEx>
          <w:tblCellMar>
            <w:top w:w="15" w:type="dxa"/>
            <w:left w:w="15" w:type="dxa"/>
            <w:bottom w:w="15" w:type="dxa"/>
            <w:right w:w="15" w:type="dxa"/>
          </w:tblCellMar>
        </w:tblPrEx>
        <w:trPr>
          <w:trHeight w:val="375" w:hRule="atLeast"/>
          <w:jc w:val="center"/>
        </w:trPr>
        <w:tc>
          <w:tcPr>
            <w:tcW w:w="0" w:type="auto"/>
            <w:noWrap/>
            <w:vAlign w:val="center"/>
          </w:tcPr>
          <w:p w14:paraId="5C436907">
            <w:pPr>
              <w:widowControl/>
              <w:jc w:val="left"/>
              <w:rPr>
                <w:rFonts w:ascii="宋体" w:hAnsi="宋体" w:eastAsia="宋体" w:cs="宋体"/>
                <w:kern w:val="0"/>
                <w:sz w:val="24"/>
                <w:szCs w:val="24"/>
              </w:rPr>
            </w:pPr>
            <w:r>
              <w:rPr>
                <w:rFonts w:ascii="仿宋" w:hAnsi="仿宋" w:eastAsia="仿宋" w:cs="宋体"/>
                <w:color w:val="000000"/>
                <w:kern w:val="0"/>
                <w:sz w:val="24"/>
                <w:szCs w:val="24"/>
              </w:rPr>
              <w:t>本单位独立核算的二级机构有溆浦县城市管理事务中心，溆浦县自来水公司，本次预算没有将独立核算的二个所属单位列入本次预算。</w:t>
            </w:r>
          </w:p>
        </w:tc>
      </w:tr>
      <w:tr w14:paraId="15EC2C1E">
        <w:tblPrEx>
          <w:tblCellMar>
            <w:top w:w="15" w:type="dxa"/>
            <w:left w:w="15" w:type="dxa"/>
            <w:bottom w:w="15" w:type="dxa"/>
            <w:right w:w="15" w:type="dxa"/>
          </w:tblCellMar>
        </w:tblPrEx>
        <w:trPr>
          <w:trHeight w:val="375" w:hRule="atLeast"/>
          <w:jc w:val="center"/>
        </w:trPr>
        <w:tc>
          <w:tcPr>
            <w:tcW w:w="0" w:type="auto"/>
            <w:noWrap/>
            <w:vAlign w:val="center"/>
          </w:tcPr>
          <w:p w14:paraId="5DB045B4">
            <w:pPr>
              <w:widowControl/>
              <w:jc w:val="center"/>
              <w:rPr>
                <w:rFonts w:ascii="宋体" w:hAnsi="宋体" w:eastAsia="宋体" w:cs="宋体"/>
                <w:kern w:val="0"/>
                <w:sz w:val="24"/>
                <w:szCs w:val="24"/>
              </w:rPr>
            </w:pPr>
            <w:r>
              <w:rPr>
                <w:rFonts w:ascii="仿宋" w:hAnsi="仿宋" w:eastAsia="仿宋" w:cs="宋体"/>
                <w:b/>
                <w:bCs/>
                <w:color w:val="000000"/>
                <w:kern w:val="0"/>
                <w:sz w:val="24"/>
                <w:szCs w:val="24"/>
              </w:rPr>
              <w:t>第二部分 单位2020年度部门预算表</w:t>
            </w:r>
          </w:p>
        </w:tc>
      </w:tr>
      <w:tr w14:paraId="7F867203">
        <w:tblPrEx>
          <w:tblCellMar>
            <w:top w:w="15" w:type="dxa"/>
            <w:left w:w="15" w:type="dxa"/>
            <w:bottom w:w="15" w:type="dxa"/>
            <w:right w:w="15" w:type="dxa"/>
          </w:tblCellMar>
        </w:tblPrEx>
        <w:trPr>
          <w:trHeight w:val="375" w:hRule="atLeast"/>
          <w:jc w:val="center"/>
        </w:trPr>
        <w:tc>
          <w:tcPr>
            <w:tcW w:w="0" w:type="auto"/>
            <w:noWrap/>
            <w:vAlign w:val="center"/>
          </w:tcPr>
          <w:p w14:paraId="44BF7752">
            <w:pPr>
              <w:widowControl/>
              <w:jc w:val="center"/>
              <w:rPr>
                <w:rFonts w:ascii="宋体" w:hAnsi="宋体" w:eastAsia="宋体" w:cs="宋体"/>
                <w:kern w:val="0"/>
                <w:sz w:val="24"/>
                <w:szCs w:val="24"/>
              </w:rPr>
            </w:pPr>
            <w:r>
              <w:rPr>
                <w:rFonts w:ascii="仿宋" w:hAnsi="仿宋" w:eastAsia="仿宋" w:cs="宋体"/>
                <w:color w:val="000000"/>
                <w:kern w:val="0"/>
                <w:sz w:val="24"/>
                <w:szCs w:val="24"/>
              </w:rPr>
              <w:t>(见附件）</w:t>
            </w:r>
          </w:p>
        </w:tc>
      </w:tr>
      <w:tr w14:paraId="52ECA090">
        <w:tblPrEx>
          <w:tblCellMar>
            <w:top w:w="15" w:type="dxa"/>
            <w:left w:w="15" w:type="dxa"/>
            <w:bottom w:w="15" w:type="dxa"/>
            <w:right w:w="15" w:type="dxa"/>
          </w:tblCellMar>
        </w:tblPrEx>
        <w:trPr>
          <w:trHeight w:val="375" w:hRule="atLeast"/>
          <w:jc w:val="center"/>
        </w:trPr>
        <w:tc>
          <w:tcPr>
            <w:tcW w:w="0" w:type="auto"/>
            <w:noWrap/>
            <w:vAlign w:val="center"/>
          </w:tcPr>
          <w:p w14:paraId="60EA4AC8">
            <w:pPr>
              <w:widowControl/>
              <w:jc w:val="center"/>
              <w:rPr>
                <w:rFonts w:ascii="宋体" w:hAnsi="宋体" w:eastAsia="宋体" w:cs="宋体"/>
                <w:kern w:val="0"/>
                <w:sz w:val="24"/>
                <w:szCs w:val="24"/>
              </w:rPr>
            </w:pPr>
            <w:r>
              <w:rPr>
                <w:rFonts w:ascii="仿宋" w:hAnsi="仿宋" w:eastAsia="仿宋" w:cs="宋体"/>
                <w:b/>
                <w:bCs/>
                <w:color w:val="000000"/>
                <w:kern w:val="0"/>
                <w:sz w:val="24"/>
                <w:szCs w:val="24"/>
              </w:rPr>
              <w:t>单位2020年度部门预算情况说明</w:t>
            </w:r>
            <w:r>
              <w:rPr>
                <w:rFonts w:hint="eastAsia" w:ascii="MS Mincho" w:hAnsi="MS Mincho" w:eastAsia="MS Mincho" w:cs="MS Mincho"/>
                <w:b/>
                <w:bCs/>
                <w:color w:val="000000"/>
                <w:kern w:val="0"/>
                <w:sz w:val="24"/>
                <w:szCs w:val="24"/>
              </w:rPr>
              <w:t>  </w:t>
            </w:r>
            <w:r>
              <w:rPr>
                <w:rFonts w:ascii="仿宋" w:hAnsi="仿宋" w:eastAsia="仿宋" w:cs="宋体"/>
                <w:b/>
                <w:bCs/>
                <w:color w:val="000000"/>
                <w:kern w:val="0"/>
                <w:sz w:val="24"/>
                <w:szCs w:val="24"/>
              </w:rPr>
              <w:t>第三部分</w:t>
            </w:r>
          </w:p>
        </w:tc>
      </w:tr>
      <w:tr w14:paraId="66147A12">
        <w:tblPrEx>
          <w:tblCellMar>
            <w:top w:w="15" w:type="dxa"/>
            <w:left w:w="15" w:type="dxa"/>
            <w:bottom w:w="15" w:type="dxa"/>
            <w:right w:w="15" w:type="dxa"/>
          </w:tblCellMar>
        </w:tblPrEx>
        <w:trPr>
          <w:trHeight w:val="375" w:hRule="atLeast"/>
          <w:jc w:val="center"/>
        </w:trPr>
        <w:tc>
          <w:tcPr>
            <w:tcW w:w="0" w:type="auto"/>
            <w:noWrap/>
            <w:vAlign w:val="center"/>
          </w:tcPr>
          <w:p w14:paraId="0E1A7C60">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一、收入支出预算总体情况说明</w:t>
            </w:r>
          </w:p>
        </w:tc>
      </w:tr>
      <w:tr w14:paraId="79D4B2CE">
        <w:tblPrEx>
          <w:tblCellMar>
            <w:top w:w="15" w:type="dxa"/>
            <w:left w:w="15" w:type="dxa"/>
            <w:bottom w:w="15" w:type="dxa"/>
            <w:right w:w="15" w:type="dxa"/>
          </w:tblCellMar>
        </w:tblPrEx>
        <w:trPr>
          <w:trHeight w:val="375" w:hRule="atLeast"/>
          <w:jc w:val="center"/>
        </w:trPr>
        <w:tc>
          <w:tcPr>
            <w:tcW w:w="0" w:type="auto"/>
            <w:noWrap/>
            <w:vAlign w:val="center"/>
          </w:tcPr>
          <w:p w14:paraId="1EC3B108">
            <w:pPr>
              <w:widowControl/>
              <w:jc w:val="left"/>
              <w:rPr>
                <w:rFonts w:ascii="宋体" w:hAnsi="宋体" w:eastAsia="宋体" w:cs="宋体"/>
                <w:kern w:val="0"/>
                <w:sz w:val="24"/>
                <w:szCs w:val="24"/>
              </w:rPr>
            </w:pPr>
            <w:r>
              <w:rPr>
                <w:rFonts w:ascii="仿宋" w:hAnsi="仿宋" w:eastAsia="仿宋" w:cs="宋体"/>
                <w:color w:val="000000"/>
                <w:kern w:val="0"/>
                <w:sz w:val="24"/>
                <w:szCs w:val="24"/>
              </w:rPr>
              <w:t>收入预算 8012.87万元。 全年预算收入总计8012.87万元。收入情况分项如下：公共拨款收入7862.87万元，纳入公共预算管理的非税收入拨款150万元。</w:t>
            </w:r>
          </w:p>
        </w:tc>
      </w:tr>
      <w:tr w14:paraId="0D44588C">
        <w:tblPrEx>
          <w:tblCellMar>
            <w:top w:w="15" w:type="dxa"/>
            <w:left w:w="15" w:type="dxa"/>
            <w:bottom w:w="15" w:type="dxa"/>
            <w:right w:w="15" w:type="dxa"/>
          </w:tblCellMar>
        </w:tblPrEx>
        <w:trPr>
          <w:trHeight w:val="375" w:hRule="atLeast"/>
          <w:jc w:val="center"/>
        </w:trPr>
        <w:tc>
          <w:tcPr>
            <w:tcW w:w="0" w:type="auto"/>
            <w:noWrap/>
            <w:vAlign w:val="center"/>
          </w:tcPr>
          <w:p w14:paraId="1CB44BCC">
            <w:pPr>
              <w:widowControl/>
              <w:jc w:val="left"/>
              <w:rPr>
                <w:rFonts w:ascii="宋体" w:hAnsi="宋体" w:eastAsia="宋体" w:cs="宋体"/>
                <w:kern w:val="0"/>
                <w:sz w:val="24"/>
                <w:szCs w:val="24"/>
              </w:rPr>
            </w:pPr>
            <w:r>
              <w:rPr>
                <w:rFonts w:ascii="仿宋" w:hAnsi="仿宋" w:eastAsia="仿宋" w:cs="宋体"/>
                <w:color w:val="000000"/>
                <w:kern w:val="0"/>
                <w:sz w:val="24"/>
                <w:szCs w:val="24"/>
              </w:rPr>
              <w:t>支出预算8012.87万元。1、基本支出2624.89万元，其中：工资福利支出 2139.22万元，商品服务支出405.67 万元，对个人和家庭的补助30万元，资本性支出50万元，2、项目支出5387.98万元，其中：污水处理费648万元，垃圾处理费500万元，垃圾处理场渔塘污水转运及处置154万元，垃圾处理场雨污分流盖膜94.78万，垃圾处理场渗滤液提量扩建300万元，市政所日常维护230万元，市政公共照明电费400万元，市政设施应急建设120万元，百小工程120万元，浮桥重建200万元，公共用水45万元，高铁南站广场维护64万元，园林绿化管护324.22万元，垃圾清运、清扫</w:t>
            </w:r>
            <w:r>
              <w:rPr>
                <w:rFonts w:hint="eastAsia" w:ascii="仿宋" w:hAnsi="仿宋" w:eastAsia="仿宋" w:cs="宋体"/>
                <w:color w:val="000000"/>
                <w:kern w:val="0"/>
                <w:sz w:val="24"/>
                <w:szCs w:val="24"/>
                <w:lang w:eastAsia="zh-CN"/>
              </w:rPr>
              <w:t>2100万元</w:t>
            </w:r>
            <w:r>
              <w:rPr>
                <w:rFonts w:ascii="仿宋" w:hAnsi="仿宋" w:eastAsia="仿宋" w:cs="宋体"/>
                <w:color w:val="000000"/>
                <w:kern w:val="0"/>
                <w:sz w:val="24"/>
                <w:szCs w:val="24"/>
              </w:rPr>
              <w:t>，拆违经费40万元，城东防洪堤值班费</w:t>
            </w:r>
            <w:r>
              <w:rPr>
                <w:rFonts w:hint="eastAsia" w:ascii="仿宋" w:hAnsi="仿宋" w:eastAsia="仿宋" w:cs="宋体"/>
                <w:color w:val="000000"/>
                <w:kern w:val="0"/>
                <w:sz w:val="24"/>
                <w:szCs w:val="24"/>
                <w:lang w:eastAsia="zh-CN"/>
              </w:rPr>
              <w:t>7.98万元</w:t>
            </w:r>
            <w:r>
              <w:rPr>
                <w:rFonts w:ascii="仿宋" w:hAnsi="仿宋" w:eastAsia="仿宋" w:cs="宋体"/>
                <w:color w:val="000000"/>
                <w:kern w:val="0"/>
                <w:sz w:val="24"/>
                <w:szCs w:val="24"/>
              </w:rPr>
              <w:t>，扬尘整治40万元。</w:t>
            </w:r>
          </w:p>
        </w:tc>
      </w:tr>
      <w:tr w14:paraId="21CE9471">
        <w:tblPrEx>
          <w:tblCellMar>
            <w:top w:w="15" w:type="dxa"/>
            <w:left w:w="15" w:type="dxa"/>
            <w:bottom w:w="15" w:type="dxa"/>
            <w:right w:w="15" w:type="dxa"/>
          </w:tblCellMar>
        </w:tblPrEx>
        <w:trPr>
          <w:trHeight w:val="375" w:hRule="atLeast"/>
          <w:jc w:val="center"/>
        </w:trPr>
        <w:tc>
          <w:tcPr>
            <w:tcW w:w="0" w:type="auto"/>
            <w:noWrap/>
            <w:vAlign w:val="center"/>
          </w:tcPr>
          <w:p w14:paraId="3D4C8605">
            <w:pPr>
              <w:widowControl/>
              <w:jc w:val="left"/>
              <w:rPr>
                <w:rFonts w:ascii="宋体" w:hAnsi="宋体" w:eastAsia="宋体" w:cs="宋体"/>
                <w:kern w:val="0"/>
                <w:sz w:val="24"/>
                <w:szCs w:val="24"/>
              </w:rPr>
            </w:pPr>
            <w:r>
              <w:rPr>
                <w:rFonts w:ascii="仿宋" w:hAnsi="仿宋" w:eastAsia="仿宋" w:cs="宋体"/>
                <w:color w:val="000000"/>
                <w:kern w:val="0"/>
                <w:sz w:val="24"/>
                <w:szCs w:val="24"/>
              </w:rPr>
              <w:t>预算收支较2019年预算多6691.06万元,主要原因是机构改革后将垃圾处理场、污水处理厂、市政所、原城市管理行政执法大队合并归属于本部门核算，人员经费增多，项目经费增多。</w:t>
            </w:r>
          </w:p>
        </w:tc>
      </w:tr>
      <w:tr w14:paraId="40276C8E">
        <w:tblPrEx>
          <w:tblCellMar>
            <w:top w:w="15" w:type="dxa"/>
            <w:left w:w="15" w:type="dxa"/>
            <w:bottom w:w="15" w:type="dxa"/>
            <w:right w:w="15" w:type="dxa"/>
          </w:tblCellMar>
        </w:tblPrEx>
        <w:trPr>
          <w:trHeight w:val="375" w:hRule="atLeast"/>
          <w:jc w:val="center"/>
        </w:trPr>
        <w:tc>
          <w:tcPr>
            <w:tcW w:w="0" w:type="auto"/>
            <w:noWrap/>
            <w:vAlign w:val="center"/>
          </w:tcPr>
          <w:p w14:paraId="26E82BE2">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二、收入预算情况说明</w:t>
            </w:r>
          </w:p>
        </w:tc>
      </w:tr>
      <w:tr w14:paraId="6F077709">
        <w:tblPrEx>
          <w:tblCellMar>
            <w:top w:w="15" w:type="dxa"/>
            <w:left w:w="15" w:type="dxa"/>
            <w:bottom w:w="15" w:type="dxa"/>
            <w:right w:w="15" w:type="dxa"/>
          </w:tblCellMar>
        </w:tblPrEx>
        <w:trPr>
          <w:trHeight w:val="375" w:hRule="atLeast"/>
          <w:jc w:val="center"/>
        </w:trPr>
        <w:tc>
          <w:tcPr>
            <w:tcW w:w="0" w:type="auto"/>
            <w:noWrap/>
            <w:vAlign w:val="center"/>
          </w:tcPr>
          <w:p w14:paraId="29A45FDF">
            <w:pPr>
              <w:widowControl/>
              <w:jc w:val="left"/>
              <w:rPr>
                <w:rFonts w:ascii="宋体" w:hAnsi="宋体" w:eastAsia="宋体" w:cs="宋体"/>
                <w:kern w:val="0"/>
                <w:sz w:val="24"/>
                <w:szCs w:val="24"/>
              </w:rPr>
            </w:pPr>
            <w:r>
              <w:rPr>
                <w:rFonts w:ascii="仿宋" w:hAnsi="仿宋" w:eastAsia="仿宋" w:cs="宋体"/>
                <w:color w:val="000000"/>
                <w:kern w:val="0"/>
                <w:sz w:val="24"/>
                <w:szCs w:val="24"/>
              </w:rPr>
              <w:t>全年预算收入总计8012.87万元。收入情况分项如下：公共拨款收入7862.87万元，纳入公共预算管理的非税收入拨款150万元。</w:t>
            </w:r>
          </w:p>
        </w:tc>
      </w:tr>
      <w:tr w14:paraId="055FD645">
        <w:tblPrEx>
          <w:tblCellMar>
            <w:top w:w="15" w:type="dxa"/>
            <w:left w:w="15" w:type="dxa"/>
            <w:bottom w:w="15" w:type="dxa"/>
            <w:right w:w="15" w:type="dxa"/>
          </w:tblCellMar>
        </w:tblPrEx>
        <w:trPr>
          <w:trHeight w:val="375" w:hRule="atLeast"/>
          <w:jc w:val="center"/>
        </w:trPr>
        <w:tc>
          <w:tcPr>
            <w:tcW w:w="0" w:type="auto"/>
            <w:noWrap/>
            <w:vAlign w:val="center"/>
          </w:tcPr>
          <w:p w14:paraId="3EB003F6">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三、支出预算情况说明</w:t>
            </w:r>
          </w:p>
        </w:tc>
      </w:tr>
      <w:tr w14:paraId="16D99E06">
        <w:tblPrEx>
          <w:tblCellMar>
            <w:top w:w="15" w:type="dxa"/>
            <w:left w:w="15" w:type="dxa"/>
            <w:bottom w:w="15" w:type="dxa"/>
            <w:right w:w="15" w:type="dxa"/>
          </w:tblCellMar>
        </w:tblPrEx>
        <w:trPr>
          <w:trHeight w:val="375" w:hRule="atLeast"/>
          <w:jc w:val="center"/>
        </w:trPr>
        <w:tc>
          <w:tcPr>
            <w:tcW w:w="0" w:type="auto"/>
            <w:noWrap/>
            <w:vAlign w:val="center"/>
          </w:tcPr>
          <w:p w14:paraId="64FFF03F">
            <w:pPr>
              <w:widowControl/>
              <w:jc w:val="left"/>
              <w:rPr>
                <w:rFonts w:ascii="宋体" w:hAnsi="宋体" w:eastAsia="宋体" w:cs="宋体"/>
                <w:kern w:val="0"/>
                <w:sz w:val="24"/>
                <w:szCs w:val="24"/>
              </w:rPr>
            </w:pPr>
            <w:r>
              <w:rPr>
                <w:rFonts w:ascii="仿宋" w:hAnsi="仿宋" w:eastAsia="仿宋" w:cs="宋体"/>
                <w:color w:val="000000"/>
                <w:kern w:val="0"/>
                <w:sz w:val="24"/>
                <w:szCs w:val="24"/>
              </w:rPr>
              <w:t>支出预算8012.87万元。1、基本支出2139.22万元，其中：①工资福利支出 1432.13万元，②商品服务支出361.67 万元，③对个人和家庭的补助支出30万元，④资本性支出50万元，2、项目支出5387.98万元(其中商品服务支出4753.2万元，基本建设性支出594.78万元，其他资本性支出40万元)，项目为污水处理费648万元，垃圾处理费500万元，垃圾处理场渔塘污水转运及处置154万元，垃圾处理场雨污分流盖膜94.78万，垃圾处理场渗滤液提量扩建300万元，市政所日常维护230万元，市政公共照明电费400万元，市政设施应急建设120万元，百小工程120万元，浮桥重建200万元，公共用水45万元，高铁南站广场维护64万元，园林绿化管护324.22万元，垃圾清运、清扫</w:t>
            </w:r>
            <w:r>
              <w:rPr>
                <w:rFonts w:hint="eastAsia" w:ascii="仿宋" w:hAnsi="仿宋" w:eastAsia="仿宋" w:cs="宋体"/>
                <w:color w:val="000000"/>
                <w:kern w:val="0"/>
                <w:sz w:val="24"/>
                <w:szCs w:val="24"/>
                <w:lang w:eastAsia="zh-CN"/>
              </w:rPr>
              <w:t>2100万元</w:t>
            </w:r>
            <w:r>
              <w:rPr>
                <w:rFonts w:ascii="仿宋" w:hAnsi="仿宋" w:eastAsia="仿宋" w:cs="宋体"/>
                <w:color w:val="000000"/>
                <w:kern w:val="0"/>
                <w:sz w:val="24"/>
                <w:szCs w:val="24"/>
              </w:rPr>
              <w:t>，拆违经费40万元，城东防洪堤值班费</w:t>
            </w:r>
            <w:r>
              <w:rPr>
                <w:rFonts w:hint="eastAsia" w:ascii="仿宋" w:hAnsi="仿宋" w:eastAsia="仿宋" w:cs="宋体"/>
                <w:color w:val="000000"/>
                <w:kern w:val="0"/>
                <w:sz w:val="24"/>
                <w:szCs w:val="24"/>
                <w:lang w:eastAsia="zh-CN"/>
              </w:rPr>
              <w:t>7.98万元</w:t>
            </w:r>
            <w:r>
              <w:rPr>
                <w:rFonts w:ascii="仿宋" w:hAnsi="仿宋" w:eastAsia="仿宋" w:cs="宋体"/>
                <w:color w:val="000000"/>
                <w:kern w:val="0"/>
                <w:sz w:val="24"/>
                <w:szCs w:val="24"/>
              </w:rPr>
              <w:t>，扬尘整治40万元。</w:t>
            </w:r>
          </w:p>
        </w:tc>
      </w:tr>
      <w:tr w14:paraId="4A863008">
        <w:tblPrEx>
          <w:tblCellMar>
            <w:top w:w="15" w:type="dxa"/>
            <w:left w:w="15" w:type="dxa"/>
            <w:bottom w:w="15" w:type="dxa"/>
            <w:right w:w="15" w:type="dxa"/>
          </w:tblCellMar>
        </w:tblPrEx>
        <w:trPr>
          <w:trHeight w:val="375" w:hRule="atLeast"/>
          <w:jc w:val="center"/>
        </w:trPr>
        <w:tc>
          <w:tcPr>
            <w:tcW w:w="0" w:type="auto"/>
            <w:noWrap/>
            <w:vAlign w:val="center"/>
          </w:tcPr>
          <w:p w14:paraId="19010AEC">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四、财政拨款收入支出情况说明</w:t>
            </w:r>
          </w:p>
        </w:tc>
      </w:tr>
      <w:tr w14:paraId="3ECC6420">
        <w:tblPrEx>
          <w:tblCellMar>
            <w:top w:w="15" w:type="dxa"/>
            <w:left w:w="15" w:type="dxa"/>
            <w:bottom w:w="15" w:type="dxa"/>
            <w:right w:w="15" w:type="dxa"/>
          </w:tblCellMar>
        </w:tblPrEx>
        <w:trPr>
          <w:trHeight w:val="375" w:hRule="atLeast"/>
          <w:jc w:val="center"/>
        </w:trPr>
        <w:tc>
          <w:tcPr>
            <w:tcW w:w="0" w:type="auto"/>
            <w:noWrap/>
            <w:vAlign w:val="center"/>
          </w:tcPr>
          <w:p w14:paraId="4E74919C">
            <w:pPr>
              <w:widowControl/>
              <w:jc w:val="left"/>
              <w:rPr>
                <w:rFonts w:ascii="宋体" w:hAnsi="宋体" w:eastAsia="宋体" w:cs="宋体"/>
                <w:kern w:val="0"/>
                <w:sz w:val="24"/>
                <w:szCs w:val="24"/>
              </w:rPr>
            </w:pPr>
            <w:r>
              <w:rPr>
                <w:rFonts w:ascii="仿宋" w:hAnsi="仿宋" w:eastAsia="仿宋" w:cs="宋体"/>
                <w:color w:val="000000"/>
                <w:kern w:val="0"/>
                <w:sz w:val="24"/>
                <w:szCs w:val="24"/>
              </w:rPr>
              <w:t>2019年财政拨款收入1321.81万元(其中罚没收入为100万元),2020年财政拨款收入8012.87万元(其中罚没收入为150万元),全年总预算收较上年增加6691.06万元,主要原因是机构改革后将垃圾处理场、污水处理厂、市政所、原城市管理行政执法大队合并归属于本部门核算，人员经费增多，项目经费增多。</w:t>
            </w:r>
          </w:p>
        </w:tc>
      </w:tr>
      <w:tr w14:paraId="09D1C41D">
        <w:tblPrEx>
          <w:tblCellMar>
            <w:top w:w="15" w:type="dxa"/>
            <w:left w:w="15" w:type="dxa"/>
            <w:bottom w:w="15" w:type="dxa"/>
            <w:right w:w="15" w:type="dxa"/>
          </w:tblCellMar>
        </w:tblPrEx>
        <w:trPr>
          <w:trHeight w:val="375" w:hRule="atLeast"/>
          <w:jc w:val="center"/>
        </w:trPr>
        <w:tc>
          <w:tcPr>
            <w:tcW w:w="0" w:type="auto"/>
            <w:noWrap/>
            <w:vAlign w:val="center"/>
          </w:tcPr>
          <w:p w14:paraId="4E0B58FD">
            <w:pPr>
              <w:widowControl/>
              <w:jc w:val="left"/>
              <w:rPr>
                <w:rFonts w:ascii="宋体" w:hAnsi="宋体" w:eastAsia="宋体" w:cs="宋体"/>
                <w:kern w:val="0"/>
                <w:sz w:val="24"/>
                <w:szCs w:val="24"/>
              </w:rPr>
            </w:pPr>
            <w:r>
              <w:rPr>
                <w:rFonts w:ascii="仿宋" w:hAnsi="仿宋" w:eastAsia="仿宋" w:cs="宋体"/>
                <w:color w:val="000000"/>
                <w:kern w:val="0"/>
                <w:sz w:val="24"/>
                <w:szCs w:val="24"/>
              </w:rPr>
              <w:t>2019年财政拨款支出1321.81万元(其中罚没收入为100万元),201</w:t>
            </w:r>
            <w:r>
              <w:rPr>
                <w:rFonts w:hint="eastAsia" w:ascii="仿宋" w:hAnsi="仿宋" w:eastAsia="仿宋" w:cs="宋体"/>
                <w:color w:val="000000"/>
                <w:kern w:val="0"/>
                <w:sz w:val="24"/>
                <w:szCs w:val="24"/>
                <w:lang w:val="en-US" w:eastAsia="zh-CN"/>
              </w:rPr>
              <w:t>0</w:t>
            </w:r>
            <w:r>
              <w:rPr>
                <w:rFonts w:ascii="仿宋" w:hAnsi="仿宋" w:eastAsia="仿宋" w:cs="宋体"/>
                <w:color w:val="000000"/>
                <w:kern w:val="0"/>
                <w:sz w:val="24"/>
                <w:szCs w:val="24"/>
              </w:rPr>
              <w:t>年</w:t>
            </w:r>
            <w:bookmarkStart w:id="0" w:name="_GoBack"/>
            <w:bookmarkEnd w:id="0"/>
            <w:r>
              <w:rPr>
                <w:rFonts w:ascii="仿宋" w:hAnsi="仿宋" w:eastAsia="仿宋" w:cs="宋体"/>
                <w:color w:val="000000"/>
                <w:kern w:val="0"/>
                <w:sz w:val="24"/>
                <w:szCs w:val="24"/>
              </w:rPr>
              <w:t>财政拨款支出8012.87</w:t>
            </w:r>
            <w:r>
              <w:rPr>
                <w:rFonts w:hint="eastAsia" w:ascii="仿宋" w:hAnsi="仿宋" w:eastAsia="仿宋" w:cs="宋体"/>
                <w:color w:val="000000"/>
                <w:kern w:val="0"/>
                <w:sz w:val="24"/>
                <w:szCs w:val="24"/>
                <w:lang w:val="en-US" w:eastAsia="zh-CN"/>
              </w:rPr>
              <w:t>万</w:t>
            </w:r>
            <w:r>
              <w:rPr>
                <w:rFonts w:ascii="仿宋" w:hAnsi="仿宋" w:eastAsia="仿宋" w:cs="宋体"/>
                <w:color w:val="000000"/>
                <w:kern w:val="0"/>
                <w:sz w:val="24"/>
                <w:szCs w:val="24"/>
              </w:rPr>
              <w:t>元(其中罚没收入为150万元),全年总预算支出较上年增加6691.06万元,</w:t>
            </w:r>
          </w:p>
        </w:tc>
      </w:tr>
      <w:tr w14:paraId="497355FB">
        <w:tblPrEx>
          <w:tblCellMar>
            <w:top w:w="15" w:type="dxa"/>
            <w:left w:w="15" w:type="dxa"/>
            <w:bottom w:w="15" w:type="dxa"/>
            <w:right w:w="15" w:type="dxa"/>
          </w:tblCellMar>
        </w:tblPrEx>
        <w:trPr>
          <w:trHeight w:val="375" w:hRule="atLeast"/>
          <w:jc w:val="center"/>
        </w:trPr>
        <w:tc>
          <w:tcPr>
            <w:tcW w:w="0" w:type="auto"/>
            <w:noWrap/>
            <w:vAlign w:val="center"/>
          </w:tcPr>
          <w:p w14:paraId="6EBAEB06">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五、一般公共预算财政拨款支出情况说明</w:t>
            </w:r>
          </w:p>
        </w:tc>
      </w:tr>
      <w:tr w14:paraId="167EEAE3">
        <w:tblPrEx>
          <w:tblCellMar>
            <w:top w:w="15" w:type="dxa"/>
            <w:left w:w="15" w:type="dxa"/>
            <w:bottom w:w="15" w:type="dxa"/>
            <w:right w:w="15" w:type="dxa"/>
          </w:tblCellMar>
        </w:tblPrEx>
        <w:trPr>
          <w:trHeight w:val="375" w:hRule="atLeast"/>
          <w:jc w:val="center"/>
        </w:trPr>
        <w:tc>
          <w:tcPr>
            <w:tcW w:w="0" w:type="auto"/>
            <w:noWrap/>
            <w:vAlign w:val="center"/>
          </w:tcPr>
          <w:p w14:paraId="08B72789">
            <w:pPr>
              <w:widowControl/>
              <w:jc w:val="left"/>
              <w:rPr>
                <w:rFonts w:ascii="宋体" w:hAnsi="宋体" w:eastAsia="宋体" w:cs="宋体"/>
                <w:kern w:val="0"/>
                <w:sz w:val="24"/>
                <w:szCs w:val="24"/>
              </w:rPr>
            </w:pPr>
            <w:r>
              <w:rPr>
                <w:rFonts w:ascii="仿宋" w:hAnsi="仿宋" w:eastAsia="仿宋" w:cs="宋体"/>
                <w:color w:val="000000"/>
                <w:kern w:val="0"/>
                <w:sz w:val="24"/>
                <w:szCs w:val="24"/>
              </w:rPr>
              <w:t>2019年财政拨款支出1321.81</w:t>
            </w:r>
            <w:r>
              <w:rPr>
                <w:rFonts w:hint="eastAsia" w:ascii="仿宋" w:hAnsi="仿宋" w:eastAsia="仿宋" w:cs="宋体"/>
                <w:color w:val="000000"/>
                <w:kern w:val="0"/>
                <w:sz w:val="24"/>
                <w:szCs w:val="24"/>
                <w:lang w:val="en-US" w:eastAsia="zh-CN"/>
              </w:rPr>
              <w:t>万</w:t>
            </w:r>
            <w:r>
              <w:rPr>
                <w:rFonts w:ascii="仿宋" w:hAnsi="仿宋" w:eastAsia="仿宋" w:cs="宋体"/>
                <w:color w:val="000000"/>
                <w:kern w:val="0"/>
                <w:sz w:val="24"/>
                <w:szCs w:val="24"/>
              </w:rPr>
              <w:t>元,2020年财政拨款收入8012.87万元,全年总预算收较上年增加6691.06万元,增加率为506.2%,造成收入增加主要原因是机构改革后将垃圾处理场、污水处理厂、市政所、原城市管理行政执法大队合并归属于本部门核算，人员经费增多，项目经费增多。</w:t>
            </w:r>
          </w:p>
        </w:tc>
      </w:tr>
      <w:tr w14:paraId="5BC98DB8">
        <w:tblPrEx>
          <w:tblCellMar>
            <w:top w:w="15" w:type="dxa"/>
            <w:left w:w="15" w:type="dxa"/>
            <w:bottom w:w="15" w:type="dxa"/>
            <w:right w:w="15" w:type="dxa"/>
          </w:tblCellMar>
        </w:tblPrEx>
        <w:trPr>
          <w:trHeight w:val="375" w:hRule="atLeast"/>
          <w:jc w:val="center"/>
        </w:trPr>
        <w:tc>
          <w:tcPr>
            <w:tcW w:w="0" w:type="auto"/>
            <w:noWrap/>
            <w:vAlign w:val="center"/>
          </w:tcPr>
          <w:p w14:paraId="36E4F3DF">
            <w:pPr>
              <w:widowControl/>
              <w:jc w:val="left"/>
              <w:rPr>
                <w:rFonts w:ascii="宋体" w:hAnsi="宋体" w:eastAsia="宋体" w:cs="宋体"/>
                <w:kern w:val="0"/>
                <w:sz w:val="24"/>
                <w:szCs w:val="24"/>
              </w:rPr>
            </w:pPr>
            <w:r>
              <w:rPr>
                <w:rFonts w:ascii="仿宋" w:hAnsi="仿宋" w:eastAsia="仿宋" w:cs="宋体"/>
                <w:color w:val="000000"/>
                <w:kern w:val="0"/>
                <w:sz w:val="24"/>
                <w:szCs w:val="24"/>
              </w:rPr>
              <w:t>2020年财政拨款支出8012.87万元, 基本性支出2624.89万元占总支出的32.76%,其中工资福利性支出2139.22万元占总支出的26.7%,其中商品服务性支出405.67万元,占总支出的5.07%,对个人和家庭的补助30万元，占总支出的0.37%,资本性支出50万元,占总支出的0.62%,项目支出 5387.98万元(其中商品服务支出4753.2万元，基本建设性支出594.78万元，其他资本性支出40万元),占总支出的67.24%。</w:t>
            </w:r>
          </w:p>
        </w:tc>
      </w:tr>
      <w:tr w14:paraId="07E337EA">
        <w:tblPrEx>
          <w:tblCellMar>
            <w:top w:w="15" w:type="dxa"/>
            <w:left w:w="15" w:type="dxa"/>
            <w:bottom w:w="15" w:type="dxa"/>
            <w:right w:w="15" w:type="dxa"/>
          </w:tblCellMar>
        </w:tblPrEx>
        <w:trPr>
          <w:trHeight w:val="375" w:hRule="atLeast"/>
          <w:jc w:val="center"/>
        </w:trPr>
        <w:tc>
          <w:tcPr>
            <w:tcW w:w="0" w:type="auto"/>
            <w:noWrap/>
            <w:vAlign w:val="center"/>
          </w:tcPr>
          <w:p w14:paraId="7286450A">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六、一般公共预算财政拨款基本支出情况说明</w:t>
            </w:r>
          </w:p>
        </w:tc>
      </w:tr>
      <w:tr w14:paraId="0F0F1DBD">
        <w:tblPrEx>
          <w:tblCellMar>
            <w:top w:w="15" w:type="dxa"/>
            <w:left w:w="15" w:type="dxa"/>
            <w:bottom w:w="15" w:type="dxa"/>
            <w:right w:w="15" w:type="dxa"/>
          </w:tblCellMar>
        </w:tblPrEx>
        <w:trPr>
          <w:trHeight w:val="375" w:hRule="atLeast"/>
          <w:jc w:val="center"/>
        </w:trPr>
        <w:tc>
          <w:tcPr>
            <w:tcW w:w="0" w:type="auto"/>
            <w:noWrap/>
            <w:vAlign w:val="center"/>
          </w:tcPr>
          <w:p w14:paraId="4920DDED">
            <w:pPr>
              <w:widowControl/>
              <w:jc w:val="left"/>
              <w:rPr>
                <w:rFonts w:ascii="宋体" w:hAnsi="宋体" w:eastAsia="宋体" w:cs="宋体"/>
                <w:kern w:val="0"/>
                <w:sz w:val="24"/>
                <w:szCs w:val="24"/>
              </w:rPr>
            </w:pPr>
            <w:r>
              <w:rPr>
                <w:rFonts w:ascii="仿宋" w:hAnsi="仿宋" w:eastAsia="仿宋" w:cs="宋体"/>
                <w:color w:val="000000"/>
                <w:kern w:val="0"/>
                <w:sz w:val="24"/>
                <w:szCs w:val="24"/>
              </w:rPr>
              <w:t>2020年一般公共预算财政拨款支出8012.87万元,基本性支出2624.89万元占总支出的32.76%,其中工资福利性支出2139.22万元,占总支出的26.7%,商品服务性支出405.67万元,占总支出的5.07%,对个人和家庭的补助30万元，占总支出的0.37%,资本性支出50万元,占总支出的0.62%,项目支出 5387.98万元(其中商品服务支出4753.2万元，基本建设性支出594.78万元，其他资本性支出40万元),占总支出的67.24%。</w:t>
            </w:r>
          </w:p>
        </w:tc>
      </w:tr>
      <w:tr w14:paraId="75AE9C09">
        <w:tblPrEx>
          <w:tblCellMar>
            <w:top w:w="15" w:type="dxa"/>
            <w:left w:w="15" w:type="dxa"/>
            <w:bottom w:w="15" w:type="dxa"/>
            <w:right w:w="15" w:type="dxa"/>
          </w:tblCellMar>
        </w:tblPrEx>
        <w:trPr>
          <w:trHeight w:val="375" w:hRule="atLeast"/>
          <w:jc w:val="center"/>
        </w:trPr>
        <w:tc>
          <w:tcPr>
            <w:tcW w:w="0" w:type="auto"/>
            <w:noWrap/>
            <w:vAlign w:val="center"/>
          </w:tcPr>
          <w:p w14:paraId="51D79624">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七、一般公共预算财政拨款“三公”经费支出情况说明</w:t>
            </w:r>
          </w:p>
        </w:tc>
      </w:tr>
      <w:tr w14:paraId="75CA8A0E">
        <w:tblPrEx>
          <w:tblCellMar>
            <w:top w:w="15" w:type="dxa"/>
            <w:left w:w="15" w:type="dxa"/>
            <w:bottom w:w="15" w:type="dxa"/>
            <w:right w:w="15" w:type="dxa"/>
          </w:tblCellMar>
        </w:tblPrEx>
        <w:trPr>
          <w:trHeight w:val="375" w:hRule="atLeast"/>
          <w:jc w:val="center"/>
        </w:trPr>
        <w:tc>
          <w:tcPr>
            <w:tcW w:w="0" w:type="auto"/>
            <w:noWrap/>
            <w:vAlign w:val="center"/>
          </w:tcPr>
          <w:p w14:paraId="0AE83235">
            <w:pPr>
              <w:widowControl/>
              <w:jc w:val="left"/>
              <w:rPr>
                <w:rFonts w:ascii="宋体" w:hAnsi="宋体" w:eastAsia="宋体" w:cs="宋体"/>
                <w:kern w:val="0"/>
                <w:sz w:val="24"/>
                <w:szCs w:val="24"/>
              </w:rPr>
            </w:pPr>
            <w:r>
              <w:rPr>
                <w:rFonts w:ascii="仿宋" w:hAnsi="仿宋" w:eastAsia="仿宋" w:cs="宋体"/>
                <w:color w:val="000000"/>
                <w:kern w:val="0"/>
                <w:sz w:val="24"/>
                <w:szCs w:val="24"/>
              </w:rPr>
              <w:t>（一）“三公”经费财政拨款支出预算总体情况说明。</w:t>
            </w:r>
          </w:p>
        </w:tc>
      </w:tr>
      <w:tr w14:paraId="7FB3D6CE">
        <w:tblPrEx>
          <w:tblCellMar>
            <w:top w:w="15" w:type="dxa"/>
            <w:left w:w="15" w:type="dxa"/>
            <w:bottom w:w="15" w:type="dxa"/>
            <w:right w:w="15" w:type="dxa"/>
          </w:tblCellMar>
        </w:tblPrEx>
        <w:trPr>
          <w:trHeight w:val="375" w:hRule="atLeast"/>
          <w:jc w:val="center"/>
        </w:trPr>
        <w:tc>
          <w:tcPr>
            <w:tcW w:w="0" w:type="auto"/>
            <w:noWrap/>
            <w:vAlign w:val="center"/>
          </w:tcPr>
          <w:p w14:paraId="6A7BF8CC">
            <w:pPr>
              <w:widowControl/>
              <w:jc w:val="left"/>
              <w:rPr>
                <w:rFonts w:ascii="宋体" w:hAnsi="宋体" w:eastAsia="宋体" w:cs="宋体"/>
                <w:kern w:val="0"/>
                <w:sz w:val="24"/>
                <w:szCs w:val="24"/>
              </w:rPr>
            </w:pPr>
            <w:r>
              <w:rPr>
                <w:rFonts w:ascii="仿宋" w:hAnsi="仿宋" w:eastAsia="仿宋" w:cs="宋体"/>
                <w:color w:val="000000"/>
                <w:kern w:val="0"/>
                <w:sz w:val="24"/>
                <w:szCs w:val="24"/>
              </w:rPr>
              <w:t>2020年““三公”经费”33万元,其中公务接待费2万元,公车运行费用31万元,2019年““三公”经费”66.93万元.其中公务接待费0.13万元,公车运行费66.8万元,比上年减少50.69%，减少原因是今年单位没有购置执法车辆，而去年单位购置了三台执法车辆，所以公车运行费用明显减少。</w:t>
            </w:r>
          </w:p>
        </w:tc>
      </w:tr>
      <w:tr w14:paraId="47604192">
        <w:tblPrEx>
          <w:tblCellMar>
            <w:top w:w="15" w:type="dxa"/>
            <w:left w:w="15" w:type="dxa"/>
            <w:bottom w:w="15" w:type="dxa"/>
            <w:right w:w="15" w:type="dxa"/>
          </w:tblCellMar>
        </w:tblPrEx>
        <w:trPr>
          <w:trHeight w:val="375" w:hRule="atLeast"/>
          <w:jc w:val="center"/>
        </w:trPr>
        <w:tc>
          <w:tcPr>
            <w:tcW w:w="0" w:type="auto"/>
            <w:noWrap/>
            <w:vAlign w:val="center"/>
          </w:tcPr>
          <w:p w14:paraId="526E130A">
            <w:pPr>
              <w:widowControl/>
              <w:jc w:val="left"/>
              <w:rPr>
                <w:rFonts w:ascii="宋体" w:hAnsi="宋体" w:eastAsia="宋体" w:cs="宋体"/>
                <w:kern w:val="0"/>
                <w:sz w:val="24"/>
                <w:szCs w:val="24"/>
              </w:rPr>
            </w:pPr>
            <w:r>
              <w:rPr>
                <w:rFonts w:ascii="仿宋" w:hAnsi="仿宋" w:eastAsia="仿宋" w:cs="宋体"/>
                <w:color w:val="000000"/>
                <w:kern w:val="0"/>
                <w:sz w:val="24"/>
                <w:szCs w:val="24"/>
              </w:rPr>
              <w:t>（二）“三公”经费财政拨款支出预算具体情况说明。</w:t>
            </w:r>
          </w:p>
        </w:tc>
      </w:tr>
      <w:tr w14:paraId="4B748393">
        <w:tblPrEx>
          <w:tblCellMar>
            <w:top w:w="15" w:type="dxa"/>
            <w:left w:w="15" w:type="dxa"/>
            <w:bottom w:w="15" w:type="dxa"/>
            <w:right w:w="15" w:type="dxa"/>
          </w:tblCellMar>
        </w:tblPrEx>
        <w:trPr>
          <w:trHeight w:val="375" w:hRule="atLeast"/>
          <w:jc w:val="center"/>
        </w:trPr>
        <w:tc>
          <w:tcPr>
            <w:tcW w:w="0" w:type="auto"/>
            <w:noWrap/>
            <w:vAlign w:val="center"/>
          </w:tcPr>
          <w:p w14:paraId="7AE8EC92">
            <w:pPr>
              <w:widowControl/>
              <w:jc w:val="left"/>
              <w:rPr>
                <w:rFonts w:ascii="宋体" w:hAnsi="宋体" w:eastAsia="宋体" w:cs="宋体"/>
                <w:kern w:val="0"/>
                <w:sz w:val="24"/>
                <w:szCs w:val="24"/>
              </w:rPr>
            </w:pPr>
            <w:r>
              <w:rPr>
                <w:rFonts w:ascii="仿宋" w:hAnsi="仿宋" w:eastAsia="仿宋" w:cs="宋体"/>
                <w:color w:val="000000"/>
                <w:kern w:val="0"/>
                <w:sz w:val="24"/>
                <w:szCs w:val="24"/>
              </w:rPr>
              <w:t>2020年““三公”经费”33万元,其中公务接待费2万元,公车运行费用31万元,2019年““三公”经费”66.93万元.其中公务接待费0.13万元,公车运行费66.8万元,公务接待较上年有所调增,主要是考虑其他县级城管单位来人进行考察及交流支出,公车运行因无车辆购置明显调减,总的预算经费比上年减少50.69%。</w:t>
            </w:r>
          </w:p>
        </w:tc>
      </w:tr>
      <w:tr w14:paraId="1A004967">
        <w:tblPrEx>
          <w:tblCellMar>
            <w:top w:w="15" w:type="dxa"/>
            <w:left w:w="15" w:type="dxa"/>
            <w:bottom w:w="15" w:type="dxa"/>
            <w:right w:w="15" w:type="dxa"/>
          </w:tblCellMar>
        </w:tblPrEx>
        <w:trPr>
          <w:trHeight w:val="375" w:hRule="atLeast"/>
          <w:jc w:val="center"/>
        </w:trPr>
        <w:tc>
          <w:tcPr>
            <w:tcW w:w="0" w:type="auto"/>
            <w:noWrap/>
            <w:vAlign w:val="center"/>
          </w:tcPr>
          <w:p w14:paraId="58526AD4">
            <w:pPr>
              <w:widowControl/>
              <w:jc w:val="left"/>
              <w:rPr>
                <w:rFonts w:ascii="宋体" w:hAnsi="宋体" w:eastAsia="宋体" w:cs="宋体"/>
                <w:kern w:val="0"/>
                <w:sz w:val="24"/>
                <w:szCs w:val="24"/>
              </w:rPr>
            </w:pPr>
            <w:r>
              <w:rPr>
                <w:rFonts w:ascii="仿宋" w:hAnsi="仿宋" w:eastAsia="仿宋" w:cs="宋体"/>
                <w:color w:val="000000"/>
                <w:kern w:val="0"/>
                <w:sz w:val="24"/>
                <w:szCs w:val="24"/>
              </w:rPr>
              <w:t>本单位严格执行财政部门的规定,根据2020年部门决算情况以及2019年部门预算情况，对各支出项目进行细化，对各支出严把控制关，尤其是对““三公”经费”支出各项目经费支出做到专款专用，不挤占，不挪用。全年总预算收支较2019年增加6691.06万元,增加率为506.2%。原因构改革后将垃圾处理场、污水处理厂、市政所、原城市管理行政执法大队合并归属于本部门核算，人员经费增多，项目经费增多。</w:t>
            </w:r>
          </w:p>
        </w:tc>
      </w:tr>
      <w:tr w14:paraId="68D10EB6">
        <w:tblPrEx>
          <w:tblCellMar>
            <w:top w:w="15" w:type="dxa"/>
            <w:left w:w="15" w:type="dxa"/>
            <w:bottom w:w="15" w:type="dxa"/>
            <w:right w:w="15" w:type="dxa"/>
          </w:tblCellMar>
        </w:tblPrEx>
        <w:trPr>
          <w:trHeight w:val="375" w:hRule="atLeast"/>
          <w:jc w:val="center"/>
        </w:trPr>
        <w:tc>
          <w:tcPr>
            <w:tcW w:w="0" w:type="auto"/>
            <w:noWrap/>
            <w:vAlign w:val="center"/>
          </w:tcPr>
          <w:p w14:paraId="319832EE">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八、预算绩效情况说明</w:t>
            </w:r>
          </w:p>
        </w:tc>
      </w:tr>
      <w:tr w14:paraId="5B44B6CF">
        <w:tblPrEx>
          <w:tblCellMar>
            <w:top w:w="15" w:type="dxa"/>
            <w:left w:w="15" w:type="dxa"/>
            <w:bottom w:w="15" w:type="dxa"/>
            <w:right w:w="15" w:type="dxa"/>
          </w:tblCellMar>
        </w:tblPrEx>
        <w:trPr>
          <w:trHeight w:val="375" w:hRule="atLeast"/>
          <w:jc w:val="center"/>
        </w:trPr>
        <w:tc>
          <w:tcPr>
            <w:tcW w:w="0" w:type="auto"/>
            <w:noWrap/>
            <w:vAlign w:val="center"/>
          </w:tcPr>
          <w:p w14:paraId="797969ED">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　　根据单位部门预算情况，按照《中华人民共和国预算法》和财政部门的相关要求对本单位预算进行绩效考核，严格执行“收支两条线”管理，严把“三公”经费支出，对项目资金进行专款专用，并及时跟踪其经营、建设情况，把成本控制在预算之内，通过对相关工作的绩效考核，使我单位在城市管理工作中使得县城干净有序，市容整洁，环境优美，住民宜居，群众满意。</w:t>
            </w:r>
          </w:p>
        </w:tc>
      </w:tr>
      <w:tr w14:paraId="01FB45B8">
        <w:tblPrEx>
          <w:tblCellMar>
            <w:top w:w="15" w:type="dxa"/>
            <w:left w:w="15" w:type="dxa"/>
            <w:bottom w:w="15" w:type="dxa"/>
            <w:right w:w="15" w:type="dxa"/>
          </w:tblCellMar>
        </w:tblPrEx>
        <w:trPr>
          <w:trHeight w:val="375" w:hRule="atLeast"/>
          <w:jc w:val="center"/>
        </w:trPr>
        <w:tc>
          <w:tcPr>
            <w:tcW w:w="0" w:type="auto"/>
            <w:noWrap/>
            <w:vAlign w:val="center"/>
          </w:tcPr>
          <w:p w14:paraId="28CC38D6">
            <w:pPr>
              <w:widowControl/>
              <w:jc w:val="left"/>
              <w:rPr>
                <w:rFonts w:ascii="宋体" w:hAnsi="宋体" w:eastAsia="宋体" w:cs="宋体"/>
                <w:kern w:val="0"/>
                <w:sz w:val="24"/>
                <w:szCs w:val="24"/>
              </w:rPr>
            </w:pPr>
            <w:r>
              <w:rPr>
                <w:rFonts w:ascii="仿宋" w:hAnsi="仿宋" w:eastAsia="仿宋" w:cs="宋体"/>
                <w:b/>
                <w:bCs/>
                <w:color w:val="000000"/>
                <w:kern w:val="0"/>
                <w:sz w:val="24"/>
                <w:szCs w:val="24"/>
              </w:rPr>
              <w:t>九、其他重要事项</w:t>
            </w:r>
          </w:p>
        </w:tc>
      </w:tr>
      <w:tr w14:paraId="252AEB42">
        <w:tblPrEx>
          <w:tblCellMar>
            <w:top w:w="15" w:type="dxa"/>
            <w:left w:w="15" w:type="dxa"/>
            <w:bottom w:w="15" w:type="dxa"/>
            <w:right w:w="15" w:type="dxa"/>
          </w:tblCellMar>
        </w:tblPrEx>
        <w:trPr>
          <w:trHeight w:val="1125" w:hRule="atLeast"/>
          <w:jc w:val="center"/>
        </w:trPr>
        <w:tc>
          <w:tcPr>
            <w:tcW w:w="0" w:type="auto"/>
            <w:noWrap/>
            <w:vAlign w:val="center"/>
          </w:tcPr>
          <w:p w14:paraId="645DFADE">
            <w:pPr>
              <w:widowControl/>
              <w:jc w:val="left"/>
              <w:rPr>
                <w:rFonts w:ascii="宋体" w:hAnsi="宋体" w:eastAsia="宋体" w:cs="宋体"/>
                <w:kern w:val="0"/>
                <w:sz w:val="24"/>
                <w:szCs w:val="24"/>
              </w:rPr>
            </w:pPr>
            <w:r>
              <w:rPr>
                <w:rFonts w:ascii="仿宋" w:hAnsi="仿宋" w:eastAsia="仿宋" w:cs="宋体"/>
                <w:color w:val="000000"/>
                <w:kern w:val="0"/>
                <w:sz w:val="24"/>
                <w:szCs w:val="24"/>
              </w:rPr>
              <w:t>（一）机关运行经费安排情况说明。本部门2019年度机关运行经费安排212.4万元，比2019年增加6.7万元，增加3.3%。主要原因是：单位机构改革，人员增多，相关费用增大（二）政府采购安排情况说明。本部门2019 年度政府采购预算总额46万元，其中:政府采购服务支出46万元。</w:t>
            </w:r>
          </w:p>
        </w:tc>
      </w:tr>
      <w:tr w14:paraId="0B5E0F70">
        <w:tblPrEx>
          <w:tblCellMar>
            <w:top w:w="15" w:type="dxa"/>
            <w:left w:w="15" w:type="dxa"/>
            <w:bottom w:w="15" w:type="dxa"/>
            <w:right w:w="15" w:type="dxa"/>
          </w:tblCellMar>
        </w:tblPrEx>
        <w:trPr>
          <w:trHeight w:val="750" w:hRule="atLeast"/>
          <w:jc w:val="center"/>
        </w:trPr>
        <w:tc>
          <w:tcPr>
            <w:tcW w:w="0" w:type="auto"/>
            <w:noWrap/>
            <w:vAlign w:val="center"/>
          </w:tcPr>
          <w:p w14:paraId="0F0F9D99">
            <w:pPr>
              <w:widowControl/>
              <w:jc w:val="left"/>
              <w:rPr>
                <w:rFonts w:ascii="宋体" w:hAnsi="宋体" w:eastAsia="宋体" w:cs="宋体"/>
                <w:kern w:val="0"/>
                <w:sz w:val="24"/>
                <w:szCs w:val="24"/>
              </w:rPr>
            </w:pPr>
            <w:r>
              <w:rPr>
                <w:rFonts w:ascii="仿宋" w:hAnsi="仿宋" w:eastAsia="仿宋" w:cs="宋体"/>
                <w:color w:val="000000"/>
                <w:kern w:val="0"/>
                <w:sz w:val="24"/>
                <w:szCs w:val="24"/>
              </w:rPr>
              <w:t>（三）国有资产占有情况说明。截至2019年12 月31 日，本部门共有295.83万元固定资产,全部为在用固定资产,其中车辆16台 ,全部为一般执法执勤车辆。</w:t>
            </w:r>
          </w:p>
        </w:tc>
      </w:tr>
      <w:tr w14:paraId="7E536178">
        <w:tblPrEx>
          <w:tblCellMar>
            <w:top w:w="15" w:type="dxa"/>
            <w:left w:w="15" w:type="dxa"/>
            <w:bottom w:w="15" w:type="dxa"/>
            <w:right w:w="15" w:type="dxa"/>
          </w:tblCellMar>
        </w:tblPrEx>
        <w:trPr>
          <w:trHeight w:val="375" w:hRule="atLeast"/>
          <w:jc w:val="center"/>
        </w:trPr>
        <w:tc>
          <w:tcPr>
            <w:tcW w:w="0" w:type="auto"/>
            <w:noWrap/>
            <w:vAlign w:val="center"/>
          </w:tcPr>
          <w:p w14:paraId="0F22986A">
            <w:pPr>
              <w:widowControl/>
              <w:jc w:val="left"/>
              <w:rPr>
                <w:rFonts w:ascii="宋体" w:hAnsi="宋体" w:eastAsia="宋体" w:cs="宋体"/>
                <w:kern w:val="0"/>
                <w:sz w:val="24"/>
                <w:szCs w:val="24"/>
              </w:rPr>
            </w:pPr>
            <w:r>
              <w:rPr>
                <w:rFonts w:ascii="宋体" w:hAnsi="宋体" w:eastAsia="宋体" w:cs="宋体"/>
                <w:kern w:val="0"/>
                <w:sz w:val="24"/>
                <w:szCs w:val="24"/>
              </w:rPr>
              <w:t>　</w:t>
            </w:r>
          </w:p>
        </w:tc>
      </w:tr>
      <w:tr w14:paraId="680CA63D">
        <w:tblPrEx>
          <w:tblCellMar>
            <w:top w:w="15" w:type="dxa"/>
            <w:left w:w="15" w:type="dxa"/>
            <w:bottom w:w="15" w:type="dxa"/>
            <w:right w:w="15" w:type="dxa"/>
          </w:tblCellMar>
        </w:tblPrEx>
        <w:trPr>
          <w:trHeight w:val="375" w:hRule="atLeast"/>
          <w:jc w:val="center"/>
        </w:trPr>
        <w:tc>
          <w:tcPr>
            <w:tcW w:w="0" w:type="auto"/>
            <w:noWrap/>
            <w:vAlign w:val="center"/>
          </w:tcPr>
          <w:p w14:paraId="0BB12314">
            <w:pPr>
              <w:widowControl/>
              <w:jc w:val="center"/>
              <w:rPr>
                <w:rFonts w:ascii="宋体" w:hAnsi="宋体" w:eastAsia="宋体" w:cs="宋体"/>
                <w:kern w:val="0"/>
                <w:sz w:val="24"/>
                <w:szCs w:val="24"/>
              </w:rPr>
            </w:pPr>
            <w:r>
              <w:rPr>
                <w:rFonts w:ascii="仿宋" w:hAnsi="仿宋" w:eastAsia="仿宋" w:cs="宋体"/>
                <w:color w:val="000000"/>
                <w:kern w:val="0"/>
                <w:sz w:val="24"/>
                <w:szCs w:val="24"/>
              </w:rPr>
              <w:t>名词解释</w:t>
            </w:r>
            <w:r>
              <w:rPr>
                <w:rFonts w:hint="eastAsia" w:ascii="MS Mincho" w:hAnsi="MS Mincho" w:eastAsia="MS Mincho" w:cs="MS Mincho"/>
                <w:color w:val="000000"/>
                <w:kern w:val="0"/>
                <w:sz w:val="24"/>
                <w:szCs w:val="24"/>
              </w:rPr>
              <w:t>  </w:t>
            </w:r>
            <w:r>
              <w:rPr>
                <w:rFonts w:ascii="仿宋" w:hAnsi="仿宋" w:eastAsia="仿宋" w:cs="宋体"/>
                <w:color w:val="000000"/>
                <w:kern w:val="0"/>
                <w:sz w:val="24"/>
                <w:szCs w:val="24"/>
              </w:rPr>
              <w:t>第四部分</w:t>
            </w:r>
          </w:p>
        </w:tc>
      </w:tr>
      <w:tr w14:paraId="565FF785">
        <w:tblPrEx>
          <w:tblCellMar>
            <w:top w:w="15" w:type="dxa"/>
            <w:left w:w="15" w:type="dxa"/>
            <w:bottom w:w="15" w:type="dxa"/>
            <w:right w:w="15" w:type="dxa"/>
          </w:tblCellMar>
        </w:tblPrEx>
        <w:trPr>
          <w:trHeight w:val="375" w:hRule="atLeast"/>
          <w:jc w:val="center"/>
        </w:trPr>
        <w:tc>
          <w:tcPr>
            <w:tcW w:w="0" w:type="auto"/>
            <w:noWrap/>
            <w:vAlign w:val="center"/>
          </w:tcPr>
          <w:p w14:paraId="2B5F648E">
            <w:pPr>
              <w:widowControl/>
              <w:jc w:val="left"/>
              <w:rPr>
                <w:rFonts w:ascii="宋体" w:hAnsi="宋体" w:eastAsia="宋体" w:cs="宋体"/>
                <w:kern w:val="0"/>
                <w:sz w:val="24"/>
                <w:szCs w:val="24"/>
              </w:rPr>
            </w:pPr>
            <w:r>
              <w:rPr>
                <w:rFonts w:ascii="仿宋" w:hAnsi="仿宋" w:eastAsia="仿宋" w:cs="宋体"/>
                <w:color w:val="000000"/>
                <w:kern w:val="0"/>
                <w:sz w:val="24"/>
                <w:szCs w:val="24"/>
              </w:rPr>
              <w:t>名词解释无</w:t>
            </w:r>
          </w:p>
        </w:tc>
      </w:tr>
    </w:tbl>
    <w:p w14:paraId="5C60FC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DC1"/>
    <w:rsid w:val="00AF1DC1"/>
    <w:rsid w:val="00F74662"/>
    <w:rsid w:val="3DE56616"/>
    <w:rsid w:val="6ADD3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3449</Words>
  <Characters>4001</Characters>
  <Lines>29</Lines>
  <Paragraphs>8</Paragraphs>
  <TotalTime>1</TotalTime>
  <ScaleCrop>false</ScaleCrop>
  <LinksUpToDate>false</LinksUpToDate>
  <CharactersWithSpaces>4020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2026-05-12T01:58:00Z</dcterms:created>
  <dc:creator>User</dc:creator>
  <cp:lastModifiedBy>敷衍</cp:lastModifiedBy>
  <dcterms:modified xsi:type="dcterms:W3CDTF">2026-07-16T03:29:28Z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A9738C4ADDB54304B19F6A34DFFD0DA1_13</vt:lpwstr>
  </property>
</Properties>
</file>