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10" w:lineRule="atLeast"/>
        <w:ind w:left="0" w:right="0" w:firstLine="420"/>
        <w:jc w:val="center"/>
        <w:textAlignment w:val="baseline"/>
        <w:rPr>
          <w:rFonts w:hint="eastAsia" w:ascii="宋体" w:hAnsi="宋体" w:eastAsia="宋体" w:cs="宋体"/>
          <w:i w:val="0"/>
          <w:iCs w:val="0"/>
          <w:caps w:val="0"/>
          <w:color w:val="505050"/>
          <w:spacing w:val="0"/>
          <w:sz w:val="44"/>
          <w:szCs w:val="44"/>
          <w:u w:val="none"/>
          <w:shd w:val="clear" w:fill="FFFFFF"/>
          <w:vertAlign w:val="baseline"/>
        </w:rPr>
      </w:pPr>
      <w:r>
        <w:rPr>
          <w:rFonts w:ascii="微软雅黑" w:hAnsi="微软雅黑" w:eastAsia="微软雅黑" w:cs="微软雅黑"/>
          <w:i w:val="0"/>
          <w:iCs w:val="0"/>
          <w:caps w:val="0"/>
          <w:color w:val="242424"/>
          <w:spacing w:val="0"/>
          <w:sz w:val="44"/>
          <w:szCs w:val="44"/>
          <w:shd w:val="clear" w:fill="FFFFFF"/>
        </w:rPr>
        <w:t>溆浦县退役军人事务局202</w:t>
      </w:r>
      <w:r>
        <w:rPr>
          <w:rFonts w:hint="eastAsia" w:ascii="微软雅黑" w:hAnsi="微软雅黑" w:eastAsia="微软雅黑" w:cs="微软雅黑"/>
          <w:i w:val="0"/>
          <w:iCs w:val="0"/>
          <w:caps w:val="0"/>
          <w:color w:val="242424"/>
          <w:spacing w:val="0"/>
          <w:sz w:val="44"/>
          <w:szCs w:val="44"/>
          <w:shd w:val="clear" w:fill="FFFFFF"/>
          <w:lang w:val="en-US" w:eastAsia="zh-CN"/>
        </w:rPr>
        <w:t>3</w:t>
      </w:r>
      <w:r>
        <w:rPr>
          <w:rFonts w:ascii="微软雅黑" w:hAnsi="微软雅黑" w:eastAsia="微软雅黑" w:cs="微软雅黑"/>
          <w:i w:val="0"/>
          <w:iCs w:val="0"/>
          <w:caps w:val="0"/>
          <w:color w:val="242424"/>
          <w:spacing w:val="0"/>
          <w:sz w:val="44"/>
          <w:szCs w:val="44"/>
          <w:shd w:val="clear" w:fill="FFFFFF"/>
        </w:rPr>
        <w:t>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10" w:lineRule="atLeast"/>
        <w:ind w:left="0" w:right="0" w:firstLine="420"/>
        <w:jc w:val="both"/>
        <w:textAlignment w:val="baseline"/>
        <w:rPr>
          <w:rFonts w:hint="eastAsia" w:ascii="仿宋_GB2312" w:hAnsi="仿宋_GB2312" w:eastAsia="仿宋_GB2312" w:cs="仿宋_GB2312"/>
          <w:i w:val="0"/>
          <w:iCs w:val="0"/>
          <w:caps w:val="0"/>
          <w:color w:val="505050"/>
          <w:spacing w:val="0"/>
          <w:sz w:val="32"/>
          <w:szCs w:val="32"/>
          <w:u w:val="none"/>
        </w:rPr>
      </w:pPr>
      <w:r>
        <w:rPr>
          <w:rFonts w:hint="eastAsia" w:ascii="仿宋_GB2312" w:hAnsi="仿宋_GB2312" w:eastAsia="仿宋_GB2312" w:cs="仿宋_GB2312"/>
          <w:i w:val="0"/>
          <w:iCs w:val="0"/>
          <w:caps w:val="0"/>
          <w:color w:val="505050"/>
          <w:spacing w:val="0"/>
          <w:sz w:val="32"/>
          <w:szCs w:val="32"/>
          <w:u w:val="none"/>
          <w:shd w:val="clear" w:fill="FFFFFF"/>
          <w:vertAlign w:val="baseline"/>
        </w:rPr>
        <w:t>202</w:t>
      </w:r>
      <w:r>
        <w:rPr>
          <w:rFonts w:hint="eastAsia" w:ascii="仿宋_GB2312" w:hAnsi="仿宋_GB2312" w:eastAsia="仿宋_GB2312" w:cs="仿宋_GB2312"/>
          <w:i w:val="0"/>
          <w:iCs w:val="0"/>
          <w:caps w:val="0"/>
          <w:color w:val="505050"/>
          <w:spacing w:val="0"/>
          <w:sz w:val="32"/>
          <w:szCs w:val="32"/>
          <w:u w:val="none"/>
          <w:shd w:val="clear" w:fill="FFFFFF"/>
          <w:vertAlign w:val="baseline"/>
          <w:lang w:val="en-US" w:eastAsia="zh-CN"/>
        </w:rPr>
        <w:t>3</w:t>
      </w:r>
      <w:r>
        <w:rPr>
          <w:rFonts w:hint="eastAsia" w:ascii="仿宋_GB2312" w:hAnsi="仿宋_GB2312" w:eastAsia="仿宋_GB2312" w:cs="仿宋_GB2312"/>
          <w:i w:val="0"/>
          <w:iCs w:val="0"/>
          <w:caps w:val="0"/>
          <w:color w:val="505050"/>
          <w:spacing w:val="0"/>
          <w:sz w:val="32"/>
          <w:szCs w:val="32"/>
          <w:u w:val="none"/>
          <w:shd w:val="clear" w:fill="FFFFFF"/>
          <w:vertAlign w:val="baseline"/>
        </w:rPr>
        <w:t>年，在县委、县政府的正确领导下，我局认真贯彻落实政府信息公开有关规定。紧密结合退役军人事务工作实际，主动公开就业创业、移交安置等广大退役军人关切的政策信息。我局通过不断强化组织领导，统筹推进政府信息公开，认真规范做好202</w:t>
      </w:r>
      <w:r>
        <w:rPr>
          <w:rFonts w:hint="eastAsia" w:ascii="仿宋_GB2312" w:hAnsi="仿宋_GB2312" w:eastAsia="仿宋_GB2312" w:cs="仿宋_GB2312"/>
          <w:i w:val="0"/>
          <w:iCs w:val="0"/>
          <w:caps w:val="0"/>
          <w:color w:val="505050"/>
          <w:spacing w:val="0"/>
          <w:sz w:val="32"/>
          <w:szCs w:val="32"/>
          <w:u w:val="none"/>
          <w:shd w:val="clear" w:fill="FFFFFF"/>
          <w:vertAlign w:val="baseline"/>
          <w:lang w:val="en-US" w:eastAsia="zh-CN"/>
        </w:rPr>
        <w:t>3</w:t>
      </w:r>
      <w:r>
        <w:rPr>
          <w:rFonts w:hint="eastAsia" w:ascii="仿宋_GB2312" w:hAnsi="仿宋_GB2312" w:eastAsia="仿宋_GB2312" w:cs="仿宋_GB2312"/>
          <w:i w:val="0"/>
          <w:iCs w:val="0"/>
          <w:caps w:val="0"/>
          <w:color w:val="505050"/>
          <w:spacing w:val="0"/>
          <w:sz w:val="32"/>
          <w:szCs w:val="32"/>
          <w:u w:val="none"/>
          <w:shd w:val="clear" w:fill="FFFFFF"/>
          <w:vertAlign w:val="baseline"/>
        </w:rPr>
        <w:t>年政府信息公开工作年度报告，现将有关情况报告如下：本报告电子版可在溆浦县政府门户网（www.xp.gov.cn）查看。如对报告有任何疑问、意见，请与溆浦县退役军人事务局联系（地址：溆浦县卢峰镇城南溆水南路军干所，电话：0745-3328999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10" w:lineRule="atLeast"/>
        <w:ind w:left="0" w:right="0" w:firstLine="420"/>
        <w:jc w:val="both"/>
        <w:textAlignment w:val="baseline"/>
        <w:rPr>
          <w:rFonts w:hint="eastAsia" w:ascii="黑体" w:hAnsi="黑体" w:eastAsia="黑体" w:cs="黑体"/>
          <w:i w:val="0"/>
          <w:iCs w:val="0"/>
          <w:caps w:val="0"/>
          <w:color w:val="505050"/>
          <w:spacing w:val="0"/>
          <w:sz w:val="32"/>
          <w:szCs w:val="32"/>
          <w:u w:val="none"/>
        </w:rPr>
      </w:pPr>
      <w:r>
        <w:rPr>
          <w:rFonts w:hint="eastAsia" w:ascii="黑体" w:hAnsi="黑体" w:eastAsia="黑体" w:cs="黑体"/>
          <w:i w:val="0"/>
          <w:iCs w:val="0"/>
          <w:caps w:val="0"/>
          <w:color w:val="505050"/>
          <w:spacing w:val="0"/>
          <w:sz w:val="32"/>
          <w:szCs w:val="32"/>
          <w:u w:val="none"/>
          <w:shd w:val="clear" w:fill="FFFFFF"/>
          <w:vertAlign w:val="baseline"/>
        </w:rPr>
        <w:t>一、总体工作情况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10" w:lineRule="atLeast"/>
        <w:ind w:left="0" w:right="0" w:firstLine="420"/>
        <w:jc w:val="both"/>
        <w:textAlignment w:val="baseline"/>
        <w:rPr>
          <w:rFonts w:hint="eastAsia" w:ascii="仿宋_GB2312" w:hAnsi="仿宋_GB2312" w:eastAsia="仿宋_GB2312" w:cs="仿宋_GB2312"/>
          <w:i w:val="0"/>
          <w:iCs w:val="0"/>
          <w:caps w:val="0"/>
          <w:color w:val="505050"/>
          <w:spacing w:val="0"/>
          <w:sz w:val="32"/>
          <w:szCs w:val="32"/>
          <w:u w:val="none"/>
        </w:rPr>
      </w:pPr>
      <w:r>
        <w:rPr>
          <w:rFonts w:hint="eastAsia" w:ascii="仿宋_GB2312" w:hAnsi="仿宋_GB2312" w:eastAsia="仿宋_GB2312" w:cs="仿宋_GB2312"/>
          <w:i w:val="0"/>
          <w:iCs w:val="0"/>
          <w:caps w:val="0"/>
          <w:color w:val="505050"/>
          <w:spacing w:val="0"/>
          <w:sz w:val="32"/>
          <w:szCs w:val="32"/>
          <w:u w:val="none"/>
          <w:shd w:val="clear" w:fill="FFFFFF"/>
          <w:vertAlign w:val="baseline"/>
        </w:rPr>
        <w:t>202</w:t>
      </w:r>
      <w:r>
        <w:rPr>
          <w:rFonts w:hint="eastAsia" w:ascii="仿宋_GB2312" w:hAnsi="仿宋_GB2312" w:eastAsia="仿宋_GB2312" w:cs="仿宋_GB2312"/>
          <w:i w:val="0"/>
          <w:iCs w:val="0"/>
          <w:caps w:val="0"/>
          <w:color w:val="505050"/>
          <w:spacing w:val="0"/>
          <w:sz w:val="32"/>
          <w:szCs w:val="32"/>
          <w:u w:val="none"/>
          <w:shd w:val="clear" w:fill="FFFFFF"/>
          <w:vertAlign w:val="baseline"/>
          <w:lang w:val="en-US" w:eastAsia="zh-CN"/>
        </w:rPr>
        <w:t>3</w:t>
      </w:r>
      <w:r>
        <w:rPr>
          <w:rFonts w:hint="eastAsia" w:ascii="仿宋_GB2312" w:hAnsi="仿宋_GB2312" w:eastAsia="仿宋_GB2312" w:cs="仿宋_GB2312"/>
          <w:i w:val="0"/>
          <w:iCs w:val="0"/>
          <w:caps w:val="0"/>
          <w:color w:val="505050"/>
          <w:spacing w:val="0"/>
          <w:sz w:val="32"/>
          <w:szCs w:val="32"/>
          <w:u w:val="none"/>
          <w:shd w:val="clear" w:fill="FFFFFF"/>
          <w:vertAlign w:val="baseline"/>
        </w:rPr>
        <w:t>年，按照《中华人民共和国政府信息公开条例》的规定及省、市、县关于信息公开工作要求，我局按照县政府的统一部署，领导高度重视，健全工作机制，完善工作制度，认真做好公开信息维护工作，扎实推进政务信息公开工作。一是领导高度重视。成立了由局长任组长、分管副局长为副组长、各股室负责人为成员的政府信息公开工作领导小组。领导小组下设办公室，具体负责政府信息公开工作日常事务，并指定专人负责信息发布工作，形成了主要领导亲自抓，分管领导具体抓，各股室协同抓，办公室具体承办的工作体系。二是健全工作机制。领导小组多次组织召开专题会议研究涉及退役军人及其他优抚对象切身利益相关的政务公开工作，进一步规范政务信息采集、发布和备案制度，加强政务公开信息员队伍建设，严格专人负责制，确保做好政务公开工作。三是严格信息审核。严格控制信息准确性，对发布的所有信息严格执行“先审后发”三审制度，按照信息类别、审核流程及要求进行发布 ，未经审核不得发布。审核范围做到全覆盖，确保内容准确、表述规范。四是认真做好公开信息维护工作。根据县政府关于信息公开工作的要求，及时增加、更新信息内容，确保信息发布的准确性、时效性。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10" w:lineRule="atLeast"/>
        <w:ind w:left="0" w:right="0" w:firstLine="420"/>
        <w:jc w:val="both"/>
        <w:textAlignment w:val="baseline"/>
        <w:rPr>
          <w:rFonts w:hint="eastAsia" w:ascii="黑体" w:hAnsi="黑体" w:eastAsia="黑体" w:cs="黑体"/>
          <w:i w:val="0"/>
          <w:iCs w:val="0"/>
          <w:caps w:val="0"/>
          <w:color w:val="505050"/>
          <w:spacing w:val="0"/>
          <w:sz w:val="32"/>
          <w:szCs w:val="32"/>
          <w:u w:val="none"/>
        </w:rPr>
      </w:pPr>
      <w:r>
        <w:rPr>
          <w:rFonts w:hint="eastAsia" w:ascii="黑体" w:hAnsi="黑体" w:eastAsia="黑体" w:cs="黑体"/>
          <w:i w:val="0"/>
          <w:iCs w:val="0"/>
          <w:caps w:val="0"/>
          <w:color w:val="505050"/>
          <w:spacing w:val="0"/>
          <w:sz w:val="32"/>
          <w:szCs w:val="32"/>
          <w:u w:val="none"/>
          <w:shd w:val="clear" w:fill="FFFFFF"/>
          <w:vertAlign w:val="baseline"/>
        </w:rPr>
        <w:t>二、主动公开政府信息情况</w:t>
      </w:r>
    </w:p>
    <w:tbl>
      <w:tblPr>
        <w:tblStyle w:val="3"/>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2088"/>
        <w:gridCol w:w="2088"/>
        <w:gridCol w:w="2088"/>
        <w:gridCol w:w="210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9735" w:type="dxa"/>
            <w:gridSpan w:val="4"/>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第二十条第（一）项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信息内容</w:t>
            </w:r>
          </w:p>
        </w:tc>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本年制发件数</w:t>
            </w:r>
          </w:p>
        </w:tc>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本年废止件数</w:t>
            </w:r>
          </w:p>
        </w:tc>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现行有效件数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规章</w:t>
            </w:r>
          </w:p>
        </w:tc>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w:t>
            </w:r>
          </w:p>
        </w:tc>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行政规范性文件</w:t>
            </w:r>
          </w:p>
        </w:tc>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w:t>
            </w:r>
          </w:p>
        </w:tc>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9735" w:type="dxa"/>
            <w:gridSpan w:val="4"/>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第二十条第（五）项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信息内容</w:t>
            </w:r>
          </w:p>
        </w:tc>
        <w:tc>
          <w:tcPr>
            <w:tcW w:w="7305" w:type="dxa"/>
            <w:gridSpan w:val="3"/>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本年处理决定数量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行政许可</w:t>
            </w:r>
          </w:p>
        </w:tc>
        <w:tc>
          <w:tcPr>
            <w:tcW w:w="7305" w:type="dxa"/>
            <w:gridSpan w:val="3"/>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9735" w:type="dxa"/>
            <w:gridSpan w:val="4"/>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第二十条第（六）项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信息内容</w:t>
            </w:r>
          </w:p>
        </w:tc>
        <w:tc>
          <w:tcPr>
            <w:tcW w:w="7305" w:type="dxa"/>
            <w:gridSpan w:val="3"/>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本年处理决定数量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行政处罚</w:t>
            </w:r>
          </w:p>
        </w:tc>
        <w:tc>
          <w:tcPr>
            <w:tcW w:w="7305" w:type="dxa"/>
            <w:gridSpan w:val="3"/>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行政强制</w:t>
            </w:r>
          </w:p>
        </w:tc>
        <w:tc>
          <w:tcPr>
            <w:tcW w:w="7305" w:type="dxa"/>
            <w:gridSpan w:val="3"/>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9735" w:type="dxa"/>
            <w:gridSpan w:val="4"/>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第二十条第（八）项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信息内容</w:t>
            </w:r>
          </w:p>
        </w:tc>
        <w:tc>
          <w:tcPr>
            <w:tcW w:w="7305" w:type="dxa"/>
            <w:gridSpan w:val="3"/>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本年收费金额（单位：万元）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4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行政事业性收费</w:t>
            </w:r>
          </w:p>
        </w:tc>
        <w:tc>
          <w:tcPr>
            <w:tcW w:w="7305" w:type="dxa"/>
            <w:gridSpan w:val="3"/>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10" w:lineRule="atLeast"/>
        <w:ind w:left="0" w:right="0" w:firstLine="420"/>
        <w:jc w:val="both"/>
        <w:textAlignment w:val="baseline"/>
        <w:rPr>
          <w:rFonts w:hint="eastAsia" w:ascii="黑体" w:hAnsi="黑体" w:eastAsia="黑体" w:cs="黑体"/>
          <w:i w:val="0"/>
          <w:iCs w:val="0"/>
          <w:caps w:val="0"/>
          <w:color w:val="505050"/>
          <w:spacing w:val="0"/>
          <w:sz w:val="32"/>
          <w:szCs w:val="32"/>
          <w:u w:val="none"/>
        </w:rPr>
      </w:pPr>
      <w:r>
        <w:rPr>
          <w:rFonts w:hint="eastAsia" w:ascii="黑体" w:hAnsi="黑体" w:eastAsia="黑体" w:cs="黑体"/>
          <w:i w:val="0"/>
          <w:iCs w:val="0"/>
          <w:caps w:val="0"/>
          <w:color w:val="505050"/>
          <w:spacing w:val="0"/>
          <w:sz w:val="32"/>
          <w:szCs w:val="32"/>
          <w:u w:val="none"/>
          <w:shd w:val="clear" w:fill="FFFFFF"/>
          <w:vertAlign w:val="baseline"/>
        </w:rPr>
        <w:t>三、收到和处理政府信息公开申请情况</w:t>
      </w:r>
    </w:p>
    <w:tbl>
      <w:tblPr>
        <w:tblStyle w:val="3"/>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715"/>
        <w:gridCol w:w="906"/>
        <w:gridCol w:w="2560"/>
        <w:gridCol w:w="587"/>
        <w:gridCol w:w="587"/>
        <w:gridCol w:w="587"/>
        <w:gridCol w:w="587"/>
        <w:gridCol w:w="587"/>
        <w:gridCol w:w="620"/>
        <w:gridCol w:w="63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5145"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（本列数据的勾稽关系为：第一项加第二项之和，等于第三项加第四项之和）</w:t>
            </w:r>
          </w:p>
        </w:tc>
        <w:tc>
          <w:tcPr>
            <w:tcW w:w="4995" w:type="dxa"/>
            <w:gridSpan w:val="7"/>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申请人情况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145"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705"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自然人</w:t>
            </w:r>
          </w:p>
        </w:tc>
        <w:tc>
          <w:tcPr>
            <w:tcW w:w="3570"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法人或其他组织</w:t>
            </w:r>
          </w:p>
        </w:tc>
        <w:tc>
          <w:tcPr>
            <w:tcW w:w="705"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总计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145"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70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企业</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机构</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社会公益组织</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法律服务机构</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其他</w:t>
            </w:r>
          </w:p>
        </w:tc>
        <w:tc>
          <w:tcPr>
            <w:tcW w:w="70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145" w:type="dxa"/>
            <w:gridSpan w:val="3"/>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一、本年新收政府信息公开申请数量</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145" w:type="dxa"/>
            <w:gridSpan w:val="3"/>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二、上年结转政府信息公开申请数量</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三、本年度办理结果</w:t>
            </w:r>
          </w:p>
        </w:tc>
        <w:tc>
          <w:tcPr>
            <w:tcW w:w="4365" w:type="dxa"/>
            <w:gridSpan w:val="2"/>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（一）予以公开</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4365" w:type="dxa"/>
            <w:gridSpan w:val="2"/>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（二）部分公开（县分处理的，只计这一情形，不计其他情形）</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（三）不予公开</w:t>
            </w: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1.属于国家秘密</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2.其他法律行政法规禁止公开</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3.危及“三安全一稳定”</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4.保护第三方合法权益</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5.属于三类内部事务信息</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6.属于四类过程性信息</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7.属于行政执法案卷</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8.属于行政查询事项</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（四）无法提供</w:t>
            </w: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1.本机关不掌握相关政府信息</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2.没有现成信息需要另行制作</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3.补正后申请内容仍不明确</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（五）不予处理</w:t>
            </w: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1.信访举报投诉类申请</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rFonts w:hint="eastAsia" w:eastAsiaTheme="minorEastAsia"/>
                <w:i w:val="0"/>
                <w:iCs w:val="0"/>
                <w:color w:val="505050"/>
                <w:u w:val="none"/>
                <w:lang w:eastAsia="zh-CN"/>
              </w:rPr>
            </w:pPr>
            <w:r>
              <w:rPr>
                <w:i w:val="0"/>
                <w:iCs w:val="0"/>
                <w:color w:val="505050"/>
                <w:u w:val="none"/>
                <w:vertAlign w:val="baseline"/>
              </w:rPr>
              <w:t> </w:t>
            </w:r>
            <w:r>
              <w:rPr>
                <w:rFonts w:hint="eastAsia"/>
                <w:i w:val="0"/>
                <w:iCs w:val="0"/>
                <w:color w:val="505050"/>
                <w:u w:val="none"/>
                <w:vertAlign w:val="baseline"/>
                <w:lang w:val="en-US" w:eastAsia="zh-CN"/>
              </w:rPr>
              <w:t>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2.重复申请</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3.要求提供公开出版物</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4.无正当理由大量反复申请</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5.要求行政机关确认或重新出具已获取信息</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（六）其他处理</w:t>
            </w: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1.申请人无正当理由逾期不补正、行政机关不再处理其政府信息公开申请</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2.申请人逾期未按收费通知要求缴纳费用、行政机关不再处理其政府信息公开申请</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3.其他</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78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4365" w:type="dxa"/>
            <w:gridSpan w:val="2"/>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（七）总计</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145" w:type="dxa"/>
            <w:gridSpan w:val="3"/>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四、结转下年度继续办理</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10" w:lineRule="atLeast"/>
        <w:ind w:left="0" w:right="0" w:firstLine="420"/>
        <w:jc w:val="both"/>
        <w:textAlignment w:val="baseline"/>
        <w:rPr>
          <w:rFonts w:hint="eastAsia" w:ascii="黑体" w:hAnsi="黑体" w:eastAsia="黑体" w:cs="黑体"/>
          <w:i w:val="0"/>
          <w:iCs w:val="0"/>
          <w:caps w:val="0"/>
          <w:color w:val="505050"/>
          <w:spacing w:val="0"/>
          <w:sz w:val="32"/>
          <w:szCs w:val="32"/>
          <w:u w:val="none"/>
        </w:rPr>
      </w:pPr>
      <w:r>
        <w:rPr>
          <w:rFonts w:hint="eastAsia" w:ascii="黑体" w:hAnsi="黑体" w:eastAsia="黑体" w:cs="黑体"/>
          <w:i w:val="0"/>
          <w:iCs w:val="0"/>
          <w:caps w:val="0"/>
          <w:color w:val="505050"/>
          <w:spacing w:val="0"/>
          <w:sz w:val="32"/>
          <w:szCs w:val="32"/>
          <w:u w:val="none"/>
          <w:shd w:val="clear" w:fill="FFFFFF"/>
          <w:vertAlign w:val="baseline"/>
        </w:rPr>
        <w:t>四、政府信息公开行政复议、行政诉讼情况</w:t>
      </w:r>
    </w:p>
    <w:tbl>
      <w:tblPr>
        <w:tblStyle w:val="3"/>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548"/>
        <w:gridCol w:w="549"/>
        <w:gridCol w:w="549"/>
        <w:gridCol w:w="548"/>
        <w:gridCol w:w="594"/>
        <w:gridCol w:w="549"/>
        <w:gridCol w:w="549"/>
        <w:gridCol w:w="549"/>
        <w:gridCol w:w="549"/>
        <w:gridCol w:w="594"/>
        <w:gridCol w:w="549"/>
        <w:gridCol w:w="549"/>
        <w:gridCol w:w="548"/>
        <w:gridCol w:w="549"/>
        <w:gridCol w:w="59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jc w:val="center"/>
        </w:trPr>
        <w:tc>
          <w:tcPr>
            <w:tcW w:w="3210"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行政复议</w:t>
            </w:r>
          </w:p>
        </w:tc>
        <w:tc>
          <w:tcPr>
            <w:tcW w:w="6420" w:type="dxa"/>
            <w:gridSpan w:val="10"/>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行政诉讼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30"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结果维持</w:t>
            </w:r>
          </w:p>
        </w:tc>
        <w:tc>
          <w:tcPr>
            <w:tcW w:w="630"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纠正</w:t>
            </w:r>
          </w:p>
        </w:tc>
        <w:tc>
          <w:tcPr>
            <w:tcW w:w="630"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结果</w:t>
            </w:r>
          </w:p>
        </w:tc>
        <w:tc>
          <w:tcPr>
            <w:tcW w:w="630"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审结</w:t>
            </w:r>
          </w:p>
        </w:tc>
        <w:tc>
          <w:tcPr>
            <w:tcW w:w="630"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总计</w:t>
            </w:r>
          </w:p>
        </w:tc>
        <w:tc>
          <w:tcPr>
            <w:tcW w:w="3210"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未经复议直接起诉</w:t>
            </w:r>
          </w:p>
        </w:tc>
        <w:tc>
          <w:tcPr>
            <w:tcW w:w="3210"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复议后起诉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3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63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63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63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630"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sz w:val="24"/>
                <w:szCs w:val="24"/>
                <w:vertAlign w:val="baseline"/>
              </w:rPr>
            </w:pP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维持</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纠正</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结果</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审结</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总计</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维持</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纠正</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结果</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审结</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总计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0 </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 0</w:t>
            </w:r>
          </w:p>
        </w:tc>
        <w:tc>
          <w:tcPr>
            <w:tcW w:w="63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0"/>
              <w:jc w:val="both"/>
              <w:textAlignment w:val="baseline"/>
              <w:rPr>
                <w:i w:val="0"/>
                <w:iCs w:val="0"/>
                <w:color w:val="505050"/>
                <w:u w:val="none"/>
              </w:rPr>
            </w:pPr>
            <w:r>
              <w:rPr>
                <w:i w:val="0"/>
                <w:iCs w:val="0"/>
                <w:color w:val="505050"/>
                <w:u w:val="none"/>
                <w:vertAlign w:val="baseline"/>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10" w:lineRule="atLeast"/>
        <w:ind w:left="0" w:right="0" w:firstLine="420"/>
        <w:jc w:val="both"/>
        <w:textAlignment w:val="baseline"/>
        <w:rPr>
          <w:rFonts w:hint="eastAsia" w:ascii="黑体" w:hAnsi="黑体" w:eastAsia="黑体" w:cs="黑体"/>
          <w:i w:val="0"/>
          <w:iCs w:val="0"/>
          <w:caps w:val="0"/>
          <w:color w:val="505050"/>
          <w:spacing w:val="0"/>
          <w:sz w:val="32"/>
          <w:szCs w:val="32"/>
          <w:u w:val="none"/>
        </w:rPr>
      </w:pPr>
      <w:r>
        <w:rPr>
          <w:rFonts w:hint="eastAsia" w:ascii="黑体" w:hAnsi="黑体" w:eastAsia="黑体" w:cs="黑体"/>
          <w:i w:val="0"/>
          <w:iCs w:val="0"/>
          <w:caps w:val="0"/>
          <w:color w:val="505050"/>
          <w:spacing w:val="0"/>
          <w:sz w:val="32"/>
          <w:szCs w:val="32"/>
          <w:u w:val="none"/>
          <w:shd w:val="clear" w:fill="FFFFFF"/>
          <w:vertAlign w:val="baseline"/>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10" w:lineRule="atLeast"/>
        <w:ind w:left="0" w:right="0" w:firstLine="420"/>
        <w:jc w:val="both"/>
        <w:textAlignment w:val="baseline"/>
        <w:rPr>
          <w:rFonts w:hint="eastAsia" w:ascii="仿宋_GB2312" w:hAnsi="仿宋_GB2312" w:eastAsia="仿宋_GB2312" w:cs="仿宋_GB2312"/>
          <w:i w:val="0"/>
          <w:iCs w:val="0"/>
          <w:caps w:val="0"/>
          <w:color w:val="505050"/>
          <w:spacing w:val="0"/>
          <w:sz w:val="32"/>
          <w:szCs w:val="32"/>
          <w:u w:val="none"/>
        </w:rPr>
      </w:pPr>
      <w:r>
        <w:rPr>
          <w:rFonts w:hint="eastAsia" w:ascii="仿宋_GB2312" w:hAnsi="仿宋_GB2312" w:eastAsia="仿宋_GB2312" w:cs="仿宋_GB2312"/>
          <w:i w:val="0"/>
          <w:iCs w:val="0"/>
          <w:caps w:val="0"/>
          <w:color w:val="505050"/>
          <w:spacing w:val="0"/>
          <w:sz w:val="32"/>
          <w:szCs w:val="32"/>
          <w:u w:val="none"/>
          <w:shd w:val="clear" w:fill="FFFFFF"/>
          <w:vertAlign w:val="baseline"/>
        </w:rPr>
        <w:t>1、存在的不足：一是公开信息工作信息化水平还需进一步提升。二是公众参与度不高。三是信息公开工作人员业务培训还需加强。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10" w:lineRule="atLeast"/>
        <w:ind w:left="0" w:right="0" w:firstLine="420"/>
        <w:jc w:val="both"/>
        <w:textAlignment w:val="baseline"/>
        <w:rPr>
          <w:rFonts w:hint="eastAsia" w:ascii="仿宋_GB2312" w:hAnsi="仿宋_GB2312" w:eastAsia="仿宋_GB2312" w:cs="仿宋_GB2312"/>
          <w:i w:val="0"/>
          <w:iCs w:val="0"/>
          <w:caps w:val="0"/>
          <w:color w:val="505050"/>
          <w:spacing w:val="0"/>
          <w:sz w:val="32"/>
          <w:szCs w:val="32"/>
          <w:u w:val="none"/>
        </w:rPr>
      </w:pPr>
      <w:r>
        <w:rPr>
          <w:rFonts w:hint="eastAsia" w:ascii="仿宋_GB2312" w:hAnsi="仿宋_GB2312" w:eastAsia="仿宋_GB2312" w:cs="仿宋_GB2312"/>
          <w:i w:val="0"/>
          <w:iCs w:val="0"/>
          <w:caps w:val="0"/>
          <w:color w:val="505050"/>
          <w:spacing w:val="0"/>
          <w:sz w:val="32"/>
          <w:szCs w:val="32"/>
          <w:u w:val="none"/>
          <w:shd w:val="clear" w:fill="FFFFFF"/>
          <w:vertAlign w:val="baseline"/>
        </w:rPr>
        <w:t>2、下一步改进措施: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10" w:lineRule="atLeast"/>
        <w:ind w:left="0" w:right="0" w:firstLine="420"/>
        <w:jc w:val="both"/>
        <w:textAlignment w:val="baseline"/>
        <w:rPr>
          <w:rFonts w:hint="eastAsia" w:ascii="仿宋_GB2312" w:hAnsi="仿宋_GB2312" w:eastAsia="仿宋_GB2312" w:cs="仿宋_GB2312"/>
          <w:i w:val="0"/>
          <w:iCs w:val="0"/>
          <w:caps w:val="0"/>
          <w:color w:val="505050"/>
          <w:spacing w:val="0"/>
          <w:sz w:val="32"/>
          <w:szCs w:val="32"/>
          <w:u w:val="none"/>
        </w:rPr>
      </w:pPr>
      <w:r>
        <w:rPr>
          <w:rFonts w:hint="eastAsia" w:ascii="仿宋_GB2312" w:hAnsi="仿宋_GB2312" w:eastAsia="仿宋_GB2312" w:cs="仿宋_GB2312"/>
          <w:i w:val="0"/>
          <w:iCs w:val="0"/>
          <w:caps w:val="0"/>
          <w:color w:val="505050"/>
          <w:spacing w:val="0"/>
          <w:sz w:val="32"/>
          <w:szCs w:val="32"/>
          <w:u w:val="none"/>
          <w:shd w:val="clear" w:fill="FFFFFF"/>
          <w:vertAlign w:val="baseline"/>
        </w:rPr>
        <w:t>一是进一步规范政务信息采集、发布和备案制度，加强政务公开信息员队伍建设，严格专人负</w:t>
      </w:r>
      <w:bookmarkStart w:id="0" w:name="_GoBack"/>
      <w:r>
        <w:rPr>
          <w:rFonts w:hint="eastAsia" w:ascii="仿宋_GB2312" w:hAnsi="仿宋_GB2312" w:eastAsia="仿宋_GB2312" w:cs="仿宋_GB2312"/>
          <w:i w:val="0"/>
          <w:iCs w:val="0"/>
          <w:caps w:val="0"/>
          <w:color w:val="505050"/>
          <w:spacing w:val="0"/>
          <w:sz w:val="32"/>
          <w:szCs w:val="32"/>
          <w:u w:val="none"/>
          <w:shd w:val="clear" w:fill="FFFFFF"/>
          <w:vertAlign w:val="baseline"/>
        </w:rPr>
        <w:t>责制，确保做好政务公开工作。</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10" w:lineRule="atLeast"/>
        <w:ind w:left="0" w:right="0" w:firstLine="420"/>
        <w:jc w:val="both"/>
        <w:textAlignment w:val="baseline"/>
        <w:rPr>
          <w:rFonts w:hint="eastAsia" w:ascii="仿宋_GB2312" w:hAnsi="仿宋_GB2312" w:eastAsia="仿宋_GB2312" w:cs="仿宋_GB2312"/>
          <w:i w:val="0"/>
          <w:iCs w:val="0"/>
          <w:caps w:val="0"/>
          <w:color w:val="505050"/>
          <w:spacing w:val="0"/>
          <w:sz w:val="32"/>
          <w:szCs w:val="32"/>
          <w:u w:val="none"/>
        </w:rPr>
      </w:pPr>
      <w:r>
        <w:rPr>
          <w:rFonts w:hint="eastAsia" w:ascii="仿宋_GB2312" w:hAnsi="仿宋_GB2312" w:eastAsia="仿宋_GB2312" w:cs="仿宋_GB2312"/>
          <w:i w:val="0"/>
          <w:iCs w:val="0"/>
          <w:caps w:val="0"/>
          <w:color w:val="505050"/>
          <w:spacing w:val="0"/>
          <w:sz w:val="32"/>
          <w:szCs w:val="32"/>
          <w:u w:val="none"/>
          <w:shd w:val="clear" w:fill="FFFFFF"/>
          <w:vertAlign w:val="baseline"/>
        </w:rPr>
        <w:t>二扩大公众参与力度。及时回应社会对退役军人服务的关切。提高退役军人参与退役军人事务的积极性。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10" w:lineRule="atLeast"/>
        <w:ind w:left="0" w:right="0" w:firstLine="420"/>
        <w:jc w:val="both"/>
        <w:textAlignment w:val="baseline"/>
        <w:rPr>
          <w:rFonts w:hint="eastAsia" w:ascii="仿宋_GB2312" w:hAnsi="仿宋_GB2312" w:eastAsia="仿宋_GB2312" w:cs="仿宋_GB2312"/>
          <w:i w:val="0"/>
          <w:iCs w:val="0"/>
          <w:caps w:val="0"/>
          <w:color w:val="505050"/>
          <w:spacing w:val="0"/>
          <w:sz w:val="32"/>
          <w:szCs w:val="32"/>
          <w:u w:val="none"/>
        </w:rPr>
      </w:pPr>
      <w:r>
        <w:rPr>
          <w:rFonts w:hint="eastAsia" w:ascii="仿宋_GB2312" w:hAnsi="仿宋_GB2312" w:eastAsia="仿宋_GB2312" w:cs="仿宋_GB2312"/>
          <w:i w:val="0"/>
          <w:iCs w:val="0"/>
          <w:caps w:val="0"/>
          <w:color w:val="505050"/>
          <w:spacing w:val="0"/>
          <w:sz w:val="32"/>
          <w:szCs w:val="32"/>
          <w:u w:val="none"/>
          <w:shd w:val="clear" w:fill="FFFFFF"/>
          <w:vertAlign w:val="baseline"/>
        </w:rPr>
        <w:t>三是强化公开工作人员的技能学习培训，增强信息公开意识，切实提高信息公开工作人员的综合素质和业务能力。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10" w:lineRule="atLeast"/>
        <w:ind w:left="0" w:right="0" w:firstLine="420"/>
        <w:jc w:val="both"/>
        <w:textAlignment w:val="baseline"/>
        <w:rPr>
          <w:rFonts w:hint="eastAsia" w:ascii="黑体" w:hAnsi="黑体" w:eastAsia="黑体" w:cs="黑体"/>
          <w:i w:val="0"/>
          <w:iCs w:val="0"/>
          <w:caps w:val="0"/>
          <w:color w:val="505050"/>
          <w:spacing w:val="0"/>
          <w:sz w:val="32"/>
          <w:szCs w:val="32"/>
          <w:u w:val="none"/>
        </w:rPr>
      </w:pPr>
      <w:r>
        <w:rPr>
          <w:rFonts w:hint="eastAsia" w:ascii="黑体" w:hAnsi="黑体" w:eastAsia="黑体" w:cs="黑体"/>
          <w:i w:val="0"/>
          <w:iCs w:val="0"/>
          <w:caps w:val="0"/>
          <w:color w:val="505050"/>
          <w:spacing w:val="0"/>
          <w:sz w:val="32"/>
          <w:szCs w:val="32"/>
          <w:u w:val="none"/>
          <w:shd w:val="clear" w:fill="FFFFFF"/>
          <w:vertAlign w:val="baseline"/>
        </w:rPr>
        <w:t>六、无其他需报告事项。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YjZmZDkxNThhYTUzODcyOWViY2E5YjdjNDYzN2MifQ=="/>
  </w:docVars>
  <w:rsids>
    <w:rsidRoot w:val="00000000"/>
    <w:rsid w:val="3B27503F"/>
    <w:rsid w:val="58173D25"/>
    <w:rsid w:val="5F2F6823"/>
    <w:rsid w:val="74531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pacing w:val="6"/>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2023-10-23T01:56:00Z</dcterms:created>
  <dc:creator>Administrator</dc:creator>
  <cp:lastModifiedBy>lavender</cp:lastModifiedBy>
  <dcterms:modified xsi:type="dcterms:W3CDTF">2024-01-22T02:47:14Z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4CAAC4BD933F4C65941E39E9C14312B0_12</vt:lpwstr>
  </property>
</Properties>
</file>