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85A06">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rPr>
      </w:pPr>
      <w:r>
        <w:rPr>
          <w:rFonts w:hint="eastAsia" w:ascii="仿宋" w:hAnsi="仿宋" w:eastAsia="仿宋" w:cs="方正小标宋简体"/>
          <w:b/>
          <w:sz w:val="44"/>
          <w:szCs w:val="44"/>
          <w:lang w:val="en-US" w:eastAsia="zh-CN"/>
        </w:rPr>
        <w:t xml:space="preserve"> </w:t>
      </w:r>
      <w:r>
        <w:rPr>
          <w:rFonts w:hint="eastAsia" w:ascii="仿宋" w:hAnsi="仿宋" w:eastAsia="仿宋" w:cs="方正小标宋简体"/>
          <w:b/>
          <w:sz w:val="44"/>
          <w:szCs w:val="44"/>
        </w:rPr>
        <w:t>溆浦县退役军人事务局202</w:t>
      </w:r>
      <w:r>
        <w:rPr>
          <w:rFonts w:hint="eastAsia" w:ascii="仿宋" w:hAnsi="仿宋" w:eastAsia="仿宋" w:cs="方正小标宋简体"/>
          <w:b/>
          <w:sz w:val="44"/>
          <w:szCs w:val="44"/>
          <w:lang w:val="en-US" w:eastAsia="zh-CN"/>
        </w:rPr>
        <w:t>4</w:t>
      </w:r>
      <w:r>
        <w:rPr>
          <w:rFonts w:hint="eastAsia" w:ascii="仿宋" w:hAnsi="仿宋" w:eastAsia="仿宋" w:cs="方正小标宋简体"/>
          <w:b/>
          <w:sz w:val="44"/>
          <w:szCs w:val="44"/>
        </w:rPr>
        <w:t>年部门</w:t>
      </w:r>
    </w:p>
    <w:p w14:paraId="0CAE354B">
      <w:pPr>
        <w:keepNext w:val="0"/>
        <w:keepLines w:val="0"/>
        <w:pageBreakBefore w:val="0"/>
        <w:kinsoku/>
        <w:wordWrap/>
        <w:topLinePunct w:val="0"/>
        <w:autoSpaceDE/>
        <w:autoSpaceDN/>
        <w:bidi w:val="0"/>
        <w:adjustRightInd/>
        <w:snapToGrid/>
        <w:spacing w:line="576" w:lineRule="exact"/>
        <w:jc w:val="center"/>
        <w:textAlignment w:val="auto"/>
        <w:rPr>
          <w:rFonts w:hint="eastAsia" w:ascii="仿宋" w:hAnsi="仿宋" w:eastAsia="仿宋" w:cs="方正小标宋简体"/>
          <w:b/>
          <w:sz w:val="44"/>
          <w:szCs w:val="44"/>
        </w:rPr>
      </w:pPr>
      <w:r>
        <w:rPr>
          <w:rFonts w:hint="eastAsia" w:ascii="仿宋" w:hAnsi="仿宋" w:eastAsia="仿宋" w:cs="方正小标宋简体"/>
          <w:b/>
          <w:sz w:val="44"/>
          <w:szCs w:val="44"/>
        </w:rPr>
        <w:t>整体支出绩效自评报告</w:t>
      </w:r>
    </w:p>
    <w:p w14:paraId="672E5FB0">
      <w:pPr>
        <w:keepNext w:val="0"/>
        <w:keepLines w:val="0"/>
        <w:pageBreakBefore w:val="0"/>
        <w:kinsoku/>
        <w:wordWrap/>
        <w:topLinePunct w:val="0"/>
        <w:autoSpaceDE/>
        <w:autoSpaceDN/>
        <w:bidi w:val="0"/>
        <w:adjustRightInd/>
        <w:spacing w:line="576" w:lineRule="exact"/>
        <w:contextualSpacing/>
        <w:textAlignment w:val="auto"/>
        <w:rPr>
          <w:rFonts w:hint="default" w:ascii="Times New Roman" w:hAnsi="Times New Roman" w:eastAsia="黑体" w:cs="Times New Roman"/>
          <w:b w:val="0"/>
          <w:bCs w:val="0"/>
        </w:rPr>
      </w:pPr>
    </w:p>
    <w:p w14:paraId="567F0390">
      <w:pPr>
        <w:keepNext w:val="0"/>
        <w:keepLines w:val="0"/>
        <w:pageBreakBefore w:val="0"/>
        <w:numPr>
          <w:ilvl w:val="0"/>
          <w:numId w:val="1"/>
        </w:numPr>
        <w:kinsoku/>
        <w:wordWrap/>
        <w:topLinePunct w:val="0"/>
        <w:autoSpaceDE/>
        <w:autoSpaceDN/>
        <w:bidi w:val="0"/>
        <w:adjustRightInd/>
        <w:spacing w:line="576" w:lineRule="exact"/>
        <w:ind w:firstLine="640" w:firstLineChars="200"/>
        <w:contextualSpacing/>
        <w:textAlignment w:val="auto"/>
        <w:rPr>
          <w:rFonts w:hint="eastAsia" w:eastAsia="黑体" w:cs="Times New Roman"/>
          <w:b w:val="0"/>
          <w:bCs w:val="0"/>
          <w:sz w:val="32"/>
          <w:szCs w:val="32"/>
          <w:lang w:eastAsia="zh-CN"/>
        </w:rPr>
      </w:pPr>
      <w:r>
        <w:rPr>
          <w:rFonts w:hint="eastAsia" w:eastAsia="黑体" w:cs="Times New Roman"/>
          <w:b w:val="0"/>
          <w:bCs w:val="0"/>
          <w:sz w:val="32"/>
          <w:szCs w:val="32"/>
          <w:lang w:eastAsia="zh-CN"/>
        </w:rPr>
        <w:t>部门、单位基本情况</w:t>
      </w:r>
    </w:p>
    <w:p w14:paraId="1DDAB07D">
      <w:pPr>
        <w:keepNext w:val="0"/>
        <w:keepLines w:val="0"/>
        <w:pageBreakBefore w:val="0"/>
        <w:widowControl/>
        <w:kinsoku/>
        <w:wordWrap/>
        <w:topLinePunct w:val="0"/>
        <w:autoSpaceDE/>
        <w:autoSpaceDN/>
        <w:bidi w:val="0"/>
        <w:adjustRightInd/>
        <w:snapToGrid/>
        <w:spacing w:line="576" w:lineRule="exact"/>
        <w:ind w:firstLine="630" w:firstLineChars="196"/>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（一）机构设置情况</w:t>
      </w:r>
    </w:p>
    <w:p w14:paraId="325E796B">
      <w:pPr>
        <w:keepNext w:val="0"/>
        <w:keepLines w:val="0"/>
        <w:pageBreakBefore w:val="0"/>
        <w:widowControl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spacing w:val="-2"/>
          <w:sz w:val="32"/>
          <w:szCs w:val="21"/>
        </w:rPr>
      </w:pPr>
      <w:r>
        <w:rPr>
          <w:rFonts w:hint="eastAsia" w:ascii="仿宋" w:hAnsi="仿宋" w:eastAsia="仿宋"/>
          <w:spacing w:val="-2"/>
          <w:sz w:val="32"/>
          <w:szCs w:val="32"/>
        </w:rPr>
        <w:t>溆浦县退役军人事务局内设5个机构：办公室（党建办公室、人事股）、规划财务股、思想政治和权益维护股（政策法规股</w:t>
      </w:r>
      <w:r>
        <w:rPr>
          <w:rFonts w:hint="eastAsia" w:ascii="仿宋" w:hAnsi="仿宋" w:eastAsia="仿宋"/>
          <w:spacing w:val="-2"/>
          <w:sz w:val="32"/>
          <w:szCs w:val="32"/>
          <w:lang w:eastAsia="zh-CN"/>
        </w:rPr>
        <w:t>、烈士褒扬股</w:t>
      </w:r>
      <w:r>
        <w:rPr>
          <w:rFonts w:hint="eastAsia" w:ascii="仿宋" w:hAnsi="仿宋" w:eastAsia="仿宋"/>
          <w:spacing w:val="-2"/>
          <w:sz w:val="32"/>
          <w:szCs w:val="32"/>
        </w:rPr>
        <w:t>）、移交安置股（就业创业和军休管理股）、拥军优抚股。县退役军人服务中心，县光荣院，县民兵训练基地，县武器装备库4个非独立核算单位纳入局本级。</w:t>
      </w:r>
    </w:p>
    <w:p w14:paraId="23444B3C">
      <w:pPr>
        <w:keepNext w:val="0"/>
        <w:keepLines w:val="0"/>
        <w:pageBreakBefore w:val="0"/>
        <w:widowControl/>
        <w:kinsoku/>
        <w:wordWrap/>
        <w:topLinePunct w:val="0"/>
        <w:autoSpaceDE/>
        <w:autoSpaceDN/>
        <w:bidi w:val="0"/>
        <w:adjustRightInd/>
        <w:snapToGrid/>
        <w:spacing w:line="576" w:lineRule="exact"/>
        <w:ind w:firstLine="630" w:firstLineChars="196"/>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（二）人员编制情况</w:t>
      </w:r>
    </w:p>
    <w:p w14:paraId="4AD8D4AD">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eastAsia="仿宋" w:cs="Times New Roman"/>
          <w:sz w:val="32"/>
          <w:szCs w:val="32"/>
          <w:lang w:eastAsia="zh-CN"/>
        </w:rPr>
      </w:pPr>
      <w:r>
        <w:rPr>
          <w:rFonts w:hint="eastAsia" w:ascii="仿宋" w:hAnsi="仿宋" w:eastAsia="仿宋"/>
          <w:spacing w:val="-2"/>
          <w:sz w:val="32"/>
          <w:szCs w:val="32"/>
        </w:rPr>
        <w:t>本单位为正科级行政单位，纳入局本级预算单位核定编制</w:t>
      </w:r>
      <w:r>
        <w:rPr>
          <w:rFonts w:hint="eastAsia" w:ascii="仿宋" w:hAnsi="仿宋" w:eastAsia="仿宋"/>
          <w:spacing w:val="-2"/>
          <w:sz w:val="32"/>
          <w:szCs w:val="32"/>
          <w:lang w:val="en-US" w:eastAsia="zh-CN"/>
        </w:rPr>
        <w:t>35</w:t>
      </w:r>
      <w:r>
        <w:rPr>
          <w:rFonts w:hint="eastAsia" w:ascii="仿宋" w:hAnsi="仿宋" w:eastAsia="仿宋"/>
          <w:spacing w:val="-2"/>
          <w:sz w:val="32"/>
          <w:szCs w:val="32"/>
        </w:rPr>
        <w:t>名(其中局机关行政编6名，县服务中心事业编1</w:t>
      </w:r>
      <w:r>
        <w:rPr>
          <w:rFonts w:hint="eastAsia" w:ascii="仿宋" w:hAnsi="仿宋" w:eastAsia="仿宋"/>
          <w:spacing w:val="-2"/>
          <w:sz w:val="32"/>
          <w:szCs w:val="32"/>
          <w:lang w:val="en-US" w:eastAsia="zh-CN"/>
        </w:rPr>
        <w:t>8</w:t>
      </w:r>
      <w:r>
        <w:rPr>
          <w:rFonts w:hint="eastAsia" w:ascii="仿宋" w:hAnsi="仿宋" w:eastAsia="仿宋"/>
          <w:spacing w:val="-2"/>
          <w:sz w:val="32"/>
          <w:szCs w:val="32"/>
        </w:rPr>
        <w:t>名，县光荣院事业编</w:t>
      </w:r>
      <w:r>
        <w:rPr>
          <w:rFonts w:hint="eastAsia" w:ascii="仿宋" w:hAnsi="仿宋" w:eastAsia="仿宋"/>
          <w:spacing w:val="-2"/>
          <w:sz w:val="32"/>
          <w:szCs w:val="32"/>
          <w:lang w:val="en-US" w:eastAsia="zh-CN"/>
        </w:rPr>
        <w:t>3</w:t>
      </w:r>
      <w:r>
        <w:rPr>
          <w:rFonts w:hint="eastAsia" w:ascii="仿宋" w:hAnsi="仿宋" w:eastAsia="仿宋"/>
          <w:spacing w:val="-2"/>
          <w:sz w:val="32"/>
          <w:szCs w:val="32"/>
        </w:rPr>
        <w:t>名，县民兵训练基地</w:t>
      </w:r>
      <w:r>
        <w:rPr>
          <w:rFonts w:hint="eastAsia" w:ascii="仿宋" w:hAnsi="仿宋" w:eastAsia="仿宋"/>
          <w:spacing w:val="-2"/>
          <w:sz w:val="32"/>
          <w:szCs w:val="32"/>
          <w:lang w:val="en-US" w:eastAsia="zh-CN"/>
        </w:rPr>
        <w:t>4</w:t>
      </w:r>
      <w:r>
        <w:rPr>
          <w:rFonts w:hint="eastAsia" w:ascii="仿宋" w:hAnsi="仿宋" w:eastAsia="仿宋"/>
          <w:spacing w:val="-2"/>
          <w:sz w:val="32"/>
          <w:szCs w:val="32"/>
        </w:rPr>
        <w:t>名，县武器装备库</w:t>
      </w:r>
      <w:r>
        <w:rPr>
          <w:rFonts w:hint="eastAsia" w:ascii="仿宋" w:hAnsi="仿宋" w:eastAsia="仿宋"/>
          <w:spacing w:val="-2"/>
          <w:sz w:val="32"/>
          <w:szCs w:val="32"/>
          <w:lang w:val="en-US" w:eastAsia="zh-CN"/>
        </w:rPr>
        <w:t>5</w:t>
      </w:r>
      <w:r>
        <w:rPr>
          <w:rFonts w:hint="eastAsia" w:ascii="仿宋" w:hAnsi="仿宋" w:eastAsia="仿宋"/>
          <w:spacing w:val="-2"/>
          <w:sz w:val="32"/>
          <w:szCs w:val="32"/>
        </w:rPr>
        <w:t>名)。202</w:t>
      </w:r>
      <w:r>
        <w:rPr>
          <w:rFonts w:hint="eastAsia" w:ascii="仿宋" w:hAnsi="仿宋" w:eastAsia="仿宋"/>
          <w:spacing w:val="-2"/>
          <w:sz w:val="32"/>
          <w:szCs w:val="32"/>
          <w:lang w:val="en-US" w:eastAsia="zh-CN"/>
        </w:rPr>
        <w:t>4</w:t>
      </w:r>
      <w:r>
        <w:rPr>
          <w:rFonts w:hint="eastAsia" w:ascii="仿宋" w:hAnsi="仿宋" w:eastAsia="仿宋"/>
          <w:spacing w:val="-2"/>
          <w:sz w:val="32"/>
          <w:szCs w:val="32"/>
        </w:rPr>
        <w:t>年底实有在编人数</w:t>
      </w:r>
      <w:r>
        <w:rPr>
          <w:rFonts w:hint="eastAsia" w:ascii="仿宋" w:hAnsi="仿宋" w:eastAsia="仿宋"/>
          <w:spacing w:val="-2"/>
          <w:sz w:val="32"/>
          <w:szCs w:val="32"/>
          <w:lang w:val="en-US" w:eastAsia="zh-CN"/>
        </w:rPr>
        <w:t>33</w:t>
      </w:r>
      <w:r>
        <w:rPr>
          <w:rFonts w:hint="eastAsia" w:ascii="仿宋" w:hAnsi="仿宋" w:eastAsia="仿宋"/>
          <w:spacing w:val="-2"/>
          <w:sz w:val="32"/>
          <w:szCs w:val="32"/>
        </w:rPr>
        <w:t>人（其中行政编6人，事业编2</w:t>
      </w:r>
      <w:r>
        <w:rPr>
          <w:rFonts w:hint="eastAsia" w:ascii="仿宋" w:hAnsi="仿宋" w:eastAsia="仿宋"/>
          <w:spacing w:val="-2"/>
          <w:sz w:val="32"/>
          <w:szCs w:val="32"/>
          <w:lang w:val="en-US" w:eastAsia="zh-CN"/>
        </w:rPr>
        <w:t>7</w:t>
      </w:r>
      <w:bookmarkStart w:id="0" w:name="_GoBack"/>
      <w:bookmarkEnd w:id="0"/>
      <w:r>
        <w:rPr>
          <w:rFonts w:hint="eastAsia" w:ascii="仿宋" w:hAnsi="仿宋" w:eastAsia="仿宋"/>
          <w:spacing w:val="-2"/>
          <w:sz w:val="32"/>
          <w:szCs w:val="32"/>
        </w:rPr>
        <w:t>人）</w:t>
      </w:r>
      <w:r>
        <w:rPr>
          <w:rFonts w:hint="eastAsia" w:ascii="仿宋" w:hAnsi="仿宋" w:eastAsia="仿宋"/>
          <w:spacing w:val="-2"/>
          <w:sz w:val="32"/>
          <w:szCs w:val="32"/>
          <w:lang w:eastAsia="zh-CN"/>
        </w:rPr>
        <w:t>。</w:t>
      </w:r>
    </w:p>
    <w:p w14:paraId="1FDD7838">
      <w:pPr>
        <w:keepNext w:val="0"/>
        <w:keepLines w:val="0"/>
        <w:pageBreakBefore w:val="0"/>
        <w:widowControl/>
        <w:kinsoku/>
        <w:wordWrap/>
        <w:topLinePunct w:val="0"/>
        <w:autoSpaceDE/>
        <w:autoSpaceDN/>
        <w:bidi w:val="0"/>
        <w:adjustRightInd/>
        <w:snapToGrid/>
        <w:spacing w:line="576" w:lineRule="exact"/>
        <w:ind w:firstLine="630" w:firstLineChars="196"/>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（三）主要职能职责</w:t>
      </w:r>
    </w:p>
    <w:p w14:paraId="4FD491A9">
      <w:pPr>
        <w:keepNext w:val="0"/>
        <w:keepLines w:val="0"/>
        <w:pageBreakBefore w:val="0"/>
        <w:widowControl/>
        <w:kinsoku/>
        <w:wordWrap/>
        <w:topLinePunct w:val="0"/>
        <w:autoSpaceDE/>
        <w:autoSpaceDN/>
        <w:bidi w:val="0"/>
        <w:adjustRightInd/>
        <w:snapToGrid/>
        <w:spacing w:line="576" w:lineRule="exact"/>
        <w:ind w:firstLine="627" w:firstLineChars="196"/>
        <w:textAlignment w:val="auto"/>
        <w:rPr>
          <w:rFonts w:hint="eastAsia" w:ascii="仿宋" w:hAnsi="仿宋" w:eastAsia="仿宋" w:cs="仿宋_GB2312"/>
          <w:bCs/>
          <w:sz w:val="32"/>
          <w:szCs w:val="32"/>
        </w:rPr>
      </w:pPr>
      <w:r>
        <w:rPr>
          <w:rFonts w:hint="eastAsia" w:ascii="仿宋" w:hAnsi="仿宋" w:eastAsia="仿宋" w:cs="仿宋_GB2312"/>
          <w:bCs/>
          <w:sz w:val="32"/>
          <w:szCs w:val="32"/>
        </w:rPr>
        <w:t>溆浦县退役</w:t>
      </w:r>
      <w:r>
        <w:rPr>
          <w:rFonts w:hint="eastAsia" w:ascii="仿宋" w:hAnsi="仿宋" w:eastAsia="仿宋" w:cs="仿宋_GB2312"/>
          <w:bCs/>
          <w:sz w:val="32"/>
          <w:szCs w:val="32"/>
          <w:lang w:eastAsia="zh-CN"/>
        </w:rPr>
        <w:t>军人</w:t>
      </w:r>
      <w:r>
        <w:rPr>
          <w:rFonts w:hint="eastAsia" w:ascii="仿宋" w:hAnsi="仿宋" w:eastAsia="仿宋" w:cs="仿宋_GB2312"/>
          <w:bCs/>
          <w:sz w:val="32"/>
          <w:szCs w:val="32"/>
        </w:rPr>
        <w:t>事务局属行政编制单位，主要职能职责是贯彻落实中央关于退役军人事务工作的方针政策和决策部署，全面落实省、市、县委关于退役军人事务工作的部署要求和国家关于退役军人的特殊保障政策，负责全县军队转业干部、复员干部、离退休干部、退役士兵和无军籍退休退职职工的移交安置、自主择业、就业退役军人服务管理工作,负责全县烈士及退役军人荣誉奖励、军人公墓维护、纪念活动等工作。组织指导全县退役军人和其他优抚对象教育培训、就业创业工作,组织指导伤残退役军人服务管理、抚恤工作和全县拥军优属工作及承办上级各部门交付的其他任务等。</w:t>
      </w:r>
    </w:p>
    <w:p w14:paraId="422CCB85">
      <w:pPr>
        <w:keepNext w:val="0"/>
        <w:keepLines w:val="0"/>
        <w:pageBreakBefore w:val="0"/>
        <w:widowControl/>
        <w:numPr>
          <w:ilvl w:val="0"/>
          <w:numId w:val="0"/>
        </w:numPr>
        <w:kinsoku/>
        <w:wordWrap/>
        <w:topLinePunct w:val="0"/>
        <w:autoSpaceDE/>
        <w:autoSpaceDN/>
        <w:bidi w:val="0"/>
        <w:adjustRightInd/>
        <w:snapToGrid/>
        <w:spacing w:line="576" w:lineRule="exact"/>
        <w:ind w:firstLine="643" w:firstLineChars="200"/>
        <w:textAlignment w:val="auto"/>
        <w:rPr>
          <w:rFonts w:hint="eastAsia" w:ascii="楷体_GB2312" w:hAnsi="楷体_GB2312" w:eastAsia="楷体_GB2312" w:cs="楷体_GB2312"/>
          <w:b/>
          <w:bCs/>
          <w:i w:val="0"/>
          <w:iCs w:val="0"/>
          <w:caps w:val="0"/>
          <w:color w:val="FF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(四）绩效目标设定情况</w:t>
      </w:r>
    </w:p>
    <w:p w14:paraId="314F2025">
      <w:pPr>
        <w:keepNext w:val="0"/>
        <w:keepLines w:val="0"/>
        <w:pageBreakBefore w:val="0"/>
        <w:widowControl/>
        <w:kinsoku/>
        <w:wordWrap/>
        <w:topLinePunct w:val="0"/>
        <w:autoSpaceDE/>
        <w:autoSpaceDN/>
        <w:bidi w:val="0"/>
        <w:adjustRightInd/>
        <w:snapToGrid/>
        <w:spacing w:line="576" w:lineRule="exact"/>
        <w:ind w:left="650" w:leftChars="304" w:hanging="12" w:hangingChars="4"/>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1.保证人员工资按时发放，确保部门正常运转。                                                                                                                          2.贯彻落实退役军人思想政治、管理保障和推行“阳光安置”</w:t>
      </w:r>
    </w:p>
    <w:p w14:paraId="302808A4">
      <w:pPr>
        <w:keepNext w:val="0"/>
        <w:keepLines w:val="0"/>
        <w:pageBreakBefore w:val="0"/>
        <w:widowControl/>
        <w:kinsoku/>
        <w:wordWrap/>
        <w:topLinePunct w:val="0"/>
        <w:autoSpaceDE/>
        <w:autoSpaceDN/>
        <w:bidi w:val="0"/>
        <w:adjustRightInd/>
        <w:snapToGrid/>
        <w:spacing w:line="576" w:lineRule="exact"/>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工作机制，完成军转干部、退役士兵等年度安置任务;                                                                    </w:t>
      </w:r>
    </w:p>
    <w:p w14:paraId="43979AF3">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3.组织指导退役军人教育培训工作，协调扶持退役军人和随军随调家属就业工作。                                                                                                                                               </w:t>
      </w:r>
    </w:p>
    <w:p w14:paraId="5FAD69E0">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4.组织指导并落实伤病残退役军人服务管理和抚恤工作，落实有关退役军人医疗、疗养、养老等机构的规划政策。承担不适宜继续服役的伤残军人相关工作。                                 </w:t>
      </w:r>
    </w:p>
    <w:p w14:paraId="608427F4">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5.组织指导拥军优属工作。负责现役军人、退役军人、军队文职人员和军属优待工作、抚恤等工作。                                                                                                                     </w:t>
      </w:r>
    </w:p>
    <w:p w14:paraId="7BDB66C5">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6.做好全县烈士纪念设施规划建设修缮管理维护工作 。                                                                                                                     </w:t>
      </w:r>
    </w:p>
    <w:p w14:paraId="5B774338">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 xml:space="preserve">7.开展“信访攻坚年”活动，完善信访工作机制，进一步规范信访工作流程，落实首办责任、核查督办、逐级走访及信访终结制度。                                                      </w:t>
      </w:r>
    </w:p>
    <w:p w14:paraId="73DCFDEA">
      <w:pPr>
        <w:keepNext w:val="0"/>
        <w:keepLines w:val="0"/>
        <w:pageBreakBefore w:val="0"/>
        <w:widowControl/>
        <w:numPr>
          <w:ilvl w:val="0"/>
          <w:numId w:val="0"/>
        </w:numPr>
        <w:kinsoku/>
        <w:wordWrap/>
        <w:topLinePunct w:val="0"/>
        <w:autoSpaceDE/>
        <w:autoSpaceDN/>
        <w:bidi w:val="0"/>
        <w:adjustRightInd/>
        <w:snapToGrid/>
        <w:spacing w:line="576" w:lineRule="exact"/>
        <w:ind w:firstLine="640" w:firstLineChars="200"/>
        <w:textAlignment w:val="auto"/>
        <w:rPr>
          <w:rFonts w:hint="eastAsia" w:ascii="仿宋" w:hAnsi="仿宋" w:eastAsia="仿宋" w:cs="仿宋_GB2312"/>
          <w:bCs/>
          <w:sz w:val="32"/>
          <w:szCs w:val="32"/>
          <w:lang w:val="en-US" w:eastAsia="zh-CN"/>
        </w:rPr>
      </w:pPr>
      <w:r>
        <w:rPr>
          <w:rFonts w:hint="eastAsia" w:ascii="仿宋" w:hAnsi="仿宋" w:eastAsia="仿宋" w:cs="仿宋_GB2312"/>
          <w:bCs/>
          <w:sz w:val="32"/>
          <w:szCs w:val="32"/>
          <w:lang w:val="en-US" w:eastAsia="zh-CN"/>
        </w:rPr>
        <w:t>8.完成县委、县政府交办的其他任务。</w:t>
      </w:r>
    </w:p>
    <w:p w14:paraId="1365CDAE">
      <w:pPr>
        <w:keepNext w:val="0"/>
        <w:keepLines w:val="0"/>
        <w:pageBreakBefore w:val="0"/>
        <w:numPr>
          <w:ilvl w:val="0"/>
          <w:numId w:val="1"/>
        </w:numPr>
        <w:kinsoku/>
        <w:wordWrap/>
        <w:topLinePunct w:val="0"/>
        <w:autoSpaceDE/>
        <w:autoSpaceDN/>
        <w:bidi w:val="0"/>
        <w:adjustRightInd/>
        <w:spacing w:line="576" w:lineRule="exact"/>
        <w:ind w:left="0" w:leftChars="0" w:firstLine="640" w:firstLineChars="200"/>
        <w:contextualSpacing/>
        <w:textAlignment w:val="auto"/>
        <w:rPr>
          <w:rFonts w:hint="eastAsia" w:eastAsia="黑体" w:cs="Times New Roman"/>
          <w:b w:val="0"/>
          <w:bCs w:val="0"/>
          <w:sz w:val="32"/>
          <w:szCs w:val="32"/>
          <w:lang w:eastAsia="zh-CN"/>
        </w:rPr>
      </w:pPr>
      <w:r>
        <w:rPr>
          <w:rFonts w:hint="eastAsia" w:eastAsia="黑体" w:cs="Times New Roman"/>
          <w:b w:val="0"/>
          <w:bCs w:val="0"/>
          <w:sz w:val="32"/>
          <w:szCs w:val="32"/>
          <w:lang w:eastAsia="zh-CN"/>
        </w:rPr>
        <w:t>部门整体支出管理及使用情况</w:t>
      </w:r>
    </w:p>
    <w:p w14:paraId="6A430F56">
      <w:pPr>
        <w:keepNext w:val="0"/>
        <w:keepLines w:val="0"/>
        <w:pageBreakBefore w:val="0"/>
        <w:numPr>
          <w:ilvl w:val="0"/>
          <w:numId w:val="2"/>
        </w:numPr>
        <w:kinsoku/>
        <w:wordWrap/>
        <w:topLinePunct w:val="0"/>
        <w:autoSpaceDE/>
        <w:autoSpaceDN/>
        <w:bidi w:val="0"/>
        <w:adjustRightInd/>
        <w:spacing w:line="576" w:lineRule="exact"/>
        <w:ind w:leftChars="200"/>
        <w:contextualSpacing/>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预算执行、使用、管理总体情况</w:t>
      </w:r>
    </w:p>
    <w:p w14:paraId="24FE994C">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color w:val="auto"/>
          <w:spacing w:val="-2"/>
          <w:sz w:val="32"/>
          <w:szCs w:val="32"/>
        </w:rPr>
      </w:pPr>
      <w:r>
        <w:rPr>
          <w:rFonts w:hint="eastAsia" w:ascii="仿宋" w:hAnsi="仿宋" w:eastAsia="仿宋"/>
          <w:color w:val="auto"/>
          <w:spacing w:val="-2"/>
          <w:sz w:val="32"/>
          <w:szCs w:val="32"/>
        </w:rPr>
        <w:t>本年收入共计</w:t>
      </w:r>
      <w:r>
        <w:rPr>
          <w:rFonts w:hint="eastAsia" w:ascii="仿宋" w:hAnsi="仿宋" w:eastAsia="仿宋"/>
          <w:color w:val="auto"/>
          <w:spacing w:val="-2"/>
          <w:sz w:val="32"/>
          <w:szCs w:val="32"/>
          <w:lang w:val="en-US" w:eastAsia="zh-CN"/>
        </w:rPr>
        <w:t>8413.19</w:t>
      </w:r>
      <w:r>
        <w:rPr>
          <w:rFonts w:hint="eastAsia" w:ascii="仿宋" w:hAnsi="仿宋" w:eastAsia="仿宋"/>
          <w:color w:val="auto"/>
          <w:spacing w:val="-2"/>
          <w:sz w:val="32"/>
          <w:szCs w:val="32"/>
        </w:rPr>
        <w:t>万元，其中公共预算财政拨款收入8</w:t>
      </w:r>
      <w:r>
        <w:rPr>
          <w:rFonts w:hint="eastAsia" w:ascii="仿宋" w:hAnsi="仿宋" w:eastAsia="仿宋"/>
          <w:color w:val="auto"/>
          <w:spacing w:val="-2"/>
          <w:sz w:val="32"/>
          <w:szCs w:val="32"/>
          <w:lang w:val="en-US" w:eastAsia="zh-CN"/>
        </w:rPr>
        <w:t>413.19</w:t>
      </w:r>
      <w:r>
        <w:rPr>
          <w:rFonts w:hint="eastAsia" w:ascii="仿宋" w:hAnsi="仿宋" w:eastAsia="仿宋"/>
          <w:color w:val="auto"/>
          <w:spacing w:val="-2"/>
          <w:sz w:val="32"/>
          <w:szCs w:val="32"/>
        </w:rPr>
        <w:t>万元。</w:t>
      </w:r>
    </w:p>
    <w:p w14:paraId="739C8B73">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spacing w:val="-2"/>
          <w:sz w:val="32"/>
          <w:szCs w:val="32"/>
        </w:rPr>
      </w:pPr>
      <w:r>
        <w:rPr>
          <w:rFonts w:hint="eastAsia" w:ascii="仿宋" w:hAnsi="仿宋" w:eastAsia="仿宋"/>
          <w:spacing w:val="-2"/>
          <w:sz w:val="32"/>
          <w:szCs w:val="32"/>
        </w:rPr>
        <w:t>溆浦县退役军人事务局基本支出范围和主要用途包活：工作人员经费和日常公用经费。具体包括:工资福利支出、对个人和家庭补助、商品和服务支出、资本性支出。</w:t>
      </w:r>
    </w:p>
    <w:p w14:paraId="23E97FC4">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eastAsia" w:ascii="仿宋" w:hAnsi="仿宋" w:eastAsia="仿宋"/>
          <w:spacing w:val="-2"/>
          <w:sz w:val="32"/>
          <w:szCs w:val="32"/>
          <w:lang w:val="en-US" w:eastAsia="zh-CN"/>
        </w:rPr>
      </w:pPr>
      <w:r>
        <w:rPr>
          <w:rFonts w:hint="eastAsia" w:ascii="仿宋" w:hAnsi="仿宋" w:eastAsia="仿宋"/>
          <w:spacing w:val="-2"/>
          <w:sz w:val="32"/>
          <w:szCs w:val="32"/>
        </w:rPr>
        <w:t>结合</w:t>
      </w:r>
      <w:r>
        <w:rPr>
          <w:rFonts w:hint="eastAsia" w:ascii="仿宋" w:hAnsi="仿宋" w:eastAsia="仿宋"/>
          <w:spacing w:val="-2"/>
          <w:sz w:val="32"/>
          <w:szCs w:val="32"/>
          <w:lang w:eastAsia="zh-CN"/>
        </w:rPr>
        <w:t>项目</w:t>
      </w:r>
      <w:r>
        <w:rPr>
          <w:rFonts w:hint="eastAsia" w:ascii="仿宋" w:hAnsi="仿宋" w:eastAsia="仿宋"/>
          <w:spacing w:val="-2"/>
          <w:sz w:val="32"/>
          <w:szCs w:val="32"/>
        </w:rPr>
        <w:t>实际需求细化预算编制</w:t>
      </w:r>
      <w:r>
        <w:rPr>
          <w:rFonts w:hint="eastAsia" w:ascii="仿宋" w:hAnsi="仿宋" w:eastAsia="仿宋"/>
          <w:spacing w:val="-2"/>
          <w:sz w:val="32"/>
          <w:szCs w:val="32"/>
          <w:lang w:eastAsia="zh-CN"/>
        </w:rPr>
        <w:t>，根据</w:t>
      </w:r>
      <w:r>
        <w:rPr>
          <w:rFonts w:hint="eastAsia" w:ascii="仿宋" w:hAnsi="仿宋" w:eastAsia="仿宋"/>
          <w:spacing w:val="-2"/>
          <w:sz w:val="32"/>
          <w:szCs w:val="32"/>
        </w:rPr>
        <w:t>项目支出均实行绩效目标管理</w:t>
      </w:r>
      <w:r>
        <w:rPr>
          <w:rFonts w:hint="eastAsia" w:ascii="仿宋" w:hAnsi="仿宋" w:eastAsia="仿宋"/>
          <w:spacing w:val="-2"/>
          <w:sz w:val="32"/>
          <w:szCs w:val="32"/>
          <w:lang w:eastAsia="zh-CN"/>
        </w:rPr>
        <w:t>，</w:t>
      </w:r>
      <w:r>
        <w:rPr>
          <w:rFonts w:hint="eastAsia" w:ascii="仿宋" w:hAnsi="仿宋" w:eastAsia="仿宋"/>
          <w:spacing w:val="-2"/>
          <w:sz w:val="32"/>
          <w:szCs w:val="32"/>
        </w:rPr>
        <w:t>通过审计、绩效评价等发现问题并督促整改</w:t>
      </w:r>
      <w:r>
        <w:rPr>
          <w:rFonts w:hint="eastAsia" w:ascii="仿宋" w:hAnsi="仿宋" w:eastAsia="仿宋"/>
          <w:spacing w:val="-2"/>
          <w:sz w:val="32"/>
          <w:szCs w:val="32"/>
          <w:lang w:eastAsia="zh-CN"/>
        </w:rPr>
        <w:t>；</w:t>
      </w:r>
      <w:r>
        <w:rPr>
          <w:rFonts w:hint="eastAsia" w:ascii="仿宋" w:hAnsi="仿宋" w:eastAsia="仿宋"/>
          <w:spacing w:val="-2"/>
          <w:sz w:val="32"/>
          <w:szCs w:val="32"/>
        </w:rPr>
        <w:t>严格政府采购、资产管理</w:t>
      </w:r>
      <w:r>
        <w:rPr>
          <w:rFonts w:hint="eastAsia" w:ascii="仿宋" w:hAnsi="仿宋" w:eastAsia="仿宋"/>
          <w:spacing w:val="-2"/>
          <w:sz w:val="32"/>
          <w:szCs w:val="32"/>
          <w:lang w:eastAsia="zh-CN"/>
        </w:rPr>
        <w:t>，</w:t>
      </w:r>
      <w:r>
        <w:rPr>
          <w:rFonts w:hint="eastAsia" w:ascii="仿宋" w:hAnsi="仿宋" w:eastAsia="仿宋"/>
          <w:spacing w:val="-2"/>
          <w:sz w:val="32"/>
          <w:szCs w:val="32"/>
        </w:rPr>
        <w:t>加强专项资金监管，防范资金滥用</w:t>
      </w:r>
      <w:r>
        <w:rPr>
          <w:rFonts w:hint="eastAsia" w:ascii="仿宋" w:hAnsi="仿宋" w:eastAsia="仿宋"/>
          <w:spacing w:val="-2"/>
          <w:sz w:val="32"/>
          <w:szCs w:val="32"/>
          <w:lang w:eastAsia="zh-CN"/>
        </w:rPr>
        <w:t>。</w:t>
      </w:r>
    </w:p>
    <w:p w14:paraId="7941AD66">
      <w:pPr>
        <w:keepNext w:val="0"/>
        <w:keepLines w:val="0"/>
        <w:pageBreakBefore w:val="0"/>
        <w:numPr>
          <w:ilvl w:val="0"/>
          <w:numId w:val="2"/>
        </w:numPr>
        <w:kinsoku/>
        <w:wordWrap/>
        <w:topLinePunct w:val="0"/>
        <w:autoSpaceDE/>
        <w:autoSpaceDN/>
        <w:bidi w:val="0"/>
        <w:adjustRightInd/>
        <w:spacing w:line="576" w:lineRule="exact"/>
        <w:ind w:leftChars="200"/>
        <w:contextualSpacing/>
        <w:textAlignment w:val="auto"/>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部门预算执行情况</w:t>
      </w:r>
    </w:p>
    <w:p w14:paraId="18EDE51B">
      <w:pPr>
        <w:keepNext w:val="0"/>
        <w:keepLines w:val="0"/>
        <w:pageBreakBefore w:val="0"/>
        <w:numPr>
          <w:ilvl w:val="0"/>
          <w:numId w:val="0"/>
        </w:numPr>
        <w:kinsoku/>
        <w:wordWrap/>
        <w:overflowPunct w:val="0"/>
        <w:topLinePunct w:val="0"/>
        <w:autoSpaceDE/>
        <w:autoSpaceDN/>
        <w:bidi w:val="0"/>
        <w:adjustRightInd/>
        <w:snapToGrid/>
        <w:spacing w:line="576" w:lineRule="exact"/>
        <w:ind w:firstLine="640" w:firstLineChars="200"/>
        <w:textAlignment w:val="auto"/>
        <w:rPr>
          <w:rFonts w:hint="eastAsia" w:ascii="仿宋" w:hAnsi="仿宋" w:eastAsia="仿宋"/>
          <w:color w:val="FF0000"/>
          <w:spacing w:val="-2"/>
          <w:sz w:val="32"/>
          <w:szCs w:val="32"/>
          <w:lang w:eastAsia="zh-CN"/>
        </w:rPr>
      </w:pPr>
      <w:r>
        <w:rPr>
          <w:rFonts w:hint="eastAsia" w:ascii="仿宋_GB2312" w:eastAsia="仿宋_GB2312" w:cs="仿宋_GB2312"/>
          <w:i w:val="0"/>
          <w:iCs w:val="0"/>
          <w:caps w:val="0"/>
          <w:color w:val="000000"/>
          <w:spacing w:val="0"/>
          <w:kern w:val="0"/>
          <w:sz w:val="32"/>
          <w:szCs w:val="32"/>
          <w:shd w:val="clear" w:color="auto" w:fill="FFFFFF"/>
          <w:lang w:val="en-US" w:eastAsia="zh-CN" w:bidi="ar"/>
        </w:rPr>
        <w:t>1.</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基本支出情况</w:t>
      </w:r>
    </w:p>
    <w:p w14:paraId="47CBCA94">
      <w:pPr>
        <w:keepNext w:val="0"/>
        <w:keepLines w:val="0"/>
        <w:pageBreakBefore w:val="0"/>
        <w:numPr>
          <w:ilvl w:val="0"/>
          <w:numId w:val="0"/>
        </w:numPr>
        <w:kinsoku/>
        <w:wordWrap/>
        <w:overflowPunct w:val="0"/>
        <w:topLinePunct w:val="0"/>
        <w:autoSpaceDE/>
        <w:autoSpaceDN/>
        <w:bidi w:val="0"/>
        <w:adjustRightInd/>
        <w:snapToGrid/>
        <w:spacing w:line="576" w:lineRule="exact"/>
        <w:ind w:firstLine="632" w:firstLineChars="200"/>
        <w:textAlignment w:val="auto"/>
        <w:rPr>
          <w:rFonts w:hint="default" w:ascii="仿宋" w:hAnsi="仿宋" w:eastAsia="仿宋"/>
          <w:color w:val="FF0000"/>
          <w:spacing w:val="-2"/>
          <w:sz w:val="32"/>
          <w:szCs w:val="32"/>
          <w:lang w:val="en-US" w:eastAsia="zh-CN"/>
        </w:rPr>
      </w:pPr>
      <w:r>
        <w:rPr>
          <w:rFonts w:hint="eastAsia" w:ascii="仿宋" w:hAnsi="仿宋" w:eastAsia="仿宋"/>
          <w:spacing w:val="-2"/>
          <w:sz w:val="32"/>
          <w:szCs w:val="32"/>
        </w:rPr>
        <w:t>基本支出</w:t>
      </w:r>
      <w:r>
        <w:rPr>
          <w:rFonts w:hint="eastAsia" w:ascii="仿宋" w:hAnsi="仿宋" w:eastAsia="仿宋"/>
          <w:spacing w:val="-2"/>
          <w:sz w:val="32"/>
          <w:szCs w:val="32"/>
          <w:lang w:val="en-US" w:eastAsia="zh-CN"/>
        </w:rPr>
        <w:t>423.97</w:t>
      </w:r>
      <w:r>
        <w:rPr>
          <w:rFonts w:hint="eastAsia" w:ascii="仿宋" w:hAnsi="仿宋" w:eastAsia="仿宋"/>
          <w:spacing w:val="-2"/>
          <w:sz w:val="32"/>
          <w:szCs w:val="32"/>
        </w:rPr>
        <w:t>万元。其中：机关事业单位基本养老保险缴费支出</w:t>
      </w:r>
      <w:r>
        <w:rPr>
          <w:rFonts w:hint="eastAsia" w:ascii="仿宋" w:hAnsi="仿宋" w:eastAsia="仿宋"/>
          <w:spacing w:val="-2"/>
          <w:sz w:val="32"/>
          <w:szCs w:val="32"/>
          <w:lang w:val="en-US" w:eastAsia="zh-CN"/>
        </w:rPr>
        <w:t>38.82万元，退役士兵管理教育19.65万元，军队转业干部安置32.46万元，行政运行298.91万元，行政单位医疗17.15万元，住房公积金16.98万元。</w:t>
      </w:r>
    </w:p>
    <w:p w14:paraId="49DB0449">
      <w:pPr>
        <w:pStyle w:val="14"/>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76" w:lineRule="exact"/>
        <w:ind w:right="0" w:rightChars="0" w:firstLine="640" w:firstLineChars="200"/>
        <w:jc w:val="both"/>
        <w:textAlignment w:val="auto"/>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仿宋_GB2312" w:eastAsia="仿宋_GB2312" w:cs="仿宋_GB2312"/>
          <w:i w:val="0"/>
          <w:iCs w:val="0"/>
          <w:caps w:val="0"/>
          <w:color w:val="000000"/>
          <w:spacing w:val="0"/>
          <w:kern w:val="0"/>
          <w:sz w:val="32"/>
          <w:szCs w:val="32"/>
          <w:shd w:val="clear" w:color="auto" w:fill="FFFFFF"/>
          <w:lang w:val="en-US" w:eastAsia="zh-CN" w:bidi="ar"/>
        </w:rPr>
        <w:t>2.</w:t>
      </w:r>
      <w:r>
        <w:rPr>
          <w:rFonts w:hint="eastAsia" w:ascii="仿宋_GB2312" w:hAnsi="Times New Roman" w:eastAsia="仿宋_GB2312" w:cs="仿宋_GB2312"/>
          <w:i w:val="0"/>
          <w:iCs w:val="0"/>
          <w:caps w:val="0"/>
          <w:color w:val="000000"/>
          <w:spacing w:val="0"/>
          <w:kern w:val="0"/>
          <w:sz w:val="32"/>
          <w:szCs w:val="32"/>
          <w:shd w:val="clear" w:color="auto" w:fill="FFFFFF"/>
          <w:lang w:val="en-US" w:eastAsia="zh-CN" w:bidi="ar"/>
        </w:rPr>
        <w:t>项目支出情况</w:t>
      </w:r>
    </w:p>
    <w:p w14:paraId="31409493">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default" w:ascii="仿宋_GB2312" w:hAnsi="Times New Roman" w:eastAsia="仿宋_GB2312" w:cs="仿宋_GB2312"/>
          <w:i w:val="0"/>
          <w:iCs w:val="0"/>
          <w:caps w:val="0"/>
          <w:color w:val="000000"/>
          <w:spacing w:val="0"/>
          <w:kern w:val="0"/>
          <w:sz w:val="32"/>
          <w:szCs w:val="32"/>
          <w:shd w:val="clear" w:color="auto" w:fill="FFFFFF"/>
          <w:lang w:val="en-US" w:eastAsia="zh-CN" w:bidi="ar"/>
        </w:rPr>
      </w:pPr>
      <w:r>
        <w:rPr>
          <w:rFonts w:hint="eastAsia" w:ascii="仿宋" w:hAnsi="仿宋" w:eastAsia="仿宋"/>
          <w:spacing w:val="-2"/>
          <w:sz w:val="32"/>
          <w:szCs w:val="32"/>
        </w:rPr>
        <w:t>项目支出</w:t>
      </w:r>
      <w:r>
        <w:rPr>
          <w:rFonts w:hint="eastAsia" w:ascii="仿宋" w:hAnsi="仿宋" w:eastAsia="仿宋"/>
          <w:spacing w:val="-2"/>
          <w:sz w:val="32"/>
          <w:szCs w:val="32"/>
          <w:lang w:val="en-US" w:eastAsia="zh-CN"/>
        </w:rPr>
        <w:t>7989.22</w:t>
      </w:r>
      <w:r>
        <w:rPr>
          <w:rFonts w:hint="eastAsia" w:ascii="仿宋" w:hAnsi="仿宋" w:eastAsia="仿宋"/>
          <w:spacing w:val="-2"/>
          <w:sz w:val="32"/>
          <w:szCs w:val="32"/>
        </w:rPr>
        <w:t>万元。</w:t>
      </w:r>
      <w:r>
        <w:rPr>
          <w:rFonts w:hint="eastAsia" w:ascii="仿宋" w:hAnsi="仿宋" w:eastAsia="仿宋"/>
          <w:color w:val="auto"/>
          <w:spacing w:val="-2"/>
          <w:sz w:val="32"/>
          <w:szCs w:val="32"/>
          <w:lang w:eastAsia="zh-CN"/>
        </w:rPr>
        <w:t>其中：伤残抚恤</w:t>
      </w:r>
      <w:r>
        <w:rPr>
          <w:rFonts w:hint="eastAsia" w:ascii="仿宋" w:hAnsi="仿宋" w:eastAsia="仿宋"/>
          <w:color w:val="auto"/>
          <w:spacing w:val="-2"/>
          <w:sz w:val="32"/>
          <w:szCs w:val="32"/>
          <w:lang w:val="en-US" w:eastAsia="zh-CN"/>
        </w:rPr>
        <w:t>1399.02万元、在乡复员、退伍军人生活补助2812.98</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w:t>
      </w:r>
      <w:r>
        <w:rPr>
          <w:rFonts w:hint="eastAsia" w:ascii="仿宋" w:hAnsi="仿宋" w:eastAsia="仿宋"/>
          <w:color w:val="auto"/>
          <w:spacing w:val="-2"/>
          <w:sz w:val="32"/>
          <w:szCs w:val="32"/>
          <w:lang w:val="en-US" w:eastAsia="zh-CN"/>
        </w:rPr>
        <w:t>义务兵优待金494.19</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、农村籍退役士兵老年生活补助</w:t>
      </w:r>
      <w:r>
        <w:rPr>
          <w:rFonts w:hint="eastAsia" w:ascii="仿宋" w:hAnsi="仿宋" w:eastAsia="仿宋"/>
          <w:color w:val="auto"/>
          <w:spacing w:val="-2"/>
          <w:sz w:val="32"/>
          <w:szCs w:val="32"/>
          <w:lang w:val="en-US" w:eastAsia="zh-CN"/>
        </w:rPr>
        <w:t>1717.03</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、其他优抚支出</w:t>
      </w:r>
      <w:r>
        <w:rPr>
          <w:rFonts w:hint="eastAsia" w:ascii="仿宋" w:hAnsi="仿宋" w:eastAsia="仿宋"/>
          <w:color w:val="auto"/>
          <w:spacing w:val="-2"/>
          <w:sz w:val="32"/>
          <w:szCs w:val="32"/>
          <w:lang w:val="en-US" w:eastAsia="zh-CN"/>
        </w:rPr>
        <w:t>463.86万元、其他退役安置支出426.22</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val="en-US" w:eastAsia="zh-CN"/>
        </w:rPr>
        <w:t>、</w:t>
      </w:r>
      <w:r>
        <w:rPr>
          <w:rFonts w:hint="eastAsia" w:ascii="仿宋" w:hAnsi="仿宋" w:eastAsia="仿宋"/>
          <w:color w:val="auto"/>
          <w:spacing w:val="-2"/>
          <w:sz w:val="32"/>
          <w:szCs w:val="32"/>
          <w:lang w:eastAsia="zh-CN"/>
        </w:rPr>
        <w:t>退役军人事务管理支出</w:t>
      </w:r>
      <w:r>
        <w:rPr>
          <w:rFonts w:hint="eastAsia" w:ascii="仿宋" w:hAnsi="仿宋" w:eastAsia="仿宋"/>
          <w:color w:val="auto"/>
          <w:spacing w:val="-2"/>
          <w:sz w:val="32"/>
          <w:szCs w:val="32"/>
          <w:lang w:val="en-US" w:eastAsia="zh-CN"/>
        </w:rPr>
        <w:t>364.27</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、优抚对象医疗补助</w:t>
      </w:r>
      <w:r>
        <w:rPr>
          <w:rFonts w:hint="eastAsia" w:ascii="仿宋" w:hAnsi="仿宋" w:eastAsia="仿宋"/>
          <w:color w:val="auto"/>
          <w:spacing w:val="-2"/>
          <w:sz w:val="32"/>
          <w:szCs w:val="32"/>
          <w:lang w:val="en-US" w:eastAsia="zh-CN"/>
        </w:rPr>
        <w:t>311.65</w:t>
      </w:r>
      <w:r>
        <w:rPr>
          <w:rFonts w:hint="eastAsia" w:ascii="仿宋" w:hAnsi="仿宋" w:eastAsia="仿宋"/>
          <w:color w:val="auto"/>
          <w:spacing w:val="-2"/>
          <w:sz w:val="32"/>
          <w:szCs w:val="32"/>
        </w:rPr>
        <w:t>万元</w:t>
      </w:r>
      <w:r>
        <w:rPr>
          <w:rFonts w:hint="eastAsia" w:ascii="仿宋" w:hAnsi="仿宋" w:eastAsia="仿宋"/>
          <w:color w:val="auto"/>
          <w:spacing w:val="-2"/>
          <w:sz w:val="32"/>
          <w:szCs w:val="32"/>
          <w:lang w:eastAsia="zh-CN"/>
        </w:rPr>
        <w:t>。</w:t>
      </w:r>
    </w:p>
    <w:p w14:paraId="24FCB71A">
      <w:pPr>
        <w:pStyle w:val="1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val="0"/>
        <w:spacing w:before="0" w:beforeAutospacing="0" w:after="0" w:afterAutospacing="0" w:line="576" w:lineRule="exact"/>
        <w:ind w:right="0" w:firstLine="643" w:firstLineChars="200"/>
        <w:jc w:val="both"/>
        <w:textAlignment w:val="auto"/>
        <w:rPr>
          <w:rFonts w:hint="default" w:ascii="楷体_GB2312" w:hAnsi="楷体_GB2312" w:eastAsia="楷体_GB2312" w:cs="楷体_GB2312"/>
          <w:b/>
          <w:bCs/>
          <w:i w:val="0"/>
          <w:iCs w:val="0"/>
          <w:caps w:val="0"/>
          <w:color w:val="000000"/>
          <w:spacing w:val="0"/>
          <w:sz w:val="32"/>
          <w:szCs w:val="32"/>
          <w:shd w:val="clear" w:color="auto" w:fill="FFFFFF"/>
        </w:rPr>
      </w:pPr>
      <w:r>
        <w:rPr>
          <w:rFonts w:hint="default" w:ascii="楷体_GB2312" w:hAnsi="楷体_GB2312" w:eastAsia="楷体_GB2312" w:cs="楷体_GB2312"/>
          <w:b/>
          <w:bCs/>
          <w:i w:val="0"/>
          <w:iCs w:val="0"/>
          <w:caps w:val="0"/>
          <w:color w:val="000000"/>
          <w:spacing w:val="0"/>
          <w:sz w:val="32"/>
          <w:szCs w:val="32"/>
          <w:shd w:val="clear" w:color="auto" w:fill="FFFFFF"/>
        </w:rPr>
        <w:t>（三）"三公"经费使用和管理情况</w:t>
      </w:r>
    </w:p>
    <w:p w14:paraId="26C74CE7">
      <w:pPr>
        <w:keepNext w:val="0"/>
        <w:keepLines w:val="0"/>
        <w:pageBreakBefore w:val="0"/>
        <w:kinsoku/>
        <w:wordWrap/>
        <w:overflowPunct w:val="0"/>
        <w:topLinePunct w:val="0"/>
        <w:autoSpaceDE/>
        <w:autoSpaceDN/>
        <w:bidi w:val="0"/>
        <w:adjustRightInd/>
        <w:snapToGrid/>
        <w:spacing w:line="576" w:lineRule="exact"/>
        <w:ind w:firstLine="632" w:firstLineChars="200"/>
        <w:textAlignment w:val="auto"/>
        <w:rPr>
          <w:rFonts w:hint="default" w:ascii="Times New Roman" w:hAnsi="Times New Roman" w:eastAsia="黑体" w:cs="Times New Roman"/>
          <w:b w:val="0"/>
          <w:bCs w:val="0"/>
          <w:sz w:val="32"/>
          <w:szCs w:val="32"/>
        </w:rPr>
      </w:pPr>
      <w:r>
        <w:rPr>
          <w:rFonts w:hint="eastAsia" w:ascii="仿宋" w:hAnsi="仿宋" w:eastAsia="仿宋"/>
          <w:spacing w:val="-2"/>
          <w:sz w:val="32"/>
          <w:szCs w:val="32"/>
        </w:rPr>
        <w:t>202</w:t>
      </w:r>
      <w:r>
        <w:rPr>
          <w:rFonts w:hint="eastAsia" w:ascii="仿宋" w:hAnsi="仿宋" w:eastAsia="仿宋"/>
          <w:spacing w:val="-2"/>
          <w:sz w:val="32"/>
          <w:szCs w:val="32"/>
          <w:lang w:val="en-US" w:eastAsia="zh-CN"/>
        </w:rPr>
        <w:t>4</w:t>
      </w:r>
      <w:r>
        <w:rPr>
          <w:rFonts w:hint="eastAsia" w:ascii="仿宋" w:hAnsi="仿宋" w:eastAsia="仿宋"/>
          <w:spacing w:val="-2"/>
          <w:sz w:val="32"/>
          <w:szCs w:val="32"/>
        </w:rPr>
        <w:t>年我单位“三公”经费控制数为</w:t>
      </w:r>
      <w:r>
        <w:rPr>
          <w:rFonts w:hint="eastAsia" w:ascii="仿宋" w:hAnsi="仿宋" w:eastAsia="仿宋"/>
          <w:color w:val="auto"/>
          <w:spacing w:val="-2"/>
          <w:sz w:val="32"/>
          <w:szCs w:val="32"/>
        </w:rPr>
        <w:t>1.</w:t>
      </w:r>
      <w:r>
        <w:rPr>
          <w:rFonts w:hint="eastAsia" w:ascii="仿宋" w:hAnsi="仿宋" w:eastAsia="仿宋"/>
          <w:color w:val="auto"/>
          <w:spacing w:val="-2"/>
          <w:sz w:val="32"/>
          <w:szCs w:val="32"/>
          <w:lang w:val="en-US" w:eastAsia="zh-CN"/>
        </w:rPr>
        <w:t>8</w:t>
      </w:r>
      <w:r>
        <w:rPr>
          <w:rFonts w:hint="eastAsia" w:ascii="仿宋" w:hAnsi="仿宋" w:eastAsia="仿宋"/>
          <w:spacing w:val="-2"/>
          <w:sz w:val="32"/>
          <w:szCs w:val="32"/>
        </w:rPr>
        <w:t>万元，公务接待费实际支出</w:t>
      </w:r>
      <w:r>
        <w:rPr>
          <w:rFonts w:hint="eastAsia" w:ascii="仿宋" w:hAnsi="仿宋" w:eastAsia="仿宋"/>
          <w:spacing w:val="-2"/>
          <w:sz w:val="32"/>
          <w:szCs w:val="32"/>
          <w:lang w:val="en-US" w:eastAsia="zh-CN"/>
        </w:rPr>
        <w:t>1.65</w:t>
      </w:r>
      <w:r>
        <w:rPr>
          <w:rFonts w:hint="eastAsia" w:ascii="仿宋" w:hAnsi="仿宋" w:eastAsia="仿宋"/>
          <w:spacing w:val="-2"/>
          <w:sz w:val="32"/>
          <w:szCs w:val="32"/>
        </w:rPr>
        <w:t>万元,</w:t>
      </w:r>
      <w:r>
        <w:rPr>
          <w:rFonts w:hint="eastAsia" w:ascii="仿宋" w:hAnsi="仿宋" w:eastAsia="仿宋"/>
          <w:spacing w:val="-2"/>
          <w:sz w:val="32"/>
          <w:szCs w:val="32"/>
          <w:lang w:eastAsia="zh-CN"/>
        </w:rPr>
        <w:t>与</w:t>
      </w:r>
      <w:r>
        <w:rPr>
          <w:rFonts w:hint="eastAsia" w:ascii="仿宋" w:hAnsi="仿宋" w:eastAsia="仿宋"/>
          <w:spacing w:val="-2"/>
          <w:sz w:val="32"/>
          <w:szCs w:val="32"/>
          <w:lang w:val="en-US" w:eastAsia="zh-CN"/>
        </w:rPr>
        <w:t>2023年相比增加1.47万元，三公经费严格安照制度执行。</w:t>
      </w:r>
      <w:r>
        <w:rPr>
          <w:rFonts w:hint="eastAsia" w:ascii="仿宋" w:hAnsi="仿宋" w:eastAsia="仿宋"/>
          <w:spacing w:val="-2"/>
          <w:sz w:val="32"/>
          <w:szCs w:val="32"/>
        </w:rPr>
        <w:t>公车运行维护费</w:t>
      </w:r>
      <w:r>
        <w:rPr>
          <w:rFonts w:hint="eastAsia" w:ascii="仿宋" w:hAnsi="仿宋" w:eastAsia="仿宋"/>
          <w:spacing w:val="-2"/>
          <w:sz w:val="32"/>
          <w:szCs w:val="32"/>
          <w:lang w:val="en-US" w:eastAsia="zh-CN"/>
        </w:rPr>
        <w:t>0万元。</w:t>
      </w:r>
    </w:p>
    <w:p w14:paraId="2A8CDFC4">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三、政府性基金预算支出情况</w:t>
      </w:r>
    </w:p>
    <w:p w14:paraId="7356820F">
      <w:pPr>
        <w:pStyle w:val="14"/>
        <w:keepNext w:val="0"/>
        <w:keepLines w:val="0"/>
        <w:pageBreakBefore w:val="0"/>
        <w:widowControl/>
        <w:numPr>
          <w:ilvl w:val="0"/>
          <w:numId w:val="0"/>
        </w:numPr>
        <w:suppressLineNumbers w:val="0"/>
        <w:kinsoku/>
        <w:wordWrap/>
        <w:topLinePunct w:val="0"/>
        <w:autoSpaceDE/>
        <w:autoSpaceDN/>
        <w:bidi w:val="0"/>
        <w:adjustRightInd/>
        <w:spacing w:before="0" w:beforeAutospacing="0" w:after="0" w:afterAutospacing="0" w:line="576" w:lineRule="exact"/>
        <w:ind w:leftChars="200" w:right="0" w:rightChars="0"/>
        <w:textAlignment w:val="auto"/>
        <w:rPr>
          <w:rFonts w:hint="default" w:ascii="Times New Roman" w:eastAsia="仿宋_GB2312" w:cs="Times New Roman"/>
          <w:b w:val="0"/>
          <w:bCs w:val="0"/>
          <w:kern w:val="2"/>
          <w:sz w:val="32"/>
          <w:szCs w:val="32"/>
          <w:lang w:val="en-US" w:eastAsia="zh-CN" w:bidi="ar-SA"/>
        </w:rPr>
      </w:pPr>
      <w:r>
        <w:rPr>
          <w:rFonts w:hint="eastAsia" w:ascii="Times New Roman" w:eastAsia="仿宋_GB2312" w:cs="Times New Roman"/>
          <w:b w:val="0"/>
          <w:bCs w:val="0"/>
          <w:kern w:val="2"/>
          <w:sz w:val="32"/>
          <w:szCs w:val="32"/>
          <w:lang w:val="en-US" w:eastAsia="zh-CN" w:bidi="ar-SA"/>
        </w:rPr>
        <w:t xml:space="preserve">  无</w:t>
      </w:r>
    </w:p>
    <w:p w14:paraId="1C2D0E94">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四、国有资本经营预算支出情况</w:t>
      </w:r>
    </w:p>
    <w:p w14:paraId="242D7464">
      <w:pPr>
        <w:pStyle w:val="14"/>
        <w:keepNext w:val="0"/>
        <w:keepLines w:val="0"/>
        <w:pageBreakBefore w:val="0"/>
        <w:widowControl/>
        <w:numPr>
          <w:ilvl w:val="0"/>
          <w:numId w:val="0"/>
        </w:numPr>
        <w:suppressLineNumbers w:val="0"/>
        <w:kinsoku/>
        <w:wordWrap/>
        <w:topLinePunct w:val="0"/>
        <w:autoSpaceDE/>
        <w:autoSpaceDN/>
        <w:bidi w:val="0"/>
        <w:adjustRightInd/>
        <w:spacing w:before="0" w:beforeAutospacing="0" w:after="0" w:afterAutospacing="0" w:line="576" w:lineRule="exact"/>
        <w:ind w:leftChars="200" w:right="0" w:rightChars="0" w:firstLine="320" w:firstLineChars="100"/>
        <w:textAlignment w:val="auto"/>
        <w:rPr>
          <w:rFonts w:hint="default" w:ascii="Times New Roman" w:eastAsia="仿宋_GB2312" w:cs="Times New Roman"/>
          <w:b w:val="0"/>
          <w:bCs w:val="0"/>
          <w:kern w:val="2"/>
          <w:sz w:val="32"/>
          <w:szCs w:val="32"/>
          <w:lang w:val="en-US" w:eastAsia="zh-CN" w:bidi="ar-SA"/>
        </w:rPr>
      </w:pPr>
      <w:r>
        <w:rPr>
          <w:rFonts w:hint="eastAsia" w:ascii="Times New Roman" w:eastAsia="仿宋_GB2312" w:cs="Times New Roman"/>
          <w:b w:val="0"/>
          <w:bCs w:val="0"/>
          <w:kern w:val="2"/>
          <w:sz w:val="32"/>
          <w:szCs w:val="32"/>
          <w:lang w:val="en-US" w:eastAsia="zh-CN" w:bidi="ar-SA"/>
        </w:rPr>
        <w:t>无</w:t>
      </w:r>
    </w:p>
    <w:p w14:paraId="182DC362">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五、社会保险基金预算支出情况</w:t>
      </w:r>
    </w:p>
    <w:p w14:paraId="0E0A4279">
      <w:pPr>
        <w:pStyle w:val="14"/>
        <w:keepNext w:val="0"/>
        <w:keepLines w:val="0"/>
        <w:pageBreakBefore w:val="0"/>
        <w:widowControl/>
        <w:numPr>
          <w:ilvl w:val="0"/>
          <w:numId w:val="0"/>
        </w:numPr>
        <w:suppressLineNumbers w:val="0"/>
        <w:kinsoku/>
        <w:wordWrap/>
        <w:topLinePunct w:val="0"/>
        <w:autoSpaceDE/>
        <w:autoSpaceDN/>
        <w:bidi w:val="0"/>
        <w:adjustRightInd/>
        <w:spacing w:before="0" w:beforeAutospacing="0" w:after="0" w:afterAutospacing="0" w:line="576" w:lineRule="exact"/>
        <w:ind w:leftChars="200" w:right="0" w:rightChars="0" w:firstLine="320" w:firstLineChars="100"/>
        <w:textAlignment w:val="auto"/>
        <w:rPr>
          <w:rFonts w:hint="default" w:ascii="Times New Roman" w:eastAsia="仿宋_GB2312" w:cs="Times New Roman"/>
          <w:b w:val="0"/>
          <w:bCs w:val="0"/>
          <w:kern w:val="2"/>
          <w:sz w:val="32"/>
          <w:szCs w:val="32"/>
          <w:lang w:val="en-US" w:eastAsia="zh-CN" w:bidi="ar-SA"/>
        </w:rPr>
      </w:pPr>
      <w:r>
        <w:rPr>
          <w:rFonts w:hint="eastAsia" w:ascii="Times New Roman" w:eastAsia="仿宋_GB2312" w:cs="Times New Roman"/>
          <w:b w:val="0"/>
          <w:bCs w:val="0"/>
          <w:kern w:val="2"/>
          <w:sz w:val="32"/>
          <w:szCs w:val="32"/>
          <w:lang w:val="en-US" w:eastAsia="zh-CN" w:bidi="ar-SA"/>
        </w:rPr>
        <w:t>无</w:t>
      </w:r>
    </w:p>
    <w:p w14:paraId="324CD343">
      <w:pPr>
        <w:keepNext w:val="0"/>
        <w:keepLines w:val="0"/>
        <w:pageBreakBefore w:val="0"/>
        <w:numPr>
          <w:ilvl w:val="0"/>
          <w:numId w:val="0"/>
        </w:numPr>
        <w:kinsoku/>
        <w:wordWrap/>
        <w:topLinePunct w:val="0"/>
        <w:autoSpaceDE/>
        <w:autoSpaceDN/>
        <w:bidi w:val="0"/>
        <w:adjustRightInd/>
        <w:spacing w:line="576" w:lineRule="exact"/>
        <w:ind w:leftChars="200" w:firstLine="320" w:firstLineChars="100"/>
        <w:contextualSpacing/>
        <w:textAlignment w:val="auto"/>
        <w:rPr>
          <w:rFonts w:hint="default" w:eastAsia="黑体" w:cs="Times New Roman"/>
          <w:b w:val="0"/>
          <w:bCs w:val="0"/>
          <w:sz w:val="32"/>
          <w:szCs w:val="32"/>
          <w:lang w:val="en-US" w:eastAsia="zh-CN"/>
        </w:rPr>
      </w:pPr>
      <w:r>
        <w:rPr>
          <w:rFonts w:hint="eastAsia" w:eastAsia="黑体" w:cs="Times New Roman"/>
          <w:b w:val="0"/>
          <w:bCs w:val="0"/>
          <w:sz w:val="32"/>
          <w:szCs w:val="32"/>
          <w:lang w:val="en-US" w:eastAsia="zh-CN"/>
        </w:rPr>
        <w:t>六、部门</w:t>
      </w:r>
      <w:r>
        <w:rPr>
          <w:rFonts w:hint="default" w:eastAsia="黑体" w:cs="Times New Roman"/>
          <w:b w:val="0"/>
          <w:bCs w:val="0"/>
          <w:sz w:val="32"/>
          <w:szCs w:val="32"/>
          <w:lang w:val="en-US" w:eastAsia="zh-CN"/>
        </w:rPr>
        <w:t xml:space="preserve">整体支出绩效情况  </w:t>
      </w:r>
    </w:p>
    <w:p w14:paraId="49A0A63D">
      <w:pPr>
        <w:pStyle w:val="16"/>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3" w:firstLineChars="200"/>
        <w:textAlignment w:val="auto"/>
        <w:rPr>
          <w:rFonts w:hint="eastAsia"/>
          <w:b w:val="0"/>
          <w:bCs w:val="0"/>
          <w:sz w:val="32"/>
          <w:szCs w:val="32"/>
          <w:lang w:val="en-US" w:eastAsia="zh-CN"/>
        </w:rPr>
      </w:pPr>
      <w:r>
        <w:rPr>
          <w:rFonts w:hint="eastAsia" w:ascii="楷体_GB2312" w:hAnsi="楷体_GB2312" w:eastAsia="楷体_GB2312" w:cs="楷体_GB2312"/>
          <w:b/>
          <w:bCs/>
          <w:i w:val="0"/>
          <w:iCs w:val="0"/>
          <w:caps w:val="0"/>
          <w:color w:val="000000"/>
          <w:spacing w:val="0"/>
          <w:kern w:val="2"/>
          <w:sz w:val="32"/>
          <w:szCs w:val="32"/>
          <w:shd w:val="clear" w:color="auto" w:fill="FFFFFF"/>
          <w:lang w:val="en-US" w:eastAsia="zh-CN" w:bidi="ar-SA"/>
        </w:rPr>
        <w:t>（一）综合评价结论。</w:t>
      </w:r>
      <w:r>
        <w:rPr>
          <w:rFonts w:hint="eastAsia"/>
          <w:b w:val="0"/>
          <w:bCs w:val="0"/>
          <w:sz w:val="32"/>
          <w:szCs w:val="32"/>
          <w:lang w:val="en-US" w:eastAsia="zh-CN"/>
        </w:rPr>
        <w:t>经本单位绩效评价小组评议，自评结果如下：全年预算执行得分9.93分（标准分10分）、成本指标得分20分（标准分20分）、产出指标得分24分（标准分30分）、效益指标得分30分（标准分30分）、满意度指标得分10分（标准分10分），合计得分为93.93分。评价等级为优。</w:t>
      </w:r>
    </w:p>
    <w:p w14:paraId="14B92ADB">
      <w:pPr>
        <w:pStyle w:val="16"/>
        <w:numPr>
          <w:ilvl w:val="0"/>
          <w:numId w:val="0"/>
        </w:numPr>
        <w:ind w:firstLine="643" w:firstLineChars="200"/>
        <w:rPr>
          <w:rFonts w:hint="eastAsia"/>
          <w:b w:val="0"/>
          <w:bCs w:val="0"/>
          <w:lang w:val="en-US" w:eastAsia="zh-CN"/>
        </w:rPr>
      </w:pPr>
      <w:r>
        <w:rPr>
          <w:rFonts w:hint="eastAsia" w:ascii="楷体_GB2312" w:hAnsi="楷体_GB2312" w:eastAsia="楷体_GB2312" w:cs="楷体_GB2312"/>
          <w:b/>
          <w:bCs/>
          <w:i w:val="0"/>
          <w:iCs w:val="0"/>
          <w:caps w:val="0"/>
          <w:color w:val="auto"/>
          <w:spacing w:val="0"/>
          <w:kern w:val="2"/>
          <w:sz w:val="32"/>
          <w:szCs w:val="32"/>
          <w:shd w:val="clear" w:color="auto" w:fill="FFFFFF"/>
          <w:lang w:val="en-US" w:eastAsia="zh-CN" w:bidi="ar-SA"/>
        </w:rPr>
        <w:t>（二）评价指标分析。</w:t>
      </w:r>
      <w:r>
        <w:rPr>
          <w:rFonts w:hint="eastAsia" w:ascii="仿宋_GB2312" w:hAnsi="宋体" w:eastAsia="仿宋_GB2312" w:cs="宋体"/>
          <w:b w:val="0"/>
          <w:bCs w:val="0"/>
          <w:color w:val="auto"/>
          <w:sz w:val="32"/>
          <w:szCs w:val="32"/>
          <w:shd w:val="clear" w:color="auto" w:fill="FFFFFF"/>
          <w:lang w:val="en-US" w:eastAsia="zh-CN"/>
        </w:rPr>
        <w:t>本单位2024年</w:t>
      </w:r>
      <w:r>
        <w:rPr>
          <w:rFonts w:hint="eastAsia" w:ascii="仿宋_GB2312" w:hAnsi="宋体" w:eastAsia="仿宋_GB2312" w:cs="宋体"/>
          <w:b w:val="0"/>
          <w:bCs w:val="0"/>
          <w:color w:val="auto"/>
          <w:sz w:val="32"/>
          <w:szCs w:val="32"/>
          <w:shd w:val="clear" w:color="auto" w:fill="FFFFFF"/>
        </w:rPr>
        <w:t>突出考核效果，</w:t>
      </w:r>
      <w:r>
        <w:rPr>
          <w:rFonts w:hint="eastAsia" w:ascii="仿宋_GB2312" w:hAnsi="仿宋_GB2312" w:eastAsia="仿宋_GB2312" w:cs="仿宋_GB2312"/>
          <w:b w:val="0"/>
          <w:bCs w:val="0"/>
          <w:color w:val="auto"/>
          <w:sz w:val="32"/>
          <w:szCs w:val="32"/>
        </w:rPr>
        <w:t>做好</w:t>
      </w:r>
      <w:r>
        <w:rPr>
          <w:rFonts w:hint="eastAsia" w:hAnsi="仿宋_GB2312" w:cs="仿宋_GB2312"/>
          <w:b w:val="0"/>
          <w:bCs w:val="0"/>
          <w:color w:val="auto"/>
          <w:sz w:val="32"/>
          <w:szCs w:val="32"/>
          <w:lang w:eastAsia="zh-CN"/>
        </w:rPr>
        <w:t>退役军人</w:t>
      </w:r>
      <w:r>
        <w:rPr>
          <w:rFonts w:hint="eastAsia" w:ascii="仿宋" w:hAnsi="仿宋" w:eastAsia="仿宋" w:cs="仿宋"/>
          <w:b w:val="0"/>
          <w:bCs w:val="0"/>
          <w:sz w:val="32"/>
          <w:szCs w:val="32"/>
          <w:highlight w:val="none"/>
          <w:lang w:val="en-US" w:eastAsia="zh-CN"/>
        </w:rPr>
        <w:t>服务工作。</w:t>
      </w:r>
    </w:p>
    <w:p w14:paraId="5F732B69">
      <w:pPr>
        <w:keepNext w:val="0"/>
        <w:keepLines w:val="0"/>
        <w:pageBreakBefore w:val="0"/>
        <w:kinsoku/>
        <w:wordWrap/>
        <w:overflowPunct/>
        <w:topLinePunct w:val="0"/>
        <w:autoSpaceDE/>
        <w:autoSpaceDN/>
        <w:bidi w:val="0"/>
        <w:adjustRightInd/>
        <w:snapToGrid/>
        <w:spacing w:beforeAutospacing="0" w:afterAutospacing="0" w:line="575" w:lineRule="exact"/>
        <w:ind w:firstLine="643"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val="0"/>
          <w:color w:val="000000" w:themeColor="text1"/>
          <w:sz w:val="32"/>
          <w:szCs w:val="32"/>
          <w:lang w:val="en-US" w:eastAsia="zh-CN"/>
          <w14:textFill>
            <w14:solidFill>
              <w14:schemeClr w14:val="tx1"/>
            </w14:solidFill>
          </w14:textFill>
        </w:rPr>
        <w:t>夯实基层基础，服务体系作用发挥进一步明显。</w:t>
      </w:r>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一是</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“一部一站”工作建设稳步推进</w:t>
      </w:r>
      <w:r>
        <w:rPr>
          <w:rFonts w:hint="eastAsia" w:ascii="楷体_GB2312" w:hAnsi="楷体_GB2312" w:eastAsia="楷体_GB2312" w:cs="楷体_GB2312"/>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严格按照省、市有关文件和会议精神的要求，</w:t>
      </w:r>
      <w:r>
        <w:rPr>
          <w:rFonts w:hint="eastAsia" w:ascii="仿宋_GB2312" w:hAnsi="仿宋_GB2312" w:eastAsia="仿宋_GB2312" w:cs="仿宋_GB2312"/>
          <w:color w:val="000000" w:themeColor="text1"/>
          <w:sz w:val="32"/>
          <w:szCs w:val="32"/>
          <w:lang w:eastAsia="zh-CN"/>
          <w14:textFill>
            <w14:solidFill>
              <w14:schemeClr w14:val="tx1"/>
            </w14:solidFill>
          </w14:textFill>
        </w:rPr>
        <w:t>稳步推进</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“一部一站”工作建设</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目前，全县25个乡镇“一部一站”紧密协作基本完成</w:t>
      </w: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坚持分工不分家，把各项工作统一一起抓，实现新兵入伍有欢送、立功受奖有褒扬、退役返乡有欢迎、拥军优属有待遇、家庭困难有后盾，真正把“一部一站”打造成武装工作的“坚强阵地”和退役军人的“温暖娘家”，推进我县武装工作和退役军人事务工作更上新台阶。</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二是健全退役军人信息库建设高效服务。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推进优待证申领工作，截止目前，全县办理优待证人数为15792人。全力配合怀化市退役军人服务平台建设，录入17782多名退役军人信息，并建立制度，实行常态化规范管理。</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三是</w:t>
      </w:r>
      <w:r>
        <w:rPr>
          <w:rFonts w:hint="eastAsia" w:ascii="仿宋_GB2312" w:hAnsi="仿宋_GB2312" w:eastAsia="仿宋_GB2312" w:cs="仿宋_GB2312"/>
          <w:b/>
          <w:bCs/>
          <w:color w:val="000000" w:themeColor="text1"/>
          <w:sz w:val="32"/>
          <w:szCs w:val="32"/>
          <w14:textFill>
            <w14:solidFill>
              <w14:schemeClr w14:val="tx1"/>
            </w14:solidFill>
          </w14:textFill>
        </w:rPr>
        <w:t>积极开展比学赶超。</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进一步做强退役军人志愿者服务队伍，全县5539名退役军人志愿服务队员积极参与乡村环境治理“六清行动”和治安巡逻，并在乡村振兴各条战线上比学赶超贡献力量。</w:t>
      </w:r>
    </w:p>
    <w:p w14:paraId="1ADC0615">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预算配置及预算执行情况</w:t>
      </w:r>
    </w:p>
    <w:p w14:paraId="214E3873">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（1）预算配置：根据《溆浦县财政局关于编制2024年部门预算的通知》（溆财预【2023】25号）精神，编制了2024年部门预算。2024年全年预算数8470万元，其中：基本支出367.3万元、项目支出8102.7万元。    </w:t>
      </w:r>
    </w:p>
    <w:p w14:paraId="0233829E">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（2）预算执行：2024年全年预算执行数为8413.19万元，其中：基本支出423.97万元、项目支出7989.22万元。标准分10分，自评得分10分。</w:t>
      </w:r>
    </w:p>
    <w:p w14:paraId="2CC0DDFC">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3、预算管理情况 </w:t>
      </w:r>
    </w:p>
    <w:p w14:paraId="2BB32461">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（1）按要求编制预算：根据溆财预【2023】25号文件精神，结合我单位实际情况，编制了2024年度部门预算。</w:t>
      </w:r>
    </w:p>
    <w:p w14:paraId="47925302">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（2）预算公开：年度预算批复后，按时在政府网站上公开部门预算。</w:t>
      </w:r>
    </w:p>
    <w:p w14:paraId="68A4437D">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（3）严格执行预算：按季度编制预算执行情况表，超过按时间按进度比例的经费支出，分析其成因，为下季度预算支出提供参考依据，同时基本支出情况按季度在政府网站上公示。</w:t>
      </w:r>
    </w:p>
    <w:p w14:paraId="633AA269">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（4）年度预算执行分析及决算公开：预算年度终了，对年度预算执行情况进行全面分析，为下年度预算编制提供参考资料，对上级批复的部门决算，按时在政府网站上公开。</w:t>
      </w:r>
    </w:p>
    <w:p w14:paraId="5A2A83A3">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xml:space="preserve">4、资产管理情况 </w:t>
      </w:r>
    </w:p>
    <w:p w14:paraId="68E7BFD3">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截至2024年12月31日，固定资产净值21.92万元，当年新增固定资产0万元；无形资产净值0万元，当年未新增无形资产。　</w:t>
      </w:r>
    </w:p>
    <w:p w14:paraId="4FB6F810">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1、建立健全各项管理制度　　</w:t>
      </w:r>
    </w:p>
    <w:p w14:paraId="3115155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修订完善了固定资产管理制度，如：《行政事业单位固定资产管理制度》、《行政事业单位政府采购和物资、服务采购管理制度》等。</w:t>
      </w:r>
    </w:p>
    <w:p w14:paraId="34DAD096">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2、固定资产日常管理情况</w:t>
      </w:r>
    </w:p>
    <w:p w14:paraId="5766E7E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（1）固定资产的管理和使用坚持统一政策、统一领导、分级管理、责任到人、物尽其用的原则。</w:t>
      </w:r>
    </w:p>
    <w:p w14:paraId="6D69EAB6">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（2）确定专人负责固定资产的日常管理工作，办公室和财务室负责资产的配置、登记、统计、维护、保管等工作，办公室主任对所管资产的安全完整负有责任。</w:t>
      </w:r>
    </w:p>
    <w:p w14:paraId="1BE5655C">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（3）固定资产的处置管理。处置固定资产，坚持向县财政局申请报告，同时填报《申请处置单》，经县财政局核实后下达批复函，单位凭批复函进行资产处置，并在资产管理系统中核销资产和相关账务处理。</w:t>
      </w:r>
    </w:p>
    <w:p w14:paraId="5EEE30AD">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固定资产的清查。每年7月份对固定资产进行了全面清查，采取实物盘点与核查账务相结合方法，账账、账实核对，做到账账、账物，账表相符。管理人员变动时要及时办理实物、账卡和档案资料的移交手续。</w:t>
      </w:r>
    </w:p>
    <w:p w14:paraId="057AB77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　5、职能职责及履职效益情况</w:t>
      </w:r>
    </w:p>
    <w:p w14:paraId="17790F1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根据年度绩效目标，本单位在预算执行过程中，严格按照规定的范围、用途和标准使用财政资金，资金拨付有完整的审批程序和手续，资金使用无截留、挤占、挪用、虚列支出等情况，所有的发票按正规的审批程序审批，确保财政资金依法依规使用和管理，圆满完成了年度绩效目标。现从四大绩效指标分析履职履责效益情况：</w:t>
      </w:r>
    </w:p>
    <w:p w14:paraId="02E0FD64">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（1）成本指标：标准分20分，自评得分20分。其中：</w:t>
      </w:r>
    </w:p>
    <w:p w14:paraId="28F67CC2">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①经济成本指标：2024年度指标值为8470万（基本支出367.3万元、项目支出8102.7万元），实际完成值为8413.19万元，其中：基本支出423.97万元、项目支出7989.22元。标准分10分，按评（扣）分标准，自评得分10分。</w:t>
      </w:r>
    </w:p>
    <w:p w14:paraId="2B23FCA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②社会成本指标：2024年年度指标值为0，实际完成值为0。严格执行国家的各项方针政策，没有造成任何社会影响和负担，社会成本节约率为0。标准分5分，自评得分5分．</w:t>
      </w:r>
    </w:p>
    <w:p w14:paraId="79D1A9B9">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③生态环境成本指标：2024年年度指标值为0，实际完成值为0。标准分5分，自评得分5分。</w:t>
      </w:r>
    </w:p>
    <w:p w14:paraId="2DEA8E25">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（2）产出指标：标准分30分，自评得分20分。其中：</w:t>
      </w:r>
    </w:p>
    <w:p w14:paraId="49340C1A">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①数量指标：退役军人优待证免费乘坐公交车人数15140人；优抚对象抚恤补助资金发放人数8002人，偏离原因是年初预算人数报多了；大学生入伍奖励人数167人，偏离原因是2024年入伍大学生人数只有167人；退役士兵职能技能培训人数22人，偏离原因是退役士兵复工复学就业，没参加职能技能培训；进疆进藏人数16人，偏离原因是2024年进疆进藏总人数只有16人；标准分10分，自评得分4分。</w:t>
      </w:r>
    </w:p>
    <w:p w14:paraId="26D94C99">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②质量指标：各项目绩效目标过标率，年度指标值100%，实际完成值100%。准分10分，自评得分10分。</w:t>
      </w:r>
    </w:p>
    <w:p w14:paraId="10C0123D">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③时效指标：完成及时性，年度指标值1年，实际完成值100%，各项工作按时完成，没有拖延的情况。标准分10分，自评得分10分。</w:t>
      </w:r>
    </w:p>
    <w:p w14:paraId="775E1FC2">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（3）效益指标：标准分30分，自评得分30分。其中：</w:t>
      </w:r>
    </w:p>
    <w:p w14:paraId="511E493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①经济效益指标：促进经济发展，年度指标值“效果明显”，实际完成值“效果明显”。标准分8分，自评得分8分。</w:t>
      </w:r>
    </w:p>
    <w:p w14:paraId="7EE52E98">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②社会效益指标：单位规范履职及有效运转，年度指标值“效果明显”，实际完成值“效果明显”。全年预算数为8470万元，全年执行数为8413.19万元，为本单位各项工作的正常运转提供了充足的资金。标准分8分，自评得分8分。</w:t>
      </w:r>
    </w:p>
    <w:p w14:paraId="598C318B">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③生态效益指标：实现绿色发展，年度指标值“效果明显”，实际完成值“效果明显”。标准分7分，自评得分7分。</w:t>
      </w:r>
    </w:p>
    <w:p w14:paraId="1290B59F">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④可持续影响指标：推动退役军人事务局可持续发展，年度指标值“效果明显”，实际完成值“效果明显”。标准分7分，自评得分7分。</w:t>
      </w:r>
    </w:p>
    <w:p w14:paraId="3017745F">
      <w:pPr>
        <w:keepNext w:val="0"/>
        <w:keepLines w:val="0"/>
        <w:pageBreakBefore w:val="0"/>
        <w:kinsoku/>
        <w:wordWrap/>
        <w:overflowPunct/>
        <w:topLinePunct w:val="0"/>
        <w:autoSpaceDE/>
        <w:autoSpaceDN/>
        <w:bidi w:val="0"/>
        <w:adjustRightInd/>
        <w:snapToGrid/>
        <w:spacing w:beforeAutospacing="0" w:afterAutospacing="0" w:line="575"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满意度指标：通过权益维护、抚恤优待、就业帮扶等措施，退役军人群体及其他服务对象满意率达90%。标准分10分，自评得分10分。</w:t>
      </w:r>
    </w:p>
    <w:p w14:paraId="5ABD2BF6">
      <w:pPr>
        <w:keepNext w:val="0"/>
        <w:keepLines w:val="0"/>
        <w:pageBreakBefore w:val="0"/>
        <w:numPr>
          <w:ilvl w:val="0"/>
          <w:numId w:val="0"/>
        </w:numPr>
        <w:kinsoku/>
        <w:wordWrap/>
        <w:topLinePunct w:val="0"/>
        <w:autoSpaceDE/>
        <w:autoSpaceDN/>
        <w:bidi w:val="0"/>
        <w:adjustRightInd/>
        <w:spacing w:line="576" w:lineRule="exact"/>
        <w:ind w:firstLine="640" w:firstLineChars="200"/>
        <w:contextualSpacing/>
        <w:textAlignment w:val="auto"/>
        <w:rPr>
          <w:rFonts w:hint="eastAsia" w:ascii="仿宋" w:hAnsi="仿宋" w:eastAsia="仿宋" w:cs="仿宋_GB2312"/>
          <w:sz w:val="32"/>
          <w:szCs w:val="32"/>
          <w:lang w:val="en-US" w:eastAsia="zh-CN"/>
        </w:rPr>
      </w:pPr>
      <w:r>
        <w:rPr>
          <w:rFonts w:hint="eastAsia" w:eastAsia="黑体" w:cs="Times New Roman"/>
          <w:b w:val="0"/>
          <w:bCs w:val="0"/>
          <w:sz w:val="32"/>
          <w:szCs w:val="32"/>
          <w:lang w:eastAsia="zh-CN"/>
        </w:rPr>
        <w:t>七、</w:t>
      </w:r>
      <w:r>
        <w:rPr>
          <w:rFonts w:hint="default" w:ascii="Times New Roman" w:hAnsi="Times New Roman" w:eastAsia="黑体" w:cs="Times New Roman"/>
          <w:b w:val="0"/>
          <w:bCs w:val="0"/>
          <w:sz w:val="32"/>
          <w:szCs w:val="32"/>
        </w:rPr>
        <w:t>存在的问题</w:t>
      </w:r>
      <w:r>
        <w:rPr>
          <w:rFonts w:hint="eastAsia" w:eastAsia="黑体" w:cs="Times New Roman"/>
          <w:b w:val="0"/>
          <w:bCs w:val="0"/>
          <w:sz w:val="32"/>
          <w:szCs w:val="32"/>
          <w:lang w:eastAsia="zh-CN"/>
        </w:rPr>
        <w:t>及原因分析</w:t>
      </w:r>
    </w:p>
    <w:p w14:paraId="51B68C55">
      <w:pPr>
        <w:keepNext w:val="0"/>
        <w:keepLines w:val="0"/>
        <w:pageBreakBefore w:val="0"/>
        <w:numPr>
          <w:ilvl w:val="0"/>
          <w:numId w:val="0"/>
        </w:numPr>
        <w:kinsoku/>
        <w:wordWrap/>
        <w:topLinePunct w:val="0"/>
        <w:autoSpaceDE/>
        <w:autoSpaceDN/>
        <w:bidi w:val="0"/>
        <w:adjustRightInd/>
        <w:spacing w:line="576" w:lineRule="exact"/>
        <w:ind w:firstLine="640" w:firstLineChars="200"/>
        <w:contextualSpacing/>
        <w:textAlignment w:val="auto"/>
        <w:rPr>
          <w:rFonts w:hint="eastAsia" w:ascii="仿宋" w:hAnsi="仿宋" w:eastAsia="仿宋" w:cs="仿宋_GB2312"/>
          <w:sz w:val="32"/>
          <w:szCs w:val="32"/>
          <w:lang w:val="en-US" w:eastAsia="zh-CN"/>
        </w:rPr>
      </w:pPr>
      <w:r>
        <w:rPr>
          <w:rFonts w:hint="eastAsia" w:ascii="仿宋" w:hAnsi="仿宋" w:eastAsia="仿宋" w:cs="仿宋_GB2312"/>
          <w:sz w:val="32"/>
          <w:szCs w:val="32"/>
          <w:lang w:val="en-US" w:eastAsia="zh-CN"/>
        </w:rPr>
        <w:t>问题：1.</w:t>
      </w:r>
      <w:r>
        <w:rPr>
          <w:rFonts w:hint="eastAsia" w:ascii="仿宋" w:hAnsi="仿宋" w:eastAsia="仿宋" w:cs="仿宋_GB2312"/>
          <w:sz w:val="32"/>
          <w:szCs w:val="32"/>
        </w:rPr>
        <w:t>管理制度</w:t>
      </w:r>
      <w:r>
        <w:rPr>
          <w:rFonts w:hint="eastAsia" w:ascii="仿宋" w:hAnsi="仿宋" w:eastAsia="仿宋" w:cs="仿宋_GB2312"/>
          <w:sz w:val="32"/>
          <w:szCs w:val="32"/>
          <w:lang w:eastAsia="zh-CN"/>
        </w:rPr>
        <w:t>不够完善；</w:t>
      </w:r>
      <w:r>
        <w:rPr>
          <w:rFonts w:hint="eastAsia" w:ascii="仿宋" w:hAnsi="仿宋" w:eastAsia="仿宋" w:cs="仿宋_GB2312"/>
          <w:sz w:val="32"/>
          <w:szCs w:val="32"/>
          <w:lang w:val="en-US" w:eastAsia="zh-CN"/>
        </w:rPr>
        <w:t>2.预算不够精准。</w:t>
      </w:r>
    </w:p>
    <w:p w14:paraId="58EC5F87">
      <w:pPr>
        <w:keepNext w:val="0"/>
        <w:keepLines w:val="0"/>
        <w:pageBreakBefore w:val="0"/>
        <w:numPr>
          <w:ilvl w:val="0"/>
          <w:numId w:val="0"/>
        </w:numPr>
        <w:kinsoku/>
        <w:wordWrap/>
        <w:topLinePunct w:val="0"/>
        <w:autoSpaceDE/>
        <w:autoSpaceDN/>
        <w:bidi w:val="0"/>
        <w:adjustRightInd/>
        <w:spacing w:line="576" w:lineRule="exact"/>
        <w:ind w:firstLine="600" w:firstLineChars="200"/>
        <w:contextualSpacing/>
        <w:textAlignment w:val="auto"/>
        <w:rPr>
          <w:rFonts w:hint="eastAsia" w:ascii="Times New Roman" w:hAnsi="Times New Roman" w:eastAsia="仿宋_GB2312" w:cs="Times New Roman"/>
          <w:b w:val="0"/>
          <w:bCs w:val="0"/>
          <w:kern w:val="2"/>
          <w:sz w:val="30"/>
          <w:szCs w:val="30"/>
          <w:lang w:val="en-US" w:eastAsia="zh-CN" w:bidi="ar-SA"/>
        </w:rPr>
      </w:pPr>
      <w:r>
        <w:rPr>
          <w:rFonts w:hint="eastAsia" w:ascii="Times New Roman" w:hAnsi="Times New Roman" w:eastAsia="仿宋_GB2312" w:cs="Times New Roman"/>
          <w:b w:val="0"/>
          <w:bCs w:val="0"/>
          <w:kern w:val="2"/>
          <w:sz w:val="30"/>
          <w:szCs w:val="30"/>
          <w:lang w:val="en-US" w:eastAsia="zh-CN" w:bidi="ar-SA"/>
        </w:rPr>
        <w:t>原因：1.绩效目标不具体、可衡量性</w:t>
      </w:r>
      <w:r>
        <w:rPr>
          <w:rFonts w:hint="eastAsia" w:eastAsia="仿宋_GB2312" w:cs="Times New Roman"/>
          <w:b w:val="0"/>
          <w:bCs w:val="0"/>
          <w:kern w:val="2"/>
          <w:sz w:val="30"/>
          <w:szCs w:val="30"/>
          <w:lang w:val="en-US" w:eastAsia="zh-CN" w:bidi="ar-SA"/>
        </w:rPr>
        <w:t>不够精准</w:t>
      </w:r>
      <w:r>
        <w:rPr>
          <w:rFonts w:hint="eastAsia" w:ascii="Times New Roman" w:hAnsi="Times New Roman" w:eastAsia="仿宋_GB2312" w:cs="Times New Roman"/>
          <w:b w:val="0"/>
          <w:bCs w:val="0"/>
          <w:kern w:val="2"/>
          <w:sz w:val="30"/>
          <w:szCs w:val="30"/>
          <w:lang w:val="en-US" w:eastAsia="zh-CN" w:bidi="ar-SA"/>
        </w:rPr>
        <w:t>；2.中途预算调整</w:t>
      </w:r>
      <w:r>
        <w:rPr>
          <w:rFonts w:hint="eastAsia" w:eastAsia="仿宋_GB2312" w:cs="Times New Roman"/>
          <w:b w:val="0"/>
          <w:bCs w:val="0"/>
          <w:kern w:val="2"/>
          <w:sz w:val="30"/>
          <w:szCs w:val="30"/>
          <w:lang w:val="en-US" w:eastAsia="zh-CN" w:bidi="ar-SA"/>
        </w:rPr>
        <w:t>，导致不够精准</w:t>
      </w:r>
      <w:r>
        <w:rPr>
          <w:rFonts w:hint="eastAsia" w:ascii="Times New Roman" w:hAnsi="Times New Roman" w:eastAsia="仿宋_GB2312" w:cs="Times New Roman"/>
          <w:b w:val="0"/>
          <w:bCs w:val="0"/>
          <w:kern w:val="2"/>
          <w:sz w:val="30"/>
          <w:szCs w:val="30"/>
          <w:lang w:val="en-US" w:eastAsia="zh-CN" w:bidi="ar-SA"/>
        </w:rPr>
        <w:t>。</w:t>
      </w:r>
    </w:p>
    <w:p w14:paraId="42CD3F5E">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rPr>
      </w:pPr>
      <w:r>
        <w:rPr>
          <w:rFonts w:hint="eastAsia" w:eastAsia="黑体" w:cs="Times New Roman"/>
          <w:b w:val="0"/>
          <w:bCs w:val="0"/>
          <w:sz w:val="32"/>
          <w:szCs w:val="32"/>
          <w:lang w:eastAsia="zh-CN"/>
        </w:rPr>
        <w:t>八</w:t>
      </w:r>
      <w:r>
        <w:rPr>
          <w:rFonts w:hint="default" w:ascii="Times New Roman" w:hAnsi="Times New Roman" w:eastAsia="黑体" w:cs="Times New Roman"/>
          <w:b w:val="0"/>
          <w:bCs w:val="0"/>
          <w:sz w:val="32"/>
          <w:szCs w:val="32"/>
        </w:rPr>
        <w:t>、</w:t>
      </w:r>
      <w:r>
        <w:rPr>
          <w:rFonts w:hint="eastAsia" w:eastAsia="黑体" w:cs="Times New Roman"/>
          <w:b w:val="0"/>
          <w:bCs w:val="0"/>
          <w:sz w:val="32"/>
          <w:szCs w:val="32"/>
          <w:lang w:eastAsia="zh-CN"/>
        </w:rPr>
        <w:t>下一步</w:t>
      </w:r>
      <w:r>
        <w:rPr>
          <w:rFonts w:hint="default" w:ascii="Times New Roman" w:hAnsi="Times New Roman" w:eastAsia="黑体" w:cs="Times New Roman"/>
          <w:b w:val="0"/>
          <w:bCs w:val="0"/>
          <w:sz w:val="32"/>
          <w:szCs w:val="32"/>
        </w:rPr>
        <w:t>改进措施</w:t>
      </w:r>
    </w:p>
    <w:p w14:paraId="03238CD1">
      <w:pPr>
        <w:pStyle w:val="35"/>
        <w:keepNext w:val="0"/>
        <w:keepLines w:val="0"/>
        <w:pageBreakBefore w:val="0"/>
        <w:widowControl w:val="0"/>
        <w:kinsoku/>
        <w:wordWrap/>
        <w:overflowPunct w:val="0"/>
        <w:topLinePunct w:val="0"/>
        <w:autoSpaceDE/>
        <w:autoSpaceDN/>
        <w:bidi w:val="0"/>
        <w:adjustRightInd/>
        <w:snapToGrid/>
        <w:spacing w:line="576" w:lineRule="exact"/>
        <w:ind w:firstLine="640" w:firstLineChars="200"/>
        <w:textAlignment w:val="auto"/>
        <w:rPr>
          <w:rFonts w:hint="eastAsia" w:ascii="仿宋" w:hAnsi="仿宋" w:eastAsia="仿宋"/>
          <w:spacing w:val="-2"/>
          <w:sz w:val="32"/>
          <w:szCs w:val="32"/>
        </w:rPr>
      </w:pPr>
      <w:r>
        <w:rPr>
          <w:rFonts w:hint="eastAsia" w:ascii="仿宋" w:hAnsi="仿宋" w:eastAsia="仿宋" w:cs="仿宋_GB2312"/>
          <w:sz w:val="32"/>
          <w:szCs w:val="32"/>
          <w:lang w:val="en-US" w:eastAsia="zh-CN"/>
        </w:rPr>
        <w:t>1.</w:t>
      </w:r>
      <w:r>
        <w:rPr>
          <w:rFonts w:hint="eastAsia" w:ascii="仿宋" w:hAnsi="仿宋" w:eastAsia="仿宋" w:cs="仿宋_GB2312"/>
          <w:sz w:val="32"/>
          <w:szCs w:val="32"/>
        </w:rPr>
        <w:t>进一步加强资产管理</w:t>
      </w:r>
      <w:r>
        <w:rPr>
          <w:rFonts w:hint="eastAsia" w:ascii="仿宋" w:hAnsi="仿宋" w:eastAsia="仿宋" w:cs="仿宋_GB2312"/>
          <w:sz w:val="32"/>
          <w:szCs w:val="32"/>
          <w:lang w:eastAsia="zh-CN"/>
        </w:rPr>
        <w:t>，</w:t>
      </w:r>
      <w:r>
        <w:rPr>
          <w:rFonts w:hint="eastAsia" w:ascii="仿宋" w:hAnsi="仿宋" w:eastAsia="仿宋" w:cs="仿宋_GB2312"/>
          <w:sz w:val="32"/>
          <w:szCs w:val="32"/>
        </w:rPr>
        <w:t>建立更细化</w:t>
      </w:r>
      <w:r>
        <w:rPr>
          <w:rFonts w:hint="eastAsia" w:ascii="仿宋" w:hAnsi="仿宋" w:eastAsia="仿宋" w:cs="仿宋_GB2312"/>
          <w:sz w:val="32"/>
          <w:szCs w:val="32"/>
          <w:lang w:eastAsia="zh-CN"/>
        </w:rPr>
        <w:t>，</w:t>
      </w:r>
      <w:r>
        <w:rPr>
          <w:rFonts w:hint="eastAsia" w:ascii="仿宋" w:hAnsi="仿宋" w:eastAsia="仿宋" w:cs="仿宋_GB2312"/>
          <w:sz w:val="32"/>
          <w:szCs w:val="32"/>
        </w:rPr>
        <w:t>科学的财务管理制度，加强经费审批和控制，并严格加强固定资产卡片管理，每年对固定资产进行全面盘点，确保账账相符和账实相符。</w:t>
      </w:r>
    </w:p>
    <w:p w14:paraId="0E7D26C6">
      <w:pPr>
        <w:pStyle w:val="35"/>
        <w:keepNext w:val="0"/>
        <w:keepLines w:val="0"/>
        <w:pageBreakBefore w:val="0"/>
        <w:kinsoku/>
        <w:wordWrap/>
        <w:overflowPunct w:val="0"/>
        <w:topLinePunct w:val="0"/>
        <w:autoSpaceDE/>
        <w:autoSpaceDN/>
        <w:bidi w:val="0"/>
        <w:adjustRightInd/>
        <w:snapToGrid/>
        <w:spacing w:line="576" w:lineRule="exact"/>
        <w:ind w:firstLine="640" w:firstLineChars="200"/>
        <w:textAlignment w:val="auto"/>
        <w:rPr>
          <w:rFonts w:hint="eastAsia" w:ascii="仿宋" w:hAnsi="仿宋" w:eastAsia="仿宋" w:cs="仿宋_GB2312"/>
          <w:sz w:val="32"/>
          <w:szCs w:val="32"/>
        </w:rPr>
      </w:pPr>
      <w:r>
        <w:rPr>
          <w:rFonts w:hint="eastAsia" w:ascii="仿宋" w:hAnsi="仿宋" w:eastAsia="仿宋" w:cs="仿宋_GB2312"/>
          <w:sz w:val="32"/>
          <w:szCs w:val="32"/>
          <w:lang w:val="en-US" w:eastAsia="zh-CN"/>
        </w:rPr>
        <w:t>2.</w:t>
      </w:r>
      <w:r>
        <w:rPr>
          <w:rFonts w:hint="eastAsia" w:ascii="仿宋" w:hAnsi="仿宋" w:eastAsia="仿宋" w:cs="仿宋_GB2312"/>
          <w:sz w:val="32"/>
          <w:szCs w:val="32"/>
        </w:rPr>
        <w:t>细化预算编制工作，认真做好预算的编制。进一步加强单位内部机构各部门的预算管理意识，严格按照预算编制的相关制度和要求进行预算编制。</w:t>
      </w:r>
    </w:p>
    <w:p w14:paraId="7D3CE70F">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eastAsia" w:eastAsia="黑体" w:cs="Times New Roman"/>
          <w:b w:val="0"/>
          <w:bCs w:val="0"/>
          <w:sz w:val="32"/>
          <w:szCs w:val="32"/>
          <w:lang w:val="en-US" w:eastAsia="zh-CN"/>
        </w:rPr>
      </w:pPr>
      <w:r>
        <w:rPr>
          <w:rFonts w:hint="eastAsia" w:eastAsia="黑体" w:cs="Times New Roman"/>
          <w:b w:val="0"/>
          <w:bCs w:val="0"/>
          <w:sz w:val="32"/>
          <w:szCs w:val="32"/>
          <w:lang w:val="en-US" w:eastAsia="zh-CN"/>
        </w:rPr>
        <w:t>九、其他需要说明的情况</w:t>
      </w:r>
    </w:p>
    <w:p w14:paraId="6CC00E37">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仿宋" w:hAnsi="仿宋" w:eastAsia="仿宋" w:cs="仿宋_GB2312"/>
          <w:kern w:val="0"/>
          <w:sz w:val="32"/>
          <w:szCs w:val="32"/>
          <w:lang w:val="en-US" w:eastAsia="zh-CN" w:bidi="ar-SA"/>
        </w:rPr>
      </w:pPr>
      <w:r>
        <w:rPr>
          <w:rFonts w:hint="eastAsia" w:ascii="仿宋" w:hAnsi="仿宋" w:eastAsia="仿宋" w:cs="仿宋_GB2312"/>
          <w:kern w:val="0"/>
          <w:sz w:val="32"/>
          <w:szCs w:val="32"/>
          <w:lang w:val="en-US" w:eastAsia="zh-CN" w:bidi="ar-SA"/>
        </w:rPr>
        <w:t>无</w:t>
      </w:r>
    </w:p>
    <w:p w14:paraId="4031F3D6">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007A813E">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07F63D94">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185DE03F">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p w14:paraId="1AC7FCAC">
      <w:pPr>
        <w:keepNext w:val="0"/>
        <w:keepLines w:val="0"/>
        <w:pageBreakBefore w:val="0"/>
        <w:kinsoku/>
        <w:wordWrap/>
        <w:topLinePunct w:val="0"/>
        <w:autoSpaceDE/>
        <w:autoSpaceDN/>
        <w:bidi w:val="0"/>
        <w:adjustRightInd/>
        <w:spacing w:line="576" w:lineRule="exact"/>
        <w:ind w:firstLine="640" w:firstLineChars="200"/>
        <w:contextualSpacing/>
        <w:textAlignment w:val="auto"/>
        <w:rPr>
          <w:rFonts w:hint="default" w:ascii="Times New Roman" w:hAnsi="Times New Roman" w:eastAsia="黑体" w:cs="Times New Roman"/>
          <w:b w:val="0"/>
          <w:bCs w:val="0"/>
          <w:sz w:val="32"/>
          <w:szCs w:val="32"/>
          <w:lang w:val="en-US" w:eastAsia="zh-CN"/>
        </w:rPr>
      </w:pPr>
    </w:p>
    <w:sectPr>
      <w:headerReference r:id="rId3" w:type="default"/>
      <w:footerReference r:id="rId4" w:type="default"/>
      <w:pgSz w:w="11906" w:h="16838"/>
      <w:pgMar w:top="2098" w:right="1474" w:bottom="1984" w:left="1588" w:header="851" w:footer="907" w:gutter="0"/>
      <w:pgBorders w:offsetFrom="page">
        <w:top w:val="none" w:sz="0" w:space="0"/>
        <w:left w:val="none" w:sz="0" w:space="0"/>
        <w:bottom w:val="none" w:sz="0" w:space="0"/>
        <w:right w:val="none" w:sz="0" w:space="0"/>
      </w:pgBorders>
      <w:pgNumType w:fmt="numberInDas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A00002EF" w:usb1="4000004B" w:usb2="00000000" w:usb3="00000000" w:csb0="2000009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D6A21">
    <w:pPr>
      <w:pStyle w:val="10"/>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sdt>
                          <w:sdtPr>
                            <w:id w:val="-1"/>
                            <w:docPartObj>
                              <w:docPartGallery w:val="autotext"/>
                            </w:docPartObj>
                          </w:sdtPr>
                          <w:sdtEndPr>
                            <w:rPr>
                              <w:rFonts w:ascii="宋体" w:hAnsi="宋体"/>
                              <w:sz w:val="28"/>
                              <w:szCs w:val="28"/>
                            </w:rPr>
                          </w:sdtEndPr>
                          <w:sdtContent>
                            <w:p w14:paraId="1E16F8B7">
                              <w:pPr>
                                <w:pStyle w:val="10"/>
                                <w:jc w:val="right"/>
                                <w:rPr>
                                  <w:rFonts w:ascii="宋体" w:hAnsi="宋体"/>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w:t>
                              </w:r>
                              <w:r>
                                <w:rPr>
                                  <w:rFonts w:hint="eastAsia" w:asciiTheme="minorEastAsia" w:hAnsiTheme="minorEastAsia" w:eastAsiaTheme="minorEastAsia" w:cstheme="minorEastAsia"/>
                                  <w:sz w:val="28"/>
                                  <w:szCs w:val="28"/>
                                </w:rPr>
                                <w:t xml:space="preserve"> 1 -</w:t>
                              </w:r>
                              <w:r>
                                <w:rPr>
                                  <w:rFonts w:hint="eastAsia" w:asciiTheme="minorEastAsia" w:hAnsiTheme="minorEastAsia" w:eastAsiaTheme="minorEastAsia" w:cstheme="minorEastAsia"/>
                                  <w:sz w:val="28"/>
                                  <w:szCs w:val="28"/>
                                </w:rPr>
                                <w:fldChar w:fldCharType="end"/>
                              </w:r>
                            </w:p>
                          </w:sdtContent>
                        </w:sdt>
                        <w:p w14:paraId="5A648EE6">
                          <w:pPr>
                            <w:rPr>
                              <w:rFonts w:ascii="宋体" w:hAnsi="宋体"/>
                              <w:sz w:val="28"/>
                              <w:szCs w:val="28"/>
                            </w:rPr>
                          </w:pP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sdt>
                    <w:sdtPr>
                      <w:id w:val="-1"/>
                      <w:docPartObj>
                        <w:docPartGallery w:val="autotext"/>
                      </w:docPartObj>
                    </w:sdtPr>
                    <w:sdtEndPr>
                      <w:rPr>
                        <w:rFonts w:ascii="宋体" w:hAnsi="宋体"/>
                        <w:sz w:val="28"/>
                        <w:szCs w:val="28"/>
                      </w:rPr>
                    </w:sdtEndPr>
                    <w:sdtContent>
                      <w:p w14:paraId="1E16F8B7">
                        <w:pPr>
                          <w:pStyle w:val="10"/>
                          <w:jc w:val="right"/>
                          <w:rPr>
                            <w:rFonts w:ascii="宋体" w:hAnsi="宋体"/>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PAGE   \* MERGEFORMAT</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w:t>
                        </w:r>
                        <w:r>
                          <w:rPr>
                            <w:rFonts w:hint="eastAsia" w:asciiTheme="minorEastAsia" w:hAnsiTheme="minorEastAsia" w:eastAsiaTheme="minorEastAsia" w:cstheme="minorEastAsia"/>
                            <w:sz w:val="28"/>
                            <w:szCs w:val="28"/>
                          </w:rPr>
                          <w:t xml:space="preserve"> 1 -</w:t>
                        </w:r>
                        <w:r>
                          <w:rPr>
                            <w:rFonts w:hint="eastAsia" w:asciiTheme="minorEastAsia" w:hAnsiTheme="minorEastAsia" w:eastAsiaTheme="minorEastAsia" w:cstheme="minorEastAsia"/>
                            <w:sz w:val="28"/>
                            <w:szCs w:val="28"/>
                          </w:rPr>
                          <w:fldChar w:fldCharType="end"/>
                        </w:r>
                      </w:p>
                    </w:sdtContent>
                  </w:sdt>
                  <w:p w14:paraId="5A648EE6">
                    <w:pPr>
                      <w:rPr>
                        <w:rFonts w:ascii="宋体" w:hAnsi="宋体"/>
                        <w:sz w:val="28"/>
                        <w:szCs w:val="28"/>
                      </w:rPr>
                    </w:pPr>
                  </w:p>
                </w:txbxContent>
              </v:textbox>
            </v:shape>
          </w:pict>
        </mc:Fallback>
      </mc:AlternateContent>
    </w:r>
  </w:p>
  <w:p w14:paraId="51A57332">
    <w:pPr>
      <w:pStyle w:val="10"/>
    </w:pPr>
  </w:p>
  <w:p w14:paraId="374BA190"/>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E1D73">
    <w:pPr>
      <w:pStyle w:val="11"/>
      <w:pBdr>
        <w:bottom w:val="none" w:color="auto" w:sz="0" w:space="0"/>
      </w:pBdr>
    </w:pPr>
  </w:p>
  <w:p w14:paraId="447474D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AB3605"/>
    <w:multiLevelType w:val="singleLevel"/>
    <w:tmpl w:val="2EAB3605"/>
    <w:lvl w:ilvl="0" w:tentative="0">
      <w:start w:val="1"/>
      <w:numFmt w:val="chineseCounting"/>
      <w:suff w:val="nothing"/>
      <w:lvlText w:val="（%1）"/>
      <w:lvlJc w:val="left"/>
      <w:rPr>
        <w:rFonts w:hint="eastAsia"/>
      </w:rPr>
    </w:lvl>
  </w:abstractNum>
  <w:abstractNum w:abstractNumId="1">
    <w:nsid w:val="3B125D9C"/>
    <w:multiLevelType w:val="singleLevel"/>
    <w:tmpl w:val="3B125D9C"/>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hideGrammatical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YmVmMDIxZjk4MzU3MjUyMGE5YWM5MjZmMjYxM2UifQ=="/>
  </w:docVars>
  <w:rsids>
    <w:rsidRoot w:val="000E4CF3"/>
    <w:rsid w:val="0000520D"/>
    <w:rsid w:val="0001565A"/>
    <w:rsid w:val="00021617"/>
    <w:rsid w:val="00022A15"/>
    <w:rsid w:val="00032FA2"/>
    <w:rsid w:val="00036032"/>
    <w:rsid w:val="000442B9"/>
    <w:rsid w:val="000451F7"/>
    <w:rsid w:val="00050384"/>
    <w:rsid w:val="00060816"/>
    <w:rsid w:val="00061A2C"/>
    <w:rsid w:val="00064ADF"/>
    <w:rsid w:val="00071CF1"/>
    <w:rsid w:val="000720B4"/>
    <w:rsid w:val="0007654D"/>
    <w:rsid w:val="000860E3"/>
    <w:rsid w:val="00095B2E"/>
    <w:rsid w:val="000A46FD"/>
    <w:rsid w:val="000B5E6E"/>
    <w:rsid w:val="000D1B2D"/>
    <w:rsid w:val="000E10EC"/>
    <w:rsid w:val="000E14FE"/>
    <w:rsid w:val="000E4CF3"/>
    <w:rsid w:val="000F086B"/>
    <w:rsid w:val="000F2F20"/>
    <w:rsid w:val="001110C2"/>
    <w:rsid w:val="001113AD"/>
    <w:rsid w:val="0012066F"/>
    <w:rsid w:val="00122668"/>
    <w:rsid w:val="0013016B"/>
    <w:rsid w:val="00135D0C"/>
    <w:rsid w:val="00143B26"/>
    <w:rsid w:val="001630EC"/>
    <w:rsid w:val="00182928"/>
    <w:rsid w:val="00187E72"/>
    <w:rsid w:val="001944C1"/>
    <w:rsid w:val="001A0FFB"/>
    <w:rsid w:val="001C2163"/>
    <w:rsid w:val="001C2BB1"/>
    <w:rsid w:val="001D0D16"/>
    <w:rsid w:val="001E2FAC"/>
    <w:rsid w:val="001F7883"/>
    <w:rsid w:val="002118AB"/>
    <w:rsid w:val="0021708E"/>
    <w:rsid w:val="00225B86"/>
    <w:rsid w:val="00231AF3"/>
    <w:rsid w:val="00246D9E"/>
    <w:rsid w:val="00251FEE"/>
    <w:rsid w:val="00257DD9"/>
    <w:rsid w:val="00266900"/>
    <w:rsid w:val="0028292C"/>
    <w:rsid w:val="002905F3"/>
    <w:rsid w:val="0029136D"/>
    <w:rsid w:val="002A03BC"/>
    <w:rsid w:val="002B0331"/>
    <w:rsid w:val="002B3AE8"/>
    <w:rsid w:val="002D2B95"/>
    <w:rsid w:val="002D49EE"/>
    <w:rsid w:val="002D76E4"/>
    <w:rsid w:val="002E450E"/>
    <w:rsid w:val="002F66FC"/>
    <w:rsid w:val="0033186A"/>
    <w:rsid w:val="00331EC9"/>
    <w:rsid w:val="00341CDD"/>
    <w:rsid w:val="00342A1F"/>
    <w:rsid w:val="00353E81"/>
    <w:rsid w:val="003747E3"/>
    <w:rsid w:val="0038155A"/>
    <w:rsid w:val="00382FA0"/>
    <w:rsid w:val="003B03CF"/>
    <w:rsid w:val="003C0678"/>
    <w:rsid w:val="003C1087"/>
    <w:rsid w:val="003C4C62"/>
    <w:rsid w:val="003D29C2"/>
    <w:rsid w:val="003D6DDC"/>
    <w:rsid w:val="003E0517"/>
    <w:rsid w:val="003E1841"/>
    <w:rsid w:val="003E1C24"/>
    <w:rsid w:val="003F161C"/>
    <w:rsid w:val="00404EC1"/>
    <w:rsid w:val="00406248"/>
    <w:rsid w:val="004213A6"/>
    <w:rsid w:val="004256A5"/>
    <w:rsid w:val="0042591B"/>
    <w:rsid w:val="0044223E"/>
    <w:rsid w:val="00442829"/>
    <w:rsid w:val="00451A37"/>
    <w:rsid w:val="00452BFE"/>
    <w:rsid w:val="004614FD"/>
    <w:rsid w:val="00462531"/>
    <w:rsid w:val="00464ED4"/>
    <w:rsid w:val="00475FD0"/>
    <w:rsid w:val="00477D0E"/>
    <w:rsid w:val="004820DC"/>
    <w:rsid w:val="00490DB8"/>
    <w:rsid w:val="004B0F01"/>
    <w:rsid w:val="004B100D"/>
    <w:rsid w:val="004B6653"/>
    <w:rsid w:val="004C5F4A"/>
    <w:rsid w:val="004C5FD9"/>
    <w:rsid w:val="004E0719"/>
    <w:rsid w:val="004E20D8"/>
    <w:rsid w:val="00514596"/>
    <w:rsid w:val="0052152A"/>
    <w:rsid w:val="005568CC"/>
    <w:rsid w:val="005576AE"/>
    <w:rsid w:val="00561E0F"/>
    <w:rsid w:val="0057228F"/>
    <w:rsid w:val="0057416F"/>
    <w:rsid w:val="005760D6"/>
    <w:rsid w:val="005832A5"/>
    <w:rsid w:val="00586048"/>
    <w:rsid w:val="005863E2"/>
    <w:rsid w:val="0059408A"/>
    <w:rsid w:val="005C41D4"/>
    <w:rsid w:val="006102A6"/>
    <w:rsid w:val="00615BE5"/>
    <w:rsid w:val="00636AFF"/>
    <w:rsid w:val="0064090F"/>
    <w:rsid w:val="006522A9"/>
    <w:rsid w:val="00677F25"/>
    <w:rsid w:val="00692D67"/>
    <w:rsid w:val="00694295"/>
    <w:rsid w:val="006A4B5A"/>
    <w:rsid w:val="006B296F"/>
    <w:rsid w:val="006B471A"/>
    <w:rsid w:val="006C0783"/>
    <w:rsid w:val="006C4717"/>
    <w:rsid w:val="006C546B"/>
    <w:rsid w:val="006C7BFD"/>
    <w:rsid w:val="006C7C55"/>
    <w:rsid w:val="006E660F"/>
    <w:rsid w:val="00707325"/>
    <w:rsid w:val="00717D21"/>
    <w:rsid w:val="0072325A"/>
    <w:rsid w:val="0072549F"/>
    <w:rsid w:val="007343C1"/>
    <w:rsid w:val="00743477"/>
    <w:rsid w:val="0075688D"/>
    <w:rsid w:val="00766D50"/>
    <w:rsid w:val="007A0AA0"/>
    <w:rsid w:val="007C330F"/>
    <w:rsid w:val="007C58A7"/>
    <w:rsid w:val="007D0122"/>
    <w:rsid w:val="007D0A38"/>
    <w:rsid w:val="007D5A72"/>
    <w:rsid w:val="007E0F03"/>
    <w:rsid w:val="007E3F1A"/>
    <w:rsid w:val="007F1B17"/>
    <w:rsid w:val="007F371A"/>
    <w:rsid w:val="008032D8"/>
    <w:rsid w:val="00803BA9"/>
    <w:rsid w:val="00812999"/>
    <w:rsid w:val="00830087"/>
    <w:rsid w:val="008301B1"/>
    <w:rsid w:val="00836A8B"/>
    <w:rsid w:val="008443FE"/>
    <w:rsid w:val="00850C6E"/>
    <w:rsid w:val="00852BCB"/>
    <w:rsid w:val="00864AC2"/>
    <w:rsid w:val="00873EB3"/>
    <w:rsid w:val="00876FCA"/>
    <w:rsid w:val="008773AD"/>
    <w:rsid w:val="008811A1"/>
    <w:rsid w:val="00881A76"/>
    <w:rsid w:val="00891822"/>
    <w:rsid w:val="008A42DF"/>
    <w:rsid w:val="008A67CD"/>
    <w:rsid w:val="008B27F5"/>
    <w:rsid w:val="008B3BAE"/>
    <w:rsid w:val="008C229C"/>
    <w:rsid w:val="008C6A36"/>
    <w:rsid w:val="008E1BF9"/>
    <w:rsid w:val="008F0817"/>
    <w:rsid w:val="009228F6"/>
    <w:rsid w:val="00947278"/>
    <w:rsid w:val="00953D84"/>
    <w:rsid w:val="0097290D"/>
    <w:rsid w:val="00977706"/>
    <w:rsid w:val="00994453"/>
    <w:rsid w:val="0099449F"/>
    <w:rsid w:val="009B1480"/>
    <w:rsid w:val="009C3CD0"/>
    <w:rsid w:val="009C5093"/>
    <w:rsid w:val="009E5636"/>
    <w:rsid w:val="00A10E21"/>
    <w:rsid w:val="00A36410"/>
    <w:rsid w:val="00A657BF"/>
    <w:rsid w:val="00A83E8B"/>
    <w:rsid w:val="00A903A6"/>
    <w:rsid w:val="00AA1741"/>
    <w:rsid w:val="00AB0059"/>
    <w:rsid w:val="00AB01F6"/>
    <w:rsid w:val="00AB553D"/>
    <w:rsid w:val="00AC58D7"/>
    <w:rsid w:val="00AD2E05"/>
    <w:rsid w:val="00AE3537"/>
    <w:rsid w:val="00AF2589"/>
    <w:rsid w:val="00AF5F3D"/>
    <w:rsid w:val="00B11B4F"/>
    <w:rsid w:val="00B20FFA"/>
    <w:rsid w:val="00B3124B"/>
    <w:rsid w:val="00B35331"/>
    <w:rsid w:val="00B474B6"/>
    <w:rsid w:val="00B75617"/>
    <w:rsid w:val="00B90BE0"/>
    <w:rsid w:val="00BA0257"/>
    <w:rsid w:val="00BA3AB6"/>
    <w:rsid w:val="00BB56CC"/>
    <w:rsid w:val="00BE2D4A"/>
    <w:rsid w:val="00C040EE"/>
    <w:rsid w:val="00C174E0"/>
    <w:rsid w:val="00C275FC"/>
    <w:rsid w:val="00C40976"/>
    <w:rsid w:val="00C41115"/>
    <w:rsid w:val="00C417C9"/>
    <w:rsid w:val="00C5490E"/>
    <w:rsid w:val="00C6396B"/>
    <w:rsid w:val="00C65ADE"/>
    <w:rsid w:val="00C715AE"/>
    <w:rsid w:val="00C75F71"/>
    <w:rsid w:val="00C9099F"/>
    <w:rsid w:val="00C9176C"/>
    <w:rsid w:val="00CA3586"/>
    <w:rsid w:val="00CD2016"/>
    <w:rsid w:val="00CD47FD"/>
    <w:rsid w:val="00CF3A43"/>
    <w:rsid w:val="00CF4576"/>
    <w:rsid w:val="00CF6D8F"/>
    <w:rsid w:val="00D120A5"/>
    <w:rsid w:val="00D14294"/>
    <w:rsid w:val="00D2236A"/>
    <w:rsid w:val="00D23C2A"/>
    <w:rsid w:val="00D511C2"/>
    <w:rsid w:val="00D61D99"/>
    <w:rsid w:val="00D626D7"/>
    <w:rsid w:val="00D718B1"/>
    <w:rsid w:val="00D76100"/>
    <w:rsid w:val="00D87607"/>
    <w:rsid w:val="00D9688A"/>
    <w:rsid w:val="00DC4BBD"/>
    <w:rsid w:val="00DC74F3"/>
    <w:rsid w:val="00DD15CA"/>
    <w:rsid w:val="00DF57C8"/>
    <w:rsid w:val="00E209B4"/>
    <w:rsid w:val="00E317DD"/>
    <w:rsid w:val="00E524D7"/>
    <w:rsid w:val="00E536D8"/>
    <w:rsid w:val="00E605B0"/>
    <w:rsid w:val="00E623E5"/>
    <w:rsid w:val="00E6571B"/>
    <w:rsid w:val="00E767B6"/>
    <w:rsid w:val="00E82DEF"/>
    <w:rsid w:val="00E900FA"/>
    <w:rsid w:val="00E931DC"/>
    <w:rsid w:val="00E96B11"/>
    <w:rsid w:val="00EC26D7"/>
    <w:rsid w:val="00EC60B7"/>
    <w:rsid w:val="00ED1486"/>
    <w:rsid w:val="00ED4699"/>
    <w:rsid w:val="00EF2306"/>
    <w:rsid w:val="00EF72D9"/>
    <w:rsid w:val="00F00E2D"/>
    <w:rsid w:val="00F05EA6"/>
    <w:rsid w:val="00F143D3"/>
    <w:rsid w:val="00F15C51"/>
    <w:rsid w:val="00F16AF2"/>
    <w:rsid w:val="00F334B2"/>
    <w:rsid w:val="00F35C7B"/>
    <w:rsid w:val="00F44148"/>
    <w:rsid w:val="00F624D7"/>
    <w:rsid w:val="00F7354D"/>
    <w:rsid w:val="00FA266A"/>
    <w:rsid w:val="00FA3563"/>
    <w:rsid w:val="00FA35DF"/>
    <w:rsid w:val="00FB17DD"/>
    <w:rsid w:val="00FC3579"/>
    <w:rsid w:val="00FC7774"/>
    <w:rsid w:val="00FE07F7"/>
    <w:rsid w:val="00FE5F02"/>
    <w:rsid w:val="036F7D2F"/>
    <w:rsid w:val="04453425"/>
    <w:rsid w:val="08BB4D35"/>
    <w:rsid w:val="0CB25FB6"/>
    <w:rsid w:val="0CD44BA0"/>
    <w:rsid w:val="0CD5701B"/>
    <w:rsid w:val="0E044A5B"/>
    <w:rsid w:val="0EEB4CF5"/>
    <w:rsid w:val="104E5D16"/>
    <w:rsid w:val="115549BF"/>
    <w:rsid w:val="134839DE"/>
    <w:rsid w:val="14441581"/>
    <w:rsid w:val="17F35CD9"/>
    <w:rsid w:val="1AC27A2C"/>
    <w:rsid w:val="1CB43F1B"/>
    <w:rsid w:val="1FEA7809"/>
    <w:rsid w:val="20DD1505"/>
    <w:rsid w:val="21501D36"/>
    <w:rsid w:val="21627AFC"/>
    <w:rsid w:val="223B1B03"/>
    <w:rsid w:val="25CA2A6A"/>
    <w:rsid w:val="28DC77E1"/>
    <w:rsid w:val="29EA7105"/>
    <w:rsid w:val="2A5C1187"/>
    <w:rsid w:val="2BF799DC"/>
    <w:rsid w:val="2D481B4E"/>
    <w:rsid w:val="2F7E6933"/>
    <w:rsid w:val="302A2121"/>
    <w:rsid w:val="30BF3930"/>
    <w:rsid w:val="31C03F1B"/>
    <w:rsid w:val="32E7634C"/>
    <w:rsid w:val="348E47AF"/>
    <w:rsid w:val="353A5F89"/>
    <w:rsid w:val="35BEC549"/>
    <w:rsid w:val="365D6B2F"/>
    <w:rsid w:val="37A367C3"/>
    <w:rsid w:val="3B551F2C"/>
    <w:rsid w:val="3D393ED4"/>
    <w:rsid w:val="3DFF5B0B"/>
    <w:rsid w:val="3F41074C"/>
    <w:rsid w:val="3FBE5AD8"/>
    <w:rsid w:val="3FFDA2B1"/>
    <w:rsid w:val="405E1BB1"/>
    <w:rsid w:val="410752B4"/>
    <w:rsid w:val="41A105D4"/>
    <w:rsid w:val="435861AE"/>
    <w:rsid w:val="43C42995"/>
    <w:rsid w:val="43FD0C89"/>
    <w:rsid w:val="45FB2ABE"/>
    <w:rsid w:val="48DB2A00"/>
    <w:rsid w:val="49112BCD"/>
    <w:rsid w:val="4B682808"/>
    <w:rsid w:val="4BAF7788"/>
    <w:rsid w:val="509174DB"/>
    <w:rsid w:val="55470740"/>
    <w:rsid w:val="5587405A"/>
    <w:rsid w:val="55AF1344"/>
    <w:rsid w:val="568E6EB7"/>
    <w:rsid w:val="57DA0B85"/>
    <w:rsid w:val="58937ED3"/>
    <w:rsid w:val="59E4075B"/>
    <w:rsid w:val="5C53588C"/>
    <w:rsid w:val="5EBF87D2"/>
    <w:rsid w:val="61E3588B"/>
    <w:rsid w:val="61F57C40"/>
    <w:rsid w:val="63104399"/>
    <w:rsid w:val="631E594A"/>
    <w:rsid w:val="63C75F23"/>
    <w:rsid w:val="667C205D"/>
    <w:rsid w:val="6700512F"/>
    <w:rsid w:val="68983B76"/>
    <w:rsid w:val="69002550"/>
    <w:rsid w:val="6B44156E"/>
    <w:rsid w:val="6BA66051"/>
    <w:rsid w:val="6C333060"/>
    <w:rsid w:val="6CBB24A6"/>
    <w:rsid w:val="6CFD75C4"/>
    <w:rsid w:val="6D875DAF"/>
    <w:rsid w:val="6DEF9209"/>
    <w:rsid w:val="6F800DA8"/>
    <w:rsid w:val="6FE38369"/>
    <w:rsid w:val="70504988"/>
    <w:rsid w:val="70BB1F82"/>
    <w:rsid w:val="71B71919"/>
    <w:rsid w:val="74B61124"/>
    <w:rsid w:val="74C57072"/>
    <w:rsid w:val="75EF822A"/>
    <w:rsid w:val="776A7918"/>
    <w:rsid w:val="77CB4A84"/>
    <w:rsid w:val="77DD74FE"/>
    <w:rsid w:val="78112CFA"/>
    <w:rsid w:val="783461E0"/>
    <w:rsid w:val="7976537A"/>
    <w:rsid w:val="7A775428"/>
    <w:rsid w:val="7B150717"/>
    <w:rsid w:val="7DF85EE1"/>
    <w:rsid w:val="7F96631C"/>
    <w:rsid w:val="7FAFB43F"/>
    <w:rsid w:val="7FEDB9C5"/>
    <w:rsid w:val="7FFFEE49"/>
    <w:rsid w:val="9D8BBAA5"/>
    <w:rsid w:val="9EBD0902"/>
    <w:rsid w:val="AFBFB10E"/>
    <w:rsid w:val="B83CF4EA"/>
    <w:rsid w:val="DF9F3591"/>
    <w:rsid w:val="DF9FDF9D"/>
    <w:rsid w:val="DFCF625F"/>
    <w:rsid w:val="E37F7C02"/>
    <w:rsid w:val="EBFF8B4A"/>
    <w:rsid w:val="EDD522B2"/>
    <w:rsid w:val="EE7DBA20"/>
    <w:rsid w:val="EEE73E28"/>
    <w:rsid w:val="EF6F32AF"/>
    <w:rsid w:val="F4DF89A7"/>
    <w:rsid w:val="F6F733A1"/>
    <w:rsid w:val="F7BD385B"/>
    <w:rsid w:val="FF57338C"/>
    <w:rsid w:val="FFE71BE9"/>
    <w:rsid w:val="FFFF825E"/>
    <w:rsid w:val="FFFFC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customStyle="1" w:styleId="5">
    <w:name w:val="正文首行缩进1"/>
    <w:basedOn w:val="1"/>
    <w:qFormat/>
    <w:uiPriority w:val="0"/>
    <w:pPr>
      <w:spacing w:after="120"/>
      <w:ind w:firstLine="420" w:firstLineChars="100"/>
    </w:pPr>
    <w:rPr>
      <w:rFonts w:hint="eastAsia"/>
      <w:szCs w:val="20"/>
    </w:rPr>
  </w:style>
  <w:style w:type="paragraph" w:styleId="6">
    <w:name w:val="Body Text Indent"/>
    <w:basedOn w:val="1"/>
    <w:link w:val="26"/>
    <w:semiHidden/>
    <w:qFormat/>
    <w:uiPriority w:val="0"/>
    <w:pPr>
      <w:ind w:firstLine="633" w:firstLineChars="200"/>
    </w:pPr>
    <w:rPr>
      <w:rFonts w:ascii="仿宋_GB2312" w:hAnsi="宋体" w:eastAsia="仿宋_GB2312"/>
      <w:b/>
      <w:bCs/>
      <w:kern w:val="0"/>
      <w:sz w:val="32"/>
    </w:rPr>
  </w:style>
  <w:style w:type="paragraph" w:styleId="7">
    <w:name w:val="Date"/>
    <w:basedOn w:val="1"/>
    <w:next w:val="1"/>
    <w:link w:val="27"/>
    <w:semiHidden/>
    <w:unhideWhenUsed/>
    <w:qFormat/>
    <w:uiPriority w:val="99"/>
    <w:pPr>
      <w:ind w:left="100" w:leftChars="2500"/>
    </w:pPr>
  </w:style>
  <w:style w:type="paragraph" w:styleId="8">
    <w:name w:val="Body Text Indent 2"/>
    <w:basedOn w:val="1"/>
    <w:link w:val="25"/>
    <w:semiHidden/>
    <w:qFormat/>
    <w:uiPriority w:val="0"/>
    <w:pPr>
      <w:ind w:firstLine="630" w:firstLineChars="200"/>
    </w:pPr>
    <w:rPr>
      <w:rFonts w:ascii="仿宋_GB2312" w:hAnsi="宋体" w:eastAsia="仿宋_GB2312"/>
      <w:kern w:val="0"/>
      <w:sz w:val="32"/>
    </w:rPr>
  </w:style>
  <w:style w:type="paragraph" w:styleId="9">
    <w:name w:val="Balloon Text"/>
    <w:basedOn w:val="1"/>
    <w:link w:val="28"/>
    <w:semiHidden/>
    <w:unhideWhenUsed/>
    <w:qFormat/>
    <w:uiPriority w:val="99"/>
    <w:rPr>
      <w:sz w:val="18"/>
      <w:szCs w:val="18"/>
    </w:rPr>
  </w:style>
  <w:style w:type="paragraph" w:styleId="10">
    <w:name w:val="footer"/>
    <w:basedOn w:val="1"/>
    <w:link w:val="29"/>
    <w:qFormat/>
    <w:uiPriority w:val="99"/>
    <w:pPr>
      <w:tabs>
        <w:tab w:val="center" w:pos="4153"/>
        <w:tab w:val="right" w:pos="8307"/>
      </w:tabs>
      <w:snapToGrid w:val="0"/>
      <w:jc w:val="left"/>
    </w:pPr>
    <w:rPr>
      <w:sz w:val="18"/>
    </w:rPr>
  </w:style>
  <w:style w:type="paragraph" w:styleId="11">
    <w:name w:val="header"/>
    <w:basedOn w:val="1"/>
    <w:qFormat/>
    <w:uiPriority w:val="0"/>
    <w:pPr>
      <w:pBdr>
        <w:bottom w:val="single" w:color="auto" w:sz="6" w:space="1"/>
      </w:pBdr>
      <w:tabs>
        <w:tab w:val="center" w:pos="4153"/>
        <w:tab w:val="right" w:pos="8307"/>
      </w:tabs>
      <w:snapToGrid w:val="0"/>
      <w:jc w:val="center"/>
    </w:pPr>
    <w:rPr>
      <w:sz w:val="18"/>
    </w:rPr>
  </w:style>
  <w:style w:type="paragraph" w:styleId="12">
    <w:name w:val="Subtitle"/>
    <w:basedOn w:val="1"/>
    <w:next w:val="1"/>
    <w:qFormat/>
    <w:uiPriority w:val="99"/>
    <w:pPr>
      <w:ind w:firstLine="200" w:firstLineChars="200"/>
      <w:jc w:val="left"/>
      <w:outlineLvl w:val="2"/>
    </w:pPr>
    <w:rPr>
      <w:rFonts w:ascii="Cambria" w:hAnsi="Cambria" w:eastAsia="黑体"/>
      <w:bCs/>
      <w:kern w:val="28"/>
      <w:sz w:val="28"/>
      <w:szCs w:val="32"/>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bidi="ar-SA"/>
    </w:rPr>
  </w:style>
  <w:style w:type="paragraph" w:styleId="14">
    <w:name w:val="Normal (Web)"/>
    <w:basedOn w:val="1"/>
    <w:qFormat/>
    <w:uiPriority w:val="0"/>
    <w:pPr>
      <w:spacing w:before="100" w:beforeAutospacing="1" w:after="100" w:afterAutospacing="1"/>
    </w:pPr>
    <w:rPr>
      <w:rFonts w:ascii="宋体" w:hAnsi="Times New Roman" w:eastAsia="宋体" w:cs="宋体"/>
      <w:sz w:val="24"/>
      <w:szCs w:val="24"/>
      <w:lang w:val="en-US" w:eastAsia="zh-CN" w:bidi="ar-SA"/>
    </w:rPr>
  </w:style>
  <w:style w:type="paragraph" w:styleId="15">
    <w:name w:val="Title"/>
    <w:next w:val="1"/>
    <w:qFormat/>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 w:type="paragraph" w:styleId="16">
    <w:name w:val="Body Text First Indent 2"/>
    <w:basedOn w:val="6"/>
    <w:next w:val="1"/>
    <w:unhideWhenUsed/>
    <w:qFormat/>
    <w:uiPriority w:val="99"/>
    <w:pPr>
      <w:spacing w:after="0"/>
      <w:ind w:left="0" w:leftChars="0" w:firstLine="420" w:firstLineChars="200"/>
    </w:pPr>
    <w:rPr>
      <w:rFonts w:eastAsia="仿宋_GB2312"/>
      <w:sz w:val="36"/>
      <w:szCs w:val="36"/>
    </w:rPr>
  </w:style>
  <w:style w:type="table" w:styleId="18">
    <w:name w:val="Table Grid"/>
    <w:basedOn w:val="17"/>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basedOn w:val="19"/>
    <w:qFormat/>
    <w:uiPriority w:val="0"/>
  </w:style>
  <w:style w:type="character" w:styleId="22">
    <w:name w:val="Emphasis"/>
    <w:basedOn w:val="19"/>
    <w:qFormat/>
    <w:uiPriority w:val="0"/>
    <w:rPr>
      <w:i/>
    </w:rPr>
  </w:style>
  <w:style w:type="character" w:customStyle="1" w:styleId="23">
    <w:name w:val="apple-converted-space"/>
    <w:qFormat/>
    <w:uiPriority w:val="0"/>
  </w:style>
  <w:style w:type="paragraph" w:customStyle="1" w:styleId="24">
    <w:name w:val="列出段落1"/>
    <w:qFormat/>
    <w:uiPriority w:val="0"/>
    <w:pPr>
      <w:widowControl w:val="0"/>
      <w:ind w:firstLine="200" w:firstLineChars="200"/>
      <w:jc w:val="both"/>
    </w:pPr>
    <w:rPr>
      <w:rFonts w:ascii="Calibri" w:hAnsi="Calibri" w:eastAsia="宋体" w:cs="Arial"/>
      <w:kern w:val="2"/>
      <w:sz w:val="21"/>
      <w:szCs w:val="22"/>
      <w:lang w:val="en-US" w:eastAsia="zh-CN" w:bidi="ar-SA"/>
    </w:rPr>
  </w:style>
  <w:style w:type="character" w:customStyle="1" w:styleId="25">
    <w:name w:val="正文文本缩进 2 Char"/>
    <w:link w:val="8"/>
    <w:semiHidden/>
    <w:qFormat/>
    <w:uiPriority w:val="0"/>
    <w:rPr>
      <w:rFonts w:ascii="仿宋_GB2312" w:hAnsi="宋体" w:eastAsia="仿宋_GB2312"/>
      <w:sz w:val="32"/>
      <w:szCs w:val="24"/>
    </w:rPr>
  </w:style>
  <w:style w:type="character" w:customStyle="1" w:styleId="26">
    <w:name w:val="正文文本缩进 Char"/>
    <w:link w:val="6"/>
    <w:semiHidden/>
    <w:qFormat/>
    <w:uiPriority w:val="0"/>
    <w:rPr>
      <w:rFonts w:ascii="仿宋_GB2312" w:hAnsi="宋体" w:eastAsia="仿宋_GB2312"/>
      <w:b/>
      <w:bCs/>
      <w:sz w:val="32"/>
      <w:szCs w:val="24"/>
    </w:rPr>
  </w:style>
  <w:style w:type="character" w:customStyle="1" w:styleId="27">
    <w:name w:val="日期 Char"/>
    <w:basedOn w:val="19"/>
    <w:link w:val="7"/>
    <w:semiHidden/>
    <w:qFormat/>
    <w:uiPriority w:val="99"/>
    <w:rPr>
      <w:kern w:val="2"/>
      <w:sz w:val="21"/>
      <w:szCs w:val="24"/>
    </w:rPr>
  </w:style>
  <w:style w:type="character" w:customStyle="1" w:styleId="28">
    <w:name w:val="批注框文本 Char"/>
    <w:basedOn w:val="19"/>
    <w:link w:val="9"/>
    <w:semiHidden/>
    <w:qFormat/>
    <w:uiPriority w:val="99"/>
    <w:rPr>
      <w:kern w:val="2"/>
      <w:sz w:val="18"/>
      <w:szCs w:val="18"/>
    </w:rPr>
  </w:style>
  <w:style w:type="character" w:customStyle="1" w:styleId="29">
    <w:name w:val="页脚 Char"/>
    <w:basedOn w:val="19"/>
    <w:link w:val="10"/>
    <w:qFormat/>
    <w:uiPriority w:val="99"/>
    <w:rPr>
      <w:kern w:val="2"/>
      <w:sz w:val="18"/>
      <w:szCs w:val="24"/>
    </w:rPr>
  </w:style>
  <w:style w:type="paragraph" w:styleId="30">
    <w:name w:val="List Paragraph"/>
    <w:basedOn w:val="1"/>
    <w:qFormat/>
    <w:uiPriority w:val="34"/>
    <w:pPr>
      <w:ind w:firstLine="420" w:firstLineChars="200"/>
    </w:pPr>
  </w:style>
  <w:style w:type="paragraph" w:customStyle="1" w:styleId="31">
    <w:name w:val="Default"/>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2">
    <w:name w:val="Body text|1"/>
    <w:basedOn w:val="1"/>
    <w:qFormat/>
    <w:uiPriority w:val="0"/>
    <w:pPr>
      <w:spacing w:line="413" w:lineRule="auto"/>
      <w:ind w:firstLine="400"/>
    </w:pPr>
    <w:rPr>
      <w:rFonts w:ascii="宋体" w:hAnsi="宋体" w:cs="宋体"/>
      <w:sz w:val="30"/>
      <w:szCs w:val="30"/>
      <w:lang w:val="zh-TW" w:eastAsia="zh-TW" w:bidi="zh-TW"/>
    </w:rPr>
  </w:style>
  <w:style w:type="paragraph" w:customStyle="1" w:styleId="33">
    <w:name w:val="无间隔1"/>
    <w:qFormat/>
    <w:uiPriority w:val="99"/>
    <w:pPr>
      <w:widowControl w:val="0"/>
      <w:spacing w:beforeLines="50"/>
      <w:jc w:val="center"/>
    </w:pPr>
    <w:rPr>
      <w:rFonts w:ascii="Times New Roman" w:hAnsi="Times New Roman" w:eastAsia="仿宋_GB2312" w:cs="Times New Roman"/>
      <w:kern w:val="2"/>
      <w:sz w:val="24"/>
      <w:szCs w:val="22"/>
      <w:lang w:val="en-US" w:eastAsia="zh-CN" w:bidi="ar-SA"/>
    </w:rPr>
  </w:style>
  <w:style w:type="paragraph" w:customStyle="1" w:styleId="34">
    <w:name w:val="无缩进"/>
    <w:basedOn w:val="1"/>
    <w:qFormat/>
    <w:uiPriority w:val="99"/>
    <w:pPr>
      <w:spacing w:line="312" w:lineRule="auto"/>
    </w:pPr>
    <w:rPr>
      <w:sz w:val="24"/>
    </w:rPr>
  </w:style>
  <w:style w:type="paragraph" w:customStyle="1" w:styleId="35">
    <w:name w:val="p15"/>
    <w:basedOn w:val="1"/>
    <w:qFormat/>
    <w:uiPriority w:val="0"/>
    <w:pPr>
      <w:widowControl/>
      <w:spacing w:line="460" w:lineRule="atLeast"/>
      <w:ind w:firstLine="420"/>
    </w:pPr>
    <w:rPr>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lenovo\C:\home\lenovo\D:\MyBackup\&#25105;&#30340;&#25991;&#26723;\&#33258;&#23450;&#20041;%20Office%20&#27169;&#26495;\&#24179;&#34892;&#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平行文.dotx</Template>
  <Company>China</Company>
  <Pages>10</Pages>
  <Words>4085</Words>
  <Characters>4403</Characters>
  <Lines>4</Lines>
  <Paragraphs>1</Paragraphs>
  <TotalTime>3</TotalTime>
  <ScaleCrop>false</ScaleCrop>
  <LinksUpToDate>false</LinksUpToDate>
  <CharactersWithSpaces>5075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2020-04-01T16:48:00Z</dcterms:created>
  <dc:creator>Administrator</dc:creator>
  <cp:lastModifiedBy>Administrator</cp:lastModifiedBy>
  <cp:lastPrinted>2025-07-28T03:19:58Z</cp:lastPrinted>
  <dcterms:modified xsi:type="dcterms:W3CDTF">2025-07-28T03:22:25Z</dcterms:modified>
  <dc:title>麻阳苗族自治县财政局</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eyJoZGlkIjoiNjZlYzQ5ZWJmOWQ5M2UwMzFiODY0Y2UzOTYwMDc4MjMifQ==</vt:lpwstr>
  </property>
  <property fmtid="{D5CDD505-2E9C-101B-9397-08002B2CF9AE}" pid="3" name="KSOProductBuildVer">
    <vt:lpwstr>2052-12.1.0.21915</vt:lpwstr>
  </property>
  <property fmtid="{D5CDD505-2E9C-101B-9397-08002B2CF9AE}" pid="4" name="ICV">
    <vt:lpwstr>6D940AAC00F842D69DA6CFEFFD2F8CA0_13</vt:lpwstr>
  </property>
  <property fmtid="{D5CDD505-2E9C-101B-9397-08002B2CF9AE}" pid="5" name="KSOTemplateDocerSaveRecord">
    <vt:lpwstr>eyJoZGlkIjoiMDRjOWY3NDI4OTUzM2ZlNDdlNDQ3YjljMWRlYzk3MWQifQ==</vt:lpwstr>
  </property>
</Properties>
</file>